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CBC" w:rsidRPr="00527F86" w:rsidRDefault="00243CBC" w:rsidP="00243CBC">
      <w:pPr>
        <w:spacing w:line="360" w:lineRule="auto"/>
        <w:jc w:val="center"/>
        <w:rPr>
          <w:rFonts w:ascii="Arial" w:hAnsi="Arial" w:cs="Arial"/>
          <w:b/>
          <w:sz w:val="22"/>
          <w:szCs w:val="22"/>
          <w:u w:val="single"/>
          <w:lang w:val="en-GB"/>
        </w:rPr>
      </w:pPr>
      <w:r w:rsidRPr="00527F86">
        <w:rPr>
          <w:rFonts w:ascii="Arial" w:hAnsi="Arial" w:cs="Arial"/>
          <w:b/>
          <w:sz w:val="22"/>
          <w:szCs w:val="22"/>
          <w:u w:val="single"/>
          <w:lang w:val="en-GB"/>
        </w:rPr>
        <w:t>IN THE COURT OF APPEAL OF SEYCHELLES</w:t>
      </w:r>
    </w:p>
    <w:p w:rsidR="00243CBC" w:rsidRPr="00527F86" w:rsidRDefault="00243CBC" w:rsidP="00243CBC">
      <w:pPr>
        <w:spacing w:line="360" w:lineRule="auto"/>
        <w:jc w:val="center"/>
        <w:rPr>
          <w:rFonts w:ascii="Arial" w:hAnsi="Arial" w:cs="Arial"/>
          <w:b/>
          <w:sz w:val="22"/>
          <w:szCs w:val="22"/>
          <w:lang w:val="en-GB"/>
        </w:rPr>
      </w:pPr>
    </w:p>
    <w:p w:rsidR="00243CBC" w:rsidRDefault="00243CBC" w:rsidP="00243CBC">
      <w:pPr>
        <w:pStyle w:val="ListParagraph"/>
        <w:spacing w:line="360" w:lineRule="auto"/>
        <w:ind w:left="0"/>
        <w:jc w:val="center"/>
        <w:rPr>
          <w:rFonts w:ascii="Arial" w:hAnsi="Arial" w:cs="Arial"/>
          <w:b/>
          <w:lang w:val="en-GB"/>
        </w:rPr>
      </w:pPr>
      <w:r>
        <w:rPr>
          <w:rFonts w:ascii="Arial" w:hAnsi="Arial" w:cs="Arial"/>
          <w:b/>
          <w:lang w:val="en-GB"/>
        </w:rPr>
        <w:t>PLATTE ISLAND RESORT AND VILLAS LTD</w:t>
      </w:r>
    </w:p>
    <w:p w:rsidR="00243CBC" w:rsidRPr="00527F86" w:rsidRDefault="00243CBC" w:rsidP="00243CBC">
      <w:pPr>
        <w:pStyle w:val="ListParagraph"/>
        <w:spacing w:line="360" w:lineRule="auto"/>
        <w:ind w:left="6840" w:firstLine="360"/>
        <w:rPr>
          <w:rFonts w:ascii="Arial" w:hAnsi="Arial" w:cs="Arial"/>
          <w:b/>
          <w:lang w:val="en-GB"/>
        </w:rPr>
      </w:pPr>
      <w:r w:rsidRPr="00527F86">
        <w:rPr>
          <w:rFonts w:ascii="Arial" w:hAnsi="Arial" w:cs="Arial"/>
          <w:b/>
          <w:lang w:val="en-GB"/>
        </w:rPr>
        <w:t>APPELLANT</w:t>
      </w:r>
    </w:p>
    <w:p w:rsidR="00243CBC" w:rsidRPr="00527F86" w:rsidRDefault="00243CBC" w:rsidP="00243CBC">
      <w:pPr>
        <w:spacing w:line="360" w:lineRule="auto"/>
        <w:jc w:val="center"/>
        <w:rPr>
          <w:rFonts w:ascii="Arial" w:hAnsi="Arial" w:cs="Arial"/>
          <w:b/>
          <w:sz w:val="22"/>
          <w:szCs w:val="22"/>
          <w:lang w:val="en-GB"/>
        </w:rPr>
      </w:pPr>
      <w:r w:rsidRPr="00527F86">
        <w:rPr>
          <w:rFonts w:ascii="Arial" w:hAnsi="Arial" w:cs="Arial"/>
          <w:b/>
          <w:sz w:val="22"/>
          <w:szCs w:val="22"/>
          <w:lang w:val="en-GB"/>
        </w:rPr>
        <w:t>vs</w:t>
      </w:r>
    </w:p>
    <w:p w:rsidR="00243CBC" w:rsidRDefault="00243CBC" w:rsidP="00243CBC">
      <w:pPr>
        <w:pStyle w:val="ListParagraph"/>
        <w:numPr>
          <w:ilvl w:val="0"/>
          <w:numId w:val="3"/>
        </w:numPr>
        <w:spacing w:line="360" w:lineRule="auto"/>
        <w:rPr>
          <w:rFonts w:ascii="Arial" w:hAnsi="Arial" w:cs="Arial"/>
          <w:b/>
          <w:lang w:val="en-GB"/>
        </w:rPr>
      </w:pPr>
      <w:r w:rsidRPr="00243CBC">
        <w:rPr>
          <w:rFonts w:ascii="Arial" w:hAnsi="Arial" w:cs="Arial"/>
          <w:b/>
          <w:lang w:val="en-GB"/>
        </w:rPr>
        <w:t>MINISTER PETER SINON</w:t>
      </w:r>
    </w:p>
    <w:p w:rsidR="00243CBC" w:rsidRDefault="00243CBC" w:rsidP="00243CBC">
      <w:pPr>
        <w:pStyle w:val="ListParagraph"/>
        <w:numPr>
          <w:ilvl w:val="0"/>
          <w:numId w:val="3"/>
        </w:numPr>
        <w:spacing w:line="360" w:lineRule="auto"/>
        <w:rPr>
          <w:rFonts w:ascii="Arial" w:hAnsi="Arial" w:cs="Arial"/>
          <w:b/>
          <w:lang w:val="en-GB"/>
        </w:rPr>
      </w:pPr>
      <w:r>
        <w:rPr>
          <w:rFonts w:ascii="Arial" w:hAnsi="Arial" w:cs="Arial"/>
          <w:b/>
          <w:lang w:val="en-GB"/>
        </w:rPr>
        <w:t>ISLAND DEVELOPMENT CORPORATION</w:t>
      </w:r>
    </w:p>
    <w:p w:rsidR="00243CBC" w:rsidRPr="00243CBC" w:rsidRDefault="00243CBC" w:rsidP="00243CBC">
      <w:pPr>
        <w:pStyle w:val="ListParagraph"/>
        <w:numPr>
          <w:ilvl w:val="0"/>
          <w:numId w:val="3"/>
        </w:numPr>
        <w:spacing w:line="360" w:lineRule="auto"/>
        <w:rPr>
          <w:rFonts w:ascii="Arial" w:hAnsi="Arial" w:cs="Arial"/>
          <w:b/>
          <w:lang w:val="en-GB"/>
        </w:rPr>
      </w:pPr>
      <w:r>
        <w:rPr>
          <w:rFonts w:ascii="Arial" w:hAnsi="Arial" w:cs="Arial"/>
          <w:b/>
          <w:lang w:val="en-GB"/>
        </w:rPr>
        <w:t>GOVERNMENT OF SEYCHELLES</w:t>
      </w:r>
    </w:p>
    <w:p w:rsidR="00243CBC" w:rsidRDefault="00243CBC" w:rsidP="00243CBC">
      <w:pPr>
        <w:spacing w:line="360" w:lineRule="auto"/>
        <w:jc w:val="center"/>
        <w:rPr>
          <w:rFonts w:ascii="Arial" w:hAnsi="Arial" w:cs="Arial"/>
          <w:b/>
          <w:lang w:val="en-GB"/>
        </w:rPr>
      </w:pPr>
    </w:p>
    <w:p w:rsidR="00243CBC" w:rsidRPr="00527F86" w:rsidRDefault="00243CBC" w:rsidP="00243CBC">
      <w:pPr>
        <w:spacing w:line="360" w:lineRule="auto"/>
        <w:ind w:left="5760" w:firstLine="720"/>
        <w:jc w:val="center"/>
        <w:rPr>
          <w:rFonts w:ascii="Arial" w:hAnsi="Arial" w:cs="Arial"/>
          <w:b/>
          <w:i/>
          <w:sz w:val="22"/>
          <w:szCs w:val="22"/>
          <w:lang w:val="en-GB"/>
        </w:rPr>
      </w:pPr>
      <w:r w:rsidRPr="00527F86">
        <w:rPr>
          <w:rFonts w:ascii="Arial" w:hAnsi="Arial" w:cs="Arial"/>
          <w:b/>
          <w:sz w:val="22"/>
          <w:szCs w:val="22"/>
          <w:lang w:val="en-GB"/>
        </w:rPr>
        <w:t>RESPONDENT</w:t>
      </w:r>
      <w:r>
        <w:rPr>
          <w:rFonts w:ascii="Arial" w:hAnsi="Arial" w:cs="Arial"/>
          <w:b/>
          <w:sz w:val="22"/>
          <w:szCs w:val="22"/>
          <w:lang w:val="en-GB"/>
        </w:rPr>
        <w:t>S</w:t>
      </w:r>
    </w:p>
    <w:p w:rsidR="00243CBC" w:rsidRPr="00527F86" w:rsidRDefault="00243CBC" w:rsidP="00243CBC">
      <w:pPr>
        <w:spacing w:line="360" w:lineRule="auto"/>
        <w:jc w:val="both"/>
        <w:rPr>
          <w:rFonts w:ascii="Arial" w:hAnsi="Arial" w:cs="Arial"/>
          <w:b/>
          <w:i/>
          <w:sz w:val="22"/>
          <w:szCs w:val="22"/>
          <w:lang w:val="en-GB"/>
        </w:rPr>
      </w:pPr>
    </w:p>
    <w:p w:rsidR="00243CBC" w:rsidRPr="00527F86" w:rsidRDefault="00243CBC" w:rsidP="00243CBC">
      <w:pPr>
        <w:spacing w:line="360" w:lineRule="auto"/>
        <w:jc w:val="both"/>
        <w:rPr>
          <w:rFonts w:ascii="Arial" w:hAnsi="Arial" w:cs="Arial"/>
          <w:b/>
          <w:i/>
          <w:sz w:val="22"/>
          <w:szCs w:val="22"/>
          <w:lang w:val="en-GB"/>
        </w:rPr>
      </w:pPr>
      <w:r w:rsidRPr="00527F86">
        <w:rPr>
          <w:rFonts w:ascii="Arial" w:hAnsi="Arial" w:cs="Arial"/>
          <w:b/>
          <w:i/>
          <w:sz w:val="22"/>
          <w:szCs w:val="22"/>
          <w:lang w:val="en-GB"/>
        </w:rPr>
        <w:t xml:space="preserve">SCA </w:t>
      </w:r>
      <w:r>
        <w:rPr>
          <w:rFonts w:ascii="Arial" w:hAnsi="Arial" w:cs="Arial"/>
          <w:b/>
          <w:i/>
          <w:sz w:val="22"/>
          <w:szCs w:val="22"/>
          <w:lang w:val="en-GB"/>
        </w:rPr>
        <w:t>1</w:t>
      </w:r>
      <w:r w:rsidRPr="00527F86">
        <w:rPr>
          <w:rFonts w:ascii="Arial" w:hAnsi="Arial" w:cs="Arial"/>
          <w:b/>
          <w:i/>
          <w:sz w:val="22"/>
          <w:szCs w:val="22"/>
          <w:lang w:val="en-GB"/>
        </w:rPr>
        <w:t xml:space="preserve"> of 20</w:t>
      </w:r>
      <w:r>
        <w:rPr>
          <w:rFonts w:ascii="Arial" w:hAnsi="Arial" w:cs="Arial"/>
          <w:b/>
          <w:i/>
          <w:sz w:val="22"/>
          <w:szCs w:val="22"/>
          <w:lang w:val="en-GB"/>
        </w:rPr>
        <w:t>12</w:t>
      </w:r>
    </w:p>
    <w:p w:rsidR="00243CBC" w:rsidRPr="00527F86" w:rsidRDefault="00243CBC" w:rsidP="00243CBC">
      <w:pPr>
        <w:spacing w:line="360" w:lineRule="auto"/>
        <w:jc w:val="both"/>
        <w:rPr>
          <w:rFonts w:ascii="Arial" w:hAnsi="Arial" w:cs="Arial"/>
          <w:sz w:val="22"/>
          <w:szCs w:val="22"/>
          <w:lang w:val="en-GB"/>
        </w:rPr>
      </w:pPr>
      <w:r w:rsidRPr="00527F86">
        <w:rPr>
          <w:rFonts w:ascii="Arial" w:hAnsi="Arial" w:cs="Arial"/>
          <w:sz w:val="22"/>
          <w:szCs w:val="22"/>
          <w:lang w:val="en-GB"/>
        </w:rPr>
        <w:t>===================================================================</w:t>
      </w:r>
    </w:p>
    <w:p w:rsidR="00243CBC" w:rsidRDefault="00243CBC" w:rsidP="00243CBC">
      <w:pPr>
        <w:jc w:val="both"/>
        <w:rPr>
          <w:rFonts w:ascii="Arial" w:hAnsi="Arial" w:cs="Arial"/>
          <w:sz w:val="22"/>
          <w:szCs w:val="22"/>
          <w:lang w:val="en-GB"/>
        </w:rPr>
      </w:pPr>
      <w:r w:rsidRPr="00527F86">
        <w:rPr>
          <w:rFonts w:ascii="Arial" w:hAnsi="Arial" w:cs="Arial"/>
          <w:sz w:val="22"/>
          <w:szCs w:val="22"/>
          <w:lang w:val="en-GB"/>
        </w:rPr>
        <w:t>Counsel:</w:t>
      </w:r>
      <w:r w:rsidRPr="00527F86">
        <w:rPr>
          <w:rFonts w:ascii="Arial" w:hAnsi="Arial" w:cs="Arial"/>
          <w:sz w:val="22"/>
          <w:szCs w:val="22"/>
          <w:lang w:val="en-GB"/>
        </w:rPr>
        <w:tab/>
      </w:r>
      <w:r>
        <w:rPr>
          <w:rFonts w:ascii="Arial" w:hAnsi="Arial" w:cs="Arial"/>
          <w:sz w:val="22"/>
          <w:szCs w:val="22"/>
          <w:lang w:val="en-GB"/>
        </w:rPr>
        <w:t>Mr F. Elizabeth for the Appellant</w:t>
      </w:r>
    </w:p>
    <w:p w:rsidR="00243CBC" w:rsidRDefault="00243CBC" w:rsidP="00243CBC">
      <w:pPr>
        <w:jc w:val="both"/>
        <w:rPr>
          <w:rFonts w:ascii="Arial" w:hAnsi="Arial" w:cs="Arial"/>
          <w:sz w:val="22"/>
          <w:szCs w:val="22"/>
          <w:lang w:val="en-GB"/>
        </w:rPr>
      </w:pPr>
      <w:r w:rsidRPr="00527F86">
        <w:rPr>
          <w:rFonts w:ascii="Arial" w:hAnsi="Arial" w:cs="Arial"/>
          <w:sz w:val="22"/>
          <w:szCs w:val="22"/>
          <w:lang w:val="en-GB"/>
        </w:rPr>
        <w:tab/>
      </w:r>
      <w:r w:rsidRPr="00527F86">
        <w:rPr>
          <w:rFonts w:ascii="Arial" w:hAnsi="Arial" w:cs="Arial"/>
          <w:sz w:val="22"/>
          <w:szCs w:val="22"/>
          <w:lang w:val="en-GB"/>
        </w:rPr>
        <w:tab/>
      </w:r>
      <w:r w:rsidR="007D2BEC">
        <w:rPr>
          <w:rFonts w:ascii="Arial" w:hAnsi="Arial" w:cs="Arial"/>
          <w:sz w:val="22"/>
          <w:szCs w:val="22"/>
          <w:lang w:val="en-GB"/>
        </w:rPr>
        <w:t>Mr G.Robert</w:t>
      </w:r>
      <w:r>
        <w:rPr>
          <w:rFonts w:ascii="Arial" w:hAnsi="Arial" w:cs="Arial"/>
          <w:sz w:val="22"/>
          <w:szCs w:val="22"/>
          <w:lang w:val="en-GB"/>
        </w:rPr>
        <w:t xml:space="preserve"> for the 1</w:t>
      </w:r>
      <w:r w:rsidRPr="00243CBC">
        <w:rPr>
          <w:rFonts w:ascii="Arial" w:hAnsi="Arial" w:cs="Arial"/>
          <w:sz w:val="22"/>
          <w:szCs w:val="22"/>
          <w:vertAlign w:val="superscript"/>
          <w:lang w:val="en-GB"/>
        </w:rPr>
        <w:t>st</w:t>
      </w:r>
      <w:r>
        <w:rPr>
          <w:rFonts w:ascii="Arial" w:hAnsi="Arial" w:cs="Arial"/>
          <w:sz w:val="22"/>
          <w:szCs w:val="22"/>
          <w:lang w:val="en-GB"/>
        </w:rPr>
        <w:t xml:space="preserve"> and 3</w:t>
      </w:r>
      <w:r w:rsidRPr="00243CBC">
        <w:rPr>
          <w:rFonts w:ascii="Arial" w:hAnsi="Arial" w:cs="Arial"/>
          <w:sz w:val="22"/>
          <w:szCs w:val="22"/>
          <w:vertAlign w:val="superscript"/>
          <w:lang w:val="en-GB"/>
        </w:rPr>
        <w:t>rd</w:t>
      </w:r>
      <w:r w:rsidRPr="00527F86">
        <w:rPr>
          <w:rFonts w:ascii="Arial" w:hAnsi="Arial" w:cs="Arial"/>
          <w:sz w:val="22"/>
          <w:szCs w:val="22"/>
          <w:lang w:val="en-GB"/>
        </w:rPr>
        <w:t>Respondent</w:t>
      </w:r>
      <w:r>
        <w:rPr>
          <w:rFonts w:ascii="Arial" w:hAnsi="Arial" w:cs="Arial"/>
          <w:sz w:val="22"/>
          <w:szCs w:val="22"/>
          <w:lang w:val="en-GB"/>
        </w:rPr>
        <w:t>s</w:t>
      </w:r>
    </w:p>
    <w:p w:rsidR="00243CBC" w:rsidRDefault="00243CBC" w:rsidP="00243CBC">
      <w:pPr>
        <w:ind w:left="720" w:firstLine="720"/>
        <w:jc w:val="both"/>
        <w:rPr>
          <w:rFonts w:ascii="Arial" w:hAnsi="Arial" w:cs="Arial"/>
          <w:sz w:val="22"/>
          <w:szCs w:val="22"/>
          <w:lang w:val="en-GB"/>
        </w:rPr>
      </w:pPr>
      <w:r>
        <w:rPr>
          <w:rFonts w:ascii="Arial" w:hAnsi="Arial" w:cs="Arial"/>
          <w:sz w:val="22"/>
          <w:szCs w:val="22"/>
          <w:lang w:val="en-GB"/>
        </w:rPr>
        <w:t xml:space="preserve">Mr F. Chang-Sam </w:t>
      </w:r>
      <w:r w:rsidRPr="00527F86">
        <w:rPr>
          <w:rFonts w:ascii="Arial" w:hAnsi="Arial" w:cs="Arial"/>
          <w:sz w:val="22"/>
          <w:szCs w:val="22"/>
          <w:lang w:val="en-GB"/>
        </w:rPr>
        <w:t xml:space="preserve">for </w:t>
      </w:r>
      <w:r>
        <w:rPr>
          <w:rFonts w:ascii="Arial" w:hAnsi="Arial" w:cs="Arial"/>
          <w:sz w:val="22"/>
          <w:szCs w:val="22"/>
          <w:lang w:val="en-GB"/>
        </w:rPr>
        <w:t>the 2</w:t>
      </w:r>
      <w:r w:rsidRPr="00243CBC">
        <w:rPr>
          <w:rFonts w:ascii="Arial" w:hAnsi="Arial" w:cs="Arial"/>
          <w:sz w:val="22"/>
          <w:szCs w:val="22"/>
          <w:vertAlign w:val="superscript"/>
          <w:lang w:val="en-GB"/>
        </w:rPr>
        <w:t>nd</w:t>
      </w:r>
      <w:r w:rsidRPr="00527F86">
        <w:rPr>
          <w:rFonts w:ascii="Arial" w:hAnsi="Arial" w:cs="Arial"/>
          <w:sz w:val="22"/>
          <w:szCs w:val="22"/>
          <w:lang w:val="en-GB"/>
        </w:rPr>
        <w:t>Respondent</w:t>
      </w:r>
    </w:p>
    <w:p w:rsidR="00243CBC" w:rsidRPr="00527F86" w:rsidRDefault="00243CBC" w:rsidP="00243CBC">
      <w:pPr>
        <w:jc w:val="both"/>
        <w:rPr>
          <w:rFonts w:ascii="Arial" w:hAnsi="Arial" w:cs="Arial"/>
          <w:sz w:val="22"/>
          <w:szCs w:val="22"/>
          <w:lang w:val="en-GB"/>
        </w:rPr>
      </w:pPr>
    </w:p>
    <w:p w:rsidR="00243CBC" w:rsidRPr="00527F86" w:rsidRDefault="00243CBC" w:rsidP="00243CBC">
      <w:pPr>
        <w:jc w:val="both"/>
        <w:rPr>
          <w:rFonts w:ascii="Arial" w:hAnsi="Arial" w:cs="Arial"/>
          <w:sz w:val="22"/>
          <w:szCs w:val="22"/>
          <w:lang w:val="en-GB"/>
        </w:rPr>
      </w:pPr>
    </w:p>
    <w:p w:rsidR="00243CBC" w:rsidRPr="00527F86" w:rsidRDefault="00243CBC" w:rsidP="00243CBC">
      <w:pPr>
        <w:jc w:val="center"/>
        <w:rPr>
          <w:rFonts w:ascii="Arial" w:hAnsi="Arial" w:cs="Arial"/>
          <w:b/>
          <w:sz w:val="22"/>
          <w:szCs w:val="22"/>
          <w:u w:val="single"/>
          <w:lang w:val="en-GB"/>
        </w:rPr>
      </w:pPr>
      <w:r w:rsidRPr="00527F86">
        <w:rPr>
          <w:rFonts w:ascii="Arial" w:hAnsi="Arial" w:cs="Arial"/>
          <w:b/>
          <w:sz w:val="22"/>
          <w:szCs w:val="22"/>
          <w:u w:val="single"/>
          <w:lang w:val="en-GB"/>
        </w:rPr>
        <w:t>JUDGMENT</w:t>
      </w:r>
    </w:p>
    <w:p w:rsidR="00243CBC" w:rsidRPr="00527F86" w:rsidRDefault="00243CBC" w:rsidP="00243CBC">
      <w:pPr>
        <w:spacing w:line="360" w:lineRule="auto"/>
        <w:jc w:val="both"/>
        <w:rPr>
          <w:rFonts w:ascii="Arial" w:hAnsi="Arial" w:cs="Arial"/>
          <w:b/>
          <w:sz w:val="22"/>
          <w:szCs w:val="22"/>
          <w:u w:val="single"/>
          <w:lang w:val="en-GB"/>
        </w:rPr>
      </w:pPr>
      <w:r w:rsidRPr="00527F86">
        <w:rPr>
          <w:rFonts w:ascii="Arial" w:hAnsi="Arial" w:cs="Arial"/>
          <w:b/>
          <w:sz w:val="22"/>
          <w:szCs w:val="22"/>
          <w:u w:val="single"/>
          <w:lang w:val="en-GB"/>
        </w:rPr>
        <w:t>DOMAH, S.,</w:t>
      </w:r>
    </w:p>
    <w:p w:rsidR="00243CBC" w:rsidRPr="00527F86" w:rsidRDefault="00243CBC" w:rsidP="00243CBC">
      <w:pPr>
        <w:spacing w:line="360" w:lineRule="auto"/>
        <w:jc w:val="both"/>
        <w:rPr>
          <w:rFonts w:ascii="Arial" w:hAnsi="Arial" w:cs="Arial"/>
          <w:sz w:val="22"/>
          <w:szCs w:val="22"/>
        </w:rPr>
      </w:pPr>
    </w:p>
    <w:p w:rsidR="00243CBC" w:rsidRPr="00F9226F" w:rsidRDefault="00243CBC" w:rsidP="00F9226F">
      <w:pPr>
        <w:pStyle w:val="ListParagraph"/>
        <w:numPr>
          <w:ilvl w:val="0"/>
          <w:numId w:val="4"/>
        </w:numPr>
        <w:spacing w:line="360" w:lineRule="auto"/>
        <w:jc w:val="both"/>
        <w:rPr>
          <w:rFonts w:ascii="Arial" w:hAnsi="Arial" w:cs="Arial"/>
        </w:rPr>
      </w:pPr>
      <w:r w:rsidRPr="00F9226F">
        <w:rPr>
          <w:rFonts w:ascii="Arial" w:hAnsi="Arial" w:cs="Arial"/>
        </w:rPr>
        <w:t xml:space="preserve">The learned Chief Justice </w:t>
      </w:r>
      <w:r w:rsidR="00FC2F3F" w:rsidRPr="00F9226F">
        <w:rPr>
          <w:rFonts w:ascii="Arial" w:hAnsi="Arial" w:cs="Arial"/>
        </w:rPr>
        <w:t xml:space="preserve">refused leave to the appellant who made an </w:t>
      </w:r>
      <w:r w:rsidR="00FC2F3F" w:rsidRPr="00F9226F">
        <w:rPr>
          <w:rFonts w:ascii="Arial" w:hAnsi="Arial" w:cs="Arial"/>
          <w:i/>
        </w:rPr>
        <w:t xml:space="preserve">ex parte </w:t>
      </w:r>
      <w:r w:rsidR="00FC2F3F" w:rsidRPr="00F9226F">
        <w:rPr>
          <w:rFonts w:ascii="Arial" w:hAnsi="Arial" w:cs="Arial"/>
        </w:rPr>
        <w:t xml:space="preserve">application before the Supreme Court to commence proceedings for judicial review against the three respondents. The appellant is appealing against that decision. </w:t>
      </w:r>
    </w:p>
    <w:p w:rsidR="00FC2F3F" w:rsidRDefault="00FC2F3F" w:rsidP="00243CBC">
      <w:pPr>
        <w:spacing w:line="360" w:lineRule="auto"/>
        <w:jc w:val="both"/>
        <w:rPr>
          <w:rFonts w:ascii="Arial" w:hAnsi="Arial" w:cs="Arial"/>
          <w:sz w:val="22"/>
          <w:szCs w:val="22"/>
        </w:rPr>
      </w:pPr>
    </w:p>
    <w:p w:rsidR="00FC2F3F" w:rsidRDefault="00FC2F3F" w:rsidP="00F9226F">
      <w:pPr>
        <w:pStyle w:val="ListParagraph"/>
        <w:numPr>
          <w:ilvl w:val="0"/>
          <w:numId w:val="4"/>
        </w:numPr>
        <w:spacing w:line="360" w:lineRule="auto"/>
        <w:jc w:val="both"/>
        <w:rPr>
          <w:rFonts w:ascii="Arial" w:hAnsi="Arial" w:cs="Arial"/>
        </w:rPr>
      </w:pPr>
      <w:r>
        <w:rPr>
          <w:rFonts w:ascii="Arial" w:hAnsi="Arial" w:cs="Arial"/>
        </w:rPr>
        <w:t>The facts relevant to this appeal are as follows.  The appellant</w:t>
      </w:r>
      <w:r w:rsidR="00FD616B">
        <w:rPr>
          <w:rFonts w:ascii="Arial" w:hAnsi="Arial" w:cs="Arial"/>
        </w:rPr>
        <w:t xml:space="preserve">, Platte Island Resort and Villas Ltd, </w:t>
      </w:r>
      <w:r>
        <w:rPr>
          <w:rFonts w:ascii="Arial" w:hAnsi="Arial" w:cs="Arial"/>
        </w:rPr>
        <w:t>is a sub-lessee of Platte Island of which the sub-lessor is respondent no. 2, the Island Development Corporation</w:t>
      </w:r>
      <w:r w:rsidR="00FD616B">
        <w:rPr>
          <w:rFonts w:ascii="Arial" w:hAnsi="Arial" w:cs="Arial"/>
        </w:rPr>
        <w:t>. R</w:t>
      </w:r>
      <w:r>
        <w:rPr>
          <w:rFonts w:ascii="Arial" w:hAnsi="Arial" w:cs="Arial"/>
        </w:rPr>
        <w:t>espondent no. 1 is the Minister holding office at the Ministry of Investment, Natural Resources and I</w:t>
      </w:r>
      <w:r w:rsidR="00FD616B">
        <w:rPr>
          <w:rFonts w:ascii="Arial" w:hAnsi="Arial" w:cs="Arial"/>
        </w:rPr>
        <w:t>ndustry, the Head lessor of Platte Island.  On 5 September 2011, the Minister wrote to the appellant to inform him that, following an earlier letter sent to the appellant dated 29 August 2011 evoking a breach of contractual obligations, the government had taken the decision to “d</w:t>
      </w:r>
      <w:r w:rsidR="007775F2">
        <w:rPr>
          <w:rFonts w:ascii="Arial" w:hAnsi="Arial" w:cs="Arial"/>
        </w:rPr>
        <w:t>é</w:t>
      </w:r>
      <w:r w:rsidR="00FD616B">
        <w:rPr>
          <w:rFonts w:ascii="Arial" w:hAnsi="Arial" w:cs="Arial"/>
        </w:rPr>
        <w:t>clare votre project caduque</w:t>
      </w:r>
      <w:r w:rsidR="007775F2">
        <w:rPr>
          <w:rFonts w:ascii="Arial" w:hAnsi="Arial" w:cs="Arial"/>
        </w:rPr>
        <w:t>.</w:t>
      </w:r>
      <w:r w:rsidR="00FD616B">
        <w:rPr>
          <w:rFonts w:ascii="Arial" w:hAnsi="Arial" w:cs="Arial"/>
        </w:rPr>
        <w:t xml:space="preserve">” </w:t>
      </w:r>
    </w:p>
    <w:p w:rsidR="00243CBC" w:rsidRDefault="00243CBC" w:rsidP="00243CBC">
      <w:pPr>
        <w:spacing w:line="360" w:lineRule="auto"/>
        <w:jc w:val="both"/>
        <w:rPr>
          <w:rFonts w:ascii="Arial" w:hAnsi="Arial" w:cs="Arial"/>
          <w:sz w:val="22"/>
          <w:szCs w:val="22"/>
        </w:rPr>
      </w:pPr>
    </w:p>
    <w:p w:rsidR="006C2C52" w:rsidRDefault="006C2C52" w:rsidP="00F9226F">
      <w:pPr>
        <w:pStyle w:val="ListParagraph"/>
        <w:numPr>
          <w:ilvl w:val="0"/>
          <w:numId w:val="4"/>
        </w:numPr>
        <w:spacing w:line="360" w:lineRule="auto"/>
        <w:jc w:val="both"/>
        <w:rPr>
          <w:rFonts w:ascii="Arial" w:hAnsi="Arial" w:cs="Arial"/>
        </w:rPr>
      </w:pPr>
      <w:r>
        <w:rPr>
          <w:rFonts w:ascii="Arial" w:hAnsi="Arial" w:cs="Arial"/>
        </w:rPr>
        <w:lastRenderedPageBreak/>
        <w:t>In giving his decision, the learned Chief Justice</w:t>
      </w:r>
      <w:r w:rsidR="007775F2">
        <w:rPr>
          <w:rFonts w:ascii="Arial" w:hAnsi="Arial" w:cs="Arial"/>
        </w:rPr>
        <w:t xml:space="preserve">, in the absence of any indication on the procedure adopted by the appellant, </w:t>
      </w:r>
      <w:r>
        <w:rPr>
          <w:rFonts w:ascii="Arial" w:hAnsi="Arial" w:cs="Arial"/>
        </w:rPr>
        <w:t xml:space="preserve">referred to the </w:t>
      </w:r>
      <w:r w:rsidR="00C567A9">
        <w:rPr>
          <w:rFonts w:ascii="Arial" w:hAnsi="Arial" w:cs="Arial"/>
        </w:rPr>
        <w:t xml:space="preserve">parent provision, </w:t>
      </w:r>
      <w:r>
        <w:rPr>
          <w:rFonts w:ascii="Arial" w:hAnsi="Arial" w:cs="Arial"/>
        </w:rPr>
        <w:t>Article 125(1) (c) and (7) of the Constitution which confers supervisory jurisdiction to the Supreme Court</w:t>
      </w:r>
      <w:r w:rsidR="00C567A9">
        <w:rPr>
          <w:rFonts w:ascii="Arial" w:hAnsi="Arial" w:cs="Arial"/>
        </w:rPr>
        <w:t xml:space="preserve">, in such cases; and </w:t>
      </w:r>
      <w:r w:rsidR="0095434E">
        <w:rPr>
          <w:rFonts w:ascii="Arial" w:hAnsi="Arial" w:cs="Arial"/>
        </w:rPr>
        <w:t xml:space="preserve">also </w:t>
      </w:r>
      <w:r w:rsidR="00C567A9">
        <w:rPr>
          <w:rFonts w:ascii="Arial" w:hAnsi="Arial" w:cs="Arial"/>
        </w:rPr>
        <w:t>to the subordinate legislation</w:t>
      </w:r>
      <w:r w:rsidR="0095434E">
        <w:rPr>
          <w:rFonts w:ascii="Arial" w:hAnsi="Arial" w:cs="Arial"/>
        </w:rPr>
        <w:t xml:space="preserve"> that applied: i.e </w:t>
      </w:r>
      <w:r>
        <w:rPr>
          <w:rFonts w:ascii="Arial" w:hAnsi="Arial" w:cs="Arial"/>
        </w:rPr>
        <w:t>S</w:t>
      </w:r>
      <w:r w:rsidR="00C567A9">
        <w:rPr>
          <w:rFonts w:ascii="Arial" w:hAnsi="Arial" w:cs="Arial"/>
        </w:rPr>
        <w:t xml:space="preserve">I No. 40 of 1995, </w:t>
      </w:r>
      <w:r>
        <w:rPr>
          <w:rFonts w:ascii="Arial" w:hAnsi="Arial" w:cs="Arial"/>
        </w:rPr>
        <w:t xml:space="preserve">the Supreme Court (Supervisory Jurisdiction over Subordinate Courts, Tribunals </w:t>
      </w:r>
      <w:r w:rsidR="00C567A9">
        <w:rPr>
          <w:rFonts w:ascii="Arial" w:hAnsi="Arial" w:cs="Arial"/>
        </w:rPr>
        <w:t>and Adjudicating Bodies) Rules</w:t>
      </w:r>
      <w:r w:rsidR="0095434E">
        <w:rPr>
          <w:rFonts w:ascii="Arial" w:hAnsi="Arial" w:cs="Arial"/>
        </w:rPr>
        <w:t xml:space="preserve">. </w:t>
      </w:r>
      <w:r w:rsidR="00C567A9">
        <w:rPr>
          <w:rFonts w:ascii="Arial" w:hAnsi="Arial" w:cs="Arial"/>
        </w:rPr>
        <w:t xml:space="preserve"> </w:t>
      </w:r>
    </w:p>
    <w:p w:rsidR="006C2C52" w:rsidRDefault="006C2C52" w:rsidP="00243CBC">
      <w:pPr>
        <w:spacing w:line="360" w:lineRule="auto"/>
        <w:jc w:val="both"/>
        <w:rPr>
          <w:rFonts w:ascii="Arial" w:hAnsi="Arial" w:cs="Arial"/>
          <w:sz w:val="22"/>
          <w:szCs w:val="22"/>
        </w:rPr>
      </w:pPr>
    </w:p>
    <w:p w:rsidR="006C2C52" w:rsidRDefault="006C2C52" w:rsidP="00F9226F">
      <w:pPr>
        <w:pStyle w:val="ListParagraph"/>
        <w:numPr>
          <w:ilvl w:val="0"/>
          <w:numId w:val="4"/>
        </w:numPr>
        <w:spacing w:line="360" w:lineRule="auto"/>
        <w:jc w:val="both"/>
        <w:rPr>
          <w:rFonts w:ascii="Arial" w:hAnsi="Arial" w:cs="Arial"/>
        </w:rPr>
      </w:pPr>
      <w:r>
        <w:rPr>
          <w:rFonts w:ascii="Arial" w:hAnsi="Arial" w:cs="Arial"/>
        </w:rPr>
        <w:t>The texts of the above are as follows:</w:t>
      </w:r>
    </w:p>
    <w:p w:rsidR="004C5394" w:rsidRPr="004C5394" w:rsidRDefault="004C5394" w:rsidP="004C5394">
      <w:pPr>
        <w:pStyle w:val="ListParagraph"/>
        <w:rPr>
          <w:rFonts w:ascii="Arial" w:hAnsi="Arial" w:cs="Arial"/>
        </w:rPr>
      </w:pPr>
    </w:p>
    <w:p w:rsidR="004C5394" w:rsidRPr="00C567A9" w:rsidRDefault="004C5394" w:rsidP="00C567A9">
      <w:pPr>
        <w:pStyle w:val="ListParagraph"/>
        <w:spacing w:line="240" w:lineRule="auto"/>
        <w:ind w:left="1440"/>
        <w:jc w:val="both"/>
        <w:rPr>
          <w:rFonts w:ascii="Arial" w:hAnsi="Arial" w:cs="Arial"/>
          <w:i/>
        </w:rPr>
      </w:pPr>
      <w:r w:rsidRPr="00C567A9">
        <w:rPr>
          <w:rFonts w:ascii="Arial" w:hAnsi="Arial" w:cs="Arial"/>
          <w:i/>
        </w:rPr>
        <w:t xml:space="preserve">“125 (1). There shall be a Supreme Court which shall, in addition to the jurisdiction and powers conferred by this Constitution, have – </w:t>
      </w:r>
    </w:p>
    <w:p w:rsidR="00C567A9" w:rsidRPr="00C567A9" w:rsidRDefault="00C567A9" w:rsidP="00C567A9">
      <w:pPr>
        <w:pStyle w:val="ListParagraph"/>
        <w:numPr>
          <w:ilvl w:val="0"/>
          <w:numId w:val="6"/>
        </w:numPr>
        <w:spacing w:line="240" w:lineRule="auto"/>
        <w:jc w:val="both"/>
        <w:rPr>
          <w:rFonts w:ascii="Arial" w:hAnsi="Arial" w:cs="Arial"/>
          <w:i/>
        </w:rPr>
      </w:pPr>
      <w:r w:rsidRPr="00C567A9">
        <w:rPr>
          <w:rFonts w:ascii="Arial" w:hAnsi="Arial" w:cs="Arial"/>
          <w:i/>
        </w:rPr>
        <w:t>…</w:t>
      </w:r>
    </w:p>
    <w:p w:rsidR="00C567A9" w:rsidRPr="00C567A9" w:rsidRDefault="00C567A9" w:rsidP="00C567A9">
      <w:pPr>
        <w:pStyle w:val="ListParagraph"/>
        <w:numPr>
          <w:ilvl w:val="0"/>
          <w:numId w:val="6"/>
        </w:numPr>
        <w:spacing w:line="240" w:lineRule="auto"/>
        <w:jc w:val="both"/>
        <w:rPr>
          <w:rFonts w:ascii="Arial" w:hAnsi="Arial" w:cs="Arial"/>
          <w:i/>
        </w:rPr>
      </w:pPr>
      <w:r w:rsidRPr="00C567A9">
        <w:rPr>
          <w:rFonts w:ascii="Arial" w:hAnsi="Arial" w:cs="Arial"/>
          <w:i/>
        </w:rPr>
        <w:t>…</w:t>
      </w:r>
    </w:p>
    <w:p w:rsidR="004C5394" w:rsidRPr="00C567A9" w:rsidRDefault="00C567A9" w:rsidP="00C567A9">
      <w:pPr>
        <w:pStyle w:val="ListParagraph"/>
        <w:numPr>
          <w:ilvl w:val="0"/>
          <w:numId w:val="6"/>
        </w:numPr>
        <w:spacing w:line="240" w:lineRule="auto"/>
        <w:jc w:val="both"/>
        <w:rPr>
          <w:rFonts w:ascii="Arial" w:hAnsi="Arial" w:cs="Arial"/>
          <w:i/>
        </w:rPr>
      </w:pPr>
      <w:r w:rsidRPr="00C567A9">
        <w:rPr>
          <w:rFonts w:ascii="Arial" w:hAnsi="Arial" w:cs="Arial"/>
          <w:i/>
        </w:rPr>
        <w:t>s</w:t>
      </w:r>
      <w:r w:rsidR="004C5394" w:rsidRPr="00C567A9">
        <w:rPr>
          <w:rFonts w:ascii="Arial" w:hAnsi="Arial" w:cs="Arial"/>
          <w:i/>
        </w:rPr>
        <w:t xml:space="preserve">upervisory jurisdiction over subordinate courts, tribunals and adjudicating authority and, in this connection, shall have the power to issue injunctions, directions, orders, writs or orders in the nature of habeas corpus, certiorari, mandamus, prohibition and quo warranto as may be appropriate for the purpose of enforcing and securing the enforcement of its supervisory jurisdictions and </w:t>
      </w:r>
    </w:p>
    <w:p w:rsidR="004C5394" w:rsidRPr="00C567A9" w:rsidRDefault="00C567A9" w:rsidP="00C567A9">
      <w:pPr>
        <w:pStyle w:val="ListParagraph"/>
        <w:spacing w:line="240" w:lineRule="auto"/>
        <w:ind w:left="2520"/>
        <w:jc w:val="both"/>
        <w:rPr>
          <w:rFonts w:ascii="Arial" w:hAnsi="Arial" w:cs="Arial"/>
          <w:i/>
        </w:rPr>
      </w:pPr>
      <w:r w:rsidRPr="00C567A9">
        <w:rPr>
          <w:rFonts w:ascii="Arial" w:hAnsi="Arial" w:cs="Arial"/>
          <w:i/>
        </w:rPr>
        <w:t>…</w:t>
      </w:r>
    </w:p>
    <w:p w:rsidR="00C567A9" w:rsidRPr="00C567A9" w:rsidRDefault="00C567A9" w:rsidP="00C567A9">
      <w:pPr>
        <w:ind w:left="2160"/>
        <w:jc w:val="both"/>
        <w:rPr>
          <w:rFonts w:ascii="Arial" w:hAnsi="Arial" w:cs="Arial"/>
        </w:rPr>
      </w:pPr>
      <w:r w:rsidRPr="00C567A9">
        <w:rPr>
          <w:rFonts w:ascii="Arial" w:hAnsi="Arial" w:cs="Arial"/>
          <w:i/>
          <w:sz w:val="22"/>
          <w:szCs w:val="22"/>
        </w:rPr>
        <w:t>(7) For the purposes of Clause (1) (c), “adjudicating authority includes a body or authority established by law which performs a judicial or quasi-judicial function</w:t>
      </w:r>
      <w:r>
        <w:rPr>
          <w:rFonts w:ascii="Arial" w:hAnsi="Arial" w:cs="Arial"/>
          <w:i/>
          <w:sz w:val="22"/>
          <w:szCs w:val="22"/>
        </w:rPr>
        <w:t>”</w:t>
      </w:r>
      <w:r w:rsidRPr="00C567A9">
        <w:rPr>
          <w:rFonts w:ascii="Arial" w:hAnsi="Arial" w:cs="Arial"/>
          <w:i/>
          <w:sz w:val="22"/>
          <w:szCs w:val="22"/>
        </w:rPr>
        <w:t xml:space="preserve">. </w:t>
      </w:r>
    </w:p>
    <w:p w:rsidR="006C2C52" w:rsidRDefault="006C2C52" w:rsidP="00C567A9">
      <w:pPr>
        <w:jc w:val="both"/>
        <w:rPr>
          <w:rFonts w:ascii="Arial" w:hAnsi="Arial" w:cs="Arial"/>
          <w:sz w:val="22"/>
          <w:szCs w:val="22"/>
        </w:rPr>
      </w:pPr>
    </w:p>
    <w:p w:rsidR="003F1838" w:rsidRDefault="006C2C52" w:rsidP="00F9226F">
      <w:pPr>
        <w:pStyle w:val="ListParagraph"/>
        <w:numPr>
          <w:ilvl w:val="0"/>
          <w:numId w:val="4"/>
        </w:numPr>
        <w:spacing w:line="360" w:lineRule="auto"/>
        <w:jc w:val="both"/>
        <w:rPr>
          <w:rFonts w:ascii="Arial" w:hAnsi="Arial" w:cs="Arial"/>
        </w:rPr>
      </w:pPr>
      <w:r>
        <w:rPr>
          <w:rFonts w:ascii="Arial" w:hAnsi="Arial" w:cs="Arial"/>
        </w:rPr>
        <w:t>He, concluded that the body whose decision was being challenged di</w:t>
      </w:r>
      <w:r w:rsidR="00981DDE">
        <w:rPr>
          <w:rFonts w:ascii="Arial" w:hAnsi="Arial" w:cs="Arial"/>
        </w:rPr>
        <w:t>d</w:t>
      </w:r>
      <w:r>
        <w:rPr>
          <w:rFonts w:ascii="Arial" w:hAnsi="Arial" w:cs="Arial"/>
        </w:rPr>
        <w:t xml:space="preserve"> not fall within the ambit of SI 40 of 1995 made under</w:t>
      </w:r>
      <w:r w:rsidR="00D23053">
        <w:rPr>
          <w:rFonts w:ascii="Arial" w:hAnsi="Arial" w:cs="Arial"/>
        </w:rPr>
        <w:t xml:space="preserve"> </w:t>
      </w:r>
      <w:r>
        <w:rPr>
          <w:rFonts w:ascii="Arial" w:hAnsi="Arial" w:cs="Arial"/>
        </w:rPr>
        <w:t>Article 125(1) (c) and (7) of the Constitution as the impugned decision was not a judicial or quasi-judicial</w:t>
      </w:r>
      <w:r w:rsidR="003F1838">
        <w:rPr>
          <w:rFonts w:ascii="Arial" w:hAnsi="Arial" w:cs="Arial"/>
        </w:rPr>
        <w:t xml:space="preserve"> decision in nature. </w:t>
      </w:r>
    </w:p>
    <w:p w:rsidR="003F1838" w:rsidRDefault="003F1838" w:rsidP="00243CBC">
      <w:pPr>
        <w:spacing w:line="360" w:lineRule="auto"/>
        <w:jc w:val="both"/>
        <w:rPr>
          <w:rFonts w:ascii="Arial" w:hAnsi="Arial" w:cs="Arial"/>
          <w:sz w:val="22"/>
          <w:szCs w:val="22"/>
        </w:rPr>
      </w:pPr>
    </w:p>
    <w:p w:rsidR="006C2C52" w:rsidRDefault="003F1838" w:rsidP="00F9226F">
      <w:pPr>
        <w:pStyle w:val="ListParagraph"/>
        <w:numPr>
          <w:ilvl w:val="0"/>
          <w:numId w:val="4"/>
        </w:numPr>
        <w:spacing w:line="360" w:lineRule="auto"/>
        <w:jc w:val="both"/>
        <w:rPr>
          <w:rFonts w:ascii="Arial" w:hAnsi="Arial" w:cs="Arial"/>
        </w:rPr>
      </w:pPr>
      <w:r>
        <w:rPr>
          <w:rFonts w:ascii="Arial" w:hAnsi="Arial" w:cs="Arial"/>
        </w:rPr>
        <w:t xml:space="preserve">He also took the view that the facts suggested that the matter </w:t>
      </w:r>
      <w:r w:rsidR="007775F2">
        <w:rPr>
          <w:rFonts w:ascii="Arial" w:hAnsi="Arial" w:cs="Arial"/>
        </w:rPr>
        <w:t xml:space="preserve">pertained </w:t>
      </w:r>
      <w:r>
        <w:rPr>
          <w:rFonts w:ascii="Arial" w:hAnsi="Arial" w:cs="Arial"/>
        </w:rPr>
        <w:t xml:space="preserve">to the private domain and not </w:t>
      </w:r>
      <w:r w:rsidR="007775F2">
        <w:rPr>
          <w:rFonts w:ascii="Arial" w:hAnsi="Arial" w:cs="Arial"/>
        </w:rPr>
        <w:t xml:space="preserve">the </w:t>
      </w:r>
      <w:r>
        <w:rPr>
          <w:rFonts w:ascii="Arial" w:hAnsi="Arial" w:cs="Arial"/>
        </w:rPr>
        <w:t>public domain</w:t>
      </w:r>
      <w:r w:rsidR="007775F2">
        <w:rPr>
          <w:rFonts w:ascii="Arial" w:hAnsi="Arial" w:cs="Arial"/>
        </w:rPr>
        <w:t xml:space="preserve">. To him, </w:t>
      </w:r>
      <w:r>
        <w:rPr>
          <w:rFonts w:ascii="Arial" w:hAnsi="Arial" w:cs="Arial"/>
        </w:rPr>
        <w:t>the agreements are basically private law agreements for which the petitioner</w:t>
      </w:r>
      <w:r w:rsidR="007775F2">
        <w:rPr>
          <w:rFonts w:ascii="Arial" w:hAnsi="Arial" w:cs="Arial"/>
        </w:rPr>
        <w:t xml:space="preserve"> could </w:t>
      </w:r>
      <w:r>
        <w:rPr>
          <w:rFonts w:ascii="Arial" w:hAnsi="Arial" w:cs="Arial"/>
        </w:rPr>
        <w:t xml:space="preserve">seek an action in damages and/or a permanent </w:t>
      </w:r>
      <w:r w:rsidR="007775F2">
        <w:rPr>
          <w:rFonts w:ascii="Arial" w:hAnsi="Arial" w:cs="Arial"/>
        </w:rPr>
        <w:t>injunction in the ordinary way.</w:t>
      </w:r>
    </w:p>
    <w:p w:rsidR="006C2C52" w:rsidRDefault="006C2C52" w:rsidP="00243CBC">
      <w:pPr>
        <w:spacing w:line="360" w:lineRule="auto"/>
        <w:jc w:val="both"/>
        <w:rPr>
          <w:rFonts w:ascii="Arial" w:hAnsi="Arial" w:cs="Arial"/>
          <w:sz w:val="22"/>
          <w:szCs w:val="22"/>
        </w:rPr>
      </w:pPr>
    </w:p>
    <w:p w:rsidR="003F1838" w:rsidRDefault="003F1838" w:rsidP="00F9226F">
      <w:pPr>
        <w:pStyle w:val="ListParagraph"/>
        <w:numPr>
          <w:ilvl w:val="0"/>
          <w:numId w:val="4"/>
        </w:numPr>
        <w:spacing w:line="360" w:lineRule="auto"/>
        <w:jc w:val="both"/>
        <w:rPr>
          <w:rFonts w:ascii="Arial" w:hAnsi="Arial" w:cs="Arial"/>
        </w:rPr>
      </w:pPr>
      <w:r>
        <w:rPr>
          <w:rFonts w:ascii="Arial" w:hAnsi="Arial" w:cs="Arial"/>
        </w:rPr>
        <w:t xml:space="preserve">The learned Chief Justice relied on the case of </w:t>
      </w:r>
      <w:r w:rsidRPr="00F9226F">
        <w:rPr>
          <w:rFonts w:ascii="Arial" w:hAnsi="Arial" w:cs="Arial"/>
          <w:b/>
        </w:rPr>
        <w:t>R v Superintendent of Excise and Anor ex parte Confait [1935-1955] SLR 154</w:t>
      </w:r>
      <w:r>
        <w:rPr>
          <w:rFonts w:ascii="Arial" w:hAnsi="Arial" w:cs="Arial"/>
        </w:rPr>
        <w:t xml:space="preserve"> which rightly decide that it is a matter of interpretation whether a discretion given to an administrative official or body is, on the </w:t>
      </w:r>
      <w:r>
        <w:rPr>
          <w:rFonts w:ascii="Arial" w:hAnsi="Arial" w:cs="Arial"/>
        </w:rPr>
        <w:lastRenderedPageBreak/>
        <w:t xml:space="preserve">one hand, an executive or administrative discretion or, on the other hand, a judicial or quasi-judicial discretion. </w:t>
      </w:r>
    </w:p>
    <w:p w:rsidR="003F1838" w:rsidRDefault="003F1838" w:rsidP="00243CBC">
      <w:pPr>
        <w:spacing w:line="360" w:lineRule="auto"/>
        <w:jc w:val="both"/>
        <w:rPr>
          <w:rFonts w:ascii="Arial" w:hAnsi="Arial" w:cs="Arial"/>
          <w:sz w:val="22"/>
          <w:szCs w:val="22"/>
        </w:rPr>
      </w:pPr>
    </w:p>
    <w:p w:rsidR="00F9226F" w:rsidRDefault="00F9226F" w:rsidP="00F9226F">
      <w:pPr>
        <w:pStyle w:val="ListParagraph"/>
        <w:numPr>
          <w:ilvl w:val="0"/>
          <w:numId w:val="4"/>
        </w:numPr>
        <w:spacing w:line="360" w:lineRule="auto"/>
        <w:jc w:val="both"/>
        <w:rPr>
          <w:rFonts w:ascii="Arial" w:hAnsi="Arial" w:cs="Arial"/>
        </w:rPr>
      </w:pPr>
      <w:r>
        <w:rPr>
          <w:rFonts w:ascii="Arial" w:hAnsi="Arial" w:cs="Arial"/>
        </w:rPr>
        <w:t xml:space="preserve">He also referred to the case of </w:t>
      </w:r>
      <w:r w:rsidRPr="00F9226F">
        <w:rPr>
          <w:rFonts w:ascii="Arial" w:hAnsi="Arial" w:cs="Arial"/>
          <w:b/>
        </w:rPr>
        <w:t>Regina v East Berkshire Health Authority ex parte Paul Anthony Walsh [1984] EWCA Civ. 6</w:t>
      </w:r>
      <w:r>
        <w:rPr>
          <w:rFonts w:ascii="Arial" w:hAnsi="Arial" w:cs="Arial"/>
        </w:rPr>
        <w:t xml:space="preserve"> where Sir John Donaldson, M.R., has stated:</w:t>
      </w:r>
    </w:p>
    <w:p w:rsidR="00F9226F" w:rsidRPr="00F9226F" w:rsidRDefault="00F9226F" w:rsidP="00981DDE">
      <w:pPr>
        <w:spacing w:line="360" w:lineRule="auto"/>
        <w:ind w:left="1440"/>
        <w:jc w:val="both"/>
        <w:rPr>
          <w:rFonts w:ascii="Arial" w:hAnsi="Arial" w:cs="Arial"/>
          <w:i/>
          <w:sz w:val="22"/>
          <w:szCs w:val="22"/>
        </w:rPr>
      </w:pPr>
      <w:r w:rsidRPr="00F9226F">
        <w:rPr>
          <w:rFonts w:ascii="Arial" w:hAnsi="Arial" w:cs="Arial"/>
          <w:i/>
          <w:sz w:val="22"/>
          <w:szCs w:val="22"/>
        </w:rPr>
        <w:t xml:space="preserve">“the remedy of certiorari might well be available </w:t>
      </w:r>
      <w:r w:rsidR="007775F2">
        <w:rPr>
          <w:rFonts w:ascii="Arial" w:hAnsi="Arial" w:cs="Arial"/>
          <w:i/>
          <w:sz w:val="22"/>
          <w:szCs w:val="22"/>
        </w:rPr>
        <w:t>i</w:t>
      </w:r>
      <w:r w:rsidRPr="00F9226F">
        <w:rPr>
          <w:rFonts w:ascii="Arial" w:hAnsi="Arial" w:cs="Arial"/>
          <w:i/>
          <w:sz w:val="22"/>
          <w:szCs w:val="22"/>
        </w:rPr>
        <w:t>f the health authority is in breach of a “public law” obligation, but would not be if it is only in breach</w:t>
      </w:r>
      <w:r w:rsidR="003845BA">
        <w:rPr>
          <w:rFonts w:ascii="Arial" w:hAnsi="Arial" w:cs="Arial"/>
          <w:i/>
          <w:sz w:val="22"/>
          <w:szCs w:val="22"/>
        </w:rPr>
        <w:t xml:space="preserve"> of a “private law” obligation.”</w:t>
      </w:r>
    </w:p>
    <w:p w:rsidR="00F9226F" w:rsidRDefault="00F9226F" w:rsidP="00243CBC">
      <w:pPr>
        <w:spacing w:line="360" w:lineRule="auto"/>
        <w:jc w:val="both"/>
        <w:rPr>
          <w:rFonts w:ascii="Arial" w:hAnsi="Arial" w:cs="Arial"/>
          <w:sz w:val="22"/>
          <w:szCs w:val="22"/>
        </w:rPr>
      </w:pPr>
    </w:p>
    <w:p w:rsidR="00243CBC" w:rsidRDefault="00F9226F" w:rsidP="00F9226F">
      <w:pPr>
        <w:pStyle w:val="ListParagraph"/>
        <w:numPr>
          <w:ilvl w:val="0"/>
          <w:numId w:val="4"/>
        </w:numPr>
        <w:spacing w:line="360" w:lineRule="auto"/>
        <w:jc w:val="both"/>
        <w:rPr>
          <w:rFonts w:ascii="Arial" w:hAnsi="Arial" w:cs="Arial"/>
        </w:rPr>
      </w:pPr>
      <w:r>
        <w:rPr>
          <w:rFonts w:ascii="Arial" w:hAnsi="Arial" w:cs="Arial"/>
        </w:rPr>
        <w:t xml:space="preserve">The decision of the learned Chief Justice is challenged on the following grounds: </w:t>
      </w:r>
    </w:p>
    <w:p w:rsidR="00243CBC" w:rsidRDefault="00243CBC" w:rsidP="00243CBC">
      <w:pPr>
        <w:numPr>
          <w:ilvl w:val="0"/>
          <w:numId w:val="1"/>
        </w:numPr>
        <w:spacing w:line="360" w:lineRule="auto"/>
        <w:jc w:val="both"/>
        <w:rPr>
          <w:rFonts w:ascii="Arial" w:hAnsi="Arial" w:cs="Arial"/>
          <w:sz w:val="22"/>
          <w:szCs w:val="22"/>
        </w:rPr>
      </w:pPr>
      <w:r>
        <w:rPr>
          <w:rFonts w:ascii="Arial" w:hAnsi="Arial" w:cs="Arial"/>
          <w:sz w:val="22"/>
          <w:szCs w:val="22"/>
        </w:rPr>
        <w:t xml:space="preserve">the learned trial judge erred in law </w:t>
      </w:r>
      <w:r w:rsidR="00F9226F">
        <w:rPr>
          <w:rFonts w:ascii="Arial" w:hAnsi="Arial" w:cs="Arial"/>
          <w:sz w:val="22"/>
          <w:szCs w:val="22"/>
        </w:rPr>
        <w:t xml:space="preserve">when he refused to grant leave to the Appellant to file its </w:t>
      </w:r>
      <w:r w:rsidR="0069471E">
        <w:rPr>
          <w:rFonts w:ascii="Arial" w:hAnsi="Arial" w:cs="Arial"/>
          <w:sz w:val="22"/>
          <w:szCs w:val="22"/>
        </w:rPr>
        <w:t>application for judicial review;</w:t>
      </w:r>
    </w:p>
    <w:p w:rsidR="00243CBC" w:rsidRPr="0069471E" w:rsidRDefault="0069471E" w:rsidP="00F9226F">
      <w:pPr>
        <w:numPr>
          <w:ilvl w:val="0"/>
          <w:numId w:val="1"/>
        </w:numPr>
        <w:spacing w:line="360" w:lineRule="auto"/>
        <w:jc w:val="both"/>
        <w:rPr>
          <w:rFonts w:ascii="Arial" w:hAnsi="Arial" w:cs="Arial"/>
        </w:rPr>
      </w:pPr>
      <w:r>
        <w:rPr>
          <w:rFonts w:ascii="Arial" w:hAnsi="Arial" w:cs="Arial"/>
          <w:sz w:val="22"/>
          <w:szCs w:val="22"/>
        </w:rPr>
        <w:t xml:space="preserve">the learned trial judge erred </w:t>
      </w:r>
      <w:r w:rsidR="00243CBC">
        <w:rPr>
          <w:rFonts w:ascii="Arial" w:hAnsi="Arial" w:cs="Arial"/>
          <w:sz w:val="22"/>
          <w:szCs w:val="22"/>
        </w:rPr>
        <w:t xml:space="preserve">in law </w:t>
      </w:r>
      <w:r w:rsidR="00F9226F">
        <w:rPr>
          <w:rFonts w:ascii="Arial" w:hAnsi="Arial" w:cs="Arial"/>
          <w:sz w:val="22"/>
          <w:szCs w:val="22"/>
        </w:rPr>
        <w:t>when he concluded that the matter was one of private law rather than public law</w:t>
      </w:r>
      <w:r>
        <w:rPr>
          <w:rFonts w:ascii="Arial" w:hAnsi="Arial" w:cs="Arial"/>
          <w:sz w:val="22"/>
          <w:szCs w:val="22"/>
        </w:rPr>
        <w:t>;</w:t>
      </w:r>
    </w:p>
    <w:p w:rsidR="0069471E" w:rsidRPr="00F9226F" w:rsidRDefault="0069471E" w:rsidP="00F9226F">
      <w:pPr>
        <w:numPr>
          <w:ilvl w:val="0"/>
          <w:numId w:val="1"/>
        </w:numPr>
        <w:spacing w:line="360" w:lineRule="auto"/>
        <w:jc w:val="both"/>
        <w:rPr>
          <w:rFonts w:ascii="Arial" w:hAnsi="Arial" w:cs="Arial"/>
        </w:rPr>
      </w:pPr>
      <w:r>
        <w:rPr>
          <w:rFonts w:ascii="Arial" w:hAnsi="Arial" w:cs="Arial"/>
          <w:sz w:val="22"/>
          <w:szCs w:val="22"/>
        </w:rPr>
        <w:t>the learned trial judge erred when he held that “Given the facts and matters complained of the Petitioner has put before this Court I am satisfied that there is no point granting leave to the Petitioner to proceed as those facts and the decision impugned is outside the purview of Article 125 of the Constitution.</w:t>
      </w:r>
      <w:r w:rsidR="003845BA">
        <w:rPr>
          <w:rFonts w:ascii="Arial" w:hAnsi="Arial" w:cs="Arial"/>
          <w:sz w:val="22"/>
          <w:szCs w:val="22"/>
        </w:rPr>
        <w:t>”</w:t>
      </w:r>
    </w:p>
    <w:p w:rsidR="00F9226F" w:rsidRDefault="00F9226F" w:rsidP="00F9226F">
      <w:pPr>
        <w:spacing w:line="360" w:lineRule="auto"/>
        <w:ind w:left="1800"/>
        <w:jc w:val="both"/>
        <w:rPr>
          <w:rFonts w:ascii="Arial" w:hAnsi="Arial" w:cs="Arial"/>
        </w:rPr>
      </w:pPr>
    </w:p>
    <w:p w:rsidR="0069471E" w:rsidRDefault="00AF34EF" w:rsidP="00F9226F">
      <w:pPr>
        <w:pStyle w:val="ListParagraph"/>
        <w:numPr>
          <w:ilvl w:val="0"/>
          <w:numId w:val="4"/>
        </w:numPr>
        <w:spacing w:line="360" w:lineRule="auto"/>
        <w:jc w:val="both"/>
        <w:rPr>
          <w:rFonts w:ascii="Arial" w:hAnsi="Arial" w:cs="Arial"/>
        </w:rPr>
      </w:pPr>
      <w:r>
        <w:rPr>
          <w:rFonts w:ascii="Arial" w:hAnsi="Arial" w:cs="Arial"/>
        </w:rPr>
        <w:t>As i</w:t>
      </w:r>
      <w:r w:rsidR="003845BA">
        <w:rPr>
          <w:rFonts w:ascii="Arial" w:hAnsi="Arial" w:cs="Arial"/>
        </w:rPr>
        <w:t>s</w:t>
      </w:r>
      <w:r>
        <w:rPr>
          <w:rFonts w:ascii="Arial" w:hAnsi="Arial" w:cs="Arial"/>
        </w:rPr>
        <w:t xml:space="preserve"> apparent, the first ground raised by the appellant relates to the procedure adopted by the learned Chief Justice for his decision</w:t>
      </w:r>
      <w:r w:rsidR="0069471E">
        <w:rPr>
          <w:rFonts w:ascii="Arial" w:hAnsi="Arial" w:cs="Arial"/>
        </w:rPr>
        <w:t xml:space="preserve">, </w:t>
      </w:r>
      <w:r>
        <w:rPr>
          <w:rFonts w:ascii="Arial" w:hAnsi="Arial" w:cs="Arial"/>
        </w:rPr>
        <w:t>the second to the substantive question whether the matter brought before him related to public law or private law</w:t>
      </w:r>
      <w:r w:rsidR="0069471E">
        <w:rPr>
          <w:rFonts w:ascii="Arial" w:hAnsi="Arial" w:cs="Arial"/>
        </w:rPr>
        <w:t xml:space="preserve"> and </w:t>
      </w:r>
      <w:r w:rsidR="00B40770">
        <w:rPr>
          <w:rFonts w:ascii="Arial" w:hAnsi="Arial" w:cs="Arial"/>
        </w:rPr>
        <w:t>the third the scope and limit of article 125 of the Constitution and its application to the present case.</w:t>
      </w:r>
    </w:p>
    <w:p w:rsidR="00377E60" w:rsidRDefault="00D46245" w:rsidP="00F9226F">
      <w:pPr>
        <w:pStyle w:val="ListParagraph"/>
        <w:numPr>
          <w:ilvl w:val="0"/>
          <w:numId w:val="4"/>
        </w:numPr>
        <w:spacing w:line="360" w:lineRule="auto"/>
        <w:jc w:val="both"/>
        <w:rPr>
          <w:rFonts w:ascii="Arial" w:hAnsi="Arial" w:cs="Arial"/>
        </w:rPr>
      </w:pPr>
      <w:r>
        <w:rPr>
          <w:rFonts w:ascii="Arial" w:hAnsi="Arial" w:cs="Arial"/>
        </w:rPr>
        <w:t xml:space="preserve">The respondent </w:t>
      </w:r>
      <w:r w:rsidR="003845BA">
        <w:rPr>
          <w:rFonts w:ascii="Arial" w:hAnsi="Arial" w:cs="Arial"/>
        </w:rPr>
        <w:t xml:space="preserve">who resist this appeal has also </w:t>
      </w:r>
      <w:r>
        <w:rPr>
          <w:rFonts w:ascii="Arial" w:hAnsi="Arial" w:cs="Arial"/>
        </w:rPr>
        <w:t xml:space="preserve">raised a preliminary objection to the effect that </w:t>
      </w:r>
      <w:r w:rsidR="00686EA9">
        <w:rPr>
          <w:rFonts w:ascii="Arial" w:hAnsi="Arial" w:cs="Arial"/>
        </w:rPr>
        <w:t>as at 28</w:t>
      </w:r>
      <w:r w:rsidR="00686EA9" w:rsidRPr="00686EA9">
        <w:rPr>
          <w:rFonts w:ascii="Arial" w:hAnsi="Arial" w:cs="Arial"/>
          <w:vertAlign w:val="superscript"/>
        </w:rPr>
        <w:t>th</w:t>
      </w:r>
      <w:r w:rsidR="00686EA9">
        <w:rPr>
          <w:rFonts w:ascii="Arial" w:hAnsi="Arial" w:cs="Arial"/>
        </w:rPr>
        <w:t xml:space="preserve"> February 2014, the appellant had yet to file its S</w:t>
      </w:r>
      <w:r w:rsidR="00377E60">
        <w:rPr>
          <w:rFonts w:ascii="Arial" w:hAnsi="Arial" w:cs="Arial"/>
        </w:rPr>
        <w:t xml:space="preserve">keleton Heads of Arguments and for that reason </w:t>
      </w:r>
      <w:r w:rsidR="00E831F9">
        <w:rPr>
          <w:rFonts w:ascii="Arial" w:hAnsi="Arial" w:cs="Arial"/>
        </w:rPr>
        <w:t xml:space="preserve">he </w:t>
      </w:r>
      <w:r w:rsidR="00377E60">
        <w:rPr>
          <w:rFonts w:ascii="Arial" w:hAnsi="Arial" w:cs="Arial"/>
        </w:rPr>
        <w:t xml:space="preserve">was in breach of the Seychelles Court of Appeal Rules 2005. </w:t>
      </w:r>
      <w:r w:rsidR="00E831F9">
        <w:rPr>
          <w:rFonts w:ascii="Arial" w:hAnsi="Arial" w:cs="Arial"/>
        </w:rPr>
        <w:t>We are in presence of his Skeleton Heads of Argument which is dated 27</w:t>
      </w:r>
      <w:r w:rsidR="003845BA" w:rsidRPr="003845BA">
        <w:rPr>
          <w:rFonts w:ascii="Arial" w:hAnsi="Arial" w:cs="Arial"/>
          <w:vertAlign w:val="superscript"/>
        </w:rPr>
        <w:t>th</w:t>
      </w:r>
      <w:r w:rsidR="003845BA">
        <w:rPr>
          <w:rFonts w:ascii="Arial" w:hAnsi="Arial" w:cs="Arial"/>
        </w:rPr>
        <w:t xml:space="preserve"> </w:t>
      </w:r>
      <w:r w:rsidR="00E831F9">
        <w:rPr>
          <w:rFonts w:ascii="Arial" w:hAnsi="Arial" w:cs="Arial"/>
        </w:rPr>
        <w:t xml:space="preserve"> February 2014 with a stamp of the Registry dated 28</w:t>
      </w:r>
      <w:r w:rsidR="00E831F9" w:rsidRPr="00E831F9">
        <w:rPr>
          <w:rFonts w:ascii="Arial" w:hAnsi="Arial" w:cs="Arial"/>
          <w:vertAlign w:val="superscript"/>
        </w:rPr>
        <w:t>th</w:t>
      </w:r>
      <w:r w:rsidR="00E831F9">
        <w:rPr>
          <w:rFonts w:ascii="Arial" w:hAnsi="Arial" w:cs="Arial"/>
        </w:rPr>
        <w:t xml:space="preserve"> February 2014. </w:t>
      </w:r>
    </w:p>
    <w:p w:rsidR="007775F2" w:rsidRPr="00E4184E" w:rsidRDefault="007775F2" w:rsidP="007775F2">
      <w:pPr>
        <w:pStyle w:val="ListParagraph"/>
        <w:numPr>
          <w:ilvl w:val="0"/>
          <w:numId w:val="4"/>
        </w:numPr>
        <w:spacing w:line="360" w:lineRule="auto"/>
        <w:jc w:val="both"/>
        <w:rPr>
          <w:rFonts w:ascii="Arial" w:hAnsi="Arial" w:cs="Arial"/>
        </w:rPr>
      </w:pPr>
      <w:r>
        <w:rPr>
          <w:rFonts w:ascii="Arial" w:hAnsi="Arial" w:cs="Arial"/>
        </w:rPr>
        <w:t xml:space="preserve">We make no comments on the lack of regard </w:t>
      </w:r>
      <w:r w:rsidR="003845BA">
        <w:rPr>
          <w:rFonts w:ascii="Arial" w:hAnsi="Arial" w:cs="Arial"/>
        </w:rPr>
        <w:t xml:space="preserve">appellant </w:t>
      </w:r>
      <w:r>
        <w:rPr>
          <w:rFonts w:ascii="Arial" w:hAnsi="Arial" w:cs="Arial"/>
        </w:rPr>
        <w:t>has given to the rules of this court with respect to the timely filing of skeleton heads of argument. A P</w:t>
      </w:r>
      <w:r w:rsidR="003845BA">
        <w:rPr>
          <w:rFonts w:ascii="Arial" w:hAnsi="Arial" w:cs="Arial"/>
        </w:rPr>
        <w:t>r</w:t>
      </w:r>
      <w:r>
        <w:rPr>
          <w:rFonts w:ascii="Arial" w:hAnsi="Arial" w:cs="Arial"/>
        </w:rPr>
        <w:t xml:space="preserve">actice Direction has been issued recently stressing on </w:t>
      </w:r>
      <w:r w:rsidR="003845BA">
        <w:rPr>
          <w:rFonts w:ascii="Arial" w:hAnsi="Arial" w:cs="Arial"/>
        </w:rPr>
        <w:t xml:space="preserve">the timely and proper </w:t>
      </w:r>
      <w:r>
        <w:rPr>
          <w:rFonts w:ascii="Arial" w:hAnsi="Arial" w:cs="Arial"/>
        </w:rPr>
        <w:t>compliance</w:t>
      </w:r>
      <w:r w:rsidR="003845BA">
        <w:rPr>
          <w:rFonts w:ascii="Arial" w:hAnsi="Arial" w:cs="Arial"/>
        </w:rPr>
        <w:t xml:space="preserve"> with </w:t>
      </w:r>
      <w:r w:rsidR="003845BA">
        <w:rPr>
          <w:rFonts w:ascii="Arial" w:hAnsi="Arial" w:cs="Arial"/>
        </w:rPr>
        <w:lastRenderedPageBreak/>
        <w:t>the Rules, failing which the consequences that will follow</w:t>
      </w:r>
      <w:r>
        <w:rPr>
          <w:rFonts w:ascii="Arial" w:hAnsi="Arial" w:cs="Arial"/>
        </w:rPr>
        <w:t xml:space="preserve">. For this case, we shall leave it at that. </w:t>
      </w:r>
    </w:p>
    <w:p w:rsidR="0069471E" w:rsidRPr="00E4184E" w:rsidRDefault="0069471E" w:rsidP="00E4184E">
      <w:pPr>
        <w:spacing w:line="360" w:lineRule="auto"/>
        <w:ind w:left="360"/>
        <w:jc w:val="both"/>
        <w:rPr>
          <w:rFonts w:ascii="Arial" w:hAnsi="Arial" w:cs="Arial"/>
        </w:rPr>
      </w:pPr>
    </w:p>
    <w:p w:rsidR="00E4184E" w:rsidRPr="00E4184E" w:rsidRDefault="00E4184E" w:rsidP="0069471E">
      <w:pPr>
        <w:spacing w:line="360" w:lineRule="auto"/>
        <w:ind w:left="360"/>
        <w:jc w:val="both"/>
        <w:rPr>
          <w:rFonts w:ascii="Arial" w:hAnsi="Arial" w:cs="Arial"/>
          <w:b/>
        </w:rPr>
      </w:pPr>
      <w:r w:rsidRPr="00E4184E">
        <w:rPr>
          <w:rFonts w:ascii="Arial" w:hAnsi="Arial" w:cs="Arial"/>
          <w:b/>
        </w:rPr>
        <w:t>GROUND 1</w:t>
      </w:r>
    </w:p>
    <w:p w:rsidR="00B40770" w:rsidRDefault="00B40770" w:rsidP="00E4184E">
      <w:pPr>
        <w:spacing w:line="360" w:lineRule="auto"/>
        <w:ind w:left="360"/>
        <w:jc w:val="both"/>
        <w:rPr>
          <w:rFonts w:ascii="Arial" w:hAnsi="Arial" w:cs="Arial"/>
        </w:rPr>
      </w:pPr>
    </w:p>
    <w:p w:rsidR="00E4184E" w:rsidRDefault="00E4184E" w:rsidP="00E4184E">
      <w:pPr>
        <w:spacing w:line="360" w:lineRule="auto"/>
        <w:ind w:left="360"/>
        <w:jc w:val="both"/>
        <w:rPr>
          <w:rFonts w:ascii="Arial" w:hAnsi="Arial" w:cs="Arial"/>
        </w:rPr>
      </w:pPr>
      <w:r w:rsidRPr="00E4184E">
        <w:rPr>
          <w:rFonts w:ascii="Arial" w:hAnsi="Arial" w:cs="Arial"/>
        </w:rPr>
        <w:t>THE PROCEDURE FOR JUDICIAL REVIEW</w:t>
      </w:r>
    </w:p>
    <w:p w:rsidR="00E4184E" w:rsidRDefault="00AF34EF" w:rsidP="00E4184E">
      <w:pPr>
        <w:spacing w:line="360" w:lineRule="auto"/>
        <w:ind w:left="360"/>
        <w:jc w:val="both"/>
        <w:rPr>
          <w:rFonts w:ascii="Arial" w:hAnsi="Arial" w:cs="Arial"/>
        </w:rPr>
      </w:pPr>
      <w:r w:rsidRPr="0069471E">
        <w:rPr>
          <w:rFonts w:ascii="Arial" w:hAnsi="Arial" w:cs="Arial"/>
        </w:rPr>
        <w:t xml:space="preserve"> </w:t>
      </w:r>
    </w:p>
    <w:p w:rsidR="009D1149" w:rsidRDefault="00CC6BBF" w:rsidP="003845BA">
      <w:pPr>
        <w:pStyle w:val="ListParagraph"/>
        <w:numPr>
          <w:ilvl w:val="0"/>
          <w:numId w:val="4"/>
        </w:numPr>
        <w:spacing w:line="360" w:lineRule="auto"/>
        <w:jc w:val="both"/>
        <w:rPr>
          <w:rFonts w:ascii="Arial" w:hAnsi="Arial" w:cs="Arial"/>
        </w:rPr>
      </w:pPr>
      <w:r>
        <w:rPr>
          <w:rFonts w:ascii="Arial" w:hAnsi="Arial" w:cs="Arial"/>
        </w:rPr>
        <w:t>Mr Frank Elizabeth</w:t>
      </w:r>
      <w:r w:rsidR="002A4AD5">
        <w:rPr>
          <w:rFonts w:ascii="Arial" w:hAnsi="Arial" w:cs="Arial"/>
        </w:rPr>
        <w:t xml:space="preserve"> has questioned the procedure which the learned Chief Justice has adopted in the matter. However, neither his skeleton </w:t>
      </w:r>
      <w:r w:rsidR="003845BA">
        <w:rPr>
          <w:rFonts w:ascii="Arial" w:hAnsi="Arial" w:cs="Arial"/>
        </w:rPr>
        <w:t>H</w:t>
      </w:r>
      <w:r w:rsidR="002A4AD5">
        <w:rPr>
          <w:rFonts w:ascii="Arial" w:hAnsi="Arial" w:cs="Arial"/>
        </w:rPr>
        <w:t>eads of Argument nor his submission has been very helpful in showing what the procedure should have been. True it is that, as a rule</w:t>
      </w:r>
      <w:r w:rsidR="003845BA">
        <w:rPr>
          <w:rFonts w:ascii="Arial" w:hAnsi="Arial" w:cs="Arial"/>
        </w:rPr>
        <w:t>,</w:t>
      </w:r>
      <w:r w:rsidR="002A4AD5">
        <w:rPr>
          <w:rFonts w:ascii="Arial" w:hAnsi="Arial" w:cs="Arial"/>
        </w:rPr>
        <w:t xml:space="preserve"> a Court should not proceed to great length in deciding the application at the leave stage. It is particularly onerous on a judge, if he were to treat every application for leave as though </w:t>
      </w:r>
      <w:r w:rsidR="00863A97">
        <w:rPr>
          <w:rFonts w:ascii="Arial" w:hAnsi="Arial" w:cs="Arial"/>
        </w:rPr>
        <w:t xml:space="preserve">it was an </w:t>
      </w:r>
      <w:r w:rsidR="002A4AD5">
        <w:rPr>
          <w:rFonts w:ascii="Arial" w:hAnsi="Arial" w:cs="Arial"/>
        </w:rPr>
        <w:t>application on the merits. However, th</w:t>
      </w:r>
      <w:r>
        <w:rPr>
          <w:rFonts w:ascii="Arial" w:hAnsi="Arial" w:cs="Arial"/>
        </w:rPr>
        <w:t xml:space="preserve">is </w:t>
      </w:r>
      <w:r w:rsidR="002A4AD5">
        <w:rPr>
          <w:rFonts w:ascii="Arial" w:hAnsi="Arial" w:cs="Arial"/>
        </w:rPr>
        <w:t xml:space="preserve">was not a case of </w:t>
      </w:r>
      <w:r w:rsidR="00863A97">
        <w:rPr>
          <w:rFonts w:ascii="Arial" w:hAnsi="Arial" w:cs="Arial"/>
        </w:rPr>
        <w:t xml:space="preserve">inadequate </w:t>
      </w:r>
      <w:r w:rsidR="002A4AD5">
        <w:rPr>
          <w:rFonts w:ascii="Arial" w:hAnsi="Arial" w:cs="Arial"/>
        </w:rPr>
        <w:t xml:space="preserve">consideration of the </w:t>
      </w:r>
      <w:r w:rsidR="00863A97">
        <w:rPr>
          <w:rFonts w:ascii="Arial" w:hAnsi="Arial" w:cs="Arial"/>
        </w:rPr>
        <w:t xml:space="preserve">case of the </w:t>
      </w:r>
      <w:r w:rsidR="002A4AD5">
        <w:rPr>
          <w:rFonts w:ascii="Arial" w:hAnsi="Arial" w:cs="Arial"/>
        </w:rPr>
        <w:t>app</w:t>
      </w:r>
      <w:r w:rsidR="00863A97">
        <w:rPr>
          <w:rFonts w:ascii="Arial" w:hAnsi="Arial" w:cs="Arial"/>
        </w:rPr>
        <w:t>ell</w:t>
      </w:r>
      <w:r w:rsidR="002A4AD5">
        <w:rPr>
          <w:rFonts w:ascii="Arial" w:hAnsi="Arial" w:cs="Arial"/>
        </w:rPr>
        <w:t xml:space="preserve">ant but </w:t>
      </w:r>
      <w:r w:rsidR="00863A97">
        <w:rPr>
          <w:rFonts w:ascii="Arial" w:hAnsi="Arial" w:cs="Arial"/>
        </w:rPr>
        <w:t xml:space="preserve">one of </w:t>
      </w:r>
      <w:r w:rsidR="002A4AD5">
        <w:rPr>
          <w:rFonts w:ascii="Arial" w:hAnsi="Arial" w:cs="Arial"/>
        </w:rPr>
        <w:t>over consideration o</w:t>
      </w:r>
      <w:r w:rsidR="00863A97">
        <w:rPr>
          <w:rFonts w:ascii="Arial" w:hAnsi="Arial" w:cs="Arial"/>
        </w:rPr>
        <w:t xml:space="preserve">n a matter of leave. </w:t>
      </w:r>
      <w:r w:rsidR="003845BA">
        <w:rPr>
          <w:rFonts w:ascii="Arial" w:hAnsi="Arial" w:cs="Arial"/>
        </w:rPr>
        <w:t xml:space="preserve">What prejudice it caused to the appellant who was generously served </w:t>
      </w:r>
      <w:r w:rsidR="00863A97">
        <w:rPr>
          <w:rFonts w:ascii="Arial" w:hAnsi="Arial" w:cs="Arial"/>
        </w:rPr>
        <w:t>is not quite intelligible to us.</w:t>
      </w:r>
      <w:r w:rsidR="003845BA">
        <w:rPr>
          <w:rFonts w:ascii="Arial" w:hAnsi="Arial" w:cs="Arial"/>
        </w:rPr>
        <w:t xml:space="preserve"> He has had the bonus of having been told by the court at an earlier stage than anyone could have done that his application, under public law, is an exercise in futility, and he should not spend more resources in this type of litigation. </w:t>
      </w:r>
    </w:p>
    <w:p w:rsidR="00863A97" w:rsidRDefault="00863A97" w:rsidP="00E4184E">
      <w:pPr>
        <w:spacing w:line="360" w:lineRule="auto"/>
        <w:ind w:left="360"/>
        <w:jc w:val="both"/>
        <w:rPr>
          <w:rFonts w:ascii="Arial" w:hAnsi="Arial" w:cs="Arial"/>
        </w:rPr>
      </w:pPr>
    </w:p>
    <w:p w:rsidR="00F9226F" w:rsidRDefault="009D1149" w:rsidP="00F9226F">
      <w:pPr>
        <w:pStyle w:val="ListParagraph"/>
        <w:numPr>
          <w:ilvl w:val="0"/>
          <w:numId w:val="4"/>
        </w:numPr>
        <w:spacing w:line="360" w:lineRule="auto"/>
        <w:jc w:val="both"/>
        <w:rPr>
          <w:rFonts w:ascii="Arial" w:hAnsi="Arial" w:cs="Arial"/>
        </w:rPr>
      </w:pPr>
      <w:r>
        <w:rPr>
          <w:rFonts w:ascii="Arial" w:hAnsi="Arial" w:cs="Arial"/>
        </w:rPr>
        <w:t xml:space="preserve">We cannot do better than reproduce the relevant extract of the manner in which an application for judicial review should be determined at the leave stage. Even if the extract relates to English law, Seychelles law has followed the English rules as of old in the matter: i.e. Order 53: </w:t>
      </w:r>
      <w:r w:rsidR="00DE58C2">
        <w:rPr>
          <w:rFonts w:ascii="Arial" w:hAnsi="Arial" w:cs="Arial"/>
        </w:rPr>
        <w:t xml:space="preserve">see </w:t>
      </w:r>
      <w:r w:rsidR="00DE58C2" w:rsidRPr="0069471E">
        <w:rPr>
          <w:rFonts w:ascii="Arial" w:hAnsi="Arial" w:cs="Arial"/>
          <w:b/>
        </w:rPr>
        <w:t xml:space="preserve">Ex P. Shilly Civ. A73/1992; Finesse v Banane [1981] SLR 103; Florentin v Florentin (unreported) Civil. A 1980; Re Passport Officer, ex parte Pillay (unreported) Civil A 9/1990; Bird v Attorney 1914 MR 94; </w:t>
      </w:r>
      <w:r w:rsidR="0069471E" w:rsidRPr="0069471E">
        <w:rPr>
          <w:rFonts w:ascii="Arial" w:hAnsi="Arial" w:cs="Arial"/>
          <w:b/>
        </w:rPr>
        <w:t xml:space="preserve">Koo Foo Seng </w:t>
      </w:r>
      <w:r w:rsidR="00DE58C2" w:rsidRPr="0069471E">
        <w:rPr>
          <w:rFonts w:ascii="Arial" w:hAnsi="Arial" w:cs="Arial"/>
          <w:b/>
        </w:rPr>
        <w:t>v</w:t>
      </w:r>
      <w:r w:rsidR="0069471E" w:rsidRPr="0069471E">
        <w:rPr>
          <w:rFonts w:ascii="Arial" w:hAnsi="Arial" w:cs="Arial"/>
          <w:b/>
        </w:rPr>
        <w:t xml:space="preserve"> Koo Foo Seng 1957 MR 104; Michel v Colonial Government 1896 MR 54.</w:t>
      </w:r>
      <w:r w:rsidR="00DE58C2">
        <w:rPr>
          <w:rFonts w:ascii="Arial" w:hAnsi="Arial" w:cs="Arial"/>
        </w:rPr>
        <w:t xml:space="preserve"> </w:t>
      </w:r>
    </w:p>
    <w:p w:rsidR="00863A97" w:rsidRDefault="00863A97" w:rsidP="00863A97">
      <w:pPr>
        <w:pStyle w:val="ListParagraph"/>
        <w:spacing w:line="360" w:lineRule="auto"/>
        <w:jc w:val="both"/>
        <w:rPr>
          <w:rFonts w:ascii="Arial" w:hAnsi="Arial" w:cs="Arial"/>
        </w:rPr>
      </w:pPr>
    </w:p>
    <w:p w:rsidR="00F9226F" w:rsidRDefault="00E9138D" w:rsidP="008722E1">
      <w:pPr>
        <w:pStyle w:val="ListParagraph"/>
        <w:numPr>
          <w:ilvl w:val="0"/>
          <w:numId w:val="4"/>
        </w:numPr>
        <w:spacing w:line="360" w:lineRule="auto"/>
        <w:ind w:left="360"/>
        <w:jc w:val="both"/>
        <w:rPr>
          <w:rFonts w:ascii="Arial" w:hAnsi="Arial" w:cs="Arial"/>
        </w:rPr>
      </w:pPr>
      <w:r>
        <w:rPr>
          <w:rFonts w:ascii="Arial" w:hAnsi="Arial" w:cs="Arial"/>
        </w:rPr>
        <w:t>In the White Book, we read (numbering inserted):</w:t>
      </w:r>
    </w:p>
    <w:p w:rsidR="00E9138D" w:rsidRDefault="009D1149" w:rsidP="00BD0098">
      <w:pPr>
        <w:pStyle w:val="ListParagraph"/>
        <w:spacing w:line="360" w:lineRule="auto"/>
        <w:ind w:left="2160" w:hanging="720"/>
        <w:jc w:val="both"/>
        <w:rPr>
          <w:rFonts w:ascii="Arial" w:hAnsi="Arial" w:cs="Arial"/>
        </w:rPr>
      </w:pPr>
      <w:r>
        <w:rPr>
          <w:rFonts w:ascii="Arial" w:hAnsi="Arial" w:cs="Arial"/>
        </w:rPr>
        <w:t>“</w:t>
      </w:r>
      <w:r w:rsidR="00E9138D">
        <w:rPr>
          <w:rFonts w:ascii="Arial" w:hAnsi="Arial" w:cs="Arial"/>
        </w:rPr>
        <w:t xml:space="preserve">1. </w:t>
      </w:r>
      <w:r w:rsidR="00BD0098">
        <w:rPr>
          <w:rFonts w:ascii="Arial" w:hAnsi="Arial" w:cs="Arial"/>
        </w:rPr>
        <w:tab/>
      </w:r>
      <w:r>
        <w:rPr>
          <w:rFonts w:ascii="Arial" w:hAnsi="Arial" w:cs="Arial"/>
        </w:rPr>
        <w:t xml:space="preserve">The application for leave to move for judicial review must be made ex parte to a single Judge, whether in term time or vacation (see r. 3(2)). </w:t>
      </w:r>
    </w:p>
    <w:p w:rsidR="00BD0098" w:rsidRDefault="00E9138D" w:rsidP="00BD0098">
      <w:pPr>
        <w:pStyle w:val="ListParagraph"/>
        <w:spacing w:line="360" w:lineRule="auto"/>
        <w:ind w:left="2160" w:hanging="720"/>
        <w:jc w:val="both"/>
        <w:rPr>
          <w:rFonts w:ascii="Arial" w:hAnsi="Arial" w:cs="Arial"/>
        </w:rPr>
      </w:pPr>
      <w:r>
        <w:rPr>
          <w:rFonts w:ascii="Arial" w:hAnsi="Arial" w:cs="Arial"/>
        </w:rPr>
        <w:lastRenderedPageBreak/>
        <w:t xml:space="preserve">2. </w:t>
      </w:r>
      <w:r w:rsidR="00BD0098">
        <w:rPr>
          <w:rFonts w:ascii="Arial" w:hAnsi="Arial" w:cs="Arial"/>
        </w:rPr>
        <w:tab/>
      </w:r>
      <w:r w:rsidR="009D1149">
        <w:rPr>
          <w:rFonts w:ascii="Arial" w:hAnsi="Arial" w:cs="Arial"/>
        </w:rPr>
        <w:t xml:space="preserve">The purpose of the requirement of leave </w:t>
      </w:r>
      <w:r>
        <w:rPr>
          <w:rFonts w:ascii="Arial" w:hAnsi="Arial" w:cs="Arial"/>
        </w:rPr>
        <w:t>is: (a) to eliminate at an early stage any applications which are frivolous, vexatious or hopeless, and (b) to ensure that an applicant is only allowed to proceed to a substantive hearing if the court is sa</w:t>
      </w:r>
      <w:r w:rsidR="000D0BD6">
        <w:rPr>
          <w:rFonts w:ascii="Arial" w:hAnsi="Arial" w:cs="Arial"/>
        </w:rPr>
        <w:t>tisfied that there is a case fit</w:t>
      </w:r>
      <w:r>
        <w:rPr>
          <w:rFonts w:ascii="Arial" w:hAnsi="Arial" w:cs="Arial"/>
        </w:rPr>
        <w:t xml:space="preserve"> for further consideration.</w:t>
      </w:r>
    </w:p>
    <w:p w:rsidR="009D1149" w:rsidRDefault="00BD0098" w:rsidP="00BD0098">
      <w:pPr>
        <w:pStyle w:val="ListParagraph"/>
        <w:spacing w:line="360" w:lineRule="auto"/>
        <w:ind w:left="2160" w:hanging="720"/>
        <w:jc w:val="both"/>
        <w:rPr>
          <w:rFonts w:ascii="Arial" w:hAnsi="Arial" w:cs="Arial"/>
        </w:rPr>
      </w:pPr>
      <w:r>
        <w:rPr>
          <w:rFonts w:ascii="Arial" w:hAnsi="Arial" w:cs="Arial"/>
        </w:rPr>
        <w:t xml:space="preserve">3. </w:t>
      </w:r>
      <w:r>
        <w:rPr>
          <w:rFonts w:ascii="Arial" w:hAnsi="Arial" w:cs="Arial"/>
        </w:rPr>
        <w:tab/>
        <w:t>T</w:t>
      </w:r>
      <w:r w:rsidR="00E9138D" w:rsidRPr="00BD0098">
        <w:rPr>
          <w:rFonts w:ascii="Arial" w:hAnsi="Arial" w:cs="Arial"/>
        </w:rPr>
        <w:t xml:space="preserve">he requirement that leave must be obtained is designed to “prevent the time of the court being wasted by busybodies with misguided or trivial complaints of administrative error, and to remove the uncertainty in which public officers and authorities might be left as to whether they could safely proceed with administrative action while proceedings for judicial review of it were actually pending even though misconceived” </w:t>
      </w:r>
      <w:r w:rsidR="00E9138D" w:rsidRPr="00863A97">
        <w:rPr>
          <w:rFonts w:ascii="Arial" w:hAnsi="Arial" w:cs="Arial"/>
          <w:b/>
        </w:rPr>
        <w:t>(R v. Inland Revenue Commissioners, ex p. National Federation of Self-Employed And Small Business Ltd [1982] A.C. 617, p. 642;   [1981] 2 All E.R. 93, p. 105</w:t>
      </w:r>
      <w:r w:rsidR="00E9138D" w:rsidRPr="00BD0098">
        <w:rPr>
          <w:rFonts w:ascii="Arial" w:hAnsi="Arial" w:cs="Arial"/>
        </w:rPr>
        <w:t xml:space="preserve"> per Lord Diplock.</w:t>
      </w:r>
    </w:p>
    <w:p w:rsidR="00E9138D" w:rsidRDefault="00BD0098" w:rsidP="00BD0098">
      <w:pPr>
        <w:pStyle w:val="ListParagraph"/>
        <w:spacing w:line="360" w:lineRule="auto"/>
        <w:ind w:left="2160" w:hanging="720"/>
        <w:jc w:val="both"/>
        <w:rPr>
          <w:rFonts w:ascii="Arial" w:hAnsi="Arial" w:cs="Arial"/>
        </w:rPr>
      </w:pPr>
      <w:r>
        <w:rPr>
          <w:rFonts w:ascii="Arial" w:hAnsi="Arial" w:cs="Arial"/>
        </w:rPr>
        <w:t xml:space="preserve">4. </w:t>
      </w:r>
      <w:r>
        <w:rPr>
          <w:rFonts w:ascii="Arial" w:hAnsi="Arial" w:cs="Arial"/>
        </w:rPr>
        <w:tab/>
        <w:t>L</w:t>
      </w:r>
      <w:r w:rsidR="00520B5B" w:rsidRPr="00BD0098">
        <w:rPr>
          <w:rFonts w:ascii="Arial" w:hAnsi="Arial" w:cs="Arial"/>
        </w:rPr>
        <w:t xml:space="preserve">eave should be granted, if on the material then available the court thinks, without going into the matter in depth, that there is an arguable case for granting the relief claimed by the applicant (ibid. at p. 644/106). </w:t>
      </w:r>
    </w:p>
    <w:p w:rsidR="00520B5B" w:rsidRDefault="00BD0098" w:rsidP="00BD0098">
      <w:pPr>
        <w:pStyle w:val="ListParagraph"/>
        <w:spacing w:line="360" w:lineRule="auto"/>
        <w:ind w:left="2160" w:hanging="720"/>
        <w:jc w:val="both"/>
        <w:rPr>
          <w:rFonts w:ascii="Arial" w:hAnsi="Arial" w:cs="Arial"/>
        </w:rPr>
      </w:pPr>
      <w:r>
        <w:rPr>
          <w:rFonts w:ascii="Arial" w:hAnsi="Arial" w:cs="Arial"/>
        </w:rPr>
        <w:t xml:space="preserve">5. </w:t>
      </w:r>
      <w:r>
        <w:rPr>
          <w:rFonts w:ascii="Arial" w:hAnsi="Arial" w:cs="Arial"/>
        </w:rPr>
        <w:tab/>
        <w:t>I</w:t>
      </w:r>
      <w:r w:rsidR="00520B5B" w:rsidRPr="00BD0098">
        <w:rPr>
          <w:rFonts w:ascii="Arial" w:hAnsi="Arial" w:cs="Arial"/>
        </w:rPr>
        <w:t xml:space="preserve">n </w:t>
      </w:r>
      <w:r w:rsidR="00520B5B" w:rsidRPr="00863A97">
        <w:rPr>
          <w:rFonts w:ascii="Arial" w:hAnsi="Arial" w:cs="Arial"/>
          <w:b/>
        </w:rPr>
        <w:t>R v Secretary of State for Home Department, ex p. Rukshana Begum [1990] C.O.D. 109,</w:t>
      </w:r>
      <w:r w:rsidR="00520B5B" w:rsidRPr="00BD0098">
        <w:rPr>
          <w:rFonts w:ascii="Arial" w:hAnsi="Arial" w:cs="Arial"/>
        </w:rPr>
        <w:t xml:space="preserve"> the Court of Appeal held that the test to be applied in deciding whether to grant leave to move to judicial review is whether the judge </w:t>
      </w:r>
      <w:r w:rsidR="00DF18C3" w:rsidRPr="00BD0098">
        <w:rPr>
          <w:rFonts w:ascii="Arial" w:hAnsi="Arial" w:cs="Arial"/>
        </w:rPr>
        <w:t>is satisfied that there is a case fit for furt</w:t>
      </w:r>
      <w:r w:rsidR="0030619B" w:rsidRPr="00BD0098">
        <w:rPr>
          <w:rFonts w:ascii="Arial" w:hAnsi="Arial" w:cs="Arial"/>
        </w:rPr>
        <w:t xml:space="preserve">her investigation at a full </w:t>
      </w:r>
      <w:r w:rsidR="0030619B" w:rsidRPr="00BD0098">
        <w:rPr>
          <w:rFonts w:ascii="Arial" w:hAnsi="Arial" w:cs="Arial"/>
          <w:i/>
        </w:rPr>
        <w:t xml:space="preserve">inter partes </w:t>
      </w:r>
      <w:r w:rsidR="0030619B" w:rsidRPr="00BD0098">
        <w:rPr>
          <w:rFonts w:ascii="Arial" w:hAnsi="Arial" w:cs="Arial"/>
        </w:rPr>
        <w:t xml:space="preserve">hearing of a substantive application for judicial review. </w:t>
      </w:r>
    </w:p>
    <w:p w:rsidR="00BD0098" w:rsidRPr="00BD0098" w:rsidRDefault="00BD0098" w:rsidP="00BD0098">
      <w:pPr>
        <w:pStyle w:val="ListParagraph"/>
        <w:spacing w:line="360" w:lineRule="auto"/>
        <w:ind w:left="2160" w:hanging="720"/>
        <w:jc w:val="both"/>
        <w:rPr>
          <w:rFonts w:ascii="Arial" w:hAnsi="Arial" w:cs="Arial"/>
        </w:rPr>
      </w:pPr>
      <w:r>
        <w:rPr>
          <w:rFonts w:ascii="Arial" w:hAnsi="Arial" w:cs="Arial"/>
        </w:rPr>
        <w:t xml:space="preserve">6. </w:t>
      </w:r>
      <w:r>
        <w:rPr>
          <w:rFonts w:ascii="Arial" w:hAnsi="Arial" w:cs="Arial"/>
        </w:rPr>
        <w:tab/>
        <w:t>I</w:t>
      </w:r>
      <w:r w:rsidR="0030619B" w:rsidRPr="00BD0098">
        <w:rPr>
          <w:rFonts w:ascii="Arial" w:hAnsi="Arial" w:cs="Arial"/>
        </w:rPr>
        <w:t xml:space="preserve">f, on considering the papers, the Judge cannot tell whether there is, or is not, an arguable case, he should invite the putative respondent to attend the hearing of the leave application and make representations on the question whether leave should be granted.” </w:t>
      </w:r>
    </w:p>
    <w:p w:rsidR="00BD0098" w:rsidRPr="00BD0098" w:rsidRDefault="00BD0098" w:rsidP="00BD0098">
      <w:pPr>
        <w:spacing w:line="360" w:lineRule="auto"/>
        <w:ind w:left="1440"/>
        <w:jc w:val="both"/>
        <w:rPr>
          <w:rFonts w:ascii="Arial" w:hAnsi="Arial" w:cs="Arial"/>
        </w:rPr>
      </w:pPr>
      <w:r>
        <w:rPr>
          <w:rFonts w:ascii="Arial" w:hAnsi="Arial" w:cs="Arial"/>
        </w:rPr>
        <w:t xml:space="preserve">Further down we read: </w:t>
      </w:r>
    </w:p>
    <w:p w:rsidR="009634E6" w:rsidRDefault="009634E6" w:rsidP="009634E6">
      <w:pPr>
        <w:spacing w:line="360" w:lineRule="auto"/>
        <w:jc w:val="both"/>
        <w:rPr>
          <w:rFonts w:ascii="Arial" w:hAnsi="Arial" w:cs="Arial"/>
        </w:rPr>
      </w:pPr>
    </w:p>
    <w:p w:rsidR="00BD0098" w:rsidRDefault="00BD0098" w:rsidP="009634E6">
      <w:pPr>
        <w:pStyle w:val="ListParagraph"/>
        <w:numPr>
          <w:ilvl w:val="0"/>
          <w:numId w:val="5"/>
        </w:numPr>
        <w:spacing w:line="360" w:lineRule="auto"/>
        <w:jc w:val="both"/>
        <w:rPr>
          <w:rFonts w:ascii="Arial" w:hAnsi="Arial" w:cs="Arial"/>
        </w:rPr>
      </w:pPr>
      <w:r w:rsidRPr="009634E6">
        <w:rPr>
          <w:rFonts w:ascii="Arial" w:hAnsi="Arial" w:cs="Arial"/>
        </w:rPr>
        <w:t xml:space="preserve">The applicant for leave must show </w:t>
      </w:r>
      <w:r w:rsidRPr="00863A97">
        <w:rPr>
          <w:rFonts w:ascii="Arial" w:hAnsi="Arial" w:cs="Arial"/>
          <w:i/>
        </w:rPr>
        <w:t>uberrimae fides</w:t>
      </w:r>
      <w:r w:rsidRPr="009634E6">
        <w:rPr>
          <w:rFonts w:ascii="Arial" w:hAnsi="Arial" w:cs="Arial"/>
        </w:rPr>
        <w:t xml:space="preserve">, and if leave is obtained on false statements or suppression of materials facts in the affidavit, the court may refuse an order on this ground alone </w:t>
      </w:r>
      <w:r w:rsidRPr="00863A97">
        <w:rPr>
          <w:rFonts w:ascii="Arial" w:hAnsi="Arial" w:cs="Arial"/>
          <w:b/>
        </w:rPr>
        <w:t xml:space="preserve">(R v. </w:t>
      </w:r>
      <w:r w:rsidRPr="00863A97">
        <w:rPr>
          <w:rFonts w:ascii="Arial" w:hAnsi="Arial" w:cs="Arial"/>
          <w:b/>
        </w:rPr>
        <w:lastRenderedPageBreak/>
        <w:t>Kensington Commissioners, ex p. Polignac [1917] 1 K.B. 486, C.A. R v Barnes, ex p. Vernon (1910) 102 L.T. 860.</w:t>
      </w:r>
      <w:r w:rsidRPr="009634E6">
        <w:rPr>
          <w:rFonts w:ascii="Arial" w:hAnsi="Arial" w:cs="Arial"/>
        </w:rPr>
        <w:t xml:space="preserve"> </w:t>
      </w:r>
    </w:p>
    <w:p w:rsidR="009634E6" w:rsidRPr="009634E6" w:rsidRDefault="009634E6" w:rsidP="009634E6">
      <w:pPr>
        <w:pStyle w:val="ListParagraph"/>
        <w:spacing w:line="360" w:lineRule="auto"/>
        <w:ind w:left="2160"/>
        <w:jc w:val="both"/>
        <w:rPr>
          <w:rFonts w:ascii="Arial" w:hAnsi="Arial" w:cs="Arial"/>
        </w:rPr>
      </w:pPr>
    </w:p>
    <w:p w:rsidR="0030619B" w:rsidRDefault="00BD0098" w:rsidP="009634E6">
      <w:pPr>
        <w:pStyle w:val="ListParagraph"/>
        <w:numPr>
          <w:ilvl w:val="0"/>
          <w:numId w:val="5"/>
        </w:numPr>
        <w:spacing w:line="360" w:lineRule="auto"/>
        <w:jc w:val="both"/>
        <w:rPr>
          <w:rFonts w:ascii="Arial" w:hAnsi="Arial" w:cs="Arial"/>
        </w:rPr>
      </w:pPr>
      <w:r>
        <w:rPr>
          <w:rFonts w:ascii="Arial" w:hAnsi="Arial" w:cs="Arial"/>
        </w:rPr>
        <w:t xml:space="preserve">In </w:t>
      </w:r>
      <w:r w:rsidRPr="00863A97">
        <w:rPr>
          <w:rFonts w:ascii="Arial" w:hAnsi="Arial" w:cs="Arial"/>
          <w:b/>
        </w:rPr>
        <w:t>R v The Jockey Club Licensing Committee, ex p. Wright [1991] C.O.D. 306, Q.B.D.</w:t>
      </w:r>
      <w:r>
        <w:rPr>
          <w:rFonts w:ascii="Arial" w:hAnsi="Arial" w:cs="Arial"/>
        </w:rPr>
        <w:t xml:space="preserve"> the grant of leave to move for judicial review was set aside on the grounds of material non disclosure on the part of the applicant.”</w:t>
      </w:r>
      <w:r w:rsidR="0030619B">
        <w:rPr>
          <w:rFonts w:ascii="Arial" w:hAnsi="Arial" w:cs="Arial"/>
        </w:rPr>
        <w:t xml:space="preserve"> </w:t>
      </w:r>
    </w:p>
    <w:p w:rsidR="00863A97" w:rsidRPr="00863A97" w:rsidRDefault="00863A97" w:rsidP="00863A97">
      <w:pPr>
        <w:pStyle w:val="ListParagraph"/>
        <w:rPr>
          <w:rFonts w:ascii="Arial" w:hAnsi="Arial" w:cs="Arial"/>
        </w:rPr>
      </w:pPr>
    </w:p>
    <w:p w:rsidR="00863A97" w:rsidRPr="009D1149" w:rsidRDefault="00863A97" w:rsidP="00863A97">
      <w:pPr>
        <w:pStyle w:val="ListParagraph"/>
        <w:spacing w:line="360" w:lineRule="auto"/>
        <w:ind w:left="2160"/>
        <w:jc w:val="both"/>
        <w:rPr>
          <w:rFonts w:ascii="Arial" w:hAnsi="Arial" w:cs="Arial"/>
        </w:rPr>
      </w:pPr>
    </w:p>
    <w:p w:rsidR="009634E6" w:rsidRDefault="009634E6" w:rsidP="00F9226F">
      <w:pPr>
        <w:pStyle w:val="ListParagraph"/>
        <w:numPr>
          <w:ilvl w:val="0"/>
          <w:numId w:val="4"/>
        </w:numPr>
        <w:spacing w:line="360" w:lineRule="auto"/>
        <w:jc w:val="both"/>
        <w:rPr>
          <w:rFonts w:ascii="Arial" w:hAnsi="Arial" w:cs="Arial"/>
        </w:rPr>
      </w:pPr>
      <w:r>
        <w:rPr>
          <w:rFonts w:ascii="Arial" w:hAnsi="Arial" w:cs="Arial"/>
        </w:rPr>
        <w:t>We have dwelled on the procedure above for the purpose of showing that if there is any error which the learned Chief Justice did, it was to go in depth in his examination of the affidavit of applicant and deliver an elaborate judgment on it. This was strictly unnecessary. We do not think, therefore, that there is any merit in Ground 1 of the appeal.</w:t>
      </w:r>
    </w:p>
    <w:p w:rsidR="00F9226F" w:rsidRPr="00863A97" w:rsidRDefault="009634E6" w:rsidP="009634E6">
      <w:pPr>
        <w:spacing w:line="360" w:lineRule="auto"/>
        <w:jc w:val="both"/>
        <w:rPr>
          <w:rFonts w:ascii="Arial" w:hAnsi="Arial" w:cs="Arial"/>
          <w:b/>
        </w:rPr>
      </w:pPr>
      <w:r w:rsidRPr="00863A97">
        <w:rPr>
          <w:rFonts w:ascii="Arial" w:hAnsi="Arial" w:cs="Arial"/>
          <w:b/>
        </w:rPr>
        <w:t xml:space="preserve">GROUND 2 </w:t>
      </w:r>
    </w:p>
    <w:p w:rsidR="00243CBC" w:rsidRDefault="009634E6" w:rsidP="00F9226F">
      <w:pPr>
        <w:pStyle w:val="ListParagraph"/>
        <w:numPr>
          <w:ilvl w:val="0"/>
          <w:numId w:val="4"/>
        </w:numPr>
        <w:spacing w:line="360" w:lineRule="auto"/>
        <w:jc w:val="both"/>
        <w:rPr>
          <w:rFonts w:ascii="Arial" w:hAnsi="Arial" w:cs="Arial"/>
        </w:rPr>
      </w:pPr>
      <w:r>
        <w:rPr>
          <w:rFonts w:ascii="Arial" w:hAnsi="Arial" w:cs="Arial"/>
        </w:rPr>
        <w:t>Ground 2 challenges the fact that the matter relate</w:t>
      </w:r>
      <w:r w:rsidR="00500680">
        <w:rPr>
          <w:rFonts w:ascii="Arial" w:hAnsi="Arial" w:cs="Arial"/>
        </w:rPr>
        <w:t>s</w:t>
      </w:r>
      <w:r>
        <w:rPr>
          <w:rFonts w:ascii="Arial" w:hAnsi="Arial" w:cs="Arial"/>
        </w:rPr>
        <w:t xml:space="preserve"> to private law. It has been the argument of learned counsel for the applicant that it </w:t>
      </w:r>
      <w:r w:rsidR="00500680">
        <w:rPr>
          <w:rFonts w:ascii="Arial" w:hAnsi="Arial" w:cs="Arial"/>
        </w:rPr>
        <w:t>i</w:t>
      </w:r>
      <w:r>
        <w:rPr>
          <w:rFonts w:ascii="Arial" w:hAnsi="Arial" w:cs="Arial"/>
        </w:rPr>
        <w:t xml:space="preserve">s properly </w:t>
      </w:r>
      <w:r w:rsidR="00500680">
        <w:rPr>
          <w:rFonts w:ascii="Arial" w:hAnsi="Arial" w:cs="Arial"/>
        </w:rPr>
        <w:t xml:space="preserve">a </w:t>
      </w:r>
      <w:r>
        <w:rPr>
          <w:rFonts w:ascii="Arial" w:hAnsi="Arial" w:cs="Arial"/>
        </w:rPr>
        <w:t xml:space="preserve">public law </w:t>
      </w:r>
      <w:r w:rsidR="00500680">
        <w:rPr>
          <w:rFonts w:ascii="Arial" w:hAnsi="Arial" w:cs="Arial"/>
        </w:rPr>
        <w:t xml:space="preserve">issue </w:t>
      </w:r>
      <w:r>
        <w:rPr>
          <w:rFonts w:ascii="Arial" w:hAnsi="Arial" w:cs="Arial"/>
        </w:rPr>
        <w:t>inasmuch as the decision was the decision of the Minister as the documents showed</w:t>
      </w:r>
      <w:r w:rsidR="00F9226F">
        <w:rPr>
          <w:rFonts w:ascii="Arial" w:hAnsi="Arial" w:cs="Arial"/>
        </w:rPr>
        <w:t>.</w:t>
      </w:r>
    </w:p>
    <w:p w:rsidR="00863A97" w:rsidRDefault="00863A97" w:rsidP="00863A97">
      <w:pPr>
        <w:pStyle w:val="ListParagraph"/>
        <w:spacing w:line="360" w:lineRule="auto"/>
        <w:jc w:val="both"/>
        <w:rPr>
          <w:rFonts w:ascii="Arial" w:hAnsi="Arial" w:cs="Arial"/>
        </w:rPr>
      </w:pPr>
    </w:p>
    <w:p w:rsidR="00CF1A8F" w:rsidRDefault="009634E6" w:rsidP="00F9226F">
      <w:pPr>
        <w:pStyle w:val="ListParagraph"/>
        <w:numPr>
          <w:ilvl w:val="0"/>
          <w:numId w:val="4"/>
        </w:numPr>
        <w:spacing w:line="360" w:lineRule="auto"/>
        <w:jc w:val="both"/>
        <w:rPr>
          <w:rFonts w:ascii="Arial" w:hAnsi="Arial" w:cs="Arial"/>
        </w:rPr>
      </w:pPr>
      <w:r>
        <w:rPr>
          <w:rFonts w:ascii="Arial" w:hAnsi="Arial" w:cs="Arial"/>
        </w:rPr>
        <w:t xml:space="preserve">To do justice to the submission of learned counsel for the applicant, we have to go to the </w:t>
      </w:r>
      <w:r w:rsidR="00863A97">
        <w:rPr>
          <w:rFonts w:ascii="Arial" w:hAnsi="Arial" w:cs="Arial"/>
        </w:rPr>
        <w:t xml:space="preserve">primary </w:t>
      </w:r>
      <w:r>
        <w:rPr>
          <w:rFonts w:ascii="Arial" w:hAnsi="Arial" w:cs="Arial"/>
        </w:rPr>
        <w:t xml:space="preserve">facts rather than the </w:t>
      </w:r>
      <w:r w:rsidR="00863A97">
        <w:rPr>
          <w:rFonts w:ascii="Arial" w:hAnsi="Arial" w:cs="Arial"/>
        </w:rPr>
        <w:t>collateral matters</w:t>
      </w:r>
      <w:r>
        <w:rPr>
          <w:rFonts w:ascii="Arial" w:hAnsi="Arial" w:cs="Arial"/>
        </w:rPr>
        <w:t xml:space="preserve">. </w:t>
      </w:r>
      <w:r w:rsidR="00E4184E">
        <w:rPr>
          <w:rFonts w:ascii="Arial" w:hAnsi="Arial" w:cs="Arial"/>
        </w:rPr>
        <w:t>Who are the parties? They are a sub-lessee, a sub-lessor and a head</w:t>
      </w:r>
      <w:r w:rsidR="00863A97">
        <w:rPr>
          <w:rFonts w:ascii="Arial" w:hAnsi="Arial" w:cs="Arial"/>
        </w:rPr>
        <w:t>-</w:t>
      </w:r>
      <w:r w:rsidR="00E4184E">
        <w:rPr>
          <w:rFonts w:ascii="Arial" w:hAnsi="Arial" w:cs="Arial"/>
        </w:rPr>
        <w:t>less</w:t>
      </w:r>
      <w:r w:rsidR="00863A97">
        <w:rPr>
          <w:rFonts w:ascii="Arial" w:hAnsi="Arial" w:cs="Arial"/>
        </w:rPr>
        <w:t>or</w:t>
      </w:r>
      <w:r w:rsidR="00E4184E">
        <w:rPr>
          <w:rFonts w:ascii="Arial" w:hAnsi="Arial" w:cs="Arial"/>
        </w:rPr>
        <w:t xml:space="preserve">. </w:t>
      </w:r>
      <w:r w:rsidR="00CF1A8F">
        <w:rPr>
          <w:rFonts w:ascii="Arial" w:hAnsi="Arial" w:cs="Arial"/>
        </w:rPr>
        <w:t>Their dispute arises out of what</w:t>
      </w:r>
      <w:r w:rsidR="00E4184E">
        <w:rPr>
          <w:rFonts w:ascii="Arial" w:hAnsi="Arial" w:cs="Arial"/>
        </w:rPr>
        <w:t xml:space="preserve">? Their dispute </w:t>
      </w:r>
      <w:r w:rsidR="00CF1A8F">
        <w:rPr>
          <w:rFonts w:ascii="Arial" w:hAnsi="Arial" w:cs="Arial"/>
        </w:rPr>
        <w:t xml:space="preserve">arises out of a </w:t>
      </w:r>
      <w:r w:rsidR="00500680">
        <w:rPr>
          <w:rFonts w:ascii="Arial" w:hAnsi="Arial" w:cs="Arial"/>
        </w:rPr>
        <w:t xml:space="preserve">public </w:t>
      </w:r>
      <w:r w:rsidR="00CF1A8F">
        <w:rPr>
          <w:rFonts w:ascii="Arial" w:hAnsi="Arial" w:cs="Arial"/>
        </w:rPr>
        <w:t xml:space="preserve">contract </w:t>
      </w:r>
      <w:r w:rsidR="00500680">
        <w:rPr>
          <w:rFonts w:ascii="Arial" w:hAnsi="Arial" w:cs="Arial"/>
        </w:rPr>
        <w:t>of project management</w:t>
      </w:r>
      <w:r w:rsidR="00E4184E">
        <w:rPr>
          <w:rFonts w:ascii="Arial" w:hAnsi="Arial" w:cs="Arial"/>
        </w:rPr>
        <w:t xml:space="preserve">. What is the essentially the </w:t>
      </w:r>
      <w:r w:rsidR="00CF1A8F">
        <w:rPr>
          <w:rFonts w:ascii="Arial" w:hAnsi="Arial" w:cs="Arial"/>
        </w:rPr>
        <w:t xml:space="preserve">grievance </w:t>
      </w:r>
      <w:r w:rsidR="00E4184E">
        <w:rPr>
          <w:rFonts w:ascii="Arial" w:hAnsi="Arial" w:cs="Arial"/>
        </w:rPr>
        <w:t xml:space="preserve">of the </w:t>
      </w:r>
      <w:r w:rsidR="00CF1A8F">
        <w:rPr>
          <w:rFonts w:ascii="Arial" w:hAnsi="Arial" w:cs="Arial"/>
        </w:rPr>
        <w:t>app</w:t>
      </w:r>
      <w:r w:rsidR="00863A97">
        <w:rPr>
          <w:rFonts w:ascii="Arial" w:hAnsi="Arial" w:cs="Arial"/>
        </w:rPr>
        <w:t>ellant</w:t>
      </w:r>
      <w:r w:rsidR="00E4184E">
        <w:rPr>
          <w:rFonts w:ascii="Arial" w:hAnsi="Arial" w:cs="Arial"/>
        </w:rPr>
        <w:t xml:space="preserve">? </w:t>
      </w:r>
      <w:r w:rsidR="00863A97">
        <w:rPr>
          <w:rFonts w:ascii="Arial" w:hAnsi="Arial" w:cs="Arial"/>
        </w:rPr>
        <w:t>It is that t</w:t>
      </w:r>
      <w:r w:rsidR="00E4184E">
        <w:rPr>
          <w:rFonts w:ascii="Arial" w:hAnsi="Arial" w:cs="Arial"/>
        </w:rPr>
        <w:t>h</w:t>
      </w:r>
      <w:r w:rsidR="00CF1A8F">
        <w:rPr>
          <w:rFonts w:ascii="Arial" w:hAnsi="Arial" w:cs="Arial"/>
        </w:rPr>
        <w:t xml:space="preserve">e head lessor </w:t>
      </w:r>
      <w:r w:rsidR="00E4184E">
        <w:rPr>
          <w:rFonts w:ascii="Arial" w:hAnsi="Arial" w:cs="Arial"/>
        </w:rPr>
        <w:t xml:space="preserve">has wrongly </w:t>
      </w:r>
      <w:r w:rsidR="00500680">
        <w:rPr>
          <w:rFonts w:ascii="Arial" w:hAnsi="Arial" w:cs="Arial"/>
        </w:rPr>
        <w:t>decided that his project is no longer viable</w:t>
      </w:r>
      <w:r w:rsidR="00E4184E">
        <w:rPr>
          <w:rFonts w:ascii="Arial" w:hAnsi="Arial" w:cs="Arial"/>
        </w:rPr>
        <w:t>. What is the remedy which he is seeking? He is seeking contract performance from the head lessor.</w:t>
      </w:r>
      <w:r w:rsidR="00CF1A8F">
        <w:rPr>
          <w:rFonts w:ascii="Arial" w:hAnsi="Arial" w:cs="Arial"/>
        </w:rPr>
        <w:t xml:space="preserve"> </w:t>
      </w:r>
    </w:p>
    <w:p w:rsidR="00863A97" w:rsidRPr="00863A97" w:rsidRDefault="00863A97" w:rsidP="00863A97">
      <w:pPr>
        <w:pStyle w:val="ListParagraph"/>
        <w:rPr>
          <w:rFonts w:ascii="Arial" w:hAnsi="Arial" w:cs="Arial"/>
        </w:rPr>
      </w:pPr>
    </w:p>
    <w:p w:rsidR="00863A97" w:rsidRDefault="00863A97" w:rsidP="00863A97">
      <w:pPr>
        <w:pStyle w:val="ListParagraph"/>
        <w:spacing w:line="360" w:lineRule="auto"/>
        <w:jc w:val="both"/>
        <w:rPr>
          <w:rFonts w:ascii="Arial" w:hAnsi="Arial" w:cs="Arial"/>
        </w:rPr>
      </w:pPr>
    </w:p>
    <w:p w:rsidR="00B40770" w:rsidRDefault="00CF1A8F" w:rsidP="00F9226F">
      <w:pPr>
        <w:pStyle w:val="ListParagraph"/>
        <w:numPr>
          <w:ilvl w:val="0"/>
          <w:numId w:val="4"/>
        </w:numPr>
        <w:spacing w:line="360" w:lineRule="auto"/>
        <w:jc w:val="both"/>
        <w:rPr>
          <w:rFonts w:ascii="Arial" w:hAnsi="Arial" w:cs="Arial"/>
        </w:rPr>
      </w:pPr>
      <w:r w:rsidRPr="00B40770">
        <w:rPr>
          <w:rFonts w:ascii="Arial" w:hAnsi="Arial" w:cs="Arial"/>
        </w:rPr>
        <w:t>Fr</w:t>
      </w:r>
      <w:r w:rsidR="00500680">
        <w:rPr>
          <w:rFonts w:ascii="Arial" w:hAnsi="Arial" w:cs="Arial"/>
        </w:rPr>
        <w:t>om</w:t>
      </w:r>
      <w:r w:rsidRPr="00B40770">
        <w:rPr>
          <w:rFonts w:ascii="Arial" w:hAnsi="Arial" w:cs="Arial"/>
        </w:rPr>
        <w:t xml:space="preserve"> the nature of the </w:t>
      </w:r>
      <w:r w:rsidR="00500680">
        <w:rPr>
          <w:rFonts w:ascii="Arial" w:hAnsi="Arial" w:cs="Arial"/>
        </w:rPr>
        <w:t xml:space="preserve">obvious </w:t>
      </w:r>
      <w:r w:rsidRPr="00B40770">
        <w:rPr>
          <w:rFonts w:ascii="Arial" w:hAnsi="Arial" w:cs="Arial"/>
        </w:rPr>
        <w:t xml:space="preserve">answers </w:t>
      </w:r>
      <w:r w:rsidR="00500680">
        <w:rPr>
          <w:rFonts w:ascii="Arial" w:hAnsi="Arial" w:cs="Arial"/>
        </w:rPr>
        <w:t>to the questions which this dispute raises</w:t>
      </w:r>
      <w:r w:rsidRPr="00B40770">
        <w:rPr>
          <w:rFonts w:ascii="Arial" w:hAnsi="Arial" w:cs="Arial"/>
        </w:rPr>
        <w:t xml:space="preserve">, we are unable to say that the matter is governed by public law. That the head lessor is a Minister and that the property involved is state land is a collateral matter. The learned Chief Justice was correct in his conclusion on the facts, therefore, that the </w:t>
      </w:r>
      <w:r w:rsidR="00B40770" w:rsidRPr="00B40770">
        <w:rPr>
          <w:rFonts w:ascii="Arial" w:hAnsi="Arial" w:cs="Arial"/>
        </w:rPr>
        <w:t xml:space="preserve">dispute was a dispute in private law and not public law. This is not a dispute where a citizen is claiming that the procedure which has been adopted by a public body to </w:t>
      </w:r>
      <w:r w:rsidR="00B40770" w:rsidRPr="00B40770">
        <w:rPr>
          <w:rFonts w:ascii="Arial" w:hAnsi="Arial" w:cs="Arial"/>
        </w:rPr>
        <w:lastRenderedPageBreak/>
        <w:t xml:space="preserve">adjudicate on his right has been wrongful so that the decision should be rendered null and void. </w:t>
      </w:r>
      <w:r w:rsidR="00F85F30">
        <w:rPr>
          <w:rFonts w:ascii="Arial" w:hAnsi="Arial" w:cs="Arial"/>
        </w:rPr>
        <w:t xml:space="preserve">This </w:t>
      </w:r>
      <w:r w:rsidR="00B40770" w:rsidRPr="00B40770">
        <w:rPr>
          <w:rFonts w:ascii="Arial" w:hAnsi="Arial" w:cs="Arial"/>
        </w:rPr>
        <w:t xml:space="preserve">is </w:t>
      </w:r>
      <w:r w:rsidR="00F85F30">
        <w:rPr>
          <w:rFonts w:ascii="Arial" w:hAnsi="Arial" w:cs="Arial"/>
        </w:rPr>
        <w:t xml:space="preserve">a dispute </w:t>
      </w:r>
      <w:r w:rsidR="00B40770" w:rsidRPr="00B40770">
        <w:rPr>
          <w:rFonts w:ascii="Arial" w:hAnsi="Arial" w:cs="Arial"/>
        </w:rPr>
        <w:t xml:space="preserve">about the application of the civil law provisions related to </w:t>
      </w:r>
      <w:r w:rsidR="00863A97">
        <w:rPr>
          <w:rFonts w:ascii="Arial" w:hAnsi="Arial" w:cs="Arial"/>
        </w:rPr>
        <w:t>contractual obligations</w:t>
      </w:r>
      <w:r w:rsidR="00B40770" w:rsidRPr="00B40770">
        <w:rPr>
          <w:rFonts w:ascii="Arial" w:hAnsi="Arial" w:cs="Arial"/>
        </w:rPr>
        <w:t xml:space="preserve">. </w:t>
      </w:r>
      <w:r w:rsidR="00863A97">
        <w:rPr>
          <w:rFonts w:ascii="Arial" w:hAnsi="Arial" w:cs="Arial"/>
        </w:rPr>
        <w:t>In this regard, w</w:t>
      </w:r>
      <w:r w:rsidR="00B40770" w:rsidRPr="00B40770">
        <w:rPr>
          <w:rFonts w:ascii="Arial" w:hAnsi="Arial" w:cs="Arial"/>
        </w:rPr>
        <w:t>e note that parties have already lodged a case in the civil courts</w:t>
      </w:r>
      <w:r w:rsidR="00863A97">
        <w:rPr>
          <w:rFonts w:ascii="Arial" w:hAnsi="Arial" w:cs="Arial"/>
        </w:rPr>
        <w:t>. T</w:t>
      </w:r>
      <w:r w:rsidR="00B40770" w:rsidRPr="00B40770">
        <w:rPr>
          <w:rFonts w:ascii="Arial" w:hAnsi="Arial" w:cs="Arial"/>
        </w:rPr>
        <w:t>here is</w:t>
      </w:r>
      <w:r w:rsidR="00863A97">
        <w:rPr>
          <w:rFonts w:ascii="Arial" w:hAnsi="Arial" w:cs="Arial"/>
        </w:rPr>
        <w:t xml:space="preserve">, therefore, </w:t>
      </w:r>
      <w:r w:rsidR="00B40770" w:rsidRPr="00B40770">
        <w:rPr>
          <w:rFonts w:ascii="Arial" w:hAnsi="Arial" w:cs="Arial"/>
        </w:rPr>
        <w:t>a</w:t>
      </w:r>
      <w:r w:rsidR="00863A97">
        <w:rPr>
          <w:rFonts w:ascii="Arial" w:hAnsi="Arial" w:cs="Arial"/>
        </w:rPr>
        <w:t xml:space="preserve"> civil </w:t>
      </w:r>
      <w:r w:rsidR="00B40770" w:rsidRPr="00B40770">
        <w:rPr>
          <w:rFonts w:ascii="Arial" w:hAnsi="Arial" w:cs="Arial"/>
        </w:rPr>
        <w:t>remedy he</w:t>
      </w:r>
      <w:r w:rsidR="00863A97">
        <w:rPr>
          <w:rFonts w:ascii="Arial" w:hAnsi="Arial" w:cs="Arial"/>
        </w:rPr>
        <w:t xml:space="preserve"> is </w:t>
      </w:r>
      <w:r w:rsidR="00F85F30">
        <w:rPr>
          <w:rFonts w:ascii="Arial" w:hAnsi="Arial" w:cs="Arial"/>
        </w:rPr>
        <w:t xml:space="preserve">seeking which is wider than the </w:t>
      </w:r>
      <w:r w:rsidR="00863A97">
        <w:rPr>
          <w:rFonts w:ascii="Arial" w:hAnsi="Arial" w:cs="Arial"/>
        </w:rPr>
        <w:t xml:space="preserve">public </w:t>
      </w:r>
      <w:r w:rsidR="00F85F30">
        <w:rPr>
          <w:rFonts w:ascii="Arial" w:hAnsi="Arial" w:cs="Arial"/>
        </w:rPr>
        <w:t xml:space="preserve">law </w:t>
      </w:r>
      <w:r w:rsidR="00863A97">
        <w:rPr>
          <w:rFonts w:ascii="Arial" w:hAnsi="Arial" w:cs="Arial"/>
        </w:rPr>
        <w:t xml:space="preserve">remedy </w:t>
      </w:r>
      <w:r w:rsidR="00F85F30">
        <w:rPr>
          <w:rFonts w:ascii="Arial" w:hAnsi="Arial" w:cs="Arial"/>
        </w:rPr>
        <w:t>available to him</w:t>
      </w:r>
      <w:r w:rsidR="00B40770" w:rsidRPr="00B40770">
        <w:rPr>
          <w:rFonts w:ascii="Arial" w:hAnsi="Arial" w:cs="Arial"/>
        </w:rPr>
        <w:t>. We find no merits in Ground 2</w:t>
      </w:r>
      <w:r w:rsidR="00B40770">
        <w:rPr>
          <w:rFonts w:ascii="Arial" w:hAnsi="Arial" w:cs="Arial"/>
        </w:rPr>
        <w:t xml:space="preserve">. </w:t>
      </w:r>
    </w:p>
    <w:p w:rsidR="00B40770" w:rsidRDefault="00B40770" w:rsidP="00B40770">
      <w:pPr>
        <w:pStyle w:val="ListParagraph"/>
        <w:spacing w:line="360" w:lineRule="auto"/>
        <w:jc w:val="both"/>
        <w:rPr>
          <w:rFonts w:ascii="Arial" w:hAnsi="Arial" w:cs="Arial"/>
        </w:rPr>
      </w:pPr>
    </w:p>
    <w:p w:rsidR="00B40770" w:rsidRDefault="00B40770" w:rsidP="00B40770">
      <w:pPr>
        <w:pStyle w:val="ListParagraph"/>
        <w:spacing w:line="360" w:lineRule="auto"/>
        <w:jc w:val="both"/>
        <w:rPr>
          <w:rFonts w:ascii="Arial" w:hAnsi="Arial" w:cs="Arial"/>
        </w:rPr>
      </w:pPr>
      <w:r>
        <w:rPr>
          <w:rFonts w:ascii="Arial" w:hAnsi="Arial" w:cs="Arial"/>
        </w:rPr>
        <w:t>GROUND 3</w:t>
      </w:r>
    </w:p>
    <w:p w:rsidR="00E4184E" w:rsidRDefault="00B40770" w:rsidP="00F3721C">
      <w:pPr>
        <w:pStyle w:val="ListParagraph"/>
        <w:numPr>
          <w:ilvl w:val="0"/>
          <w:numId w:val="4"/>
        </w:numPr>
        <w:spacing w:line="360" w:lineRule="auto"/>
        <w:jc w:val="both"/>
        <w:rPr>
          <w:rFonts w:ascii="Arial" w:hAnsi="Arial" w:cs="Arial"/>
        </w:rPr>
      </w:pPr>
      <w:r>
        <w:rPr>
          <w:rFonts w:ascii="Arial" w:hAnsi="Arial" w:cs="Arial"/>
        </w:rPr>
        <w:t xml:space="preserve">Ground 3 relates to the scope and limit of article 125 of the Constitution and its application to the present case. The </w:t>
      </w:r>
      <w:r w:rsidR="0095434E">
        <w:rPr>
          <w:rFonts w:ascii="Arial" w:hAnsi="Arial" w:cs="Arial"/>
        </w:rPr>
        <w:t xml:space="preserve">learned Chief Justice was correct in his view that the facts did not support the contention of the </w:t>
      </w:r>
      <w:r w:rsidR="00294A96">
        <w:rPr>
          <w:rFonts w:ascii="Arial" w:hAnsi="Arial" w:cs="Arial"/>
        </w:rPr>
        <w:t xml:space="preserve">petitioner, now </w:t>
      </w:r>
      <w:r w:rsidR="0095434E">
        <w:rPr>
          <w:rFonts w:ascii="Arial" w:hAnsi="Arial" w:cs="Arial"/>
        </w:rPr>
        <w:t>Appellant</w:t>
      </w:r>
      <w:r w:rsidR="00294A96">
        <w:rPr>
          <w:rFonts w:ascii="Arial" w:hAnsi="Arial" w:cs="Arial"/>
        </w:rPr>
        <w:t>,</w:t>
      </w:r>
      <w:r w:rsidR="0095434E">
        <w:rPr>
          <w:rFonts w:ascii="Arial" w:hAnsi="Arial" w:cs="Arial"/>
        </w:rPr>
        <w:t xml:space="preserve"> that the </w:t>
      </w:r>
      <w:r w:rsidR="00294A96">
        <w:rPr>
          <w:rFonts w:ascii="Arial" w:hAnsi="Arial" w:cs="Arial"/>
        </w:rPr>
        <w:t>h</w:t>
      </w:r>
      <w:r w:rsidR="0095434E">
        <w:rPr>
          <w:rFonts w:ascii="Arial" w:hAnsi="Arial" w:cs="Arial"/>
        </w:rPr>
        <w:t xml:space="preserve">ead </w:t>
      </w:r>
      <w:r w:rsidR="00294A96">
        <w:rPr>
          <w:rFonts w:ascii="Arial" w:hAnsi="Arial" w:cs="Arial"/>
        </w:rPr>
        <w:t>l</w:t>
      </w:r>
      <w:r w:rsidR="0095434E">
        <w:rPr>
          <w:rFonts w:ascii="Arial" w:hAnsi="Arial" w:cs="Arial"/>
        </w:rPr>
        <w:t>essor was involved in an</w:t>
      </w:r>
      <w:r w:rsidR="00294A96">
        <w:rPr>
          <w:rFonts w:ascii="Arial" w:hAnsi="Arial" w:cs="Arial"/>
        </w:rPr>
        <w:t>y</w:t>
      </w:r>
      <w:r w:rsidR="0095434E">
        <w:rPr>
          <w:rFonts w:ascii="Arial" w:hAnsi="Arial" w:cs="Arial"/>
        </w:rPr>
        <w:t xml:space="preserve"> adjudicatory function</w:t>
      </w:r>
      <w:r w:rsidR="00294A96">
        <w:rPr>
          <w:rFonts w:ascii="Arial" w:hAnsi="Arial" w:cs="Arial"/>
        </w:rPr>
        <w:t xml:space="preserve"> so that the Supreme Court should supervise the exercise of that quasi-judicial jurisdiction. What the Minister was involved in is essentially an executive function of project management or project failure given under the Tourism Incentives Act by the Government of Seychelles in terms of approvals and other </w:t>
      </w:r>
      <w:r w:rsidR="00294A96" w:rsidRPr="00500680">
        <w:rPr>
          <w:rFonts w:ascii="Arial" w:hAnsi="Arial" w:cs="Arial"/>
          <w:u w:val="single"/>
        </w:rPr>
        <w:t>administrative</w:t>
      </w:r>
      <w:r w:rsidR="00294A96">
        <w:rPr>
          <w:rFonts w:ascii="Arial" w:hAnsi="Arial" w:cs="Arial"/>
        </w:rPr>
        <w:t xml:space="preserve"> issue</w:t>
      </w:r>
      <w:r w:rsidR="00500680">
        <w:rPr>
          <w:rFonts w:ascii="Arial" w:hAnsi="Arial" w:cs="Arial"/>
        </w:rPr>
        <w:t xml:space="preserve">s (underlining ours). </w:t>
      </w:r>
      <w:r w:rsidR="00294A96">
        <w:rPr>
          <w:rFonts w:ascii="Arial" w:hAnsi="Arial" w:cs="Arial"/>
        </w:rPr>
        <w:t xml:space="preserve"> </w:t>
      </w:r>
    </w:p>
    <w:p w:rsidR="00A41DBC" w:rsidRDefault="00A41DBC" w:rsidP="00B40770">
      <w:pPr>
        <w:pStyle w:val="ListParagraph"/>
        <w:spacing w:line="360" w:lineRule="auto"/>
        <w:jc w:val="both"/>
        <w:rPr>
          <w:rFonts w:ascii="Arial" w:hAnsi="Arial" w:cs="Arial"/>
        </w:rPr>
      </w:pPr>
    </w:p>
    <w:p w:rsidR="00A41DBC" w:rsidRPr="00B40770" w:rsidRDefault="00500680" w:rsidP="00F3721C">
      <w:pPr>
        <w:pStyle w:val="ListParagraph"/>
        <w:numPr>
          <w:ilvl w:val="0"/>
          <w:numId w:val="4"/>
        </w:numPr>
        <w:spacing w:line="360" w:lineRule="auto"/>
        <w:jc w:val="both"/>
        <w:rPr>
          <w:rFonts w:ascii="Arial" w:hAnsi="Arial" w:cs="Arial"/>
        </w:rPr>
      </w:pPr>
      <w:r>
        <w:rPr>
          <w:rFonts w:ascii="Arial" w:hAnsi="Arial" w:cs="Arial"/>
        </w:rPr>
        <w:t>T</w:t>
      </w:r>
      <w:r w:rsidR="00A41DBC">
        <w:rPr>
          <w:rFonts w:ascii="Arial" w:hAnsi="Arial" w:cs="Arial"/>
        </w:rPr>
        <w:t xml:space="preserve">he Minister was not </w:t>
      </w:r>
      <w:r>
        <w:rPr>
          <w:rFonts w:ascii="Arial" w:hAnsi="Arial" w:cs="Arial"/>
        </w:rPr>
        <w:t xml:space="preserve">discharging the function of an </w:t>
      </w:r>
      <w:r w:rsidR="00A41DBC">
        <w:rPr>
          <w:rFonts w:ascii="Arial" w:hAnsi="Arial" w:cs="Arial"/>
        </w:rPr>
        <w:t>adjudicat</w:t>
      </w:r>
      <w:r>
        <w:rPr>
          <w:rFonts w:ascii="Arial" w:hAnsi="Arial" w:cs="Arial"/>
        </w:rPr>
        <w:t>or i</w:t>
      </w:r>
      <w:r w:rsidR="00A41DBC">
        <w:rPr>
          <w:rFonts w:ascii="Arial" w:hAnsi="Arial" w:cs="Arial"/>
        </w:rPr>
        <w:t xml:space="preserve">n the matter. He was </w:t>
      </w:r>
      <w:r>
        <w:rPr>
          <w:rFonts w:ascii="Arial" w:hAnsi="Arial" w:cs="Arial"/>
        </w:rPr>
        <w:t xml:space="preserve">simply </w:t>
      </w:r>
      <w:r w:rsidR="00F3721C">
        <w:rPr>
          <w:rFonts w:ascii="Arial" w:hAnsi="Arial" w:cs="Arial"/>
        </w:rPr>
        <w:t xml:space="preserve">executing a policy of government with regard to management issues </w:t>
      </w:r>
      <w:r>
        <w:rPr>
          <w:rFonts w:ascii="Arial" w:hAnsi="Arial" w:cs="Arial"/>
        </w:rPr>
        <w:t xml:space="preserve">in a public contract of major importance to the State </w:t>
      </w:r>
      <w:r w:rsidR="00F3721C">
        <w:rPr>
          <w:rFonts w:ascii="Arial" w:hAnsi="Arial" w:cs="Arial"/>
        </w:rPr>
        <w:t xml:space="preserve">under a legislation dedicated for the purpose. In taking his decision, he was applying project management principles and </w:t>
      </w:r>
      <w:r>
        <w:rPr>
          <w:rFonts w:ascii="Arial" w:hAnsi="Arial" w:cs="Arial"/>
        </w:rPr>
        <w:t xml:space="preserve">principles of the law of contract as he saw them. </w:t>
      </w:r>
      <w:r w:rsidR="00F3721C">
        <w:rPr>
          <w:rFonts w:ascii="Arial" w:hAnsi="Arial" w:cs="Arial"/>
        </w:rPr>
        <w:t>It</w:t>
      </w:r>
      <w:r w:rsidR="00A41DBC">
        <w:rPr>
          <w:rFonts w:ascii="Arial" w:hAnsi="Arial" w:cs="Arial"/>
        </w:rPr>
        <w:t xml:space="preserve"> cannot be said</w:t>
      </w:r>
      <w:r w:rsidR="00F3721C">
        <w:rPr>
          <w:rFonts w:ascii="Arial" w:hAnsi="Arial" w:cs="Arial"/>
        </w:rPr>
        <w:t xml:space="preserve">, in the circumstances, </w:t>
      </w:r>
      <w:r w:rsidR="00A41DBC">
        <w:rPr>
          <w:rFonts w:ascii="Arial" w:hAnsi="Arial" w:cs="Arial"/>
        </w:rPr>
        <w:t xml:space="preserve">that the facts and circumstances fell under the purview of article 125 of the Constitution. </w:t>
      </w:r>
    </w:p>
    <w:p w:rsidR="00243CBC" w:rsidRDefault="00243CBC" w:rsidP="00243CBC">
      <w:pPr>
        <w:spacing w:line="360" w:lineRule="auto"/>
        <w:jc w:val="both"/>
        <w:rPr>
          <w:rFonts w:ascii="Arial" w:hAnsi="Arial" w:cs="Arial"/>
          <w:b/>
          <w:sz w:val="22"/>
          <w:szCs w:val="22"/>
        </w:rPr>
      </w:pPr>
    </w:p>
    <w:p w:rsidR="00243CBC" w:rsidRPr="006A1243" w:rsidRDefault="00A41DBC" w:rsidP="00F3721C">
      <w:pPr>
        <w:pStyle w:val="ListParagraph"/>
        <w:numPr>
          <w:ilvl w:val="0"/>
          <w:numId w:val="4"/>
        </w:numPr>
        <w:spacing w:line="360" w:lineRule="auto"/>
        <w:jc w:val="both"/>
        <w:rPr>
          <w:rFonts w:ascii="Arial" w:hAnsi="Arial" w:cs="Arial"/>
        </w:rPr>
      </w:pPr>
      <w:r>
        <w:rPr>
          <w:rFonts w:ascii="Arial" w:hAnsi="Arial" w:cs="Arial"/>
        </w:rPr>
        <w:t xml:space="preserve">All the grounds having failed, this appeal is dismissed with costs. </w:t>
      </w:r>
    </w:p>
    <w:p w:rsidR="00243CBC" w:rsidRDefault="00243CBC" w:rsidP="00243CBC">
      <w:pPr>
        <w:spacing w:line="360" w:lineRule="auto"/>
        <w:jc w:val="both"/>
        <w:rPr>
          <w:rFonts w:ascii="Arial" w:hAnsi="Arial" w:cs="Arial"/>
          <w:b/>
          <w:sz w:val="22"/>
          <w:szCs w:val="22"/>
        </w:rPr>
      </w:pPr>
    </w:p>
    <w:p w:rsidR="00243CBC" w:rsidRPr="00527F86" w:rsidRDefault="00243CBC" w:rsidP="00243CBC">
      <w:pPr>
        <w:spacing w:line="360" w:lineRule="auto"/>
        <w:jc w:val="both"/>
        <w:rPr>
          <w:rFonts w:ascii="Arial" w:hAnsi="Arial" w:cs="Arial"/>
          <w:sz w:val="22"/>
          <w:szCs w:val="22"/>
        </w:rPr>
      </w:pPr>
    </w:p>
    <w:p w:rsidR="00243CBC" w:rsidRPr="00527F86" w:rsidRDefault="00243CBC" w:rsidP="001708B7">
      <w:pPr>
        <w:ind w:firstLine="360"/>
        <w:jc w:val="center"/>
        <w:rPr>
          <w:rFonts w:ascii="Arial" w:hAnsi="Arial" w:cs="Arial"/>
          <w:sz w:val="22"/>
          <w:szCs w:val="22"/>
        </w:rPr>
      </w:pPr>
      <w:r w:rsidRPr="00527F86">
        <w:rPr>
          <w:rFonts w:ascii="Arial" w:hAnsi="Arial" w:cs="Arial"/>
          <w:sz w:val="22"/>
          <w:szCs w:val="22"/>
        </w:rPr>
        <w:t>……………………….</w:t>
      </w:r>
      <w:r w:rsidRPr="00527F86">
        <w:rPr>
          <w:rFonts w:ascii="Arial" w:hAnsi="Arial" w:cs="Arial"/>
          <w:sz w:val="22"/>
          <w:szCs w:val="22"/>
        </w:rPr>
        <w:tab/>
        <w:t>………………………..</w:t>
      </w:r>
      <w:r w:rsidRPr="00527F86">
        <w:rPr>
          <w:rFonts w:ascii="Arial" w:hAnsi="Arial" w:cs="Arial"/>
          <w:sz w:val="22"/>
          <w:szCs w:val="22"/>
        </w:rPr>
        <w:tab/>
      </w:r>
      <w:r w:rsidRPr="00527F86">
        <w:rPr>
          <w:rFonts w:ascii="Arial" w:hAnsi="Arial" w:cs="Arial"/>
          <w:sz w:val="22"/>
          <w:szCs w:val="22"/>
        </w:rPr>
        <w:tab/>
        <w:t>………………………..</w:t>
      </w:r>
    </w:p>
    <w:p w:rsidR="00243CBC" w:rsidRPr="00527F86" w:rsidRDefault="00243CBC" w:rsidP="00F3721C">
      <w:pPr>
        <w:ind w:firstLine="720"/>
        <w:rPr>
          <w:rFonts w:ascii="Arial" w:hAnsi="Arial" w:cs="Arial"/>
          <w:b/>
          <w:sz w:val="22"/>
          <w:szCs w:val="22"/>
        </w:rPr>
      </w:pPr>
      <w:r>
        <w:rPr>
          <w:rFonts w:ascii="Arial" w:hAnsi="Arial" w:cs="Arial"/>
          <w:b/>
          <w:sz w:val="22"/>
          <w:szCs w:val="22"/>
        </w:rPr>
        <w:t xml:space="preserve">           </w:t>
      </w:r>
      <w:r w:rsidR="001708B7">
        <w:rPr>
          <w:rFonts w:ascii="Arial" w:hAnsi="Arial" w:cs="Arial"/>
          <w:b/>
          <w:sz w:val="22"/>
          <w:szCs w:val="22"/>
        </w:rPr>
        <w:t>S. B. DOMAH</w:t>
      </w:r>
      <w:r w:rsidRPr="00527F86">
        <w:rPr>
          <w:rFonts w:ascii="Arial" w:hAnsi="Arial" w:cs="Arial"/>
          <w:b/>
          <w:sz w:val="22"/>
          <w:szCs w:val="22"/>
        </w:rPr>
        <w:tab/>
      </w:r>
      <w:r w:rsidRPr="00527F86">
        <w:rPr>
          <w:rFonts w:ascii="Arial" w:hAnsi="Arial" w:cs="Arial"/>
          <w:b/>
          <w:sz w:val="22"/>
          <w:szCs w:val="22"/>
        </w:rPr>
        <w:tab/>
      </w:r>
      <w:r>
        <w:rPr>
          <w:rFonts w:ascii="Arial" w:hAnsi="Arial" w:cs="Arial"/>
          <w:b/>
          <w:sz w:val="22"/>
          <w:szCs w:val="22"/>
        </w:rPr>
        <w:t xml:space="preserve">   </w:t>
      </w:r>
      <w:r w:rsidR="001708B7">
        <w:rPr>
          <w:rFonts w:ascii="Arial" w:hAnsi="Arial" w:cs="Arial"/>
          <w:b/>
          <w:sz w:val="22"/>
          <w:szCs w:val="22"/>
        </w:rPr>
        <w:t>A. FERNANDO</w:t>
      </w:r>
      <w:r>
        <w:rPr>
          <w:rFonts w:ascii="Arial" w:hAnsi="Arial" w:cs="Arial"/>
          <w:b/>
          <w:sz w:val="22"/>
          <w:szCs w:val="22"/>
        </w:rPr>
        <w:tab/>
      </w:r>
      <w:r>
        <w:rPr>
          <w:rFonts w:ascii="Arial" w:hAnsi="Arial" w:cs="Arial"/>
          <w:b/>
          <w:sz w:val="22"/>
          <w:szCs w:val="22"/>
        </w:rPr>
        <w:tab/>
        <w:t xml:space="preserve">    M. TWOMEY </w:t>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243CBC" w:rsidRPr="00527F86" w:rsidRDefault="00243CBC" w:rsidP="00F3721C">
      <w:pPr>
        <w:ind w:firstLine="720"/>
        <w:jc w:val="center"/>
        <w:rPr>
          <w:rFonts w:ascii="Arial" w:hAnsi="Arial" w:cs="Arial"/>
          <w:b/>
          <w:sz w:val="22"/>
          <w:szCs w:val="22"/>
        </w:rPr>
      </w:pPr>
      <w:r>
        <w:rPr>
          <w:rFonts w:ascii="Arial" w:hAnsi="Arial" w:cs="Arial"/>
          <w:b/>
          <w:sz w:val="22"/>
          <w:szCs w:val="22"/>
        </w:rPr>
        <w:t xml:space="preserve">PRESIDENT </w:t>
      </w:r>
      <w:r>
        <w:rPr>
          <w:rFonts w:ascii="Arial" w:hAnsi="Arial" w:cs="Arial"/>
          <w:b/>
          <w:sz w:val="22"/>
          <w:szCs w:val="22"/>
        </w:rPr>
        <w:tab/>
      </w:r>
      <w:r w:rsidRPr="00527F86">
        <w:rPr>
          <w:rFonts w:ascii="Arial" w:hAnsi="Arial" w:cs="Arial"/>
          <w:b/>
          <w:sz w:val="22"/>
          <w:szCs w:val="22"/>
        </w:rPr>
        <w:tab/>
        <w:t>JUSTICE OF APPEAL</w:t>
      </w:r>
      <w:r w:rsidRPr="00527F86">
        <w:rPr>
          <w:rFonts w:ascii="Arial" w:hAnsi="Arial" w:cs="Arial"/>
          <w:b/>
          <w:sz w:val="22"/>
          <w:szCs w:val="22"/>
        </w:rPr>
        <w:tab/>
      </w:r>
      <w:r w:rsidRPr="00527F86">
        <w:rPr>
          <w:rFonts w:ascii="Arial" w:hAnsi="Arial" w:cs="Arial"/>
          <w:b/>
          <w:sz w:val="22"/>
          <w:szCs w:val="22"/>
        </w:rPr>
        <w:tab/>
        <w:t>JUSTICE OF APPEAL</w:t>
      </w:r>
    </w:p>
    <w:p w:rsidR="00243CBC" w:rsidRPr="00527F86" w:rsidRDefault="00243CBC" w:rsidP="00243CBC">
      <w:pPr>
        <w:rPr>
          <w:rFonts w:ascii="Arial" w:hAnsi="Arial" w:cs="Arial"/>
          <w:sz w:val="22"/>
          <w:szCs w:val="22"/>
        </w:rPr>
      </w:pPr>
    </w:p>
    <w:p w:rsidR="00243CBC" w:rsidRPr="00527F86" w:rsidRDefault="00243CBC" w:rsidP="00243CBC">
      <w:pPr>
        <w:rPr>
          <w:rFonts w:ascii="Arial" w:hAnsi="Arial" w:cs="Arial"/>
          <w:sz w:val="22"/>
          <w:szCs w:val="22"/>
        </w:rPr>
      </w:pPr>
    </w:p>
    <w:p w:rsidR="00243CBC" w:rsidRPr="00527F86" w:rsidRDefault="00243CBC" w:rsidP="00243CBC">
      <w:pPr>
        <w:jc w:val="center"/>
        <w:rPr>
          <w:rFonts w:ascii="Arial" w:hAnsi="Arial" w:cs="Arial"/>
          <w:sz w:val="22"/>
          <w:szCs w:val="22"/>
        </w:rPr>
      </w:pPr>
      <w:r w:rsidRPr="00527F86">
        <w:rPr>
          <w:rFonts w:ascii="Arial" w:hAnsi="Arial" w:cs="Arial"/>
          <w:i/>
          <w:sz w:val="22"/>
          <w:szCs w:val="22"/>
        </w:rPr>
        <w:t xml:space="preserve">Dated this </w:t>
      </w:r>
      <w:r>
        <w:rPr>
          <w:rFonts w:ascii="Arial" w:hAnsi="Arial" w:cs="Arial"/>
          <w:i/>
          <w:sz w:val="22"/>
          <w:szCs w:val="22"/>
        </w:rPr>
        <w:t>11</w:t>
      </w:r>
      <w:r w:rsidRPr="001A0FFE">
        <w:rPr>
          <w:rFonts w:ascii="Arial" w:hAnsi="Arial" w:cs="Arial"/>
          <w:i/>
          <w:sz w:val="22"/>
          <w:szCs w:val="22"/>
          <w:vertAlign w:val="superscript"/>
        </w:rPr>
        <w:t>th</w:t>
      </w:r>
      <w:r>
        <w:rPr>
          <w:rFonts w:ascii="Arial" w:hAnsi="Arial" w:cs="Arial"/>
          <w:i/>
          <w:sz w:val="22"/>
          <w:szCs w:val="22"/>
        </w:rPr>
        <w:t xml:space="preserve"> April </w:t>
      </w:r>
      <w:r w:rsidRPr="00527F86">
        <w:rPr>
          <w:rFonts w:ascii="Arial" w:hAnsi="Arial" w:cs="Arial"/>
          <w:i/>
          <w:sz w:val="22"/>
          <w:szCs w:val="22"/>
        </w:rPr>
        <w:t>201</w:t>
      </w:r>
      <w:r>
        <w:rPr>
          <w:rFonts w:ascii="Arial" w:hAnsi="Arial" w:cs="Arial"/>
          <w:i/>
          <w:sz w:val="22"/>
          <w:szCs w:val="22"/>
        </w:rPr>
        <w:t>4</w:t>
      </w:r>
      <w:r w:rsidRPr="00527F86">
        <w:rPr>
          <w:rFonts w:ascii="Arial" w:hAnsi="Arial" w:cs="Arial"/>
          <w:i/>
          <w:sz w:val="22"/>
          <w:szCs w:val="22"/>
        </w:rPr>
        <w:t xml:space="preserve">, </w:t>
      </w:r>
      <w:r w:rsidR="001708B7">
        <w:rPr>
          <w:rFonts w:ascii="Arial" w:hAnsi="Arial" w:cs="Arial"/>
          <w:i/>
          <w:sz w:val="22"/>
          <w:szCs w:val="22"/>
        </w:rPr>
        <w:t>Ile du Port</w:t>
      </w:r>
      <w:r w:rsidRPr="00527F86">
        <w:rPr>
          <w:rFonts w:ascii="Arial" w:hAnsi="Arial" w:cs="Arial"/>
          <w:i/>
          <w:sz w:val="22"/>
          <w:szCs w:val="22"/>
        </w:rPr>
        <w:t>, Seychelles.</w:t>
      </w:r>
    </w:p>
    <w:p w:rsidR="00243CBC" w:rsidRPr="00527F86" w:rsidRDefault="00243CBC" w:rsidP="00243CBC">
      <w:pPr>
        <w:rPr>
          <w:rFonts w:ascii="Arial" w:hAnsi="Arial" w:cs="Arial"/>
          <w:sz w:val="22"/>
          <w:szCs w:val="22"/>
        </w:rPr>
      </w:pPr>
    </w:p>
    <w:p w:rsidR="00F779EB" w:rsidRDefault="003B6292">
      <w:bookmarkStart w:id="0" w:name="_GoBack"/>
      <w:bookmarkEnd w:id="0"/>
    </w:p>
    <w:sectPr w:rsidR="00F779EB" w:rsidSect="00534F5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292" w:rsidRDefault="003B6292" w:rsidP="00EF700F">
      <w:r>
        <w:separator/>
      </w:r>
    </w:p>
  </w:endnote>
  <w:endnote w:type="continuationSeparator" w:id="1">
    <w:p w:rsidR="003B6292" w:rsidRDefault="003B6292" w:rsidP="00EF70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F5B" w:rsidRDefault="003B62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F5B" w:rsidRDefault="003B62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F5B" w:rsidRDefault="003B62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292" w:rsidRDefault="003B6292" w:rsidP="00EF700F">
      <w:r>
        <w:separator/>
      </w:r>
    </w:p>
  </w:footnote>
  <w:footnote w:type="continuationSeparator" w:id="1">
    <w:p w:rsidR="003B6292" w:rsidRDefault="003B6292" w:rsidP="00EF70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F5B" w:rsidRDefault="003B62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F5B" w:rsidRDefault="001E2088">
    <w:pPr>
      <w:pStyle w:val="Header"/>
      <w:jc w:val="right"/>
    </w:pPr>
    <w:r>
      <w:fldChar w:fldCharType="begin"/>
    </w:r>
    <w:r w:rsidR="00206662">
      <w:instrText xml:space="preserve"> PAGE   \* MERGEFORMAT </w:instrText>
    </w:r>
    <w:r>
      <w:fldChar w:fldCharType="separate"/>
    </w:r>
    <w:r w:rsidR="007D2BEC">
      <w:rPr>
        <w:noProof/>
      </w:rPr>
      <w:t>5</w:t>
    </w:r>
    <w:r>
      <w:fldChar w:fldCharType="end"/>
    </w:r>
  </w:p>
  <w:p w:rsidR="00534F5B" w:rsidRDefault="003B62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F5B" w:rsidRDefault="003B62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46291"/>
    <w:multiLevelType w:val="hybridMultilevel"/>
    <w:tmpl w:val="EFA40D9E"/>
    <w:lvl w:ilvl="0" w:tplc="DE1C79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77E33"/>
    <w:multiLevelType w:val="hybridMultilevel"/>
    <w:tmpl w:val="254C1DDE"/>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AA90717"/>
    <w:multiLevelType w:val="hybridMultilevel"/>
    <w:tmpl w:val="BB6A5976"/>
    <w:lvl w:ilvl="0" w:tplc="C700E548">
      <w:start w:val="7"/>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31B68ED"/>
    <w:multiLevelType w:val="hybridMultilevel"/>
    <w:tmpl w:val="2AA8BABA"/>
    <w:lvl w:ilvl="0" w:tplc="FDEAC00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77A1D50"/>
    <w:multiLevelType w:val="hybridMultilevel"/>
    <w:tmpl w:val="9936174C"/>
    <w:lvl w:ilvl="0" w:tplc="3DBCAEA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6ECB3674"/>
    <w:multiLevelType w:val="hybridMultilevel"/>
    <w:tmpl w:val="2AA8BABA"/>
    <w:lvl w:ilvl="0" w:tplc="FDEAC0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43CBC"/>
    <w:rsid w:val="00022FA2"/>
    <w:rsid w:val="000D0BD6"/>
    <w:rsid w:val="001708B7"/>
    <w:rsid w:val="001E2088"/>
    <w:rsid w:val="00206662"/>
    <w:rsid w:val="00243CBC"/>
    <w:rsid w:val="002514C2"/>
    <w:rsid w:val="00294A96"/>
    <w:rsid w:val="002A4AD5"/>
    <w:rsid w:val="002B192E"/>
    <w:rsid w:val="0030619B"/>
    <w:rsid w:val="003310D0"/>
    <w:rsid w:val="00345448"/>
    <w:rsid w:val="00377E60"/>
    <w:rsid w:val="003845BA"/>
    <w:rsid w:val="003B6292"/>
    <w:rsid w:val="003F1838"/>
    <w:rsid w:val="004C5394"/>
    <w:rsid w:val="00500680"/>
    <w:rsid w:val="00507965"/>
    <w:rsid w:val="00520B5B"/>
    <w:rsid w:val="0058796A"/>
    <w:rsid w:val="005C6C6C"/>
    <w:rsid w:val="005F4752"/>
    <w:rsid w:val="0068490C"/>
    <w:rsid w:val="00686EA9"/>
    <w:rsid w:val="0069471E"/>
    <w:rsid w:val="006C2C52"/>
    <w:rsid w:val="007775F2"/>
    <w:rsid w:val="007D2BEC"/>
    <w:rsid w:val="00822C57"/>
    <w:rsid w:val="00863A97"/>
    <w:rsid w:val="008722E1"/>
    <w:rsid w:val="009044EC"/>
    <w:rsid w:val="00922CBF"/>
    <w:rsid w:val="00952E45"/>
    <w:rsid w:val="0095434E"/>
    <w:rsid w:val="009634E6"/>
    <w:rsid w:val="009713EE"/>
    <w:rsid w:val="009740C5"/>
    <w:rsid w:val="00981DDE"/>
    <w:rsid w:val="009D1149"/>
    <w:rsid w:val="009E7670"/>
    <w:rsid w:val="00A41DBC"/>
    <w:rsid w:val="00AF34EF"/>
    <w:rsid w:val="00B40770"/>
    <w:rsid w:val="00B71B4E"/>
    <w:rsid w:val="00BD0098"/>
    <w:rsid w:val="00C567A9"/>
    <w:rsid w:val="00CC6BBF"/>
    <w:rsid w:val="00CF1A8F"/>
    <w:rsid w:val="00D23053"/>
    <w:rsid w:val="00D46245"/>
    <w:rsid w:val="00D46B1B"/>
    <w:rsid w:val="00D71C9D"/>
    <w:rsid w:val="00DE58C2"/>
    <w:rsid w:val="00DF18C3"/>
    <w:rsid w:val="00E40E66"/>
    <w:rsid w:val="00E4184E"/>
    <w:rsid w:val="00E831F9"/>
    <w:rsid w:val="00E9138D"/>
    <w:rsid w:val="00EA7ED9"/>
    <w:rsid w:val="00EF700F"/>
    <w:rsid w:val="00F3721C"/>
    <w:rsid w:val="00F85F30"/>
    <w:rsid w:val="00F9226F"/>
    <w:rsid w:val="00FC2F3F"/>
    <w:rsid w:val="00FD61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C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CBC"/>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243CBC"/>
    <w:pPr>
      <w:tabs>
        <w:tab w:val="center" w:pos="4680"/>
        <w:tab w:val="right" w:pos="9360"/>
      </w:tabs>
    </w:pPr>
  </w:style>
  <w:style w:type="character" w:customStyle="1" w:styleId="HeaderChar">
    <w:name w:val="Header Char"/>
    <w:basedOn w:val="DefaultParagraphFont"/>
    <w:link w:val="Header"/>
    <w:uiPriority w:val="99"/>
    <w:rsid w:val="00243CB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43CBC"/>
    <w:pPr>
      <w:tabs>
        <w:tab w:val="center" w:pos="4680"/>
        <w:tab w:val="right" w:pos="9360"/>
      </w:tabs>
    </w:pPr>
  </w:style>
  <w:style w:type="character" w:customStyle="1" w:styleId="FooterChar">
    <w:name w:val="Footer Char"/>
    <w:basedOn w:val="DefaultParagraphFont"/>
    <w:link w:val="Footer"/>
    <w:uiPriority w:val="99"/>
    <w:semiHidden/>
    <w:rsid w:val="00243CB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C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CBC"/>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243CBC"/>
    <w:pPr>
      <w:tabs>
        <w:tab w:val="center" w:pos="4680"/>
        <w:tab w:val="right" w:pos="9360"/>
      </w:tabs>
    </w:pPr>
  </w:style>
  <w:style w:type="character" w:customStyle="1" w:styleId="HeaderChar">
    <w:name w:val="Header Char"/>
    <w:basedOn w:val="DefaultParagraphFont"/>
    <w:link w:val="Header"/>
    <w:uiPriority w:val="99"/>
    <w:rsid w:val="00243CB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43CBC"/>
    <w:pPr>
      <w:tabs>
        <w:tab w:val="center" w:pos="4680"/>
        <w:tab w:val="right" w:pos="9360"/>
      </w:tabs>
    </w:pPr>
  </w:style>
  <w:style w:type="character" w:customStyle="1" w:styleId="FooterChar">
    <w:name w:val="Footer Char"/>
    <w:basedOn w:val="DefaultParagraphFont"/>
    <w:link w:val="Footer"/>
    <w:uiPriority w:val="99"/>
    <w:semiHidden/>
    <w:rsid w:val="00243CB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7</Pages>
  <Words>1980</Words>
  <Characters>11287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Honourable B. Domah</dc:creator>
  <cp:lastModifiedBy>Thelma</cp:lastModifiedBy>
  <cp:revision>3</cp:revision>
  <cp:lastPrinted>2014-04-21T09:06:00Z</cp:lastPrinted>
  <dcterms:created xsi:type="dcterms:W3CDTF">2014-04-10T12:40:00Z</dcterms:created>
  <dcterms:modified xsi:type="dcterms:W3CDTF">2014-04-21T09:32:00Z</dcterms:modified>
</cp:coreProperties>
</file>