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165502A30BA04071959BD21F8524E94C"/>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30B06CFA415E4B3FA7E421DBD566CC2F"/>
        </w:placeholder>
        <w:docPartList>
          <w:docPartGallery w:val="Quick Parts"/>
        </w:docPartList>
      </w:sdtPr>
      <w:sdtContent>
        <w:p w:rsidR="00102EE1" w:rsidRDefault="00496BB8" w:rsidP="00CA7795">
          <w:pPr>
            <w:jc w:val="center"/>
            <w:rPr>
              <w:b/>
              <w:sz w:val="28"/>
              <w:szCs w:val="28"/>
            </w:rPr>
          </w:pPr>
          <w:sdt>
            <w:sdtPr>
              <w:rPr>
                <w:b/>
                <w:sz w:val="28"/>
                <w:szCs w:val="28"/>
              </w:rPr>
              <w:id w:val="13542618"/>
              <w:placeholder>
                <w:docPart w:val="A21E2A28BED84CACB48FFDE19C801C3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FF08D4F151F4DB69974037A645814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5A25">
                <w:rPr>
                  <w:sz w:val="28"/>
                  <w:szCs w:val="28"/>
                </w:rPr>
                <w:t>F. MacGregor (PCA)</w:t>
              </w:r>
            </w:sdtContent>
          </w:sdt>
          <w:r w:rsidR="00097B9A">
            <w:rPr>
              <w:b/>
              <w:sz w:val="28"/>
              <w:szCs w:val="28"/>
            </w:rPr>
            <w:t xml:space="preserve"> </w:t>
          </w:r>
          <w:sdt>
            <w:sdtPr>
              <w:rPr>
                <w:sz w:val="28"/>
                <w:szCs w:val="28"/>
              </w:rPr>
              <w:id w:val="15629612"/>
              <w:placeholder>
                <w:docPart w:val="AF1A648DA2424D44A5F2BFBE09D6082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5A25">
                <w:rPr>
                  <w:sz w:val="28"/>
                  <w:szCs w:val="28"/>
                </w:rPr>
                <w:t>, S. Domah (J.A)</w:t>
              </w:r>
            </w:sdtContent>
          </w:sdt>
          <w:r w:rsidR="00097B9A">
            <w:rPr>
              <w:b/>
              <w:sz w:val="28"/>
              <w:szCs w:val="28"/>
            </w:rPr>
            <w:t xml:space="preserve"> </w:t>
          </w:r>
          <w:sdt>
            <w:sdtPr>
              <w:rPr>
                <w:sz w:val="28"/>
                <w:szCs w:val="28"/>
              </w:rPr>
              <w:id w:val="15629656"/>
              <w:placeholder>
                <w:docPart w:val="38E6204AD9F343359222211CA417C57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5A25">
                <w:rPr>
                  <w:sz w:val="28"/>
                  <w:szCs w:val="28"/>
                </w:rPr>
                <w:t>, A.Fernando (J.A)</w:t>
              </w:r>
            </w:sdtContent>
          </w:sdt>
          <w:r w:rsidR="00097B9A">
            <w:rPr>
              <w:b/>
              <w:sz w:val="28"/>
              <w:szCs w:val="28"/>
            </w:rPr>
            <w:t xml:space="preserve">  </w:t>
          </w:r>
          <w:r w:rsidR="006D0D9B">
            <w:rPr>
              <w:b/>
              <w:sz w:val="28"/>
              <w:szCs w:val="28"/>
            </w:rPr>
            <w:t>]</w:t>
          </w:r>
        </w:p>
      </w:sdtContent>
    </w:sdt>
    <w:p w:rsidR="00C55FDF" w:rsidRDefault="00496BB8" w:rsidP="0006489F">
      <w:pPr>
        <w:spacing w:before="240"/>
        <w:jc w:val="center"/>
        <w:rPr>
          <w:b/>
          <w:sz w:val="28"/>
          <w:szCs w:val="28"/>
        </w:rPr>
      </w:pPr>
      <w:sdt>
        <w:sdtPr>
          <w:rPr>
            <w:b/>
            <w:sz w:val="28"/>
            <w:szCs w:val="28"/>
          </w:rPr>
          <w:id w:val="14547297"/>
          <w:lock w:val="contentLocked"/>
          <w:placeholder>
            <w:docPart w:val="165502A30BA04071959BD21F8524E94C"/>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155A25">
        <w:rPr>
          <w:b/>
          <w:sz w:val="28"/>
          <w:szCs w:val="28"/>
        </w:rPr>
        <w:t>19</w:t>
      </w:r>
      <w:sdt>
        <w:sdtPr>
          <w:rPr>
            <w:b/>
            <w:sz w:val="28"/>
            <w:szCs w:val="28"/>
          </w:rPr>
          <w:id w:val="14547301"/>
          <w:lock w:val="sdtContentLocked"/>
          <w:placeholder>
            <w:docPart w:val="165502A30BA04071959BD21F8524E94C"/>
          </w:placeholder>
        </w:sdtPr>
        <w:sdtContent>
          <w:r w:rsidR="00E86753">
            <w:rPr>
              <w:b/>
              <w:sz w:val="28"/>
              <w:szCs w:val="28"/>
            </w:rPr>
            <w:t>/20</w:t>
          </w:r>
        </w:sdtContent>
      </w:sdt>
      <w:r w:rsidR="00155A25">
        <w:rPr>
          <w:b/>
          <w:sz w:val="28"/>
          <w:szCs w:val="28"/>
        </w:rPr>
        <w:t>13</w:t>
      </w:r>
    </w:p>
    <w:p w:rsidR="00DB6D34" w:rsidRPr="00606EEA" w:rsidRDefault="00496BB8" w:rsidP="00616597">
      <w:pPr>
        <w:spacing w:before="120"/>
        <w:jc w:val="center"/>
        <w:rPr>
          <w:b/>
          <w:sz w:val="24"/>
          <w:szCs w:val="24"/>
        </w:rPr>
      </w:pPr>
      <w:sdt>
        <w:sdtPr>
          <w:rPr>
            <w:b/>
            <w:sz w:val="28"/>
            <w:szCs w:val="28"/>
          </w:rPr>
          <w:id w:val="15629594"/>
          <w:lock w:val="contentLocked"/>
          <w:placeholder>
            <w:docPart w:val="4D13D98901804AFF847874E786443498"/>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155A25">
        <w:rPr>
          <w:b/>
          <w:sz w:val="28"/>
          <w:szCs w:val="28"/>
        </w:rPr>
        <w:t>CA 08</w:t>
      </w:r>
      <w:sdt>
        <w:sdtPr>
          <w:rPr>
            <w:b/>
            <w:sz w:val="28"/>
            <w:szCs w:val="28"/>
          </w:rPr>
          <w:id w:val="15629598"/>
          <w:lock w:val="contentLocked"/>
          <w:placeholder>
            <w:docPart w:val="4D13D98901804AFF847874E786443498"/>
          </w:placeholder>
        </w:sdtPr>
        <w:sdtContent>
          <w:r w:rsidR="00097B9A">
            <w:rPr>
              <w:b/>
              <w:sz w:val="24"/>
              <w:szCs w:val="24"/>
            </w:rPr>
            <w:t>/20</w:t>
          </w:r>
        </w:sdtContent>
      </w:sdt>
      <w:r w:rsidR="00155A25">
        <w:rPr>
          <w:b/>
          <w:sz w:val="28"/>
          <w:szCs w:val="28"/>
        </w:rPr>
        <w:t>06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3"/>
        <w:gridCol w:w="883"/>
        <w:gridCol w:w="4420"/>
      </w:tblGrid>
      <w:tr w:rsidR="003A059B" w:rsidRPr="00B26028" w:rsidTr="00B66B63">
        <w:tc>
          <w:tcPr>
            <w:tcW w:w="4428" w:type="dxa"/>
            <w:tcBorders>
              <w:top w:val="nil"/>
              <w:left w:val="nil"/>
              <w:bottom w:val="nil"/>
              <w:right w:val="nil"/>
            </w:tcBorders>
          </w:tcPr>
          <w:p w:rsidR="003A059B" w:rsidRPr="00B26028" w:rsidRDefault="00155A25" w:rsidP="00155A25">
            <w:pPr>
              <w:spacing w:before="120" w:after="120"/>
              <w:rPr>
                <w:sz w:val="24"/>
                <w:szCs w:val="24"/>
              </w:rPr>
            </w:pPr>
            <w:r>
              <w:rPr>
                <w:sz w:val="24"/>
                <w:szCs w:val="24"/>
              </w:rPr>
              <w:t>Telecom (Seychelles)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155A25" w:rsidP="00155A25">
            <w:pPr>
              <w:tabs>
                <w:tab w:val="left" w:pos="2944"/>
              </w:tabs>
              <w:spacing w:before="120" w:after="120"/>
              <w:rPr>
                <w:sz w:val="24"/>
                <w:szCs w:val="24"/>
              </w:rPr>
            </w:pPr>
            <w:r>
              <w:rPr>
                <w:sz w:val="24"/>
                <w:szCs w:val="24"/>
              </w:rPr>
              <w:tab/>
              <w:t>Appellant</w:t>
            </w:r>
          </w:p>
          <w:p w:rsidR="00155A25" w:rsidRPr="00B26028" w:rsidRDefault="00155A25" w:rsidP="00155A25">
            <w:pPr>
              <w:tabs>
                <w:tab w:val="left" w:pos="3016"/>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54CB56FDD3F429B830EAB1B719D1973"/>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55A25" w:rsidRDefault="00155A25"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96BB8" w:rsidP="00155A25">
            <w:pPr>
              <w:spacing w:before="120" w:after="120"/>
              <w:rPr>
                <w:sz w:val="24"/>
                <w:szCs w:val="24"/>
              </w:rPr>
            </w:pPr>
            <w:sdt>
              <w:sdtPr>
                <w:rPr>
                  <w:sz w:val="24"/>
                  <w:szCs w:val="24"/>
                </w:rPr>
                <w:id w:val="8972153"/>
                <w:placeholder>
                  <w:docPart w:val="4E6159C7703A4857B0BE0B819FEB33EA"/>
                </w:placeholder>
              </w:sdtPr>
              <w:sdtContent>
                <w:r w:rsidR="00155A25">
                  <w:rPr>
                    <w:sz w:val="24"/>
                    <w:szCs w:val="24"/>
                  </w:rPr>
                  <w:t>The Commissioner of Taxes (SRC)</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155A25" w:rsidP="00155A25">
            <w:pPr>
              <w:tabs>
                <w:tab w:val="left" w:pos="2940"/>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96BB8" w:rsidP="00C22967">
      <w:pPr>
        <w:spacing w:before="240" w:after="120"/>
        <w:rPr>
          <w:sz w:val="24"/>
          <w:szCs w:val="24"/>
        </w:rPr>
      </w:pPr>
      <w:sdt>
        <w:sdtPr>
          <w:rPr>
            <w:sz w:val="24"/>
            <w:szCs w:val="24"/>
          </w:rPr>
          <w:id w:val="15629736"/>
          <w:lock w:val="contentLocked"/>
          <w:placeholder>
            <w:docPart w:val="4D13D98901804AFF847874E78644349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7BCA3E2D30E4E87811DAC022B0F2C4A"/>
          </w:placeholder>
          <w:date w:fullDate="2015-08-20T00:00:00Z">
            <w:dateFormat w:val="dd MMMM yyyy"/>
            <w:lid w:val="en-GB"/>
            <w:storeMappedDataAs w:val="dateTime"/>
            <w:calendar w:val="gregorian"/>
          </w:date>
        </w:sdtPr>
        <w:sdtContent>
          <w:r w:rsidR="00155A25">
            <w:rPr>
              <w:sz w:val="24"/>
              <w:szCs w:val="24"/>
            </w:rPr>
            <w:t>20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496BB8" w:rsidP="00B0414B">
      <w:pPr>
        <w:rPr>
          <w:sz w:val="24"/>
          <w:szCs w:val="24"/>
        </w:rPr>
      </w:pPr>
      <w:sdt>
        <w:sdtPr>
          <w:rPr>
            <w:sz w:val="24"/>
            <w:szCs w:val="24"/>
          </w:rPr>
          <w:id w:val="15629744"/>
          <w:lock w:val="contentLocked"/>
          <w:placeholder>
            <w:docPart w:val="4D13D98901804AFF847874E786443498"/>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CD5987FEEC6247EC81C42EA929513866"/>
          </w:placeholder>
        </w:sdtPr>
        <w:sdtContent>
          <w:r w:rsidR="00155A25">
            <w:rPr>
              <w:sz w:val="24"/>
              <w:szCs w:val="24"/>
            </w:rPr>
            <w:t>Mr. Kieran Shah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CD5987FEEC6247EC81C42EA929513866"/>
          </w:placeholder>
        </w:sdtPr>
        <w:sdtContent>
          <w:r w:rsidR="00155A25">
            <w:rPr>
              <w:sz w:val="24"/>
              <w:szCs w:val="24"/>
            </w:rPr>
            <w:t>Mr. Vipin Benjamin for the Respondent</w:t>
          </w:r>
        </w:sdtContent>
      </w:sdt>
      <w:r w:rsidR="00496BB8" w:rsidRPr="00503E49">
        <w:rPr>
          <w:sz w:val="24"/>
          <w:szCs w:val="24"/>
        </w:rPr>
        <w:fldChar w:fldCharType="begin"/>
      </w:r>
      <w:r w:rsidR="00F804CC" w:rsidRPr="00503E49">
        <w:rPr>
          <w:sz w:val="24"/>
          <w:szCs w:val="24"/>
        </w:rPr>
        <w:instrText xml:space="preserve"> ASK  "Enter Respondent Lawyer Full Name"  \* MERGEFORMAT </w:instrText>
      </w:r>
      <w:r w:rsidR="00496BB8" w:rsidRPr="00503E49">
        <w:rPr>
          <w:sz w:val="24"/>
          <w:szCs w:val="24"/>
        </w:rPr>
        <w:fldChar w:fldCharType="end"/>
      </w:r>
      <w:r w:rsidR="00496BB8" w:rsidRPr="00503E49">
        <w:rPr>
          <w:sz w:val="24"/>
          <w:szCs w:val="24"/>
        </w:rPr>
        <w:fldChar w:fldCharType="begin"/>
      </w:r>
      <w:r w:rsidR="003F0F8D" w:rsidRPr="00503E49">
        <w:rPr>
          <w:sz w:val="24"/>
          <w:szCs w:val="24"/>
        </w:rPr>
        <w:instrText xml:space="preserve">  </w:instrText>
      </w:r>
      <w:r w:rsidR="00496BB8" w:rsidRPr="00503E49">
        <w:rPr>
          <w:sz w:val="24"/>
          <w:szCs w:val="24"/>
        </w:rPr>
        <w:fldChar w:fldCharType="end"/>
      </w:r>
      <w:r w:rsidR="00FD51E7" w:rsidRPr="00503E49">
        <w:rPr>
          <w:sz w:val="24"/>
          <w:szCs w:val="24"/>
        </w:rPr>
        <w:t xml:space="preserve"> </w:t>
      </w:r>
    </w:p>
    <w:p w:rsidR="00E6492F" w:rsidRDefault="00496BB8" w:rsidP="006578C2">
      <w:pPr>
        <w:spacing w:before="120" w:after="240"/>
        <w:rPr>
          <w:sz w:val="24"/>
          <w:szCs w:val="24"/>
        </w:rPr>
      </w:pPr>
      <w:sdt>
        <w:sdtPr>
          <w:rPr>
            <w:sz w:val="24"/>
            <w:szCs w:val="24"/>
          </w:rPr>
          <w:id w:val="15629748"/>
          <w:lock w:val="contentLocked"/>
          <w:placeholder>
            <w:docPart w:val="4D13D98901804AFF847874E786443498"/>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468EFE38D124472E817C5E67A2AD14F7"/>
          </w:placeholder>
          <w:date w:fullDate="2015-08-28T00:00:00Z">
            <w:dateFormat w:val="dd MMMM yyyy"/>
            <w:lid w:val="en-GB"/>
            <w:storeMappedDataAs w:val="dateTime"/>
            <w:calendar w:val="gregorian"/>
          </w:date>
        </w:sdtPr>
        <w:sdtContent>
          <w:r w:rsidR="00F25E2B">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D13D98901804AFF847874E786443498"/>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96BB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9EC0F633AD34856B416F4EAA0CABD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5A25">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0FF12A9EE1C54C32B6726A0B2AEC8A75"/>
        </w:placeholder>
      </w:sdtPr>
      <w:sdtContent>
        <w:p w:rsidR="00155A25" w:rsidRDefault="00155A25" w:rsidP="00155A25">
          <w:pPr>
            <w:widowControl/>
            <w:autoSpaceDE/>
            <w:autoSpaceDN/>
            <w:adjustRightInd/>
            <w:spacing w:line="360" w:lineRule="auto"/>
            <w:ind w:left="720" w:hanging="720"/>
            <w:jc w:val="both"/>
            <w:rPr>
              <w:rFonts w:ascii="Arial" w:hAnsi="Arial" w:cs="Arial"/>
              <w:sz w:val="22"/>
              <w:szCs w:val="22"/>
            </w:rPr>
          </w:pPr>
          <w:r w:rsidRPr="00155A25">
            <w:rPr>
              <w:rFonts w:ascii="Arial" w:hAnsi="Arial" w:cs="Arial"/>
              <w:sz w:val="22"/>
              <w:szCs w:val="22"/>
            </w:rPr>
            <w:t>[1]</w:t>
          </w:r>
          <w:r w:rsidRPr="00155A25">
            <w:rPr>
              <w:rFonts w:ascii="Arial" w:hAnsi="Arial" w:cs="Arial"/>
              <w:sz w:val="22"/>
              <w:szCs w:val="22"/>
            </w:rPr>
            <w:tab/>
            <w:t>This is a 2</w:t>
          </w:r>
          <w:r w:rsidRPr="00155A25">
            <w:rPr>
              <w:rFonts w:ascii="Arial" w:hAnsi="Arial" w:cs="Arial"/>
              <w:sz w:val="22"/>
              <w:szCs w:val="22"/>
              <w:vertAlign w:val="superscript"/>
            </w:rPr>
            <w:t>nd</w:t>
          </w:r>
          <w:r w:rsidRPr="00155A25">
            <w:rPr>
              <w:rFonts w:ascii="Arial" w:hAnsi="Arial" w:cs="Arial"/>
              <w:sz w:val="22"/>
              <w:szCs w:val="22"/>
            </w:rPr>
            <w:t xml:space="preserve"> tier appeal from the appellate decision of the Supreme Court on the decision of the Commissioner of Taxes (“The Commissioner”) who had assessed the appellant company, Telecom (Seychelles) Limited (“the TSL”) for its liability to pay certain specific taxes on certain payments made by TSL for the period 1999 to 2004 and 8 months in 2005. The TSL had appealed against that decision of the Commissioner to the Supreme Court and the learned Judge had confirmed the decision of the Commissioner</w:t>
          </w:r>
          <w:r>
            <w:rPr>
              <w:rFonts w:ascii="Arial" w:hAnsi="Arial" w:cs="Arial"/>
              <w:sz w:val="22"/>
              <w:szCs w:val="22"/>
            </w:rPr>
            <w:t xml:space="preserve">.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TSL has appealed against the decision of the learned Judge and advanced 3 grounds of appeal, as follows:</w:t>
          </w:r>
        </w:p>
        <w:p w:rsidR="00155A25" w:rsidRDefault="00155A25" w:rsidP="00155A25">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 xml:space="preserve">The Learned Judge  was in error to find that the Seychelles Government did not and was not willing to exempt the Appellant from payment of withholding </w:t>
          </w:r>
          <w:r>
            <w:rPr>
              <w:rFonts w:ascii="Arial" w:hAnsi="Arial" w:cs="Arial"/>
              <w:sz w:val="22"/>
              <w:szCs w:val="22"/>
            </w:rPr>
            <w:lastRenderedPageBreak/>
            <w:t>tax when such finding goes contrary to the express statement of the Ministry of Finance’s letter dated 25</w:t>
          </w:r>
          <w:r>
            <w:rPr>
              <w:rFonts w:ascii="Arial" w:hAnsi="Arial" w:cs="Arial"/>
              <w:sz w:val="22"/>
              <w:szCs w:val="22"/>
              <w:vertAlign w:val="superscript"/>
            </w:rPr>
            <w:t>th</w:t>
          </w:r>
          <w:r>
            <w:rPr>
              <w:rFonts w:ascii="Arial" w:hAnsi="Arial" w:cs="Arial"/>
              <w:sz w:val="22"/>
              <w:szCs w:val="22"/>
            </w:rPr>
            <w:t xml:space="preserve"> October 1999 that “withholding tax will not be levied on the business in respect of payment made to foreign suppliers of services and equipment, and this in line with the spirit of our letter FIN/1/27 of 28</w:t>
          </w:r>
          <w:r>
            <w:rPr>
              <w:rFonts w:ascii="Arial" w:hAnsi="Arial" w:cs="Arial"/>
              <w:sz w:val="22"/>
              <w:szCs w:val="22"/>
              <w:vertAlign w:val="superscript"/>
            </w:rPr>
            <w:t>th</w:t>
          </w:r>
          <w:r>
            <w:rPr>
              <w:rFonts w:ascii="Arial" w:hAnsi="Arial" w:cs="Arial"/>
              <w:sz w:val="22"/>
              <w:szCs w:val="22"/>
            </w:rPr>
            <w:t xml:space="preserve"> November 1997.” </w:t>
          </w:r>
        </w:p>
        <w:p w:rsidR="00155A25" w:rsidRDefault="00155A25" w:rsidP="00155A25">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The Learned Judge  was in error to find that the said letter of 25</w:t>
          </w:r>
          <w:r>
            <w:rPr>
              <w:rFonts w:ascii="Arial" w:hAnsi="Arial" w:cs="Arial"/>
              <w:sz w:val="22"/>
              <w:szCs w:val="22"/>
              <w:vertAlign w:val="superscript"/>
            </w:rPr>
            <w:t>th</w:t>
          </w:r>
          <w:r>
            <w:rPr>
              <w:rFonts w:ascii="Arial" w:hAnsi="Arial" w:cs="Arial"/>
              <w:sz w:val="22"/>
              <w:szCs w:val="22"/>
            </w:rPr>
            <w:t xml:space="preserve"> October 1999 did not confer any exemptions or incentives with regard to withholding tax to the Appellant. </w:t>
          </w:r>
        </w:p>
        <w:p w:rsidR="00155A25" w:rsidRDefault="00155A25" w:rsidP="00155A25">
          <w:pPr>
            <w:widowControl/>
            <w:numPr>
              <w:ilvl w:val="0"/>
              <w:numId w:val="8"/>
            </w:numPr>
            <w:autoSpaceDE/>
            <w:autoSpaceDN/>
            <w:adjustRightInd/>
            <w:spacing w:line="360" w:lineRule="auto"/>
            <w:jc w:val="both"/>
            <w:rPr>
              <w:rFonts w:ascii="Arial" w:hAnsi="Arial" w:cs="Arial"/>
              <w:sz w:val="22"/>
              <w:szCs w:val="22"/>
            </w:rPr>
          </w:pPr>
          <w:r>
            <w:rPr>
              <w:rFonts w:ascii="Arial" w:hAnsi="Arial" w:cs="Arial"/>
              <w:sz w:val="22"/>
              <w:szCs w:val="22"/>
            </w:rPr>
            <w:t>That on the totality of the evidence and when viewed in their context the learned Judge should have come to the conclusion that the Seychelles Government had granted the Appellant an exemption to withholding tax  but instead the learned Judge misled himself in stating that “if the Respondent (sic Government of Seychelles) had intended to have the concessions and incentives apply … it would have expressly stated so by including it in the agreement or conditions in the licence, just like the other concessions,” when in fact the other concessions were not stated in the agreement nor in the Telecommunication Licence. The other concessions were granted in a separate letter dated 28</w:t>
          </w:r>
          <w:r>
            <w:rPr>
              <w:rFonts w:ascii="Arial" w:hAnsi="Arial" w:cs="Arial"/>
              <w:sz w:val="22"/>
              <w:szCs w:val="22"/>
              <w:vertAlign w:val="superscript"/>
            </w:rPr>
            <w:t>th</w:t>
          </w:r>
          <w:r>
            <w:rPr>
              <w:rFonts w:ascii="Arial" w:hAnsi="Arial" w:cs="Arial"/>
              <w:sz w:val="22"/>
              <w:szCs w:val="22"/>
            </w:rPr>
            <w:t xml:space="preserve"> November 1997.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respondent is resisting the appeal and has filed its submissions in response to the arguments advanced by the appellant. Grounds 1 and 2 may be taken together.</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facts of the case are as follows. By letter dated 28 November the Government  after “carefully considering all the issues and implications” decided to give a number of concessions and incentives to the TSL with the objective of creating a level playing field in the telecommunication sector, all of which were to be administered by the Ministry of Finance (Doc B12 refers). They were 7 in number (“the original 1997 grant”). The content of this letter was made into a formal agreement (B16 refers).  On 14 April 1998, a licence was issued to the appellant in accordance with a previous letter dated  6 October 1997 (C12).  One particular issue which cropped up regarding its liability to withholding tax related to the item of its use of services of non residents in Seychelles. A letter dated 8 January 1999 was sent to TSL which gave details of the percentage of dividends, interest and royalty that would apply in 6 cases, with a rider that “any payment made for work done as per description provided above, would be subjected to </w:t>
          </w:r>
          <w:r>
            <w:rPr>
              <w:rFonts w:ascii="Arial" w:hAnsi="Arial" w:cs="Arial"/>
              <w:sz w:val="22"/>
              <w:szCs w:val="22"/>
            </w:rPr>
            <w:lastRenderedPageBreak/>
            <w:t xml:space="preserve">Withholding Tax as provided for in Part IV of the Withholding Tax provisions under the Business Tax Act of 1987. </w:t>
          </w:r>
        </w:p>
        <w:p w:rsidR="00155A25" w:rsidRDefault="00155A25" w:rsidP="00155A25">
          <w:pPr>
            <w:spacing w:line="360" w:lineRule="auto"/>
            <w:jc w:val="both"/>
            <w:rPr>
              <w:rFonts w:ascii="Arial" w:hAnsi="Arial" w:cs="Arial"/>
              <w:sz w:val="22"/>
              <w:szCs w:val="22"/>
            </w:rPr>
          </w:pPr>
        </w:p>
        <w:p w:rsidR="00155A25" w:rsidRPr="00004B8B" w:rsidRDefault="00155A25" w:rsidP="00155A25">
          <w:pPr>
            <w:widowControl/>
            <w:autoSpaceDE/>
            <w:autoSpaceDN/>
            <w:adjustRightInd/>
            <w:spacing w:line="360" w:lineRule="auto"/>
            <w:ind w:left="720" w:hanging="720"/>
            <w:jc w:val="both"/>
            <w:rPr>
              <w:rFonts w:ascii="Arial" w:hAnsi="Arial" w:cs="Arial"/>
              <w:i/>
              <w:sz w:val="22"/>
              <w:szCs w:val="22"/>
            </w:rPr>
          </w:pPr>
          <w:r>
            <w:rPr>
              <w:rFonts w:ascii="Arial" w:hAnsi="Arial" w:cs="Arial"/>
              <w:sz w:val="22"/>
              <w:szCs w:val="22"/>
            </w:rPr>
            <w:t>[5]</w:t>
          </w:r>
          <w:r>
            <w:rPr>
              <w:rFonts w:ascii="Arial" w:hAnsi="Arial" w:cs="Arial"/>
              <w:sz w:val="22"/>
              <w:szCs w:val="22"/>
            </w:rPr>
            <w:tab/>
            <w:t xml:space="preserve">On the issue of the supply of services, TSL started a correspondence with </w:t>
          </w:r>
          <w:r w:rsidRPr="00FD5779">
            <w:rPr>
              <w:rFonts w:ascii="Arial" w:hAnsi="Arial" w:cs="Arial"/>
              <w:sz w:val="22"/>
              <w:szCs w:val="22"/>
            </w:rPr>
            <w:t xml:space="preserve">the Office of the President </w:t>
          </w:r>
          <w:r>
            <w:rPr>
              <w:rFonts w:ascii="Arial" w:hAnsi="Arial" w:cs="Arial"/>
              <w:sz w:val="22"/>
              <w:szCs w:val="22"/>
            </w:rPr>
            <w:t xml:space="preserve">as from </w:t>
          </w:r>
          <w:r w:rsidRPr="00FD5779">
            <w:rPr>
              <w:rFonts w:ascii="Arial" w:hAnsi="Arial" w:cs="Arial"/>
              <w:sz w:val="22"/>
              <w:szCs w:val="22"/>
            </w:rPr>
            <w:t>29 March 1999</w:t>
          </w:r>
          <w:r>
            <w:rPr>
              <w:rFonts w:ascii="Arial" w:hAnsi="Arial" w:cs="Arial"/>
              <w:sz w:val="22"/>
              <w:szCs w:val="22"/>
            </w:rPr>
            <w:t xml:space="preserve">. The </w:t>
          </w:r>
          <w:r w:rsidRPr="00FD5779">
            <w:rPr>
              <w:rFonts w:ascii="Arial" w:hAnsi="Arial" w:cs="Arial"/>
              <w:sz w:val="22"/>
              <w:szCs w:val="22"/>
            </w:rPr>
            <w:t xml:space="preserve">Ministry of Finance </w:t>
          </w:r>
          <w:r>
            <w:rPr>
              <w:rFonts w:ascii="Arial" w:hAnsi="Arial" w:cs="Arial"/>
              <w:sz w:val="22"/>
              <w:szCs w:val="22"/>
            </w:rPr>
            <w:t xml:space="preserve">had raised </w:t>
          </w:r>
          <w:r w:rsidRPr="00FD5779">
            <w:rPr>
              <w:rFonts w:ascii="Arial" w:hAnsi="Arial" w:cs="Arial"/>
              <w:sz w:val="22"/>
              <w:szCs w:val="22"/>
            </w:rPr>
            <w:t xml:space="preserve">some queries on the </w:t>
          </w:r>
          <w:r>
            <w:rPr>
              <w:rFonts w:ascii="Arial" w:hAnsi="Arial" w:cs="Arial"/>
              <w:sz w:val="22"/>
              <w:szCs w:val="22"/>
            </w:rPr>
            <w:t xml:space="preserve">matter. TSL </w:t>
          </w:r>
          <w:r w:rsidRPr="00FD5779">
            <w:rPr>
              <w:rFonts w:ascii="Arial" w:hAnsi="Arial" w:cs="Arial"/>
              <w:sz w:val="22"/>
              <w:szCs w:val="22"/>
            </w:rPr>
            <w:t>argue</w:t>
          </w:r>
          <w:r>
            <w:rPr>
              <w:rFonts w:ascii="Arial" w:hAnsi="Arial" w:cs="Arial"/>
              <w:sz w:val="22"/>
              <w:szCs w:val="22"/>
            </w:rPr>
            <w:t xml:space="preserve">d in the letter </w:t>
          </w:r>
          <w:r w:rsidRPr="00FD5779">
            <w:rPr>
              <w:rFonts w:ascii="Arial" w:hAnsi="Arial" w:cs="Arial"/>
              <w:sz w:val="22"/>
              <w:szCs w:val="22"/>
            </w:rPr>
            <w:t xml:space="preserve">that </w:t>
          </w:r>
          <w:r>
            <w:rPr>
              <w:rFonts w:ascii="Arial" w:hAnsi="Arial" w:cs="Arial"/>
              <w:sz w:val="22"/>
              <w:szCs w:val="22"/>
            </w:rPr>
            <w:t>in the negotiations that culminated in the original 1997 grant letter (</w:t>
          </w:r>
          <w:r w:rsidRPr="00FD5779">
            <w:rPr>
              <w:rFonts w:ascii="Arial" w:hAnsi="Arial" w:cs="Arial"/>
              <w:sz w:val="22"/>
              <w:szCs w:val="22"/>
            </w:rPr>
            <w:t>28 November 1997</w:t>
          </w:r>
          <w:r>
            <w:rPr>
              <w:rFonts w:ascii="Arial" w:hAnsi="Arial" w:cs="Arial"/>
              <w:sz w:val="22"/>
              <w:szCs w:val="22"/>
            </w:rPr>
            <w:t>),</w:t>
          </w:r>
          <w:r w:rsidRPr="00FD5779">
            <w:rPr>
              <w:rFonts w:ascii="Arial" w:hAnsi="Arial" w:cs="Arial"/>
              <w:sz w:val="22"/>
              <w:szCs w:val="22"/>
            </w:rPr>
            <w:t xml:space="preserve"> this </w:t>
          </w:r>
          <w:r>
            <w:rPr>
              <w:rFonts w:ascii="Arial" w:hAnsi="Arial" w:cs="Arial"/>
              <w:sz w:val="22"/>
              <w:szCs w:val="22"/>
            </w:rPr>
            <w:t xml:space="preserve">condition </w:t>
          </w:r>
          <w:r w:rsidRPr="00FD5779">
            <w:rPr>
              <w:rFonts w:ascii="Arial" w:hAnsi="Arial" w:cs="Arial"/>
              <w:sz w:val="22"/>
              <w:szCs w:val="22"/>
            </w:rPr>
            <w:t xml:space="preserve">that “the withholding tax will not be applicable” </w:t>
          </w:r>
          <w:r>
            <w:rPr>
              <w:rFonts w:ascii="Arial" w:hAnsi="Arial" w:cs="Arial"/>
              <w:sz w:val="22"/>
              <w:szCs w:val="22"/>
            </w:rPr>
            <w:t xml:space="preserve">had been mooted </w:t>
          </w:r>
          <w:r w:rsidRPr="00FD5779">
            <w:rPr>
              <w:rFonts w:ascii="Arial" w:hAnsi="Arial" w:cs="Arial"/>
              <w:sz w:val="22"/>
              <w:szCs w:val="22"/>
            </w:rPr>
            <w:t xml:space="preserve">but </w:t>
          </w:r>
          <w:r>
            <w:rPr>
              <w:rFonts w:ascii="Arial" w:hAnsi="Arial" w:cs="Arial"/>
              <w:sz w:val="22"/>
              <w:szCs w:val="22"/>
            </w:rPr>
            <w:t xml:space="preserve">had been missed out </w:t>
          </w:r>
          <w:r w:rsidRPr="00FD5779">
            <w:rPr>
              <w:rFonts w:ascii="Arial" w:hAnsi="Arial" w:cs="Arial"/>
              <w:sz w:val="22"/>
              <w:szCs w:val="22"/>
            </w:rPr>
            <w:t>in the</w:t>
          </w:r>
          <w:r>
            <w:rPr>
              <w:rFonts w:ascii="Arial" w:hAnsi="Arial" w:cs="Arial"/>
              <w:sz w:val="22"/>
              <w:szCs w:val="22"/>
            </w:rPr>
            <w:t xml:space="preserve"> list of concessions and exemptions. Following a further correspondence dated </w:t>
          </w:r>
          <w:r w:rsidRPr="00FD5779">
            <w:rPr>
              <w:rFonts w:ascii="Arial" w:hAnsi="Arial" w:cs="Arial"/>
              <w:sz w:val="22"/>
              <w:szCs w:val="22"/>
            </w:rPr>
            <w:t xml:space="preserve">25 May 1999, the </w:t>
          </w:r>
          <w:r w:rsidR="001459D7">
            <w:rPr>
              <w:rFonts w:ascii="Arial" w:hAnsi="Arial" w:cs="Arial"/>
              <w:sz w:val="22"/>
              <w:szCs w:val="22"/>
            </w:rPr>
            <w:t>Ministry of Finance</w:t>
          </w:r>
          <w:r w:rsidRPr="00FD5779">
            <w:rPr>
              <w:rFonts w:ascii="Arial" w:hAnsi="Arial" w:cs="Arial"/>
              <w:sz w:val="22"/>
              <w:szCs w:val="22"/>
            </w:rPr>
            <w:t xml:space="preserve"> </w:t>
          </w:r>
          <w:r>
            <w:rPr>
              <w:rFonts w:ascii="Arial" w:hAnsi="Arial" w:cs="Arial"/>
              <w:sz w:val="22"/>
              <w:szCs w:val="22"/>
            </w:rPr>
            <w:t>tenders, o</w:t>
          </w:r>
          <w:r w:rsidRPr="00FD5779">
            <w:rPr>
              <w:rFonts w:ascii="Arial" w:hAnsi="Arial" w:cs="Arial"/>
              <w:sz w:val="22"/>
              <w:szCs w:val="22"/>
            </w:rPr>
            <w:t>n</w:t>
          </w:r>
          <w:r>
            <w:rPr>
              <w:rFonts w:ascii="Arial" w:hAnsi="Arial" w:cs="Arial"/>
              <w:sz w:val="22"/>
              <w:szCs w:val="22"/>
            </w:rPr>
            <w:t xml:space="preserve"> </w:t>
          </w:r>
          <w:r w:rsidRPr="00FD5779">
            <w:rPr>
              <w:rFonts w:ascii="Arial" w:hAnsi="Arial" w:cs="Arial"/>
              <w:sz w:val="22"/>
              <w:szCs w:val="22"/>
            </w:rPr>
            <w:t xml:space="preserve">25 October 1999, an answer to </w:t>
          </w:r>
          <w:r>
            <w:rPr>
              <w:rFonts w:ascii="Arial" w:hAnsi="Arial" w:cs="Arial"/>
              <w:sz w:val="22"/>
              <w:szCs w:val="22"/>
            </w:rPr>
            <w:t xml:space="preserve">TSL and stated so unequivocally </w:t>
          </w:r>
          <w:r w:rsidRPr="00FD5779">
            <w:rPr>
              <w:rFonts w:ascii="Arial" w:hAnsi="Arial" w:cs="Arial"/>
              <w:sz w:val="22"/>
              <w:szCs w:val="22"/>
            </w:rPr>
            <w:t xml:space="preserve">that </w:t>
          </w:r>
          <w:r w:rsidRPr="00D43D72">
            <w:rPr>
              <w:rFonts w:ascii="Arial" w:hAnsi="Arial" w:cs="Arial"/>
              <w:i/>
              <w:sz w:val="22"/>
              <w:szCs w:val="22"/>
            </w:rPr>
            <w:t xml:space="preserve">“withholding tax will not be levied on the business in respect of payments made to </w:t>
          </w:r>
          <w:r w:rsidRPr="00D43D72">
            <w:rPr>
              <w:rFonts w:ascii="Arial" w:hAnsi="Arial" w:cs="Arial"/>
              <w:i/>
              <w:sz w:val="22"/>
              <w:szCs w:val="22"/>
              <w:u w:val="single"/>
            </w:rPr>
            <w:t>foreign</w:t>
          </w:r>
          <w:r w:rsidRPr="00D43D72">
            <w:rPr>
              <w:rFonts w:ascii="Arial" w:hAnsi="Arial" w:cs="Arial"/>
              <w:i/>
              <w:sz w:val="22"/>
              <w:szCs w:val="22"/>
            </w:rPr>
            <w:t xml:space="preserve"> suppliers of services or equipments, and in line with the spirit of our letter FIN/1/27 of 28</w:t>
          </w:r>
          <w:r w:rsidRPr="00D43D72">
            <w:rPr>
              <w:rFonts w:ascii="Arial" w:hAnsi="Arial" w:cs="Arial"/>
              <w:i/>
              <w:sz w:val="22"/>
              <w:szCs w:val="22"/>
              <w:vertAlign w:val="superscript"/>
            </w:rPr>
            <w:t>th</w:t>
          </w:r>
          <w:r w:rsidRPr="00D43D72">
            <w:rPr>
              <w:rFonts w:ascii="Arial" w:hAnsi="Arial" w:cs="Arial"/>
              <w:i/>
              <w:sz w:val="22"/>
              <w:szCs w:val="22"/>
            </w:rPr>
            <w:t xml:space="preserve"> November 1997.”</w:t>
          </w:r>
          <w:r w:rsidRPr="00FD5779">
            <w:rPr>
              <w:rFonts w:ascii="Arial" w:hAnsi="Arial" w:cs="Arial"/>
              <w:sz w:val="22"/>
              <w:szCs w:val="22"/>
            </w:rPr>
            <w:t xml:space="preserve">  The letter is duly copied to the Commissioner of Taxes</w:t>
          </w:r>
          <w:r>
            <w:rPr>
              <w:rFonts w:ascii="Arial" w:hAnsi="Arial" w:cs="Arial"/>
              <w:sz w:val="22"/>
              <w:szCs w:val="22"/>
            </w:rPr>
            <w:t xml:space="preserve"> (“the subsequent 1999 grant”).</w:t>
          </w:r>
        </w:p>
        <w:p w:rsidR="00155A25" w:rsidRPr="00FD5779" w:rsidRDefault="00155A25" w:rsidP="00155A25">
          <w:pPr>
            <w:spacing w:line="360" w:lineRule="auto"/>
            <w:ind w:left="720"/>
            <w:jc w:val="both"/>
            <w:rPr>
              <w:rFonts w:ascii="Arial" w:hAnsi="Arial" w:cs="Arial"/>
              <w:i/>
              <w:sz w:val="22"/>
              <w:szCs w:val="22"/>
            </w:rPr>
          </w:pPr>
          <w:r w:rsidRPr="00FD5779">
            <w:rPr>
              <w:rFonts w:ascii="Arial" w:hAnsi="Arial" w:cs="Arial"/>
              <w:sz w:val="22"/>
              <w:szCs w:val="22"/>
            </w:rPr>
            <w:t xml:space="preserve"> </w:t>
          </w:r>
        </w:p>
        <w:p w:rsidR="00155A25" w:rsidRPr="00FD5779" w:rsidRDefault="00155A25" w:rsidP="00155A25">
          <w:pPr>
            <w:widowControl/>
            <w:autoSpaceDE/>
            <w:autoSpaceDN/>
            <w:adjustRightInd/>
            <w:spacing w:line="360" w:lineRule="auto"/>
            <w:ind w:left="720" w:hanging="720"/>
            <w:jc w:val="both"/>
            <w:rPr>
              <w:rFonts w:ascii="Arial" w:hAnsi="Arial" w:cs="Arial"/>
              <w:i/>
              <w:sz w:val="22"/>
              <w:szCs w:val="22"/>
            </w:rPr>
          </w:pPr>
          <w:r>
            <w:rPr>
              <w:rFonts w:ascii="Arial" w:hAnsi="Arial" w:cs="Arial"/>
              <w:sz w:val="22"/>
              <w:szCs w:val="22"/>
            </w:rPr>
            <w:t>[6]</w:t>
          </w:r>
          <w:r>
            <w:rPr>
              <w:rFonts w:ascii="Arial" w:hAnsi="Arial" w:cs="Arial"/>
              <w:sz w:val="22"/>
              <w:szCs w:val="22"/>
            </w:rPr>
            <w:tab/>
          </w:r>
          <w:r w:rsidRPr="00FD5779">
            <w:rPr>
              <w:rFonts w:ascii="Arial" w:hAnsi="Arial" w:cs="Arial"/>
              <w:sz w:val="22"/>
              <w:szCs w:val="22"/>
            </w:rPr>
            <w:t xml:space="preserve">The </w:t>
          </w:r>
          <w:r>
            <w:rPr>
              <w:rFonts w:ascii="Arial" w:hAnsi="Arial" w:cs="Arial"/>
              <w:sz w:val="22"/>
              <w:szCs w:val="22"/>
            </w:rPr>
            <w:t xml:space="preserve">Commissioner </w:t>
          </w:r>
          <w:r w:rsidRPr="00FD5779">
            <w:rPr>
              <w:rFonts w:ascii="Arial" w:hAnsi="Arial" w:cs="Arial"/>
              <w:sz w:val="22"/>
              <w:szCs w:val="22"/>
            </w:rPr>
            <w:t>wr</w:t>
          </w:r>
          <w:r>
            <w:rPr>
              <w:rFonts w:ascii="Arial" w:hAnsi="Arial" w:cs="Arial"/>
              <w:sz w:val="22"/>
              <w:szCs w:val="22"/>
            </w:rPr>
            <w:t>o</w:t>
          </w:r>
          <w:r w:rsidRPr="00FD5779">
            <w:rPr>
              <w:rFonts w:ascii="Arial" w:hAnsi="Arial" w:cs="Arial"/>
              <w:sz w:val="22"/>
              <w:szCs w:val="22"/>
            </w:rPr>
            <w:t xml:space="preserve">te back to the appellant hoping that the issue is resolved by noting that </w:t>
          </w:r>
          <w:r w:rsidRPr="00FD5779">
            <w:rPr>
              <w:rFonts w:ascii="Arial" w:hAnsi="Arial" w:cs="Arial"/>
              <w:i/>
              <w:sz w:val="22"/>
              <w:szCs w:val="22"/>
            </w:rPr>
            <w:t xml:space="preserve">“this exemption applies only to … liability to withholding tax in respect of setting up the telecommunications network in Seychelles and not in respect of potential withholding tax liability on payments to non residents in regards to all/other matters.”  </w:t>
          </w:r>
          <w:r w:rsidRPr="00FD5779">
            <w:rPr>
              <w:rFonts w:ascii="Arial" w:hAnsi="Arial" w:cs="Arial"/>
              <w:sz w:val="22"/>
              <w:szCs w:val="22"/>
            </w:rPr>
            <w:t xml:space="preserve">The appellant </w:t>
          </w:r>
          <w:r>
            <w:rPr>
              <w:rFonts w:ascii="Arial" w:hAnsi="Arial" w:cs="Arial"/>
              <w:sz w:val="22"/>
              <w:szCs w:val="22"/>
            </w:rPr>
            <w:t>TSL</w:t>
          </w:r>
          <w:r w:rsidRPr="00FD5779">
            <w:rPr>
              <w:rFonts w:ascii="Arial" w:hAnsi="Arial" w:cs="Arial"/>
              <w:sz w:val="22"/>
              <w:szCs w:val="22"/>
            </w:rPr>
            <w:t xml:space="preserve"> was, therefore</w:t>
          </w:r>
          <w:r>
            <w:rPr>
              <w:rFonts w:ascii="Arial" w:hAnsi="Arial" w:cs="Arial"/>
              <w:sz w:val="22"/>
              <w:szCs w:val="22"/>
            </w:rPr>
            <w:t>,</w:t>
          </w:r>
          <w:r w:rsidRPr="00FD5779">
            <w:rPr>
              <w:rFonts w:ascii="Arial" w:hAnsi="Arial" w:cs="Arial"/>
              <w:sz w:val="22"/>
              <w:szCs w:val="22"/>
            </w:rPr>
            <w:t xml:space="preserve"> requested to submit a complete list of such payments from January 1999.</w:t>
          </w:r>
          <w:r w:rsidRPr="00FD5779">
            <w:rPr>
              <w:rFonts w:ascii="Arial" w:hAnsi="Arial" w:cs="Arial"/>
              <w:i/>
              <w:sz w:val="22"/>
              <w:szCs w:val="22"/>
            </w:rPr>
            <w:t xml:space="preserve"> </w:t>
          </w:r>
          <w:r w:rsidRPr="00FD5779">
            <w:rPr>
              <w:rFonts w:ascii="Arial" w:hAnsi="Arial" w:cs="Arial"/>
              <w:sz w:val="22"/>
              <w:szCs w:val="22"/>
            </w:rPr>
            <w:t xml:space="preserve"> The purpose was to identify </w:t>
          </w:r>
          <w:r w:rsidRPr="00FD5779">
            <w:rPr>
              <w:rFonts w:ascii="Arial" w:hAnsi="Arial" w:cs="Arial"/>
              <w:i/>
              <w:sz w:val="22"/>
              <w:szCs w:val="22"/>
            </w:rPr>
            <w:t xml:space="preserve">“those payments that are claimed by (the) </w:t>
          </w:r>
          <w:r>
            <w:rPr>
              <w:rFonts w:ascii="Arial" w:hAnsi="Arial" w:cs="Arial"/>
              <w:i/>
              <w:sz w:val="22"/>
              <w:szCs w:val="22"/>
            </w:rPr>
            <w:t>TSL</w:t>
          </w:r>
          <w:r w:rsidRPr="00FD5779">
            <w:rPr>
              <w:rFonts w:ascii="Arial" w:hAnsi="Arial" w:cs="Arial"/>
              <w:i/>
              <w:sz w:val="22"/>
              <w:szCs w:val="22"/>
            </w:rPr>
            <w:t xml:space="preserve"> to still be in regard of the setting up of the network and to ensure payment of any liability to withholding tax on the remaining payments.” (B17 refers). </w:t>
          </w:r>
        </w:p>
        <w:p w:rsidR="00155A25" w:rsidRDefault="00155A25" w:rsidP="00155A25">
          <w:pPr>
            <w:spacing w:line="360" w:lineRule="auto"/>
            <w:jc w:val="both"/>
            <w:rPr>
              <w:rFonts w:ascii="Arial" w:hAnsi="Arial" w:cs="Arial"/>
              <w:i/>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275CFB">
            <w:rPr>
              <w:rFonts w:ascii="Arial" w:hAnsi="Arial" w:cs="Arial"/>
              <w:sz w:val="22"/>
              <w:szCs w:val="22"/>
            </w:rPr>
            <w:t xml:space="preserve">The </w:t>
          </w:r>
          <w:r>
            <w:rPr>
              <w:rFonts w:ascii="Arial" w:hAnsi="Arial" w:cs="Arial"/>
              <w:sz w:val="22"/>
              <w:szCs w:val="22"/>
            </w:rPr>
            <w:t xml:space="preserve">Commissioner </w:t>
          </w:r>
          <w:r w:rsidRPr="00275CFB">
            <w:rPr>
              <w:rFonts w:ascii="Arial" w:hAnsi="Arial" w:cs="Arial"/>
              <w:sz w:val="22"/>
              <w:szCs w:val="22"/>
            </w:rPr>
            <w:t xml:space="preserve">offered assistance to </w:t>
          </w:r>
          <w:r>
            <w:rPr>
              <w:rFonts w:ascii="Arial" w:hAnsi="Arial" w:cs="Arial"/>
              <w:sz w:val="22"/>
              <w:szCs w:val="22"/>
            </w:rPr>
            <w:t xml:space="preserve">TSL </w:t>
          </w:r>
          <w:r w:rsidRPr="00275CFB">
            <w:rPr>
              <w:rFonts w:ascii="Arial" w:hAnsi="Arial" w:cs="Arial"/>
              <w:sz w:val="22"/>
              <w:szCs w:val="22"/>
            </w:rPr>
            <w:t xml:space="preserve">in case </w:t>
          </w:r>
          <w:r>
            <w:rPr>
              <w:rFonts w:ascii="Arial" w:hAnsi="Arial" w:cs="Arial"/>
              <w:sz w:val="22"/>
              <w:szCs w:val="22"/>
            </w:rPr>
            <w:t xml:space="preserve">any </w:t>
          </w:r>
          <w:r w:rsidRPr="00275CFB">
            <w:rPr>
              <w:rFonts w:ascii="Arial" w:hAnsi="Arial" w:cs="Arial"/>
              <w:sz w:val="22"/>
              <w:szCs w:val="22"/>
            </w:rPr>
            <w:t xml:space="preserve">clarification was required for the application of the </w:t>
          </w:r>
          <w:r>
            <w:rPr>
              <w:rFonts w:ascii="Arial" w:hAnsi="Arial" w:cs="Arial"/>
              <w:sz w:val="22"/>
              <w:szCs w:val="22"/>
            </w:rPr>
            <w:t>new exemption given</w:t>
          </w:r>
          <w:r w:rsidRPr="00275CFB">
            <w:rPr>
              <w:rFonts w:ascii="Arial" w:hAnsi="Arial" w:cs="Arial"/>
              <w:sz w:val="22"/>
              <w:szCs w:val="22"/>
            </w:rPr>
            <w:t xml:space="preserve">. The </w:t>
          </w:r>
          <w:r>
            <w:rPr>
              <w:rFonts w:ascii="Arial" w:hAnsi="Arial" w:cs="Arial"/>
              <w:sz w:val="22"/>
              <w:szCs w:val="22"/>
            </w:rPr>
            <w:t>TSL</w:t>
          </w:r>
          <w:r w:rsidRPr="00275CFB">
            <w:rPr>
              <w:rFonts w:ascii="Arial" w:hAnsi="Arial" w:cs="Arial"/>
              <w:sz w:val="22"/>
              <w:szCs w:val="22"/>
            </w:rPr>
            <w:t xml:space="preserve"> replied that</w:t>
          </w:r>
          <w:r>
            <w:rPr>
              <w:rFonts w:ascii="Arial" w:hAnsi="Arial" w:cs="Arial"/>
              <w:sz w:val="22"/>
              <w:szCs w:val="22"/>
            </w:rPr>
            <w:t>: (a)</w:t>
          </w:r>
          <w:r w:rsidRPr="00275CFB">
            <w:rPr>
              <w:rFonts w:ascii="Arial" w:hAnsi="Arial" w:cs="Arial"/>
              <w:sz w:val="22"/>
              <w:szCs w:val="22"/>
            </w:rPr>
            <w:t xml:space="preserve"> </w:t>
          </w:r>
          <w:r w:rsidRPr="00275CFB">
            <w:rPr>
              <w:rFonts w:ascii="Arial" w:hAnsi="Arial" w:cs="Arial"/>
              <w:i/>
              <w:sz w:val="22"/>
              <w:szCs w:val="22"/>
            </w:rPr>
            <w:t>“most of (the) payments for services to non residents are in connection with the setting up of the telecommunication network</w:t>
          </w:r>
          <w:r>
            <w:rPr>
              <w:rFonts w:ascii="Arial" w:hAnsi="Arial" w:cs="Arial"/>
              <w:i/>
              <w:sz w:val="22"/>
              <w:szCs w:val="22"/>
            </w:rPr>
            <w:t>;”</w:t>
          </w:r>
          <w:r w:rsidRPr="00275CFB">
            <w:rPr>
              <w:rFonts w:ascii="Arial" w:hAnsi="Arial" w:cs="Arial"/>
              <w:i/>
              <w:sz w:val="22"/>
              <w:szCs w:val="22"/>
            </w:rPr>
            <w:t xml:space="preserve"> </w:t>
          </w:r>
          <w:r w:rsidRPr="00004B8B">
            <w:rPr>
              <w:rFonts w:ascii="Arial" w:hAnsi="Arial" w:cs="Arial"/>
              <w:sz w:val="22"/>
              <w:szCs w:val="22"/>
            </w:rPr>
            <w:t>and (b)</w:t>
          </w:r>
          <w:r>
            <w:rPr>
              <w:rFonts w:ascii="Arial" w:hAnsi="Arial" w:cs="Arial"/>
              <w:i/>
              <w:sz w:val="22"/>
              <w:szCs w:val="22"/>
            </w:rPr>
            <w:t xml:space="preserve"> </w:t>
          </w:r>
          <w:r>
            <w:rPr>
              <w:rFonts w:ascii="Arial" w:hAnsi="Arial" w:cs="Arial"/>
              <w:sz w:val="22"/>
              <w:szCs w:val="22"/>
            </w:rPr>
            <w:t xml:space="preserve">from September 1999, the TSL has been paying the fee for the service rendered by non residents in connection with their roaming business in the range of US$500 to US$1500 a month.  </w:t>
          </w:r>
        </w:p>
        <w:p w:rsidR="00155A25" w:rsidRDefault="00155A25" w:rsidP="00155A25">
          <w:pPr>
            <w:pStyle w:val="ListParagraph"/>
            <w:rPr>
              <w:rFonts w:ascii="Arial" w:hAnsi="Arial" w:cs="Arial"/>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By letter dated 29</w:t>
          </w:r>
          <w:r w:rsidRPr="00275CFB">
            <w:rPr>
              <w:rFonts w:ascii="Arial" w:hAnsi="Arial" w:cs="Arial"/>
              <w:sz w:val="22"/>
              <w:szCs w:val="22"/>
              <w:vertAlign w:val="superscript"/>
            </w:rPr>
            <w:t>th</w:t>
          </w:r>
          <w:r>
            <w:rPr>
              <w:rFonts w:ascii="Arial" w:hAnsi="Arial" w:cs="Arial"/>
              <w:sz w:val="22"/>
              <w:szCs w:val="22"/>
            </w:rPr>
            <w:t xml:space="preserve"> May 2000, the TSL writes to the Secretary of State again to request for an “extension of the concession on the payment of withholding tax, in respect of payments made to </w:t>
          </w:r>
          <w:r w:rsidRPr="00BF4E6C">
            <w:rPr>
              <w:rFonts w:ascii="Arial" w:hAnsi="Arial" w:cs="Arial"/>
              <w:sz w:val="22"/>
              <w:szCs w:val="22"/>
              <w:u w:val="single"/>
            </w:rPr>
            <w:t>overseas</w:t>
          </w:r>
          <w:r>
            <w:rPr>
              <w:rFonts w:ascii="Arial" w:hAnsi="Arial" w:cs="Arial"/>
              <w:sz w:val="22"/>
              <w:szCs w:val="22"/>
            </w:rPr>
            <w:t xml:space="preserve"> suppliers, on the following heads also: (1) payment of </w:t>
          </w:r>
          <w:r>
            <w:rPr>
              <w:rFonts w:ascii="Arial" w:hAnsi="Arial" w:cs="Arial"/>
              <w:sz w:val="22"/>
              <w:szCs w:val="22"/>
            </w:rPr>
            <w:lastRenderedPageBreak/>
            <w:t xml:space="preserve">interest to the </w:t>
          </w:r>
          <w:r w:rsidRPr="00D43D72">
            <w:rPr>
              <w:rFonts w:ascii="Arial" w:hAnsi="Arial" w:cs="Arial"/>
              <w:sz w:val="22"/>
              <w:szCs w:val="22"/>
              <w:u w:val="single"/>
            </w:rPr>
            <w:t>overseas</w:t>
          </w:r>
          <w:r>
            <w:rPr>
              <w:rFonts w:ascii="Arial" w:hAnsi="Arial" w:cs="Arial"/>
              <w:sz w:val="22"/>
              <w:szCs w:val="22"/>
            </w:rPr>
            <w:t xml:space="preserve"> financiers for financing the cost of the project; (2) payment of recurring services rendered to the TSL by the </w:t>
          </w:r>
          <w:r w:rsidRPr="00D43D72">
            <w:rPr>
              <w:rFonts w:ascii="Arial" w:hAnsi="Arial" w:cs="Arial"/>
              <w:sz w:val="22"/>
              <w:szCs w:val="22"/>
              <w:u w:val="single"/>
            </w:rPr>
            <w:t>overseas</w:t>
          </w:r>
          <w:r>
            <w:rPr>
              <w:rFonts w:ascii="Arial" w:hAnsi="Arial" w:cs="Arial"/>
              <w:sz w:val="22"/>
              <w:szCs w:val="22"/>
            </w:rPr>
            <w:t xml:space="preserve"> suppliers.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Before making a reply, the Office of the President sought the views clarification of the Commissioner. The obvious question was whether foreign providers of services included overseas providers of services. The Commissioner advised that “the exemption was in respect of costs involved with the set up of the network and not in respect of the regular ongoing expenses involved in the day to day operation of the business.” The new concessions sought: i.e. interest payments to </w:t>
          </w:r>
          <w:r w:rsidRPr="00384BD7">
            <w:rPr>
              <w:rFonts w:ascii="Arial" w:hAnsi="Arial" w:cs="Arial"/>
              <w:sz w:val="22"/>
              <w:szCs w:val="22"/>
              <w:u w:val="single"/>
            </w:rPr>
            <w:t>overseas</w:t>
          </w:r>
          <w:r>
            <w:rPr>
              <w:rFonts w:ascii="Arial" w:hAnsi="Arial" w:cs="Arial"/>
              <w:sz w:val="22"/>
              <w:szCs w:val="22"/>
            </w:rPr>
            <w:t xml:space="preserve"> financiers and payments to non residents for the expenses of recurring services are not to be recommended as they do not fall within the </w:t>
          </w:r>
          <w:r w:rsidRPr="00384BD7">
            <w:rPr>
              <w:rFonts w:ascii="Arial" w:hAnsi="Arial" w:cs="Arial"/>
              <w:sz w:val="22"/>
              <w:szCs w:val="22"/>
              <w:u w:val="single"/>
            </w:rPr>
            <w:t>setting up</w:t>
          </w:r>
          <w:r>
            <w:rPr>
              <w:rFonts w:ascii="Arial" w:hAnsi="Arial" w:cs="Arial"/>
              <w:sz w:val="22"/>
              <w:szCs w:val="22"/>
            </w:rPr>
            <w:t xml:space="preserve"> of the network. The Commissioner gave a number of policy and other reasons for same. </w:t>
          </w:r>
        </w:p>
        <w:p w:rsidR="00155A25" w:rsidRDefault="00155A25" w:rsidP="00155A25">
          <w:pPr>
            <w:spacing w:line="360" w:lineRule="auto"/>
            <w:jc w:val="both"/>
            <w:rPr>
              <w:rFonts w:ascii="Arial" w:hAnsi="Arial" w:cs="Arial"/>
              <w:b/>
              <w:sz w:val="22"/>
              <w:szCs w:val="22"/>
            </w:rPr>
          </w:pPr>
        </w:p>
        <w:p w:rsidR="00155A25" w:rsidRDefault="00155A25" w:rsidP="00155A25">
          <w:pPr>
            <w:spacing w:line="360" w:lineRule="auto"/>
            <w:jc w:val="both"/>
            <w:rPr>
              <w:rFonts w:ascii="Arial" w:hAnsi="Arial" w:cs="Arial"/>
              <w:b/>
              <w:sz w:val="22"/>
              <w:szCs w:val="22"/>
            </w:rPr>
          </w:pPr>
          <w:r>
            <w:rPr>
              <w:rFonts w:ascii="Arial" w:hAnsi="Arial" w:cs="Arial"/>
              <w:b/>
              <w:sz w:val="22"/>
              <w:szCs w:val="22"/>
            </w:rPr>
            <w:t>GROUND 1 and 2</w:t>
          </w: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G</w:t>
          </w:r>
          <w:r w:rsidRPr="00617FAD">
            <w:rPr>
              <w:rFonts w:ascii="Arial" w:hAnsi="Arial" w:cs="Arial"/>
              <w:sz w:val="22"/>
              <w:szCs w:val="22"/>
            </w:rPr>
            <w:t>round</w:t>
          </w:r>
          <w:r>
            <w:rPr>
              <w:rFonts w:ascii="Arial" w:hAnsi="Arial" w:cs="Arial"/>
              <w:sz w:val="22"/>
              <w:szCs w:val="22"/>
            </w:rPr>
            <w:t>s</w:t>
          </w:r>
          <w:r w:rsidRPr="00617FAD">
            <w:rPr>
              <w:rFonts w:ascii="Arial" w:hAnsi="Arial" w:cs="Arial"/>
              <w:sz w:val="22"/>
              <w:szCs w:val="22"/>
            </w:rPr>
            <w:t xml:space="preserve"> 1</w:t>
          </w:r>
          <w:r>
            <w:rPr>
              <w:rFonts w:ascii="Arial" w:hAnsi="Arial" w:cs="Arial"/>
              <w:sz w:val="22"/>
              <w:szCs w:val="22"/>
            </w:rPr>
            <w:t xml:space="preserve"> and 2 are interlinked. T</w:t>
          </w:r>
          <w:r w:rsidRPr="00617FAD">
            <w:rPr>
              <w:rFonts w:ascii="Arial" w:hAnsi="Arial" w:cs="Arial"/>
              <w:sz w:val="22"/>
              <w:szCs w:val="22"/>
            </w:rPr>
            <w:t xml:space="preserve">he central issue </w:t>
          </w:r>
          <w:r>
            <w:rPr>
              <w:rFonts w:ascii="Arial" w:hAnsi="Arial" w:cs="Arial"/>
              <w:sz w:val="22"/>
              <w:szCs w:val="22"/>
            </w:rPr>
            <w:t xml:space="preserve">under these grounds </w:t>
          </w:r>
          <w:r w:rsidRPr="00617FAD">
            <w:rPr>
              <w:rFonts w:ascii="Arial" w:hAnsi="Arial" w:cs="Arial"/>
              <w:sz w:val="22"/>
              <w:szCs w:val="22"/>
            </w:rPr>
            <w:t>is what did the learned Judge make of the letter of the Ministry of Finance dated 25</w:t>
          </w:r>
          <w:r w:rsidRPr="00617FAD">
            <w:rPr>
              <w:rFonts w:ascii="Arial" w:hAnsi="Arial" w:cs="Arial"/>
              <w:sz w:val="22"/>
              <w:szCs w:val="22"/>
              <w:vertAlign w:val="superscript"/>
            </w:rPr>
            <w:t>th</w:t>
          </w:r>
          <w:r w:rsidRPr="00617FAD">
            <w:rPr>
              <w:rFonts w:ascii="Arial" w:hAnsi="Arial" w:cs="Arial"/>
              <w:sz w:val="22"/>
              <w:szCs w:val="22"/>
            </w:rPr>
            <w:t xml:space="preserve"> October 1999</w:t>
          </w:r>
          <w:r>
            <w:rPr>
              <w:rFonts w:ascii="Arial" w:hAnsi="Arial" w:cs="Arial"/>
              <w:sz w:val="22"/>
              <w:szCs w:val="22"/>
            </w:rPr>
            <w:t xml:space="preserve">? He interpreted it as though it was a denial of the </w:t>
          </w:r>
          <w:r w:rsidR="001459D7">
            <w:rPr>
              <w:rFonts w:ascii="Arial" w:hAnsi="Arial" w:cs="Arial"/>
              <w:sz w:val="22"/>
              <w:szCs w:val="22"/>
            </w:rPr>
            <w:t>8</w:t>
          </w:r>
          <w:r w:rsidR="001459D7" w:rsidRPr="001459D7">
            <w:rPr>
              <w:rFonts w:ascii="Arial" w:hAnsi="Arial" w:cs="Arial"/>
              <w:sz w:val="22"/>
              <w:szCs w:val="22"/>
              <w:vertAlign w:val="superscript"/>
            </w:rPr>
            <w:t>th</w:t>
          </w:r>
          <w:r w:rsidR="001459D7">
            <w:rPr>
              <w:rFonts w:ascii="Arial" w:hAnsi="Arial" w:cs="Arial"/>
              <w:sz w:val="22"/>
              <w:szCs w:val="22"/>
            </w:rPr>
            <w:t xml:space="preserve"> </w:t>
          </w:r>
          <w:r>
            <w:rPr>
              <w:rFonts w:ascii="Arial" w:hAnsi="Arial" w:cs="Arial"/>
              <w:sz w:val="22"/>
              <w:szCs w:val="22"/>
            </w:rPr>
            <w:t xml:space="preserve">concession for the reason that it referred TSL back to the </w:t>
          </w:r>
          <w:r w:rsidRPr="00617FAD">
            <w:rPr>
              <w:rFonts w:ascii="Arial" w:hAnsi="Arial" w:cs="Arial"/>
              <w:sz w:val="22"/>
              <w:szCs w:val="22"/>
            </w:rPr>
            <w:t>letter FIN/1/27 of 28</w:t>
          </w:r>
          <w:r w:rsidRPr="00617FAD">
            <w:rPr>
              <w:rFonts w:ascii="Arial" w:hAnsi="Arial" w:cs="Arial"/>
              <w:sz w:val="22"/>
              <w:szCs w:val="22"/>
              <w:vertAlign w:val="superscript"/>
            </w:rPr>
            <w:t>th</w:t>
          </w:r>
          <w:r w:rsidRPr="00617FAD">
            <w:rPr>
              <w:rFonts w:ascii="Arial" w:hAnsi="Arial" w:cs="Arial"/>
              <w:sz w:val="22"/>
              <w:szCs w:val="22"/>
            </w:rPr>
            <w:t xml:space="preserve"> November 1997</w:t>
          </w:r>
          <w:r>
            <w:rPr>
              <w:rFonts w:ascii="Arial" w:hAnsi="Arial" w:cs="Arial"/>
              <w:sz w:val="22"/>
              <w:szCs w:val="22"/>
            </w:rPr>
            <w:t>.</w:t>
          </w:r>
        </w:p>
        <w:p w:rsidR="00155A25" w:rsidRDefault="00155A25" w:rsidP="00155A25">
          <w:pPr>
            <w:spacing w:line="360" w:lineRule="auto"/>
            <w:ind w:left="720"/>
            <w:jc w:val="both"/>
            <w:rPr>
              <w:rFonts w:ascii="Arial" w:hAnsi="Arial" w:cs="Arial"/>
              <w:sz w:val="22"/>
              <w:szCs w:val="22"/>
            </w:rPr>
          </w:pPr>
          <w:r>
            <w:rPr>
              <w:rFonts w:ascii="Arial" w:hAnsi="Arial" w:cs="Arial"/>
              <w:sz w:val="22"/>
              <w:szCs w:val="22"/>
            </w:rPr>
            <w:t xml:space="preserve"> </w:t>
          </w:r>
        </w:p>
        <w:p w:rsidR="00155A25" w:rsidRPr="00617FAD"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There cannot be any doubt on anybody’s mind that in so treating the content of the 1999 letter, the learned Judge clearly misapprehended its purport. It was intended to add to the number of concessions by extending exemption to foreign supplier of services and equipment. Nothing could be more plain: </w:t>
          </w:r>
          <w:r w:rsidRPr="00617FAD">
            <w:rPr>
              <w:rFonts w:ascii="Arial" w:hAnsi="Arial" w:cs="Arial"/>
              <w:sz w:val="22"/>
              <w:szCs w:val="22"/>
            </w:rPr>
            <w:t>“</w:t>
          </w:r>
          <w:r>
            <w:rPr>
              <w:rFonts w:ascii="Arial" w:hAnsi="Arial" w:cs="Arial"/>
              <w:sz w:val="22"/>
              <w:szCs w:val="22"/>
            </w:rPr>
            <w:t xml:space="preserve">… </w:t>
          </w:r>
          <w:r w:rsidRPr="00617FAD">
            <w:rPr>
              <w:rFonts w:ascii="Arial" w:hAnsi="Arial" w:cs="Arial"/>
              <w:sz w:val="22"/>
              <w:szCs w:val="22"/>
            </w:rPr>
            <w:t xml:space="preserve">withholding tax will not be levied on the business in respect of payment made to </w:t>
          </w:r>
          <w:r w:rsidRPr="00617FAD">
            <w:rPr>
              <w:rFonts w:ascii="Arial" w:hAnsi="Arial" w:cs="Arial"/>
              <w:sz w:val="22"/>
              <w:szCs w:val="22"/>
              <w:u w:val="single"/>
            </w:rPr>
            <w:t>foreign suppliers of services and equipment</w:t>
          </w:r>
          <w:r>
            <w:rPr>
              <w:rFonts w:ascii="Arial" w:hAnsi="Arial" w:cs="Arial"/>
              <w:sz w:val="22"/>
              <w:szCs w:val="22"/>
            </w:rPr>
            <w:t>.” If the grant was qualified as being “</w:t>
          </w:r>
          <w:r w:rsidRPr="00617FAD">
            <w:rPr>
              <w:rFonts w:ascii="Arial" w:hAnsi="Arial" w:cs="Arial"/>
              <w:sz w:val="22"/>
              <w:szCs w:val="22"/>
            </w:rPr>
            <w:t>in line with the spirit of our letter</w:t>
          </w:r>
          <w:r w:rsidRPr="005F69E7">
            <w:rPr>
              <w:rFonts w:ascii="Arial" w:hAnsi="Arial" w:cs="Arial"/>
              <w:sz w:val="22"/>
              <w:szCs w:val="22"/>
            </w:rPr>
            <w:t xml:space="preserve"> </w:t>
          </w:r>
          <w:r w:rsidRPr="00617FAD">
            <w:rPr>
              <w:rFonts w:ascii="Arial" w:hAnsi="Arial" w:cs="Arial"/>
              <w:sz w:val="22"/>
              <w:szCs w:val="22"/>
            </w:rPr>
            <w:t>FIN/1/27 of 28</w:t>
          </w:r>
          <w:r w:rsidRPr="00617FAD">
            <w:rPr>
              <w:rFonts w:ascii="Arial" w:hAnsi="Arial" w:cs="Arial"/>
              <w:sz w:val="22"/>
              <w:szCs w:val="22"/>
              <w:vertAlign w:val="superscript"/>
            </w:rPr>
            <w:t>th</w:t>
          </w:r>
          <w:r w:rsidRPr="00617FAD">
            <w:rPr>
              <w:rFonts w:ascii="Arial" w:hAnsi="Arial" w:cs="Arial"/>
              <w:sz w:val="22"/>
              <w:szCs w:val="22"/>
            </w:rPr>
            <w:t xml:space="preserve"> November 1997</w:t>
          </w:r>
          <w:r>
            <w:rPr>
              <w:rFonts w:ascii="Arial" w:hAnsi="Arial" w:cs="Arial"/>
              <w:sz w:val="22"/>
              <w:szCs w:val="22"/>
            </w:rPr>
            <w:t>,</w:t>
          </w:r>
          <w:r w:rsidRPr="00617FAD">
            <w:rPr>
              <w:rFonts w:ascii="Arial" w:hAnsi="Arial" w:cs="Arial"/>
              <w:sz w:val="22"/>
              <w:szCs w:val="22"/>
            </w:rPr>
            <w:t xml:space="preserve">” </w:t>
          </w:r>
          <w:r>
            <w:rPr>
              <w:rFonts w:ascii="Arial" w:hAnsi="Arial" w:cs="Arial"/>
              <w:sz w:val="22"/>
              <w:szCs w:val="22"/>
            </w:rPr>
            <w:t xml:space="preserve">that spirit was </w:t>
          </w:r>
          <w:r w:rsidRPr="00617FAD">
            <w:rPr>
              <w:rFonts w:ascii="Arial" w:hAnsi="Arial" w:cs="Arial"/>
              <w:sz w:val="22"/>
              <w:szCs w:val="22"/>
            </w:rPr>
            <w:t>express</w:t>
          </w:r>
          <w:r>
            <w:rPr>
              <w:rFonts w:ascii="Arial" w:hAnsi="Arial" w:cs="Arial"/>
              <w:sz w:val="22"/>
              <w:szCs w:val="22"/>
            </w:rPr>
            <w:t>ed in the 1997 agreement as the spirit of liberalizing the telecommunications sector and creating a level playing field with other competitors</w:t>
          </w:r>
          <w:r w:rsidRPr="00617FAD">
            <w:rPr>
              <w:rFonts w:ascii="Arial" w:hAnsi="Arial" w:cs="Arial"/>
              <w:i/>
              <w:sz w:val="22"/>
              <w:szCs w:val="22"/>
            </w:rPr>
            <w:t>.</w:t>
          </w:r>
          <w:r w:rsidRPr="00617FAD">
            <w:rPr>
              <w:rFonts w:ascii="Arial" w:hAnsi="Arial" w:cs="Arial"/>
              <w:sz w:val="22"/>
              <w:szCs w:val="22"/>
            </w:rPr>
            <w:t xml:space="preserve">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There is substance in grounds 1 and 2. And on this alone, the appeal should be allowed. </w:t>
          </w:r>
        </w:p>
        <w:p w:rsidR="00155A25" w:rsidRDefault="00155A25" w:rsidP="00155A25">
          <w:pPr>
            <w:spacing w:line="360" w:lineRule="auto"/>
            <w:jc w:val="both"/>
            <w:rPr>
              <w:rFonts w:ascii="Arial" w:hAnsi="Arial" w:cs="Arial"/>
              <w:sz w:val="22"/>
              <w:szCs w:val="22"/>
            </w:rPr>
          </w:pPr>
        </w:p>
        <w:p w:rsidR="00155A25" w:rsidRDefault="00155A25" w:rsidP="00155A25">
          <w:pPr>
            <w:spacing w:line="360" w:lineRule="auto"/>
            <w:jc w:val="both"/>
            <w:rPr>
              <w:rFonts w:ascii="Arial" w:hAnsi="Arial" w:cs="Arial"/>
              <w:b/>
              <w:sz w:val="22"/>
              <w:szCs w:val="22"/>
            </w:rPr>
          </w:pPr>
          <w:r>
            <w:rPr>
              <w:rFonts w:ascii="Arial" w:hAnsi="Arial" w:cs="Arial"/>
              <w:b/>
              <w:sz w:val="22"/>
              <w:szCs w:val="22"/>
            </w:rPr>
            <w:t>GROUND 3</w:t>
          </w: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Under Ground 3, it is a mystery to us how the learned Judge came to assume that the concessions and exemptions should have been stated in the agreement or the </w:t>
          </w:r>
          <w:r>
            <w:rPr>
              <w:rFonts w:ascii="Arial" w:hAnsi="Arial" w:cs="Arial"/>
              <w:sz w:val="22"/>
              <w:szCs w:val="22"/>
            </w:rPr>
            <w:lastRenderedPageBreak/>
            <w:t>Telecommunication Licence; and that, because, they were not, the appeal before him failed. The fact of the matter is that the first 7 concessions had been expressly stated in the letter dated 28</w:t>
          </w:r>
          <w:r>
            <w:rPr>
              <w:rFonts w:ascii="Arial" w:hAnsi="Arial" w:cs="Arial"/>
              <w:sz w:val="22"/>
              <w:szCs w:val="22"/>
              <w:vertAlign w:val="superscript"/>
            </w:rPr>
            <w:t>th</w:t>
          </w:r>
          <w:r>
            <w:rPr>
              <w:rFonts w:ascii="Arial" w:hAnsi="Arial" w:cs="Arial"/>
              <w:sz w:val="22"/>
              <w:szCs w:val="22"/>
            </w:rPr>
            <w:t xml:space="preserve"> November 1997 and the </w:t>
          </w:r>
          <w:r w:rsidR="001459D7">
            <w:rPr>
              <w:rFonts w:ascii="Arial" w:hAnsi="Arial" w:cs="Arial"/>
              <w:sz w:val="22"/>
              <w:szCs w:val="22"/>
            </w:rPr>
            <w:t>8</w:t>
          </w:r>
          <w:r w:rsidR="001459D7" w:rsidRPr="001459D7">
            <w:rPr>
              <w:rFonts w:ascii="Arial" w:hAnsi="Arial" w:cs="Arial"/>
              <w:sz w:val="22"/>
              <w:szCs w:val="22"/>
              <w:vertAlign w:val="superscript"/>
            </w:rPr>
            <w:t>th</w:t>
          </w:r>
          <w:r w:rsidR="001459D7">
            <w:rPr>
              <w:rFonts w:ascii="Arial" w:hAnsi="Arial" w:cs="Arial"/>
              <w:sz w:val="22"/>
              <w:szCs w:val="22"/>
            </w:rPr>
            <w:t xml:space="preserve"> c</w:t>
          </w:r>
          <w:r>
            <w:rPr>
              <w:rFonts w:ascii="Arial" w:hAnsi="Arial" w:cs="Arial"/>
              <w:sz w:val="22"/>
              <w:szCs w:val="22"/>
            </w:rPr>
            <w:t xml:space="preserve">oncession in the letter dated </w:t>
          </w:r>
          <w:r w:rsidRPr="00FD5779">
            <w:rPr>
              <w:rFonts w:ascii="Arial" w:hAnsi="Arial" w:cs="Arial"/>
              <w:sz w:val="22"/>
              <w:szCs w:val="22"/>
            </w:rPr>
            <w:t>25 October 1999</w:t>
          </w:r>
          <w:r>
            <w:rPr>
              <w:rFonts w:ascii="Arial" w:hAnsi="Arial" w:cs="Arial"/>
              <w:sz w:val="22"/>
              <w:szCs w:val="22"/>
            </w:rPr>
            <w:t xml:space="preserve">.  Had his attention been drawn to the content of the original 1997 grant and that of the subsequent 1999 grant in an oral submission, we are certain his conclusion would have been different.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The conclusion is, therefore, inescapable that the learned Judge misapprehended the totality of the facts in relation to the case and, for that reason, came to a conclusion which was erroneous. </w:t>
          </w:r>
        </w:p>
        <w:p w:rsidR="00155A25" w:rsidRDefault="00155A25" w:rsidP="00155A25">
          <w:pPr>
            <w:spacing w:line="360" w:lineRule="auto"/>
            <w:jc w:val="both"/>
            <w:rPr>
              <w:rFonts w:ascii="Arial" w:hAnsi="Arial" w:cs="Arial"/>
              <w:sz w:val="22"/>
              <w:szCs w:val="22"/>
            </w:rPr>
          </w:pPr>
        </w:p>
        <w:p w:rsidR="00155A25" w:rsidRDefault="00155A25" w:rsidP="00155A25">
          <w:pPr>
            <w:spacing w:line="360" w:lineRule="auto"/>
            <w:ind w:firstLine="720"/>
            <w:jc w:val="both"/>
            <w:rPr>
              <w:rFonts w:ascii="Arial" w:hAnsi="Arial" w:cs="Arial"/>
              <w:sz w:val="22"/>
              <w:szCs w:val="22"/>
            </w:rPr>
          </w:pPr>
          <w:r>
            <w:rPr>
              <w:rFonts w:ascii="Arial" w:hAnsi="Arial" w:cs="Arial"/>
              <w:sz w:val="22"/>
              <w:szCs w:val="22"/>
            </w:rPr>
            <w:t xml:space="preserve">Ground 3 also succeeds.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All the three grounds having succeeded, this appeal should be allowed. However, it is befitting for us to make a certain number of observations to show how this dispute arose: rather innocuously. </w:t>
          </w:r>
        </w:p>
        <w:p w:rsidR="00155A25" w:rsidRDefault="00155A25" w:rsidP="00155A25">
          <w:pPr>
            <w:spacing w:line="360" w:lineRule="auto"/>
            <w:ind w:left="720"/>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 xml:space="preserve">The Commissioner used the term “setting up” as the criteria for determination of the tax liability of the appellant. This term had been picked up from the heading in a letter written by the appellant itself. </w:t>
          </w:r>
        </w:p>
        <w:p w:rsidR="00155A25" w:rsidRDefault="00155A25" w:rsidP="00155A25">
          <w:pPr>
            <w:pStyle w:val="ListParagraph"/>
            <w:rPr>
              <w:rFonts w:ascii="Arial" w:hAnsi="Arial" w:cs="Arial"/>
            </w:rPr>
          </w:pPr>
        </w:p>
        <w:p w:rsidR="00155A25" w:rsidRDefault="00155A25" w:rsidP="00155A25">
          <w:pPr>
            <w:widowControl/>
            <w:autoSpaceDE/>
            <w:autoSpaceDN/>
            <w:adjustRightInd/>
            <w:spacing w:line="360" w:lineRule="auto"/>
            <w:ind w:left="810" w:hanging="810"/>
            <w:jc w:val="both"/>
            <w:rPr>
              <w:rFonts w:ascii="Arial" w:hAnsi="Arial" w:cs="Arial"/>
              <w:sz w:val="22"/>
              <w:szCs w:val="22"/>
            </w:rPr>
          </w:pPr>
          <w:r>
            <w:rPr>
              <w:rFonts w:ascii="Arial" w:hAnsi="Arial" w:cs="Arial"/>
              <w:sz w:val="22"/>
              <w:szCs w:val="22"/>
            </w:rPr>
            <w:t>[17]</w:t>
          </w:r>
          <w:r>
            <w:rPr>
              <w:rFonts w:ascii="Arial" w:hAnsi="Arial" w:cs="Arial"/>
              <w:sz w:val="22"/>
              <w:szCs w:val="22"/>
            </w:rPr>
            <w:tab/>
            <w:t xml:space="preserve">The original 1997 grant letter does not make use of the term “setting up.”  We were in fact intrigued by the term “setting up” which was used to govern the relationship between TSL and the Commissioner. Where did this come from? We requested Counsel on either side whether the limitation that concessions and exemptions should apply to the gestation period of setting up. That term has been used in the letter of the TSL as a title and not as a term or condition in the agreement with government. That term cannot therefore be read into the document unless it is found to exist somewhere else in any formal agreement between the parties. Titles to content of letters do not turn into conditions of contract to govern legal relationships. Actual conditions of contract do. </w:t>
          </w:r>
        </w:p>
        <w:p w:rsidR="00155A25" w:rsidRDefault="00155A25" w:rsidP="00155A25">
          <w:pPr>
            <w:pStyle w:val="ListParagraph"/>
            <w:rPr>
              <w:rFonts w:ascii="Arial" w:hAnsi="Arial" w:cs="Arial"/>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The actual conditions were couched not in terms of the vague notion of setting up but in terms of a specific temporal provision: i.e. the concessions and incentives are effective from 1</w:t>
          </w:r>
          <w:r w:rsidRPr="00D213B9">
            <w:rPr>
              <w:rFonts w:ascii="Arial" w:hAnsi="Arial" w:cs="Arial"/>
              <w:sz w:val="22"/>
              <w:szCs w:val="22"/>
              <w:vertAlign w:val="superscript"/>
            </w:rPr>
            <w:t>st</w:t>
          </w:r>
          <w:r>
            <w:rPr>
              <w:rFonts w:ascii="Arial" w:hAnsi="Arial" w:cs="Arial"/>
              <w:sz w:val="22"/>
              <w:szCs w:val="22"/>
            </w:rPr>
            <w:t xml:space="preserve"> December 1997 and are valid for a period of 10 years, guaranteed, irrevocable and unalterable unless breached in the circumstances mentioned in the Agreement. </w:t>
          </w: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lastRenderedPageBreak/>
            <w:t>[19]</w:t>
          </w:r>
          <w:r>
            <w:rPr>
              <w:rFonts w:ascii="Arial" w:hAnsi="Arial" w:cs="Arial"/>
              <w:sz w:val="22"/>
              <w:szCs w:val="22"/>
            </w:rPr>
            <w:tab/>
            <w:t xml:space="preserve">The Agreement of 28 November 1997 did not give the concessions and the incentives by reference to a vague gestation notion but by reference to a specific temporal period: i.e. 10 year period as specified in the letter to TSL. Nor were exemptions and incentives given to TSL blanket measures. The items granted or not granted were specific: such as “to import at zero rates of trades tax, both new capital equipment and replacements for capital equipment with a clear mention that capital expenditures does not include passenger vehicles and that in the case of service vehicles the issue of trades tax payable will be examined on a case to case basis. </w:t>
          </w:r>
        </w:p>
        <w:p w:rsidR="00155A25" w:rsidRDefault="00155A25" w:rsidP="00155A25">
          <w:pPr>
            <w:spacing w:line="360" w:lineRule="auto"/>
            <w:jc w:val="both"/>
            <w:rPr>
              <w:rFonts w:ascii="Arial" w:hAnsi="Arial" w:cs="Arial"/>
              <w:sz w:val="22"/>
              <w:szCs w:val="22"/>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t xml:space="preserve">Learned counsel for the appellant, Mr Shah S.C., referred us to paragraphs 3 and 4 of the Agreement in that TSL will be guaranteed GOPs for 25 staff at the concessional rates of SR500 per month per employee for the first 3 years of its operations and after 3 years the proportion of guaranteed GOPs will be 25% of the workforce at the normal rate of SR1,500 per month per employee. </w:t>
          </w:r>
        </w:p>
        <w:p w:rsidR="00155A25" w:rsidRDefault="00155A25" w:rsidP="00155A25">
          <w:pPr>
            <w:pStyle w:val="ListParagraph"/>
            <w:rPr>
              <w:rFonts w:ascii="Arial" w:hAnsi="Arial" w:cs="Arial"/>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Again, the concessions and incentives are temporal in nature, without any mention of  the infancy or otherwise of the industry to be developed for the purposes of giving effect to the “nature of the project, the size of the investment and in keeping with the spirit of the decision to liberalize the sector.” When the Commissioner, therefore, began  applying the criterion of setting up, his office fell into error. If the term was to be used at all, it could only be for the 10 year period for the 15-year licence the appellant had been granted.</w:t>
          </w:r>
        </w:p>
        <w:p w:rsidR="00155A25" w:rsidRDefault="00155A25" w:rsidP="00155A25">
          <w:pPr>
            <w:pStyle w:val="ListParagraph"/>
            <w:rPr>
              <w:rFonts w:ascii="Arial" w:hAnsi="Arial" w:cs="Arial"/>
            </w:rPr>
          </w:pPr>
        </w:p>
        <w:p w:rsidR="00155A25"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Admittedly, the term “</w:t>
          </w:r>
          <w:r w:rsidRPr="00FD5779">
            <w:rPr>
              <w:rFonts w:ascii="Arial" w:hAnsi="Arial" w:cs="Arial"/>
              <w:i/>
              <w:sz w:val="22"/>
              <w:szCs w:val="22"/>
              <w:u w:val="single"/>
            </w:rPr>
            <w:t>foreign suppliers of services or equipments</w:t>
          </w:r>
          <w:r>
            <w:rPr>
              <w:rFonts w:ascii="Arial" w:hAnsi="Arial" w:cs="Arial"/>
              <w:i/>
              <w:sz w:val="22"/>
              <w:szCs w:val="22"/>
              <w:u w:val="single"/>
            </w:rPr>
            <w:t>”</w:t>
          </w:r>
          <w:r>
            <w:rPr>
              <w:rFonts w:ascii="Arial" w:hAnsi="Arial" w:cs="Arial"/>
              <w:sz w:val="22"/>
              <w:szCs w:val="22"/>
            </w:rPr>
            <w:t xml:space="preserve"> in the subsequent 1999 grant has not been defined. Does it mean </w:t>
          </w:r>
          <w:r w:rsidRPr="00500CD3">
            <w:rPr>
              <w:rFonts w:ascii="Arial" w:hAnsi="Arial" w:cs="Arial"/>
              <w:sz w:val="22"/>
              <w:szCs w:val="22"/>
              <w:u w:val="single"/>
            </w:rPr>
            <w:t>non-resident</w:t>
          </w:r>
          <w:r>
            <w:rPr>
              <w:rFonts w:ascii="Arial" w:hAnsi="Arial" w:cs="Arial"/>
              <w:sz w:val="22"/>
              <w:szCs w:val="22"/>
            </w:rPr>
            <w:t xml:space="preserve"> suppliers of services or equipment or does it include </w:t>
          </w:r>
          <w:r w:rsidRPr="00500CD3">
            <w:rPr>
              <w:rFonts w:ascii="Arial" w:hAnsi="Arial" w:cs="Arial"/>
              <w:sz w:val="22"/>
              <w:szCs w:val="22"/>
              <w:u w:val="single"/>
            </w:rPr>
            <w:t>overseas</w:t>
          </w:r>
          <w:r>
            <w:rPr>
              <w:rFonts w:ascii="Arial" w:hAnsi="Arial" w:cs="Arial"/>
              <w:sz w:val="22"/>
              <w:szCs w:val="22"/>
            </w:rPr>
            <w:t xml:space="preserve"> suppliers of services or equipments. These are  pre-eminently policy matters pertaining to the executive beyond the remit of the Courts. It is not even within the remit of the Commissioner who is the machinery institution for application and collection of taxes. The Agreement is administered by the Ministry of Finance. It is the latter Ministry fully apprised of the facts and in the spirit of the 1997 agreement which should so decide and recommend to government. The parties are and should be governed by the letters FIN/1/27 of 1997 and the letter of 25</w:t>
          </w:r>
          <w:r>
            <w:rPr>
              <w:rFonts w:ascii="Arial" w:hAnsi="Arial" w:cs="Arial"/>
              <w:sz w:val="22"/>
              <w:szCs w:val="22"/>
              <w:vertAlign w:val="superscript"/>
            </w:rPr>
            <w:t>th</w:t>
          </w:r>
          <w:r>
            <w:rPr>
              <w:rFonts w:ascii="Arial" w:hAnsi="Arial" w:cs="Arial"/>
              <w:sz w:val="22"/>
              <w:szCs w:val="22"/>
            </w:rPr>
            <w:t xml:space="preserve"> October 1999 with regard to concessions and exemptions. Any issue arising therefrom for application should be resolved at the level of the Ministry of Finance and Communications under special arrangements. </w:t>
          </w:r>
        </w:p>
        <w:p w:rsidR="00155A25" w:rsidRDefault="00155A25" w:rsidP="00155A25">
          <w:pPr>
            <w:pStyle w:val="ListParagraph"/>
            <w:rPr>
              <w:rFonts w:ascii="Arial" w:hAnsi="Arial" w:cs="Arial"/>
            </w:rPr>
          </w:pPr>
        </w:p>
        <w:p w:rsidR="00155A25" w:rsidRPr="0058394F" w:rsidRDefault="00155A25" w:rsidP="00155A2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Pr="0058394F">
            <w:rPr>
              <w:rFonts w:ascii="Arial" w:hAnsi="Arial" w:cs="Arial"/>
              <w:sz w:val="22"/>
              <w:szCs w:val="22"/>
            </w:rPr>
            <w:t xml:space="preserve">Increasingly now, it is the purposive interpretation of tax law which </w:t>
          </w:r>
          <w:r>
            <w:rPr>
              <w:rFonts w:ascii="Arial" w:hAnsi="Arial" w:cs="Arial"/>
              <w:sz w:val="22"/>
              <w:szCs w:val="22"/>
            </w:rPr>
            <w:t xml:space="preserve">prevails </w:t>
          </w:r>
          <w:r w:rsidRPr="0058394F">
            <w:rPr>
              <w:rFonts w:ascii="Arial" w:hAnsi="Arial" w:cs="Arial"/>
              <w:sz w:val="22"/>
              <w:szCs w:val="22"/>
            </w:rPr>
            <w:t xml:space="preserve">in tax law jurisprudence, a fact not foreign to Seychelles law on taxation: </w:t>
          </w:r>
          <w:r w:rsidRPr="0058394F">
            <w:rPr>
              <w:rFonts w:ascii="Arial" w:hAnsi="Arial" w:cs="Arial"/>
              <w:b/>
              <w:sz w:val="22"/>
              <w:szCs w:val="22"/>
            </w:rPr>
            <w:t>Largo Concrete Products (Pty) Ltd v Collector of Customs, Seychelles (no. 2) 1974 SLR 204;</w:t>
          </w:r>
          <w:r w:rsidRPr="0058394F">
            <w:rPr>
              <w:rFonts w:ascii="Arial" w:hAnsi="Arial" w:cs="Arial"/>
              <w:sz w:val="22"/>
              <w:szCs w:val="22"/>
            </w:rPr>
            <w:t xml:space="preserve"> </w:t>
          </w:r>
          <w:r>
            <w:rPr>
              <w:rFonts w:ascii="Arial" w:hAnsi="Arial" w:cs="Arial"/>
              <w:sz w:val="22"/>
              <w:szCs w:val="22"/>
            </w:rPr>
            <w:t>d</w:t>
          </w:r>
          <w:r w:rsidRPr="0058394F">
            <w:rPr>
              <w:rFonts w:ascii="Arial" w:hAnsi="Arial" w:cs="Arial"/>
              <w:sz w:val="22"/>
              <w:szCs w:val="22"/>
            </w:rPr>
            <w:t xml:space="preserve">eduction allowed for machinery and plant: </w:t>
          </w:r>
          <w:r w:rsidRPr="00B43281">
            <w:rPr>
              <w:rFonts w:ascii="Arial" w:hAnsi="Arial" w:cs="Arial"/>
              <w:b/>
              <w:sz w:val="22"/>
              <w:szCs w:val="22"/>
            </w:rPr>
            <w:t>Ex parte Hadee Brothers</w:t>
          </w:r>
          <w:r>
            <w:rPr>
              <w:rFonts w:ascii="Arial" w:hAnsi="Arial" w:cs="Arial"/>
              <w:b/>
              <w:sz w:val="22"/>
              <w:szCs w:val="22"/>
            </w:rPr>
            <w:t xml:space="preserve"> 19</w:t>
          </w:r>
          <w:r w:rsidRPr="0058394F">
            <w:rPr>
              <w:rFonts w:ascii="Arial" w:hAnsi="Arial" w:cs="Arial"/>
              <w:b/>
              <w:sz w:val="22"/>
              <w:szCs w:val="22"/>
            </w:rPr>
            <w:t>40 SLR 68</w:t>
          </w:r>
          <w:r w:rsidRPr="0058394F">
            <w:rPr>
              <w:rFonts w:ascii="Arial" w:hAnsi="Arial" w:cs="Arial"/>
              <w:sz w:val="22"/>
              <w:szCs w:val="22"/>
            </w:rPr>
            <w:t xml:space="preserve">; too strict an interpretation is to be discouraged otherwise, the courts would remain burdened with cases of tax: </w:t>
          </w:r>
          <w:r w:rsidRPr="0058394F">
            <w:rPr>
              <w:rFonts w:ascii="Arial" w:hAnsi="Arial" w:cs="Arial"/>
              <w:b/>
              <w:sz w:val="22"/>
              <w:szCs w:val="22"/>
            </w:rPr>
            <w:t>Benson v Commissioners of Income Tax 1942 SLR 80</w:t>
          </w:r>
          <w:r w:rsidRPr="0058394F">
            <w:rPr>
              <w:rFonts w:ascii="Arial" w:hAnsi="Arial" w:cs="Arial"/>
              <w:sz w:val="22"/>
              <w:szCs w:val="22"/>
            </w:rPr>
            <w:t xml:space="preserve">; </w:t>
          </w:r>
          <w:r>
            <w:rPr>
              <w:rFonts w:ascii="Arial" w:hAnsi="Arial" w:cs="Arial"/>
              <w:sz w:val="22"/>
              <w:szCs w:val="22"/>
            </w:rPr>
            <w:t>a</w:t>
          </w:r>
          <w:r w:rsidRPr="0058394F">
            <w:rPr>
              <w:rFonts w:ascii="Arial" w:hAnsi="Arial" w:cs="Arial"/>
              <w:sz w:val="22"/>
              <w:szCs w:val="22"/>
            </w:rPr>
            <w:t xml:space="preserve"> distinction </w:t>
          </w:r>
          <w:r>
            <w:rPr>
              <w:rFonts w:ascii="Arial" w:hAnsi="Arial" w:cs="Arial"/>
              <w:sz w:val="22"/>
              <w:szCs w:val="22"/>
            </w:rPr>
            <w:t xml:space="preserve">is to be drawn </w:t>
          </w:r>
          <w:r w:rsidRPr="0058394F">
            <w:rPr>
              <w:rFonts w:ascii="Arial" w:hAnsi="Arial" w:cs="Arial"/>
              <w:sz w:val="22"/>
              <w:szCs w:val="22"/>
            </w:rPr>
            <w:t>between charging provisions and machinery provision</w:t>
          </w:r>
          <w:r>
            <w:rPr>
              <w:rFonts w:ascii="Arial" w:hAnsi="Arial" w:cs="Arial"/>
              <w:sz w:val="22"/>
              <w:szCs w:val="22"/>
            </w:rPr>
            <w:t>s</w:t>
          </w:r>
          <w:r w:rsidRPr="0058394F">
            <w:rPr>
              <w:rFonts w:ascii="Arial" w:hAnsi="Arial" w:cs="Arial"/>
              <w:sz w:val="22"/>
              <w:szCs w:val="22"/>
            </w:rPr>
            <w:t xml:space="preserve">: </w:t>
          </w:r>
          <w:r w:rsidRPr="0058394F">
            <w:rPr>
              <w:rFonts w:ascii="Arial" w:hAnsi="Arial" w:cs="Arial"/>
              <w:b/>
              <w:sz w:val="22"/>
              <w:szCs w:val="22"/>
            </w:rPr>
            <w:t>Sauzier v Controller of Taxes : 1975 SLR 253</w:t>
          </w:r>
          <w:r w:rsidRPr="0058394F">
            <w:rPr>
              <w:rFonts w:ascii="Arial" w:hAnsi="Arial" w:cs="Arial"/>
              <w:sz w:val="22"/>
              <w:szCs w:val="22"/>
            </w:rPr>
            <w:t>.</w:t>
          </w:r>
        </w:p>
        <w:p w:rsidR="00155A25" w:rsidRPr="0058394F" w:rsidRDefault="00155A25" w:rsidP="00155A25">
          <w:pPr>
            <w:pStyle w:val="ListParagraph"/>
            <w:rPr>
              <w:rFonts w:ascii="Arial" w:hAnsi="Arial" w:cs="Arial"/>
            </w:rPr>
          </w:pPr>
        </w:p>
        <w:p w:rsidR="00155A25" w:rsidRPr="0058394F" w:rsidRDefault="00E11D49" w:rsidP="00E11D4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r>
          <w:r w:rsidR="00155A25" w:rsidRPr="0058394F">
            <w:rPr>
              <w:rFonts w:ascii="Arial" w:hAnsi="Arial" w:cs="Arial"/>
              <w:sz w:val="22"/>
              <w:szCs w:val="22"/>
            </w:rPr>
            <w:t>A purposive interpretation should be given to the intention of the legislator in the Business Tax Act in the light of the objective set out in the 1997 original Agreement</w:t>
          </w:r>
          <w:r w:rsidR="00155A25">
            <w:rPr>
              <w:rFonts w:ascii="Arial" w:hAnsi="Arial" w:cs="Arial"/>
              <w:sz w:val="22"/>
              <w:szCs w:val="22"/>
            </w:rPr>
            <w:t xml:space="preserve"> as well as the 1999 subsequent Agreement</w:t>
          </w:r>
          <w:r w:rsidR="00155A25" w:rsidRPr="0058394F">
            <w:rPr>
              <w:rFonts w:ascii="Arial" w:hAnsi="Arial" w:cs="Arial"/>
              <w:sz w:val="22"/>
              <w:szCs w:val="22"/>
            </w:rPr>
            <w:t xml:space="preserve">: </w:t>
          </w:r>
          <w:r w:rsidR="00155A25">
            <w:rPr>
              <w:rFonts w:ascii="Arial" w:hAnsi="Arial" w:cs="Arial"/>
              <w:sz w:val="22"/>
              <w:szCs w:val="22"/>
            </w:rPr>
            <w:t>s</w:t>
          </w:r>
          <w:r w:rsidR="00155A25" w:rsidRPr="0058394F">
            <w:rPr>
              <w:rFonts w:ascii="Arial" w:hAnsi="Arial" w:cs="Arial"/>
              <w:sz w:val="22"/>
              <w:szCs w:val="22"/>
            </w:rPr>
            <w:t xml:space="preserve">ee </w:t>
          </w:r>
          <w:r w:rsidR="00155A25" w:rsidRPr="0058394F">
            <w:rPr>
              <w:rFonts w:ascii="Arial" w:hAnsi="Arial" w:cs="Arial"/>
              <w:b/>
              <w:sz w:val="22"/>
              <w:szCs w:val="22"/>
            </w:rPr>
            <w:t>Pepper v. Hart [1992] UKHL; IRC v. McGuckian [1997] 1 W.L.R. 991; Frankland v. IRC (1997) STC 1450.</w:t>
          </w:r>
          <w:r w:rsidR="00155A25" w:rsidRPr="0058394F">
            <w:rPr>
              <w:rFonts w:ascii="Arial" w:hAnsi="Arial" w:cs="Arial"/>
              <w:sz w:val="22"/>
              <w:szCs w:val="22"/>
            </w:rPr>
            <w:t xml:space="preserve"> As has been stated in Tax law should be interpreted not in a literal way but a purposive way. The following statement </w:t>
          </w:r>
          <w:r w:rsidR="00155A25">
            <w:rPr>
              <w:rFonts w:ascii="Arial" w:hAnsi="Arial" w:cs="Arial"/>
              <w:sz w:val="22"/>
              <w:szCs w:val="22"/>
            </w:rPr>
            <w:t xml:space="preserve">by Lord Wilberforce </w:t>
          </w:r>
          <w:r w:rsidR="00155A25" w:rsidRPr="0058394F">
            <w:rPr>
              <w:rFonts w:ascii="Arial" w:hAnsi="Arial" w:cs="Arial"/>
              <w:sz w:val="22"/>
              <w:szCs w:val="22"/>
            </w:rPr>
            <w:t xml:space="preserve">in the case of </w:t>
          </w:r>
          <w:r w:rsidR="00155A25" w:rsidRPr="0058394F">
            <w:rPr>
              <w:rFonts w:ascii="Arial" w:hAnsi="Arial" w:cs="Arial"/>
              <w:b/>
              <w:sz w:val="22"/>
              <w:szCs w:val="22"/>
            </w:rPr>
            <w:t>W. T. Ramsay v Inland Revenue Commissioners 1982 A.C. 300</w:t>
          </w:r>
          <w:r w:rsidR="00155A25" w:rsidRPr="0058394F">
            <w:rPr>
              <w:rFonts w:ascii="Arial" w:hAnsi="Arial" w:cs="Arial"/>
              <w:sz w:val="22"/>
              <w:szCs w:val="22"/>
            </w:rPr>
            <w:t xml:space="preserve">, would prove helpful:  </w:t>
          </w:r>
        </w:p>
        <w:p w:rsidR="00155A25" w:rsidRPr="0058394F" w:rsidRDefault="00155A25" w:rsidP="00155A25">
          <w:pPr>
            <w:rPr>
              <w:rFonts w:ascii="Arial" w:hAnsi="Arial" w:cs="Arial"/>
              <w:sz w:val="22"/>
              <w:szCs w:val="22"/>
            </w:rPr>
          </w:pPr>
        </w:p>
        <w:p w:rsidR="00155A25" w:rsidRDefault="00155A25" w:rsidP="00E11D49">
          <w:pPr>
            <w:pStyle w:val="NormalWeb"/>
            <w:shd w:val="clear" w:color="auto" w:fill="FFFFFF"/>
            <w:spacing w:before="0" w:beforeAutospacing="0"/>
            <w:ind w:left="1440" w:right="720"/>
            <w:jc w:val="both"/>
            <w:rPr>
              <w:rFonts w:ascii="Arial" w:hAnsi="Arial" w:cs="Arial"/>
              <w:i/>
              <w:color w:val="333333"/>
              <w:sz w:val="22"/>
              <w:szCs w:val="22"/>
            </w:rPr>
          </w:pPr>
          <w:r w:rsidRPr="0058394F">
            <w:rPr>
              <w:rFonts w:ascii="Arial" w:hAnsi="Arial" w:cs="Arial"/>
              <w:i/>
              <w:color w:val="333333"/>
              <w:sz w:val="22"/>
              <w:szCs w:val="22"/>
            </w:rPr>
            <w:t xml:space="preserve">"There may, indeed should, be considered the context and scheme of the relevant Act as a whole, and its purpose may, indeed should, be regarded." </w:t>
          </w:r>
        </w:p>
        <w:p w:rsidR="00155A25" w:rsidRPr="00475C35" w:rsidRDefault="00155A25" w:rsidP="00155A25">
          <w:pPr>
            <w:pStyle w:val="NormalWeb"/>
            <w:shd w:val="clear" w:color="auto" w:fill="FFFFFF"/>
            <w:spacing w:before="0" w:beforeAutospacing="0" w:line="360" w:lineRule="auto"/>
            <w:ind w:left="720"/>
            <w:jc w:val="both"/>
            <w:rPr>
              <w:rFonts w:ascii="Arial" w:hAnsi="Arial" w:cs="Arial"/>
              <w:color w:val="333333"/>
              <w:sz w:val="22"/>
              <w:szCs w:val="22"/>
            </w:rPr>
          </w:pPr>
          <w:r w:rsidRPr="00475C35">
            <w:rPr>
              <w:rFonts w:ascii="Arial" w:hAnsi="Arial" w:cs="Arial"/>
              <w:color w:val="333333"/>
              <w:sz w:val="22"/>
              <w:szCs w:val="22"/>
            </w:rPr>
            <w:t xml:space="preserve">This sentence </w:t>
          </w:r>
          <w:r>
            <w:rPr>
              <w:rFonts w:ascii="Arial" w:hAnsi="Arial" w:cs="Arial"/>
              <w:color w:val="333333"/>
              <w:sz w:val="22"/>
              <w:szCs w:val="22"/>
            </w:rPr>
            <w:t>i</w:t>
          </w:r>
          <w:r w:rsidRPr="00475C35">
            <w:rPr>
              <w:rFonts w:ascii="Arial" w:hAnsi="Arial" w:cs="Arial"/>
              <w:color w:val="333333"/>
              <w:sz w:val="22"/>
              <w:szCs w:val="22"/>
            </w:rPr>
            <w:t>s critical. It marked the rejection by the House of pure literalism in the interpretation of tax statutes.</w:t>
          </w:r>
          <w:r>
            <w:rPr>
              <w:rFonts w:ascii="Arial" w:hAnsi="Arial" w:cs="Arial"/>
              <w:color w:val="333333"/>
              <w:sz w:val="22"/>
              <w:szCs w:val="22"/>
            </w:rPr>
            <w:t xml:space="preserve"> </w:t>
          </w:r>
          <w:r w:rsidRPr="00475C35">
            <w:rPr>
              <w:rStyle w:val="apple-converted-space"/>
              <w:rFonts w:ascii="Arial" w:hAnsi="Arial" w:cs="Arial"/>
              <w:color w:val="333333"/>
              <w:sz w:val="22"/>
              <w:szCs w:val="22"/>
            </w:rPr>
            <w:t> </w:t>
          </w:r>
        </w:p>
        <w:p w:rsidR="0006489F" w:rsidRPr="00503E49" w:rsidRDefault="00E11D49" w:rsidP="00E11D49">
          <w:pPr>
            <w:widowControl/>
            <w:autoSpaceDE/>
            <w:autoSpaceDN/>
            <w:adjustRightInd/>
            <w:spacing w:line="360" w:lineRule="auto"/>
            <w:jc w:val="both"/>
          </w:pPr>
          <w:r>
            <w:rPr>
              <w:rFonts w:ascii="Arial" w:hAnsi="Arial" w:cs="Arial"/>
              <w:sz w:val="22"/>
              <w:szCs w:val="22"/>
            </w:rPr>
            <w:t>[25]</w:t>
          </w:r>
          <w:r>
            <w:rPr>
              <w:rFonts w:ascii="Arial" w:hAnsi="Arial" w:cs="Arial"/>
              <w:sz w:val="22"/>
              <w:szCs w:val="22"/>
            </w:rPr>
            <w:tab/>
          </w:r>
          <w:r w:rsidR="00155A25" w:rsidRPr="0058394F">
            <w:rPr>
              <w:rFonts w:ascii="Arial" w:hAnsi="Arial" w:cs="Arial"/>
              <w:sz w:val="22"/>
              <w:szCs w:val="22"/>
            </w:rPr>
            <w:t xml:space="preserve">For the reasons and in the terms set out above, the appeal is allowed.   </w:t>
          </w:r>
        </w:p>
      </w:sdtContent>
    </w:sdt>
    <w:p w:rsidR="00EF2051" w:rsidRDefault="00496BB8"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5F4CAD" w:rsidRDefault="005F3AAB" w:rsidP="00AD63F9">
      <w:pPr>
        <w:spacing w:before="120" w:line="480" w:lineRule="auto"/>
        <w:rPr>
          <w:sz w:val="28"/>
          <w:szCs w:val="28"/>
        </w:rPr>
      </w:pPr>
    </w:p>
    <w:p w:rsidR="005F4CAD" w:rsidRPr="005F4CAD" w:rsidRDefault="005F4CAD" w:rsidP="00AD63F9">
      <w:pPr>
        <w:spacing w:before="120" w:line="480" w:lineRule="auto"/>
        <w:rPr>
          <w:sz w:val="4"/>
          <w:szCs w:val="4"/>
        </w:rPr>
      </w:pPr>
    </w:p>
    <w:p w:rsidR="00AD63F9" w:rsidRPr="00BD7752" w:rsidRDefault="00496BB8" w:rsidP="00AD63F9">
      <w:pPr>
        <w:spacing w:before="120" w:line="480" w:lineRule="auto"/>
        <w:rPr>
          <w:b/>
          <w:sz w:val="24"/>
          <w:szCs w:val="24"/>
        </w:rPr>
      </w:pPr>
      <w:sdt>
        <w:sdtPr>
          <w:rPr>
            <w:b/>
            <w:sz w:val="28"/>
            <w:szCs w:val="28"/>
          </w:rPr>
          <w:id w:val="22920303"/>
          <w:placeholder>
            <w:docPart w:val="0BDD3171A05348CE90ED9187EC6FEA9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1D49">
            <w:rPr>
              <w:b/>
              <w:sz w:val="28"/>
              <w:szCs w:val="28"/>
            </w:rPr>
            <w:t>S. Domah (J.A)</w:t>
          </w:r>
        </w:sdtContent>
      </w:sdt>
    </w:p>
    <w:sdt>
      <w:sdtPr>
        <w:rPr>
          <w:b/>
          <w:sz w:val="24"/>
          <w:szCs w:val="24"/>
        </w:rPr>
        <w:id w:val="4919265"/>
        <w:placeholder>
          <w:docPart w:val="B18FB039FD34439983EFA1DEF0F27D4C"/>
        </w:placeholder>
        <w:docPartList>
          <w:docPartGallery w:val="Quick Parts"/>
        </w:docPartList>
      </w:sdtPr>
      <w:sdtContent>
        <w:p w:rsidR="00AD63F9" w:rsidRPr="00681C76" w:rsidRDefault="00496BB8" w:rsidP="00AD63F9">
          <w:pPr>
            <w:spacing w:before="360" w:after="240" w:line="480" w:lineRule="auto"/>
            <w:rPr>
              <w:b/>
              <w:sz w:val="24"/>
              <w:szCs w:val="24"/>
            </w:rPr>
          </w:pPr>
          <w:sdt>
            <w:sdtPr>
              <w:rPr>
                <w:b/>
                <w:sz w:val="24"/>
                <w:szCs w:val="24"/>
              </w:rPr>
              <w:id w:val="4919266"/>
              <w:lock w:val="contentLocked"/>
              <w:placeholder>
                <w:docPart w:val="5497FC751EAE44BC957CA98176849C1E"/>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4033B09571A48F792446DEA55C6502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1D49">
                <w:rPr>
                  <w:sz w:val="24"/>
                  <w:szCs w:val="24"/>
                </w:rPr>
                <w:t>F. MacGregor (PCA)</w:t>
              </w:r>
            </w:sdtContent>
          </w:sdt>
        </w:p>
      </w:sdtContent>
    </w:sdt>
    <w:sdt>
      <w:sdtPr>
        <w:rPr>
          <w:b/>
          <w:sz w:val="24"/>
          <w:szCs w:val="24"/>
        </w:rPr>
        <w:id w:val="4919458"/>
        <w:placeholder>
          <w:docPart w:val="525B8705EA7C483E90DAB64536F7B12F"/>
        </w:placeholder>
        <w:docPartList>
          <w:docPartGallery w:val="Quick Parts"/>
        </w:docPartList>
      </w:sdtPr>
      <w:sdtContent>
        <w:p w:rsidR="00AD63F9" w:rsidRPr="00681C76" w:rsidRDefault="00496BB8" w:rsidP="00AD63F9">
          <w:pPr>
            <w:spacing w:before="360" w:after="240" w:line="480" w:lineRule="auto"/>
            <w:rPr>
              <w:b/>
              <w:sz w:val="24"/>
              <w:szCs w:val="24"/>
            </w:rPr>
          </w:pPr>
          <w:sdt>
            <w:sdtPr>
              <w:rPr>
                <w:b/>
                <w:sz w:val="24"/>
                <w:szCs w:val="24"/>
              </w:rPr>
              <w:id w:val="4919459"/>
              <w:lock w:val="contentLocked"/>
              <w:placeholder>
                <w:docPart w:val="81BB86B5B17C4C5481E98A46536593C0"/>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9916A7B316F46179572F20562F170A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25E2B">
                <w:rPr>
                  <w:sz w:val="24"/>
                  <w:szCs w:val="24"/>
                </w:rPr>
                <w:t>A.Fernando (J.A)</w:t>
              </w:r>
            </w:sdtContent>
          </w:sdt>
        </w:p>
      </w:sdtContent>
    </w:sdt>
    <w:p w:rsidR="00681C76" w:rsidRPr="00503E49" w:rsidRDefault="00496BB8" w:rsidP="00E11D49">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49FC95E0E41641D5852A2262C4ECD1C1"/>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12739A2DF08241079454C3331ED6743B"/>
          </w:placeholder>
          <w:date w:fullDate="2015-08-28T00:00:00Z">
            <w:dateFormat w:val="dd MMMM yyyy"/>
            <w:lid w:val="en-GB"/>
            <w:storeMappedDataAs w:val="dateTime"/>
            <w:calendar w:val="gregorian"/>
          </w:date>
        </w:sdtPr>
        <w:sdtContent>
          <w:r w:rsidR="00E11D49">
            <w:rPr>
              <w:sz w:val="24"/>
              <w:szCs w:val="24"/>
            </w:rPr>
            <w:t>28 August 2015</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61" w:rsidRDefault="00895761" w:rsidP="00DB6D34">
      <w:r>
        <w:separator/>
      </w:r>
    </w:p>
  </w:endnote>
  <w:endnote w:type="continuationSeparator" w:id="0">
    <w:p w:rsidR="00895761" w:rsidRDefault="0089576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96BB8">
    <w:pPr>
      <w:pStyle w:val="Footer"/>
      <w:jc w:val="center"/>
    </w:pPr>
    <w:fldSimple w:instr=" PAGE   \* MERGEFORMAT ">
      <w:r w:rsidR="00FE37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61" w:rsidRDefault="00895761" w:rsidP="00DB6D34">
      <w:r>
        <w:separator/>
      </w:r>
    </w:p>
  </w:footnote>
  <w:footnote w:type="continuationSeparator" w:id="0">
    <w:p w:rsidR="00895761" w:rsidRDefault="0089576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E6A7619"/>
    <w:multiLevelType w:val="hybridMultilevel"/>
    <w:tmpl w:val="C7BC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B3674"/>
    <w:multiLevelType w:val="hybridMultilevel"/>
    <w:tmpl w:val="2AA8BABA"/>
    <w:lvl w:ilvl="0" w:tplc="FDEAC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11D49"/>
    <w:rsid w:val="0000071D"/>
    <w:rsid w:val="000043B1"/>
    <w:rsid w:val="00005BEF"/>
    <w:rsid w:val="00014537"/>
    <w:rsid w:val="00017F12"/>
    <w:rsid w:val="0002497E"/>
    <w:rsid w:val="00030C81"/>
    <w:rsid w:val="0006489F"/>
    <w:rsid w:val="00075573"/>
    <w:rsid w:val="00091036"/>
    <w:rsid w:val="00097B9A"/>
    <w:rsid w:val="000A10B8"/>
    <w:rsid w:val="000C5AB2"/>
    <w:rsid w:val="000D1DD3"/>
    <w:rsid w:val="000E39A5"/>
    <w:rsid w:val="000E62C2"/>
    <w:rsid w:val="000E7400"/>
    <w:rsid w:val="000E7D43"/>
    <w:rsid w:val="000F1C37"/>
    <w:rsid w:val="001008BC"/>
    <w:rsid w:val="00101D12"/>
    <w:rsid w:val="00102EE1"/>
    <w:rsid w:val="00117CBF"/>
    <w:rsid w:val="00126A10"/>
    <w:rsid w:val="001376AB"/>
    <w:rsid w:val="00144612"/>
    <w:rsid w:val="001459D7"/>
    <w:rsid w:val="00155A25"/>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96BB8"/>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C5614"/>
    <w:rsid w:val="005F3AAB"/>
    <w:rsid w:val="005F4CAD"/>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54120"/>
    <w:rsid w:val="00861993"/>
    <w:rsid w:val="00861F83"/>
    <w:rsid w:val="0087722C"/>
    <w:rsid w:val="00895761"/>
    <w:rsid w:val="008A1BC7"/>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EBC"/>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4867"/>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11D49"/>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25E2B"/>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E3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semiHidden/>
    <w:unhideWhenUsed/>
    <w:rsid w:val="00155A25"/>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155A25"/>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502A30BA04071959BD21F8524E94C"/>
        <w:category>
          <w:name w:val="General"/>
          <w:gallery w:val="placeholder"/>
        </w:category>
        <w:types>
          <w:type w:val="bbPlcHdr"/>
        </w:types>
        <w:behaviors>
          <w:behavior w:val="content"/>
        </w:behaviors>
        <w:guid w:val="{DE9504DF-C119-45B1-9FDF-9EACDEF0BEE0}"/>
      </w:docPartPr>
      <w:docPartBody>
        <w:p w:rsidR="00F42C3F" w:rsidRDefault="00B33BFC">
          <w:pPr>
            <w:pStyle w:val="165502A30BA04071959BD21F8524E94C"/>
          </w:pPr>
          <w:r w:rsidRPr="002A0FDF">
            <w:rPr>
              <w:rStyle w:val="PlaceholderText"/>
            </w:rPr>
            <w:t>Click here to enter text.</w:t>
          </w:r>
        </w:p>
      </w:docPartBody>
    </w:docPart>
    <w:docPart>
      <w:docPartPr>
        <w:name w:val="30B06CFA415E4B3FA7E421DBD566CC2F"/>
        <w:category>
          <w:name w:val="General"/>
          <w:gallery w:val="placeholder"/>
        </w:category>
        <w:types>
          <w:type w:val="bbPlcHdr"/>
        </w:types>
        <w:behaviors>
          <w:behavior w:val="content"/>
        </w:behaviors>
        <w:guid w:val="{D674F511-996D-49DA-9007-3E499374DF02}"/>
      </w:docPartPr>
      <w:docPartBody>
        <w:p w:rsidR="00F42C3F" w:rsidRDefault="00B33BFC">
          <w:pPr>
            <w:pStyle w:val="30B06CFA415E4B3FA7E421DBD566CC2F"/>
          </w:pPr>
          <w:r w:rsidRPr="002A0FDF">
            <w:rPr>
              <w:rStyle w:val="PlaceholderText"/>
            </w:rPr>
            <w:t>Choose a building block.</w:t>
          </w:r>
        </w:p>
      </w:docPartBody>
    </w:docPart>
    <w:docPart>
      <w:docPartPr>
        <w:name w:val="A21E2A28BED84CACB48FFDE19C801C33"/>
        <w:category>
          <w:name w:val="General"/>
          <w:gallery w:val="placeholder"/>
        </w:category>
        <w:types>
          <w:type w:val="bbPlcHdr"/>
        </w:types>
        <w:behaviors>
          <w:behavior w:val="content"/>
        </w:behaviors>
        <w:guid w:val="{75AAA940-BD1A-40C2-8DF6-0786822EA6C3}"/>
      </w:docPartPr>
      <w:docPartBody>
        <w:p w:rsidR="00F42C3F" w:rsidRDefault="00B33BFC">
          <w:pPr>
            <w:pStyle w:val="A21E2A28BED84CACB48FFDE19C801C33"/>
          </w:pPr>
          <w:r w:rsidRPr="006E09BE">
            <w:rPr>
              <w:rStyle w:val="PlaceholderText"/>
            </w:rPr>
            <w:t>Click here to enter text.</w:t>
          </w:r>
        </w:p>
      </w:docPartBody>
    </w:docPart>
    <w:docPart>
      <w:docPartPr>
        <w:name w:val="5FF08D4F151F4DB69974037A645814A4"/>
        <w:category>
          <w:name w:val="General"/>
          <w:gallery w:val="placeholder"/>
        </w:category>
        <w:types>
          <w:type w:val="bbPlcHdr"/>
        </w:types>
        <w:behaviors>
          <w:behavior w:val="content"/>
        </w:behaviors>
        <w:guid w:val="{3393B596-438D-40C1-BE13-EF90C88B51AE}"/>
      </w:docPartPr>
      <w:docPartBody>
        <w:p w:rsidR="00F42C3F" w:rsidRDefault="00B33BFC">
          <w:pPr>
            <w:pStyle w:val="5FF08D4F151F4DB69974037A645814A4"/>
          </w:pPr>
          <w:r w:rsidRPr="00E56144">
            <w:rPr>
              <w:rStyle w:val="PlaceholderText"/>
            </w:rPr>
            <w:t>.</w:t>
          </w:r>
        </w:p>
      </w:docPartBody>
    </w:docPart>
    <w:docPart>
      <w:docPartPr>
        <w:name w:val="AF1A648DA2424D44A5F2BFBE09D6082D"/>
        <w:category>
          <w:name w:val="General"/>
          <w:gallery w:val="placeholder"/>
        </w:category>
        <w:types>
          <w:type w:val="bbPlcHdr"/>
        </w:types>
        <w:behaviors>
          <w:behavior w:val="content"/>
        </w:behaviors>
        <w:guid w:val="{379A9302-F914-40A9-9516-539936764020}"/>
      </w:docPartPr>
      <w:docPartBody>
        <w:p w:rsidR="00F42C3F" w:rsidRDefault="00B33BFC">
          <w:pPr>
            <w:pStyle w:val="AF1A648DA2424D44A5F2BFBE09D6082D"/>
          </w:pPr>
          <w:r w:rsidRPr="00E56144">
            <w:rPr>
              <w:rStyle w:val="PlaceholderText"/>
            </w:rPr>
            <w:t>.</w:t>
          </w:r>
        </w:p>
      </w:docPartBody>
    </w:docPart>
    <w:docPart>
      <w:docPartPr>
        <w:name w:val="38E6204AD9F343359222211CA417C57C"/>
        <w:category>
          <w:name w:val="General"/>
          <w:gallery w:val="placeholder"/>
        </w:category>
        <w:types>
          <w:type w:val="bbPlcHdr"/>
        </w:types>
        <w:behaviors>
          <w:behavior w:val="content"/>
        </w:behaviors>
        <w:guid w:val="{D1D6048F-3359-4E3C-AA6D-AF226961D460}"/>
      </w:docPartPr>
      <w:docPartBody>
        <w:p w:rsidR="00F42C3F" w:rsidRDefault="00B33BFC">
          <w:pPr>
            <w:pStyle w:val="38E6204AD9F343359222211CA417C57C"/>
          </w:pPr>
          <w:r w:rsidRPr="00E56144">
            <w:rPr>
              <w:rStyle w:val="PlaceholderText"/>
            </w:rPr>
            <w:t>.</w:t>
          </w:r>
        </w:p>
      </w:docPartBody>
    </w:docPart>
    <w:docPart>
      <w:docPartPr>
        <w:name w:val="4D13D98901804AFF847874E786443498"/>
        <w:category>
          <w:name w:val="General"/>
          <w:gallery w:val="placeholder"/>
        </w:category>
        <w:types>
          <w:type w:val="bbPlcHdr"/>
        </w:types>
        <w:behaviors>
          <w:behavior w:val="content"/>
        </w:behaviors>
        <w:guid w:val="{73EDF6C4-E8CA-461E-B9C3-A39FAD6F96EC}"/>
      </w:docPartPr>
      <w:docPartBody>
        <w:p w:rsidR="00F42C3F" w:rsidRDefault="00B33BFC">
          <w:pPr>
            <w:pStyle w:val="4D13D98901804AFF847874E786443498"/>
          </w:pPr>
          <w:r w:rsidRPr="00EE5BC4">
            <w:rPr>
              <w:rStyle w:val="PlaceholderText"/>
            </w:rPr>
            <w:t>Click here to enter text.</w:t>
          </w:r>
        </w:p>
      </w:docPartBody>
    </w:docPart>
    <w:docPart>
      <w:docPartPr>
        <w:name w:val="C54CB56FDD3F429B830EAB1B719D1973"/>
        <w:category>
          <w:name w:val="General"/>
          <w:gallery w:val="placeholder"/>
        </w:category>
        <w:types>
          <w:type w:val="bbPlcHdr"/>
        </w:types>
        <w:behaviors>
          <w:behavior w:val="content"/>
        </w:behaviors>
        <w:guid w:val="{044B6575-5112-4CBE-B4D4-E52053B63BAC}"/>
      </w:docPartPr>
      <w:docPartBody>
        <w:p w:rsidR="00F42C3F" w:rsidRDefault="00B33BFC">
          <w:pPr>
            <w:pStyle w:val="C54CB56FDD3F429B830EAB1B719D1973"/>
          </w:pPr>
          <w:r w:rsidRPr="00EE5BC4">
            <w:rPr>
              <w:rStyle w:val="PlaceholderText"/>
            </w:rPr>
            <w:t>Click here to enter text.</w:t>
          </w:r>
        </w:p>
      </w:docPartBody>
    </w:docPart>
    <w:docPart>
      <w:docPartPr>
        <w:name w:val="4E6159C7703A4857B0BE0B819FEB33EA"/>
        <w:category>
          <w:name w:val="General"/>
          <w:gallery w:val="placeholder"/>
        </w:category>
        <w:types>
          <w:type w:val="bbPlcHdr"/>
        </w:types>
        <w:behaviors>
          <w:behavior w:val="content"/>
        </w:behaviors>
        <w:guid w:val="{961344B3-BDC8-4CF4-A28B-1EBE56B65F18}"/>
      </w:docPartPr>
      <w:docPartBody>
        <w:p w:rsidR="00F42C3F" w:rsidRDefault="00B33BFC">
          <w:pPr>
            <w:pStyle w:val="4E6159C7703A4857B0BE0B819FEB33EA"/>
          </w:pPr>
          <w:r w:rsidRPr="00B26028">
            <w:rPr>
              <w:rStyle w:val="PlaceholderText"/>
            </w:rPr>
            <w:t>Click here to enter text.</w:t>
          </w:r>
        </w:p>
      </w:docPartBody>
    </w:docPart>
    <w:docPart>
      <w:docPartPr>
        <w:name w:val="F7BCA3E2D30E4E87811DAC022B0F2C4A"/>
        <w:category>
          <w:name w:val="General"/>
          <w:gallery w:val="placeholder"/>
        </w:category>
        <w:types>
          <w:type w:val="bbPlcHdr"/>
        </w:types>
        <w:behaviors>
          <w:behavior w:val="content"/>
        </w:behaviors>
        <w:guid w:val="{5894F891-CF3E-459D-94CC-532D3989AD63}"/>
      </w:docPartPr>
      <w:docPartBody>
        <w:p w:rsidR="00F42C3F" w:rsidRDefault="00B33BFC">
          <w:pPr>
            <w:pStyle w:val="F7BCA3E2D30E4E87811DAC022B0F2C4A"/>
          </w:pPr>
          <w:r w:rsidRPr="00503E49">
            <w:rPr>
              <w:rStyle w:val="PlaceholderText"/>
            </w:rPr>
            <w:t>Click here to enter a date.</w:t>
          </w:r>
        </w:p>
      </w:docPartBody>
    </w:docPart>
    <w:docPart>
      <w:docPartPr>
        <w:name w:val="CD5987FEEC6247EC81C42EA929513866"/>
        <w:category>
          <w:name w:val="General"/>
          <w:gallery w:val="placeholder"/>
        </w:category>
        <w:types>
          <w:type w:val="bbPlcHdr"/>
        </w:types>
        <w:behaviors>
          <w:behavior w:val="content"/>
        </w:behaviors>
        <w:guid w:val="{59E49E2D-9737-4E75-BC22-3ED040C73837}"/>
      </w:docPartPr>
      <w:docPartBody>
        <w:p w:rsidR="00F42C3F" w:rsidRDefault="00B33BFC">
          <w:pPr>
            <w:pStyle w:val="CD5987FEEC6247EC81C42EA929513866"/>
          </w:pPr>
          <w:r w:rsidRPr="00503E49">
            <w:rPr>
              <w:rStyle w:val="PlaceholderText"/>
            </w:rPr>
            <w:t>Click here to enter text.</w:t>
          </w:r>
        </w:p>
      </w:docPartBody>
    </w:docPart>
    <w:docPart>
      <w:docPartPr>
        <w:name w:val="468EFE38D124472E817C5E67A2AD14F7"/>
        <w:category>
          <w:name w:val="General"/>
          <w:gallery w:val="placeholder"/>
        </w:category>
        <w:types>
          <w:type w:val="bbPlcHdr"/>
        </w:types>
        <w:behaviors>
          <w:behavior w:val="content"/>
        </w:behaviors>
        <w:guid w:val="{3892E42C-F448-455D-975E-26DAAE1C46E6}"/>
      </w:docPartPr>
      <w:docPartBody>
        <w:p w:rsidR="00F42C3F" w:rsidRDefault="00B33BFC">
          <w:pPr>
            <w:pStyle w:val="468EFE38D124472E817C5E67A2AD14F7"/>
          </w:pPr>
          <w:r w:rsidRPr="006E09BE">
            <w:rPr>
              <w:rStyle w:val="PlaceholderText"/>
            </w:rPr>
            <w:t>Click here to enter a date.</w:t>
          </w:r>
        </w:p>
      </w:docPartBody>
    </w:docPart>
    <w:docPart>
      <w:docPartPr>
        <w:name w:val="09EC0F633AD34856B416F4EAA0CABD28"/>
        <w:category>
          <w:name w:val="General"/>
          <w:gallery w:val="placeholder"/>
        </w:category>
        <w:types>
          <w:type w:val="bbPlcHdr"/>
        </w:types>
        <w:behaviors>
          <w:behavior w:val="content"/>
        </w:behaviors>
        <w:guid w:val="{4DC61FAA-6C85-447C-8662-1B807A62FA54}"/>
      </w:docPartPr>
      <w:docPartBody>
        <w:p w:rsidR="00F42C3F" w:rsidRDefault="00B33BFC">
          <w:pPr>
            <w:pStyle w:val="09EC0F633AD34856B416F4EAA0CABD28"/>
          </w:pPr>
          <w:r w:rsidRPr="00E56144">
            <w:rPr>
              <w:rStyle w:val="PlaceholderText"/>
            </w:rPr>
            <w:t>.</w:t>
          </w:r>
        </w:p>
      </w:docPartBody>
    </w:docPart>
    <w:docPart>
      <w:docPartPr>
        <w:name w:val="0FF12A9EE1C54C32B6726A0B2AEC8A75"/>
        <w:category>
          <w:name w:val="General"/>
          <w:gallery w:val="placeholder"/>
        </w:category>
        <w:types>
          <w:type w:val="bbPlcHdr"/>
        </w:types>
        <w:behaviors>
          <w:behavior w:val="content"/>
        </w:behaviors>
        <w:guid w:val="{28D317FB-C9AF-4EA9-95F2-C84ED4494FF1}"/>
      </w:docPartPr>
      <w:docPartBody>
        <w:p w:rsidR="00F42C3F" w:rsidRDefault="00B33BFC">
          <w:pPr>
            <w:pStyle w:val="0FF12A9EE1C54C32B6726A0B2AEC8A75"/>
          </w:pPr>
          <w:r w:rsidRPr="00503E49">
            <w:rPr>
              <w:rStyle w:val="PlaceholderText"/>
            </w:rPr>
            <w:t xml:space="preserve">Click here to enter text. here to enter text here to enter text here to enter text here to e </w:t>
          </w:r>
        </w:p>
      </w:docPartBody>
    </w:docPart>
    <w:docPart>
      <w:docPartPr>
        <w:name w:val="0BDD3171A05348CE90ED9187EC6FEA9F"/>
        <w:category>
          <w:name w:val="General"/>
          <w:gallery w:val="placeholder"/>
        </w:category>
        <w:types>
          <w:type w:val="bbPlcHdr"/>
        </w:types>
        <w:behaviors>
          <w:behavior w:val="content"/>
        </w:behaviors>
        <w:guid w:val="{FCBBDC7F-C176-4B0B-9BA8-2E131FA840B9}"/>
      </w:docPartPr>
      <w:docPartBody>
        <w:p w:rsidR="00F42C3F" w:rsidRDefault="00B33BFC">
          <w:pPr>
            <w:pStyle w:val="0BDD3171A05348CE90ED9187EC6FEA9F"/>
          </w:pPr>
          <w:r w:rsidRPr="00E56144">
            <w:rPr>
              <w:rStyle w:val="PlaceholderText"/>
            </w:rPr>
            <w:t>.</w:t>
          </w:r>
        </w:p>
      </w:docPartBody>
    </w:docPart>
    <w:docPart>
      <w:docPartPr>
        <w:name w:val="B18FB039FD34439983EFA1DEF0F27D4C"/>
        <w:category>
          <w:name w:val="General"/>
          <w:gallery w:val="placeholder"/>
        </w:category>
        <w:types>
          <w:type w:val="bbPlcHdr"/>
        </w:types>
        <w:behaviors>
          <w:behavior w:val="content"/>
        </w:behaviors>
        <w:guid w:val="{9439C26E-326F-42F4-A763-46EC7083DC53}"/>
      </w:docPartPr>
      <w:docPartBody>
        <w:p w:rsidR="00F42C3F" w:rsidRDefault="00B33BFC">
          <w:pPr>
            <w:pStyle w:val="B18FB039FD34439983EFA1DEF0F27D4C"/>
          </w:pPr>
          <w:r w:rsidRPr="002A0FDF">
            <w:rPr>
              <w:rStyle w:val="PlaceholderText"/>
            </w:rPr>
            <w:t>Choose a building block.</w:t>
          </w:r>
        </w:p>
      </w:docPartBody>
    </w:docPart>
    <w:docPart>
      <w:docPartPr>
        <w:name w:val="5497FC751EAE44BC957CA98176849C1E"/>
        <w:category>
          <w:name w:val="General"/>
          <w:gallery w:val="placeholder"/>
        </w:category>
        <w:types>
          <w:type w:val="bbPlcHdr"/>
        </w:types>
        <w:behaviors>
          <w:behavior w:val="content"/>
        </w:behaviors>
        <w:guid w:val="{1A1822D6-C558-4EDF-BB9F-040E0589280F}"/>
      </w:docPartPr>
      <w:docPartBody>
        <w:p w:rsidR="00F42C3F" w:rsidRDefault="00B33BFC">
          <w:pPr>
            <w:pStyle w:val="5497FC751EAE44BC957CA98176849C1E"/>
          </w:pPr>
          <w:r w:rsidRPr="006E09BE">
            <w:rPr>
              <w:rStyle w:val="PlaceholderText"/>
            </w:rPr>
            <w:t>Click here to enter text.</w:t>
          </w:r>
        </w:p>
      </w:docPartBody>
    </w:docPart>
    <w:docPart>
      <w:docPartPr>
        <w:name w:val="D4033B09571A48F792446DEA55C6502F"/>
        <w:category>
          <w:name w:val="General"/>
          <w:gallery w:val="placeholder"/>
        </w:category>
        <w:types>
          <w:type w:val="bbPlcHdr"/>
        </w:types>
        <w:behaviors>
          <w:behavior w:val="content"/>
        </w:behaviors>
        <w:guid w:val="{3CDF7CDC-BE69-4A42-A6BC-973DAA32590E}"/>
      </w:docPartPr>
      <w:docPartBody>
        <w:p w:rsidR="00F42C3F" w:rsidRDefault="00B33BFC">
          <w:pPr>
            <w:pStyle w:val="D4033B09571A48F792446DEA55C6502F"/>
          </w:pPr>
          <w:r w:rsidRPr="00E56144">
            <w:rPr>
              <w:rStyle w:val="PlaceholderText"/>
            </w:rPr>
            <w:t>.</w:t>
          </w:r>
        </w:p>
      </w:docPartBody>
    </w:docPart>
    <w:docPart>
      <w:docPartPr>
        <w:name w:val="525B8705EA7C483E90DAB64536F7B12F"/>
        <w:category>
          <w:name w:val="General"/>
          <w:gallery w:val="placeholder"/>
        </w:category>
        <w:types>
          <w:type w:val="bbPlcHdr"/>
        </w:types>
        <w:behaviors>
          <w:behavior w:val="content"/>
        </w:behaviors>
        <w:guid w:val="{155CFA09-B6CD-4C8C-B6E4-BAA06CCAAD59}"/>
      </w:docPartPr>
      <w:docPartBody>
        <w:p w:rsidR="00F42C3F" w:rsidRDefault="00B33BFC">
          <w:pPr>
            <w:pStyle w:val="525B8705EA7C483E90DAB64536F7B12F"/>
          </w:pPr>
          <w:r w:rsidRPr="002A0FDF">
            <w:rPr>
              <w:rStyle w:val="PlaceholderText"/>
            </w:rPr>
            <w:t>Choose a building block.</w:t>
          </w:r>
        </w:p>
      </w:docPartBody>
    </w:docPart>
    <w:docPart>
      <w:docPartPr>
        <w:name w:val="81BB86B5B17C4C5481E98A46536593C0"/>
        <w:category>
          <w:name w:val="General"/>
          <w:gallery w:val="placeholder"/>
        </w:category>
        <w:types>
          <w:type w:val="bbPlcHdr"/>
        </w:types>
        <w:behaviors>
          <w:behavior w:val="content"/>
        </w:behaviors>
        <w:guid w:val="{5000DEBC-D21E-431D-AC96-81145940A64F}"/>
      </w:docPartPr>
      <w:docPartBody>
        <w:p w:rsidR="00F42C3F" w:rsidRDefault="00B33BFC">
          <w:pPr>
            <w:pStyle w:val="81BB86B5B17C4C5481E98A46536593C0"/>
          </w:pPr>
          <w:r w:rsidRPr="006E09BE">
            <w:rPr>
              <w:rStyle w:val="PlaceholderText"/>
            </w:rPr>
            <w:t>Click here to enter text.</w:t>
          </w:r>
        </w:p>
      </w:docPartBody>
    </w:docPart>
    <w:docPart>
      <w:docPartPr>
        <w:name w:val="A9916A7B316F46179572F20562F170A2"/>
        <w:category>
          <w:name w:val="General"/>
          <w:gallery w:val="placeholder"/>
        </w:category>
        <w:types>
          <w:type w:val="bbPlcHdr"/>
        </w:types>
        <w:behaviors>
          <w:behavior w:val="content"/>
        </w:behaviors>
        <w:guid w:val="{E4865720-9B26-4521-872D-889001233259}"/>
      </w:docPartPr>
      <w:docPartBody>
        <w:p w:rsidR="00F42C3F" w:rsidRDefault="00B33BFC">
          <w:pPr>
            <w:pStyle w:val="A9916A7B316F46179572F20562F170A2"/>
          </w:pPr>
          <w:r w:rsidRPr="00E56144">
            <w:rPr>
              <w:rStyle w:val="PlaceholderText"/>
            </w:rPr>
            <w:t>.</w:t>
          </w:r>
        </w:p>
      </w:docPartBody>
    </w:docPart>
    <w:docPart>
      <w:docPartPr>
        <w:name w:val="49FC95E0E41641D5852A2262C4ECD1C1"/>
        <w:category>
          <w:name w:val="General"/>
          <w:gallery w:val="placeholder"/>
        </w:category>
        <w:types>
          <w:type w:val="bbPlcHdr"/>
        </w:types>
        <w:behaviors>
          <w:behavior w:val="content"/>
        </w:behaviors>
        <w:guid w:val="{FFCC3B16-4212-4F54-A9FB-686C1C911358}"/>
      </w:docPartPr>
      <w:docPartBody>
        <w:p w:rsidR="00F42C3F" w:rsidRDefault="00B33BFC">
          <w:pPr>
            <w:pStyle w:val="49FC95E0E41641D5852A2262C4ECD1C1"/>
          </w:pPr>
          <w:r w:rsidRPr="006E09BE">
            <w:rPr>
              <w:rStyle w:val="PlaceholderText"/>
            </w:rPr>
            <w:t>Choose a building block.</w:t>
          </w:r>
        </w:p>
      </w:docPartBody>
    </w:docPart>
    <w:docPart>
      <w:docPartPr>
        <w:name w:val="12739A2DF08241079454C3331ED6743B"/>
        <w:category>
          <w:name w:val="General"/>
          <w:gallery w:val="placeholder"/>
        </w:category>
        <w:types>
          <w:type w:val="bbPlcHdr"/>
        </w:types>
        <w:behaviors>
          <w:behavior w:val="content"/>
        </w:behaviors>
        <w:guid w:val="{A66C439F-1238-4BE6-A2D1-903BEB38F3D4}"/>
      </w:docPartPr>
      <w:docPartBody>
        <w:p w:rsidR="00F42C3F" w:rsidRDefault="00B33BFC">
          <w:pPr>
            <w:pStyle w:val="12739A2DF08241079454C3331ED6743B"/>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3BFC"/>
    <w:rsid w:val="00086F84"/>
    <w:rsid w:val="00B33BFC"/>
    <w:rsid w:val="00F37EC3"/>
    <w:rsid w:val="00F42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C3F"/>
    <w:rPr>
      <w:color w:val="808080"/>
    </w:rPr>
  </w:style>
  <w:style w:type="paragraph" w:customStyle="1" w:styleId="165502A30BA04071959BD21F8524E94C">
    <w:name w:val="165502A30BA04071959BD21F8524E94C"/>
    <w:rsid w:val="00F42C3F"/>
  </w:style>
  <w:style w:type="paragraph" w:customStyle="1" w:styleId="30B06CFA415E4B3FA7E421DBD566CC2F">
    <w:name w:val="30B06CFA415E4B3FA7E421DBD566CC2F"/>
    <w:rsid w:val="00F42C3F"/>
  </w:style>
  <w:style w:type="paragraph" w:customStyle="1" w:styleId="A21E2A28BED84CACB48FFDE19C801C33">
    <w:name w:val="A21E2A28BED84CACB48FFDE19C801C33"/>
    <w:rsid w:val="00F42C3F"/>
  </w:style>
  <w:style w:type="paragraph" w:customStyle="1" w:styleId="5FF08D4F151F4DB69974037A645814A4">
    <w:name w:val="5FF08D4F151F4DB69974037A645814A4"/>
    <w:rsid w:val="00F42C3F"/>
  </w:style>
  <w:style w:type="paragraph" w:customStyle="1" w:styleId="AF1A648DA2424D44A5F2BFBE09D6082D">
    <w:name w:val="AF1A648DA2424D44A5F2BFBE09D6082D"/>
    <w:rsid w:val="00F42C3F"/>
  </w:style>
  <w:style w:type="paragraph" w:customStyle="1" w:styleId="38E6204AD9F343359222211CA417C57C">
    <w:name w:val="38E6204AD9F343359222211CA417C57C"/>
    <w:rsid w:val="00F42C3F"/>
  </w:style>
  <w:style w:type="paragraph" w:customStyle="1" w:styleId="50E686409C6E4FF1BA67AF05A58544A5">
    <w:name w:val="50E686409C6E4FF1BA67AF05A58544A5"/>
    <w:rsid w:val="00F42C3F"/>
  </w:style>
  <w:style w:type="paragraph" w:customStyle="1" w:styleId="3B100C03C7B049D6AB7504DA5D967879">
    <w:name w:val="3B100C03C7B049D6AB7504DA5D967879"/>
    <w:rsid w:val="00F42C3F"/>
  </w:style>
  <w:style w:type="paragraph" w:customStyle="1" w:styleId="4D13D98901804AFF847874E786443498">
    <w:name w:val="4D13D98901804AFF847874E786443498"/>
    <w:rsid w:val="00F42C3F"/>
  </w:style>
  <w:style w:type="paragraph" w:customStyle="1" w:styleId="D980CC97E81747A19A36FB9099CBDBDC">
    <w:name w:val="D980CC97E81747A19A36FB9099CBDBDC"/>
    <w:rsid w:val="00F42C3F"/>
  </w:style>
  <w:style w:type="paragraph" w:customStyle="1" w:styleId="2D27A23C68F6425EA2B07B8EA169BAD7">
    <w:name w:val="2D27A23C68F6425EA2B07B8EA169BAD7"/>
    <w:rsid w:val="00F42C3F"/>
  </w:style>
  <w:style w:type="paragraph" w:customStyle="1" w:styleId="7902DF872F4A42388287999302AF7239">
    <w:name w:val="7902DF872F4A42388287999302AF7239"/>
    <w:rsid w:val="00F42C3F"/>
  </w:style>
  <w:style w:type="paragraph" w:customStyle="1" w:styleId="A1624A733A95493E8C1979E1212E8D6E">
    <w:name w:val="A1624A733A95493E8C1979E1212E8D6E"/>
    <w:rsid w:val="00F42C3F"/>
  </w:style>
  <w:style w:type="paragraph" w:customStyle="1" w:styleId="315963A775AC4B8B944D1666C0353B6D">
    <w:name w:val="315963A775AC4B8B944D1666C0353B6D"/>
    <w:rsid w:val="00F42C3F"/>
  </w:style>
  <w:style w:type="paragraph" w:customStyle="1" w:styleId="7D18AE6FB5E44475B796DC57D1958C75">
    <w:name w:val="7D18AE6FB5E44475B796DC57D1958C75"/>
    <w:rsid w:val="00F42C3F"/>
  </w:style>
  <w:style w:type="paragraph" w:customStyle="1" w:styleId="63D7C38177954D499DE47149CCA1C2C9">
    <w:name w:val="63D7C38177954D499DE47149CCA1C2C9"/>
    <w:rsid w:val="00F42C3F"/>
  </w:style>
  <w:style w:type="paragraph" w:customStyle="1" w:styleId="E51C0DC890C44A8EA014708EFA5E60DE">
    <w:name w:val="E51C0DC890C44A8EA014708EFA5E60DE"/>
    <w:rsid w:val="00F42C3F"/>
  </w:style>
  <w:style w:type="paragraph" w:customStyle="1" w:styleId="69EC0F7444D94C7CB86E80B89754B4C6">
    <w:name w:val="69EC0F7444D94C7CB86E80B89754B4C6"/>
    <w:rsid w:val="00F42C3F"/>
  </w:style>
  <w:style w:type="paragraph" w:customStyle="1" w:styleId="2E2DA02B36DF427E8D03C9035E7CFE2B">
    <w:name w:val="2E2DA02B36DF427E8D03C9035E7CFE2B"/>
    <w:rsid w:val="00F42C3F"/>
  </w:style>
  <w:style w:type="paragraph" w:customStyle="1" w:styleId="DE7CC9C014944D8ABEB9E30C7C8B5346">
    <w:name w:val="DE7CC9C014944D8ABEB9E30C7C8B5346"/>
    <w:rsid w:val="00F42C3F"/>
  </w:style>
  <w:style w:type="paragraph" w:customStyle="1" w:styleId="C54CB56FDD3F429B830EAB1B719D1973">
    <w:name w:val="C54CB56FDD3F429B830EAB1B719D1973"/>
    <w:rsid w:val="00F42C3F"/>
  </w:style>
  <w:style w:type="paragraph" w:customStyle="1" w:styleId="4E6159C7703A4857B0BE0B819FEB33EA">
    <w:name w:val="4E6159C7703A4857B0BE0B819FEB33EA"/>
    <w:rsid w:val="00F42C3F"/>
  </w:style>
  <w:style w:type="paragraph" w:customStyle="1" w:styleId="AAFED28B3AD04DE1B0D9A1BA6B0F41C1">
    <w:name w:val="AAFED28B3AD04DE1B0D9A1BA6B0F41C1"/>
    <w:rsid w:val="00F42C3F"/>
  </w:style>
  <w:style w:type="paragraph" w:customStyle="1" w:styleId="2CEBCC84987B46F4973065309267F213">
    <w:name w:val="2CEBCC84987B46F4973065309267F213"/>
    <w:rsid w:val="00F42C3F"/>
  </w:style>
  <w:style w:type="paragraph" w:customStyle="1" w:styleId="EE4737BDE4E040B29E9300D7D05BBCF4">
    <w:name w:val="EE4737BDE4E040B29E9300D7D05BBCF4"/>
    <w:rsid w:val="00F42C3F"/>
  </w:style>
  <w:style w:type="paragraph" w:customStyle="1" w:styleId="73ADB2C0800D46DBAC05C10BD241403E">
    <w:name w:val="73ADB2C0800D46DBAC05C10BD241403E"/>
    <w:rsid w:val="00F42C3F"/>
  </w:style>
  <w:style w:type="paragraph" w:customStyle="1" w:styleId="F43566314618487EA6D427F7882A71C8">
    <w:name w:val="F43566314618487EA6D427F7882A71C8"/>
    <w:rsid w:val="00F42C3F"/>
  </w:style>
  <w:style w:type="paragraph" w:customStyle="1" w:styleId="ECB0B76B46C34F718B0CFA5CEED32B1A">
    <w:name w:val="ECB0B76B46C34F718B0CFA5CEED32B1A"/>
    <w:rsid w:val="00F42C3F"/>
  </w:style>
  <w:style w:type="paragraph" w:customStyle="1" w:styleId="0A07D5B4C5F442AF835C2AC4DBB131E1">
    <w:name w:val="0A07D5B4C5F442AF835C2AC4DBB131E1"/>
    <w:rsid w:val="00F42C3F"/>
  </w:style>
  <w:style w:type="paragraph" w:customStyle="1" w:styleId="E40771E9D14B4143B30E86AB86107321">
    <w:name w:val="E40771E9D14B4143B30E86AB86107321"/>
    <w:rsid w:val="00F42C3F"/>
  </w:style>
  <w:style w:type="paragraph" w:customStyle="1" w:styleId="3A1A74199696464399A31C73AF65F607">
    <w:name w:val="3A1A74199696464399A31C73AF65F607"/>
    <w:rsid w:val="00F42C3F"/>
  </w:style>
  <w:style w:type="paragraph" w:customStyle="1" w:styleId="9C9F3C0548B24A889F0CED8BE5DAEEB8">
    <w:name w:val="9C9F3C0548B24A889F0CED8BE5DAEEB8"/>
    <w:rsid w:val="00F42C3F"/>
  </w:style>
  <w:style w:type="paragraph" w:customStyle="1" w:styleId="F7BCA3E2D30E4E87811DAC022B0F2C4A">
    <w:name w:val="F7BCA3E2D30E4E87811DAC022B0F2C4A"/>
    <w:rsid w:val="00F42C3F"/>
  </w:style>
  <w:style w:type="paragraph" w:customStyle="1" w:styleId="CD5987FEEC6247EC81C42EA929513866">
    <w:name w:val="CD5987FEEC6247EC81C42EA929513866"/>
    <w:rsid w:val="00F42C3F"/>
  </w:style>
  <w:style w:type="paragraph" w:customStyle="1" w:styleId="468EFE38D124472E817C5E67A2AD14F7">
    <w:name w:val="468EFE38D124472E817C5E67A2AD14F7"/>
    <w:rsid w:val="00F42C3F"/>
  </w:style>
  <w:style w:type="paragraph" w:customStyle="1" w:styleId="09EC0F633AD34856B416F4EAA0CABD28">
    <w:name w:val="09EC0F633AD34856B416F4EAA0CABD28"/>
    <w:rsid w:val="00F42C3F"/>
  </w:style>
  <w:style w:type="paragraph" w:customStyle="1" w:styleId="0FF12A9EE1C54C32B6726A0B2AEC8A75">
    <w:name w:val="0FF12A9EE1C54C32B6726A0B2AEC8A75"/>
    <w:rsid w:val="00F42C3F"/>
  </w:style>
  <w:style w:type="paragraph" w:customStyle="1" w:styleId="0BDD3171A05348CE90ED9187EC6FEA9F">
    <w:name w:val="0BDD3171A05348CE90ED9187EC6FEA9F"/>
    <w:rsid w:val="00F42C3F"/>
  </w:style>
  <w:style w:type="paragraph" w:customStyle="1" w:styleId="B18FB039FD34439983EFA1DEF0F27D4C">
    <w:name w:val="B18FB039FD34439983EFA1DEF0F27D4C"/>
    <w:rsid w:val="00F42C3F"/>
  </w:style>
  <w:style w:type="paragraph" w:customStyle="1" w:styleId="5497FC751EAE44BC957CA98176849C1E">
    <w:name w:val="5497FC751EAE44BC957CA98176849C1E"/>
    <w:rsid w:val="00F42C3F"/>
  </w:style>
  <w:style w:type="paragraph" w:customStyle="1" w:styleId="D4033B09571A48F792446DEA55C6502F">
    <w:name w:val="D4033B09571A48F792446DEA55C6502F"/>
    <w:rsid w:val="00F42C3F"/>
  </w:style>
  <w:style w:type="paragraph" w:customStyle="1" w:styleId="525B8705EA7C483E90DAB64536F7B12F">
    <w:name w:val="525B8705EA7C483E90DAB64536F7B12F"/>
    <w:rsid w:val="00F42C3F"/>
  </w:style>
  <w:style w:type="paragraph" w:customStyle="1" w:styleId="81BB86B5B17C4C5481E98A46536593C0">
    <w:name w:val="81BB86B5B17C4C5481E98A46536593C0"/>
    <w:rsid w:val="00F42C3F"/>
  </w:style>
  <w:style w:type="paragraph" w:customStyle="1" w:styleId="A9916A7B316F46179572F20562F170A2">
    <w:name w:val="A9916A7B316F46179572F20562F170A2"/>
    <w:rsid w:val="00F42C3F"/>
  </w:style>
  <w:style w:type="paragraph" w:customStyle="1" w:styleId="85BFDF65F0F34D4CBD87223CA4770320">
    <w:name w:val="85BFDF65F0F34D4CBD87223CA4770320"/>
    <w:rsid w:val="00F42C3F"/>
  </w:style>
  <w:style w:type="paragraph" w:customStyle="1" w:styleId="A2F44AB867374D618780BA803A517577">
    <w:name w:val="A2F44AB867374D618780BA803A517577"/>
    <w:rsid w:val="00F42C3F"/>
  </w:style>
  <w:style w:type="paragraph" w:customStyle="1" w:styleId="BD0300491ACA4764858F669E68E8BF49">
    <w:name w:val="BD0300491ACA4764858F669E68E8BF49"/>
    <w:rsid w:val="00F42C3F"/>
  </w:style>
  <w:style w:type="paragraph" w:customStyle="1" w:styleId="24C40E2BBC284F71BB14A7C813187FA7">
    <w:name w:val="24C40E2BBC284F71BB14A7C813187FA7"/>
    <w:rsid w:val="00F42C3F"/>
  </w:style>
  <w:style w:type="paragraph" w:customStyle="1" w:styleId="B475EDAB109C46E6815CF26E8B0C2E09">
    <w:name w:val="B475EDAB109C46E6815CF26E8B0C2E09"/>
    <w:rsid w:val="00F42C3F"/>
  </w:style>
  <w:style w:type="paragraph" w:customStyle="1" w:styleId="F43BAEDDE6BA4BD2A47623535DD1BC1B">
    <w:name w:val="F43BAEDDE6BA4BD2A47623535DD1BC1B"/>
    <w:rsid w:val="00F42C3F"/>
  </w:style>
  <w:style w:type="paragraph" w:customStyle="1" w:styleId="49FC95E0E41641D5852A2262C4ECD1C1">
    <w:name w:val="49FC95E0E41641D5852A2262C4ECD1C1"/>
    <w:rsid w:val="00F42C3F"/>
  </w:style>
  <w:style w:type="paragraph" w:customStyle="1" w:styleId="12739A2DF08241079454C3331ED6743B">
    <w:name w:val="12739A2DF08241079454C3331ED6743B"/>
    <w:rsid w:val="00F42C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FE30-518F-4159-BA22-EEBAEC86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2015-08-26T07:39:00Z</cp:lastPrinted>
  <dcterms:created xsi:type="dcterms:W3CDTF">2015-08-28T11:29:00Z</dcterms:created>
  <dcterms:modified xsi:type="dcterms:W3CDTF">2015-08-28T11:29:00Z</dcterms:modified>
</cp:coreProperties>
</file>