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209CEA27504D454B939F5DA7286910AF"/>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9017218721EB4DE98BFA7C6F565CA9D9"/>
        </w:placeholder>
        <w:docPartList>
          <w:docPartGallery w:val="Quick Parts"/>
        </w:docPartList>
      </w:sdtPr>
      <w:sdtContent>
        <w:p w:rsidR="00102EE1" w:rsidRDefault="008E2A40" w:rsidP="00CA7795">
          <w:pPr>
            <w:jc w:val="center"/>
            <w:rPr>
              <w:b/>
              <w:sz w:val="28"/>
              <w:szCs w:val="28"/>
            </w:rPr>
          </w:pPr>
          <w:sdt>
            <w:sdtPr>
              <w:rPr>
                <w:b/>
                <w:sz w:val="28"/>
                <w:szCs w:val="28"/>
              </w:rPr>
              <w:id w:val="13542618"/>
              <w:placeholder>
                <w:docPart w:val="0AA19908FEC14857AD30DF6616913AF9"/>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6F52631BD6DA467988A68D05F698CAE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C73E5">
                <w:rPr>
                  <w:sz w:val="28"/>
                  <w:szCs w:val="28"/>
                </w:rPr>
                <w:t>S. Domah (J.A)</w:t>
              </w:r>
            </w:sdtContent>
          </w:sdt>
          <w:r w:rsidR="00097B9A">
            <w:rPr>
              <w:b/>
              <w:sz w:val="28"/>
              <w:szCs w:val="28"/>
            </w:rPr>
            <w:t xml:space="preserve"> </w:t>
          </w:r>
          <w:sdt>
            <w:sdtPr>
              <w:rPr>
                <w:sz w:val="28"/>
                <w:szCs w:val="28"/>
              </w:rPr>
              <w:id w:val="15629612"/>
              <w:placeholder>
                <w:docPart w:val="8A2DD78F3DB4466AA80586CE201C5B0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C73E5">
                <w:rPr>
                  <w:sz w:val="28"/>
                  <w:szCs w:val="28"/>
                </w:rPr>
                <w:t>, A.Fernando (J.A)</w:t>
              </w:r>
            </w:sdtContent>
          </w:sdt>
          <w:r w:rsidR="00097B9A">
            <w:rPr>
              <w:b/>
              <w:sz w:val="28"/>
              <w:szCs w:val="28"/>
            </w:rPr>
            <w:t xml:space="preserve"> </w:t>
          </w:r>
          <w:sdt>
            <w:sdtPr>
              <w:rPr>
                <w:sz w:val="28"/>
                <w:szCs w:val="28"/>
              </w:rPr>
              <w:id w:val="15629656"/>
              <w:placeholder>
                <w:docPart w:val="2D84084A0A9143CE8D61C471FE6DE40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C73E5">
                <w:rPr>
                  <w:sz w:val="28"/>
                  <w:szCs w:val="28"/>
                </w:rPr>
                <w:t>, J. Msoffe (J.A)</w:t>
              </w:r>
            </w:sdtContent>
          </w:sdt>
          <w:proofErr w:type="gramStart"/>
          <w:r w:rsidR="00097B9A">
            <w:rPr>
              <w:b/>
              <w:sz w:val="28"/>
              <w:szCs w:val="28"/>
            </w:rPr>
            <w:t xml:space="preserve"> </w:t>
          </w:r>
          <w:proofErr w:type="gramEnd"/>
          <w:r w:rsidR="00097B9A">
            <w:rPr>
              <w:b/>
              <w:sz w:val="28"/>
              <w:szCs w:val="28"/>
            </w:rPr>
            <w:t xml:space="preserve"> </w:t>
          </w:r>
          <w:r w:rsidR="006D0D9B">
            <w:rPr>
              <w:b/>
              <w:sz w:val="28"/>
              <w:szCs w:val="28"/>
            </w:rPr>
            <w:t>]</w:t>
          </w:r>
        </w:p>
      </w:sdtContent>
    </w:sdt>
    <w:p w:rsidR="00C55FDF" w:rsidRDefault="008E2A40" w:rsidP="0006489F">
      <w:pPr>
        <w:spacing w:before="240"/>
        <w:jc w:val="center"/>
        <w:rPr>
          <w:b/>
          <w:sz w:val="28"/>
          <w:szCs w:val="28"/>
        </w:rPr>
      </w:pPr>
      <w:sdt>
        <w:sdtPr>
          <w:rPr>
            <w:b/>
            <w:sz w:val="28"/>
            <w:szCs w:val="28"/>
          </w:rPr>
          <w:id w:val="14547297"/>
          <w:lock w:val="contentLocked"/>
          <w:placeholder>
            <w:docPart w:val="209CEA27504D454B939F5DA7286910AF"/>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0C73E5">
        <w:rPr>
          <w:b/>
          <w:sz w:val="28"/>
          <w:szCs w:val="28"/>
        </w:rPr>
        <w:t>56/2011 and 08</w:t>
      </w:r>
      <w:sdt>
        <w:sdtPr>
          <w:rPr>
            <w:b/>
            <w:sz w:val="28"/>
            <w:szCs w:val="28"/>
          </w:rPr>
          <w:id w:val="14547301"/>
          <w:lock w:val="sdtContentLocked"/>
          <w:placeholder>
            <w:docPart w:val="209CEA27504D454B939F5DA7286910AF"/>
          </w:placeholder>
        </w:sdtPr>
        <w:sdtContent>
          <w:r w:rsidR="00E86753">
            <w:rPr>
              <w:b/>
              <w:sz w:val="28"/>
              <w:szCs w:val="28"/>
            </w:rPr>
            <w:t>/20</w:t>
          </w:r>
        </w:sdtContent>
      </w:sdt>
      <w:r w:rsidR="000C73E5">
        <w:rPr>
          <w:b/>
          <w:sz w:val="28"/>
          <w:szCs w:val="28"/>
        </w:rPr>
        <w:t>13</w:t>
      </w:r>
    </w:p>
    <w:p w:rsidR="00DB6D34" w:rsidRPr="00606EEA" w:rsidRDefault="008E2A40" w:rsidP="00616597">
      <w:pPr>
        <w:spacing w:before="120"/>
        <w:jc w:val="center"/>
        <w:rPr>
          <w:b/>
          <w:sz w:val="24"/>
          <w:szCs w:val="24"/>
        </w:rPr>
      </w:pPr>
      <w:sdt>
        <w:sdtPr>
          <w:rPr>
            <w:b/>
            <w:sz w:val="28"/>
            <w:szCs w:val="28"/>
          </w:rPr>
          <w:id w:val="15629594"/>
          <w:lock w:val="contentLocked"/>
          <w:placeholder>
            <w:docPart w:val="84DDCAA18A42473AAAF20EF9BAE15DBF"/>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BF6349" w:rsidRPr="00BF6349">
        <w:rPr>
          <w:b/>
          <w:sz w:val="24"/>
          <w:szCs w:val="24"/>
        </w:rPr>
        <w:t>28</w:t>
      </w:r>
      <w:sdt>
        <w:sdtPr>
          <w:rPr>
            <w:b/>
            <w:sz w:val="28"/>
            <w:szCs w:val="28"/>
          </w:rPr>
          <w:id w:val="15629598"/>
          <w:lock w:val="contentLocked"/>
          <w:placeholder>
            <w:docPart w:val="84DDCAA18A42473AAAF20EF9BAE15DBF"/>
          </w:placeholder>
        </w:sdtPr>
        <w:sdtContent>
          <w:r w:rsidR="00097B9A">
            <w:rPr>
              <w:b/>
              <w:sz w:val="24"/>
              <w:szCs w:val="24"/>
            </w:rPr>
            <w:t>/20</w:t>
          </w:r>
        </w:sdtContent>
      </w:sdt>
      <w:r w:rsidR="00BF6349" w:rsidRPr="00BF6349">
        <w:rPr>
          <w:b/>
          <w:sz w:val="24"/>
          <w:szCs w:val="24"/>
        </w:rPr>
        <w:t>15</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76"/>
        <w:gridCol w:w="883"/>
        <w:gridCol w:w="4417"/>
      </w:tblGrid>
      <w:tr w:rsidR="003A059B" w:rsidRPr="00B26028" w:rsidTr="00B66B63">
        <w:tc>
          <w:tcPr>
            <w:tcW w:w="4428" w:type="dxa"/>
            <w:tcBorders>
              <w:top w:val="nil"/>
              <w:left w:val="nil"/>
              <w:bottom w:val="nil"/>
              <w:right w:val="nil"/>
            </w:tcBorders>
          </w:tcPr>
          <w:p w:rsidR="003A059B" w:rsidRPr="00B26028" w:rsidRDefault="000C73E5" w:rsidP="000C73E5">
            <w:pPr>
              <w:spacing w:before="120" w:after="120"/>
              <w:rPr>
                <w:sz w:val="24"/>
                <w:szCs w:val="24"/>
              </w:rPr>
            </w:pPr>
            <w:r>
              <w:rPr>
                <w:sz w:val="24"/>
                <w:szCs w:val="24"/>
              </w:rPr>
              <w:t>Mukhtar Ablyazov</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0C73E5" w:rsidP="000C73E5">
            <w:pPr>
              <w:tabs>
                <w:tab w:val="left" w:pos="2715"/>
              </w:tabs>
              <w:spacing w:before="120" w:after="120"/>
              <w:rPr>
                <w:sz w:val="24"/>
                <w:szCs w:val="24"/>
              </w:rPr>
            </w:pPr>
            <w:r>
              <w:rPr>
                <w:sz w:val="24"/>
                <w:szCs w:val="24"/>
              </w:rPr>
              <w:tab/>
              <w:t>Appellant</w:t>
            </w:r>
          </w:p>
          <w:p w:rsidR="000C73E5" w:rsidRPr="00B26028" w:rsidRDefault="000C73E5" w:rsidP="000C73E5">
            <w:pPr>
              <w:tabs>
                <w:tab w:val="left" w:pos="2715"/>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DBFE2B4F192D462CBBE5BFE026CB4F0A"/>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0C73E5" w:rsidRDefault="000C73E5" w:rsidP="00572AB3">
            <w:pPr>
              <w:rPr>
                <w:sz w:val="24"/>
                <w:szCs w:val="24"/>
              </w:rPr>
            </w:pPr>
          </w:p>
        </w:tc>
      </w:tr>
      <w:tr w:rsidR="003A059B" w:rsidRPr="00B26028" w:rsidTr="00B66B63">
        <w:tc>
          <w:tcPr>
            <w:tcW w:w="4428" w:type="dxa"/>
            <w:tcBorders>
              <w:top w:val="nil"/>
              <w:left w:val="nil"/>
              <w:bottom w:val="nil"/>
              <w:right w:val="nil"/>
            </w:tcBorders>
          </w:tcPr>
          <w:sdt>
            <w:sdtPr>
              <w:id w:val="8972153"/>
              <w:placeholder>
                <w:docPart w:val="E1379444372A4EF8B4C998009CC8AA61"/>
              </w:placeholder>
            </w:sdtPr>
            <w:sdtContent>
              <w:p w:rsidR="000C73E5" w:rsidRDefault="000C73E5" w:rsidP="000C73E5">
                <w:pPr>
                  <w:pStyle w:val="ListParagraph"/>
                  <w:numPr>
                    <w:ilvl w:val="0"/>
                    <w:numId w:val="8"/>
                  </w:numPr>
                  <w:spacing w:before="120" w:after="120" w:line="360" w:lineRule="auto"/>
                  <w:ind w:left="446" w:hanging="446"/>
                  <w:rPr>
                    <w:sz w:val="24"/>
                    <w:szCs w:val="24"/>
                  </w:rPr>
                </w:pPr>
                <w:r w:rsidRPr="000C73E5">
                  <w:rPr>
                    <w:sz w:val="24"/>
                    <w:szCs w:val="24"/>
                  </w:rPr>
                  <w:t>Je</w:t>
                </w:r>
                <w:r>
                  <w:rPr>
                    <w:sz w:val="24"/>
                    <w:szCs w:val="24"/>
                  </w:rPr>
                  <w:t>remy Outen</w:t>
                </w:r>
              </w:p>
              <w:p w:rsidR="000C73E5" w:rsidRDefault="000C73E5" w:rsidP="000C73E5">
                <w:pPr>
                  <w:pStyle w:val="ListParagraph"/>
                  <w:numPr>
                    <w:ilvl w:val="0"/>
                    <w:numId w:val="8"/>
                  </w:numPr>
                  <w:spacing w:before="120" w:after="120" w:line="360" w:lineRule="auto"/>
                  <w:ind w:left="446" w:hanging="446"/>
                  <w:rPr>
                    <w:sz w:val="24"/>
                    <w:szCs w:val="24"/>
                  </w:rPr>
                </w:pPr>
                <w:r>
                  <w:rPr>
                    <w:sz w:val="24"/>
                    <w:szCs w:val="24"/>
                  </w:rPr>
                  <w:t>John Milson</w:t>
                </w:r>
              </w:p>
              <w:p w:rsidR="003A059B" w:rsidRPr="000C73E5" w:rsidRDefault="000C73E5" w:rsidP="000C73E5">
                <w:pPr>
                  <w:pStyle w:val="ListParagraph"/>
                  <w:numPr>
                    <w:ilvl w:val="0"/>
                    <w:numId w:val="8"/>
                  </w:numPr>
                  <w:spacing w:before="120" w:after="120" w:line="360" w:lineRule="auto"/>
                  <w:ind w:left="446" w:hanging="446"/>
                  <w:rPr>
                    <w:sz w:val="24"/>
                    <w:szCs w:val="24"/>
                  </w:rPr>
                </w:pPr>
                <w:r>
                  <w:rPr>
                    <w:sz w:val="24"/>
                    <w:szCs w:val="24"/>
                  </w:rPr>
                  <w:t>David Standish</w:t>
                </w:r>
              </w:p>
            </w:sdtContent>
          </w:sdt>
        </w:tc>
        <w:tc>
          <w:tcPr>
            <w:tcW w:w="720" w:type="dxa"/>
            <w:tcBorders>
              <w:top w:val="nil"/>
              <w:left w:val="nil"/>
              <w:bottom w:val="nil"/>
              <w:right w:val="nil"/>
            </w:tcBorders>
          </w:tcPr>
          <w:p w:rsidR="000C73E5" w:rsidRDefault="000C73E5" w:rsidP="00B26028">
            <w:pPr>
              <w:spacing w:before="120" w:after="120"/>
              <w:rPr>
                <w:sz w:val="24"/>
                <w:szCs w:val="24"/>
              </w:rPr>
            </w:pPr>
          </w:p>
          <w:p w:rsidR="000C73E5" w:rsidRPr="000C73E5" w:rsidRDefault="000C73E5" w:rsidP="000C73E5">
            <w:pPr>
              <w:rPr>
                <w:sz w:val="24"/>
                <w:szCs w:val="24"/>
              </w:rPr>
            </w:pPr>
          </w:p>
          <w:p w:rsidR="000C73E5" w:rsidRDefault="000C73E5" w:rsidP="000C73E5">
            <w:pPr>
              <w:rPr>
                <w:sz w:val="24"/>
                <w:szCs w:val="24"/>
              </w:rPr>
            </w:pPr>
          </w:p>
          <w:p w:rsidR="003A059B" w:rsidRPr="000C73E5" w:rsidRDefault="003A059B" w:rsidP="000C73E5">
            <w:pPr>
              <w:rPr>
                <w:sz w:val="24"/>
                <w:szCs w:val="24"/>
              </w:rPr>
            </w:pPr>
          </w:p>
        </w:tc>
        <w:tc>
          <w:tcPr>
            <w:tcW w:w="4428" w:type="dxa"/>
            <w:tcBorders>
              <w:top w:val="nil"/>
              <w:left w:val="nil"/>
              <w:bottom w:val="nil"/>
              <w:right w:val="nil"/>
            </w:tcBorders>
          </w:tcPr>
          <w:p w:rsidR="000C73E5" w:rsidRDefault="000C73E5" w:rsidP="002E70F9">
            <w:pPr>
              <w:spacing w:before="120" w:after="120"/>
              <w:jc w:val="right"/>
              <w:rPr>
                <w:sz w:val="24"/>
                <w:szCs w:val="24"/>
              </w:rPr>
            </w:pPr>
          </w:p>
          <w:p w:rsidR="000C73E5" w:rsidRPr="000C73E5" w:rsidRDefault="000C73E5" w:rsidP="000C73E5">
            <w:pPr>
              <w:rPr>
                <w:sz w:val="24"/>
                <w:szCs w:val="24"/>
              </w:rPr>
            </w:pPr>
          </w:p>
          <w:p w:rsidR="000C73E5" w:rsidRDefault="000C73E5" w:rsidP="000C73E5">
            <w:pPr>
              <w:rPr>
                <w:sz w:val="24"/>
                <w:szCs w:val="24"/>
              </w:rPr>
            </w:pPr>
          </w:p>
          <w:p w:rsidR="00B26028" w:rsidRPr="000C73E5" w:rsidRDefault="000C73E5" w:rsidP="000C73E5">
            <w:pPr>
              <w:tabs>
                <w:tab w:val="left" w:pos="2752"/>
              </w:tabs>
              <w:rPr>
                <w:sz w:val="24"/>
                <w:szCs w:val="24"/>
              </w:rPr>
            </w:pPr>
            <w:r>
              <w:rPr>
                <w:sz w:val="24"/>
                <w:szCs w:val="24"/>
              </w:rPr>
              <w:tab/>
              <w:t>Respondents</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8E2A40" w:rsidP="00C22967">
      <w:pPr>
        <w:spacing w:before="240" w:after="120"/>
        <w:rPr>
          <w:sz w:val="24"/>
          <w:szCs w:val="24"/>
        </w:rPr>
      </w:pPr>
      <w:sdt>
        <w:sdtPr>
          <w:rPr>
            <w:sz w:val="24"/>
            <w:szCs w:val="24"/>
          </w:rPr>
          <w:id w:val="15629736"/>
          <w:lock w:val="contentLocked"/>
          <w:placeholder>
            <w:docPart w:val="84DDCAA18A42473AAAF20EF9BAE15DBF"/>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E8F995DF45B442CF856554F1075F7E81"/>
          </w:placeholder>
          <w:date w:fullDate="2015-08-19T00:00:00Z">
            <w:dateFormat w:val="dd MMMM yyyy"/>
            <w:lid w:val="en-GB"/>
            <w:storeMappedDataAs w:val="dateTime"/>
            <w:calendar w:val="gregorian"/>
          </w:date>
        </w:sdtPr>
        <w:sdtContent>
          <w:r w:rsidR="000C73E5">
            <w:rPr>
              <w:sz w:val="24"/>
              <w:szCs w:val="24"/>
            </w:rPr>
            <w:t>19 August 2015</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8E2A40" w:rsidP="00B0414B">
      <w:pPr>
        <w:rPr>
          <w:sz w:val="24"/>
          <w:szCs w:val="24"/>
        </w:rPr>
      </w:pPr>
      <w:sdt>
        <w:sdtPr>
          <w:rPr>
            <w:sz w:val="24"/>
            <w:szCs w:val="24"/>
          </w:rPr>
          <w:id w:val="15629744"/>
          <w:lock w:val="contentLocked"/>
          <w:placeholder>
            <w:docPart w:val="84DDCAA18A42473AAAF20EF9BAE15DBF"/>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C44BD4D082ED445FB014E84620F02D21"/>
          </w:placeholder>
        </w:sdtPr>
        <w:sdtContent>
          <w:r w:rsidR="000C73E5">
            <w:rPr>
              <w:sz w:val="24"/>
              <w:szCs w:val="24"/>
            </w:rPr>
            <w:t>Mr. Frank Ally and Mr. Basil Hoareau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C44BD4D082ED445FB014E84620F02D21"/>
          </w:placeholder>
        </w:sdtPr>
        <w:sdtContent>
          <w:r w:rsidR="000C73E5">
            <w:rPr>
              <w:sz w:val="24"/>
              <w:szCs w:val="24"/>
            </w:rPr>
            <w:t>Mr. Kieran Shah for the Respondent</w:t>
          </w:r>
          <w:r w:rsidR="00BC5D98">
            <w:rPr>
              <w:sz w:val="24"/>
              <w:szCs w:val="24"/>
            </w:rPr>
            <w:t>s</w:t>
          </w:r>
        </w:sdtContent>
      </w:sdt>
      <w:r w:rsidR="008E2A40" w:rsidRPr="00503E49">
        <w:rPr>
          <w:sz w:val="24"/>
          <w:szCs w:val="24"/>
        </w:rPr>
        <w:fldChar w:fldCharType="begin"/>
      </w:r>
      <w:r w:rsidR="00F804CC" w:rsidRPr="00503E49">
        <w:rPr>
          <w:sz w:val="24"/>
          <w:szCs w:val="24"/>
        </w:rPr>
        <w:instrText xml:space="preserve"> ASK  "Enter Respondent Lawyer Full Name"  \* MERGEFORMAT </w:instrText>
      </w:r>
      <w:r w:rsidR="008E2A40" w:rsidRPr="00503E49">
        <w:rPr>
          <w:sz w:val="24"/>
          <w:szCs w:val="24"/>
        </w:rPr>
        <w:fldChar w:fldCharType="end"/>
      </w:r>
      <w:r w:rsidR="008E2A40" w:rsidRPr="00503E49">
        <w:rPr>
          <w:sz w:val="24"/>
          <w:szCs w:val="24"/>
        </w:rPr>
        <w:fldChar w:fldCharType="begin"/>
      </w:r>
      <w:r w:rsidR="003F0F8D" w:rsidRPr="00503E49">
        <w:rPr>
          <w:sz w:val="24"/>
          <w:szCs w:val="24"/>
        </w:rPr>
        <w:instrText xml:space="preserve">  </w:instrText>
      </w:r>
      <w:r w:rsidR="008E2A40" w:rsidRPr="00503E49">
        <w:rPr>
          <w:sz w:val="24"/>
          <w:szCs w:val="24"/>
        </w:rPr>
        <w:fldChar w:fldCharType="end"/>
      </w:r>
      <w:r w:rsidR="00FD51E7" w:rsidRPr="00503E49">
        <w:rPr>
          <w:sz w:val="24"/>
          <w:szCs w:val="24"/>
        </w:rPr>
        <w:t xml:space="preserve"> </w:t>
      </w:r>
    </w:p>
    <w:p w:rsidR="00E6492F" w:rsidRDefault="008E2A40" w:rsidP="006578C2">
      <w:pPr>
        <w:spacing w:before="120" w:after="240"/>
        <w:rPr>
          <w:sz w:val="24"/>
          <w:szCs w:val="24"/>
        </w:rPr>
      </w:pPr>
      <w:sdt>
        <w:sdtPr>
          <w:rPr>
            <w:sz w:val="24"/>
            <w:szCs w:val="24"/>
          </w:rPr>
          <w:id w:val="15629748"/>
          <w:lock w:val="contentLocked"/>
          <w:placeholder>
            <w:docPart w:val="84DDCAA18A42473AAAF20EF9BAE15DBF"/>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4EE37B7CAD7B4204B7413035AE35FE27"/>
          </w:placeholder>
          <w:date w:fullDate="2015-08-28T00:00:00Z">
            <w:dateFormat w:val="dd MMMM yyyy"/>
            <w:lid w:val="en-GB"/>
            <w:storeMappedDataAs w:val="dateTime"/>
            <w:calendar w:val="gregorian"/>
          </w:date>
        </w:sdtPr>
        <w:sdtContent>
          <w:r w:rsidR="000C73E5">
            <w:rPr>
              <w:sz w:val="24"/>
              <w:szCs w:val="24"/>
            </w:rPr>
            <w:t>28 August 2015</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84DDCAA18A42473AAAF20EF9BAE15DBF"/>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8E2A40"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EE6770A414134AB6A413EF5E1CAEBBB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C73E5">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228C76E3F0954464A01557E90BDE1CA5"/>
        </w:placeholder>
      </w:sdtPr>
      <w:sdtContent>
        <w:p w:rsidR="000C73E5" w:rsidRDefault="000C73E5" w:rsidP="00717D0C">
          <w:pPr>
            <w:pStyle w:val="ListParagraph"/>
            <w:widowControl/>
            <w:numPr>
              <w:ilvl w:val="0"/>
              <w:numId w:val="13"/>
            </w:numPr>
            <w:autoSpaceDE/>
            <w:autoSpaceDN/>
            <w:adjustRightInd/>
            <w:spacing w:after="200" w:line="360" w:lineRule="auto"/>
            <w:ind w:hanging="720"/>
            <w:jc w:val="both"/>
            <w:rPr>
              <w:rFonts w:ascii="Arial" w:hAnsi="Arial" w:cs="Arial"/>
              <w:sz w:val="22"/>
              <w:szCs w:val="22"/>
            </w:rPr>
          </w:pPr>
          <w:r>
            <w:rPr>
              <w:rFonts w:ascii="Arial" w:hAnsi="Arial" w:cs="Arial"/>
              <w:sz w:val="22"/>
              <w:szCs w:val="22"/>
            </w:rPr>
            <w:t xml:space="preserve">We are in presence of two appeals which are consolidated from two decisions of the then Ag. Chief Justice who acceded to an application made by the respondents to recognise a Receiving Order made by the English Courts thereby enabling the respondents to give effect to the orders made thereby to extend their powers of receivership to cover the assets found in the jurisdiction of Seychelles. </w:t>
          </w:r>
        </w:p>
        <w:p w:rsidR="000C73E5" w:rsidRDefault="000C73E5" w:rsidP="000C73E5">
          <w:pPr>
            <w:pStyle w:val="ListParagraph"/>
            <w:widowControl/>
            <w:autoSpaceDE/>
            <w:autoSpaceDN/>
            <w:adjustRightInd/>
            <w:spacing w:after="200" w:line="360" w:lineRule="auto"/>
            <w:ind w:left="0"/>
            <w:jc w:val="both"/>
            <w:rPr>
              <w:rFonts w:ascii="Arial" w:hAnsi="Arial" w:cs="Arial"/>
              <w:sz w:val="22"/>
              <w:szCs w:val="22"/>
            </w:rPr>
          </w:pPr>
        </w:p>
        <w:p w:rsidR="000C73E5" w:rsidRDefault="000C73E5" w:rsidP="00717D0C">
          <w:pPr>
            <w:pStyle w:val="ListParagraph"/>
            <w:widowControl/>
            <w:numPr>
              <w:ilvl w:val="0"/>
              <w:numId w:val="13"/>
            </w:numPr>
            <w:autoSpaceDE/>
            <w:autoSpaceDN/>
            <w:adjustRightInd/>
            <w:spacing w:after="200" w:line="360" w:lineRule="auto"/>
            <w:ind w:hanging="720"/>
            <w:jc w:val="both"/>
            <w:rPr>
              <w:rFonts w:ascii="Arial" w:hAnsi="Arial" w:cs="Arial"/>
              <w:sz w:val="22"/>
              <w:szCs w:val="22"/>
            </w:rPr>
          </w:pPr>
          <w:r>
            <w:rPr>
              <w:rFonts w:ascii="Arial" w:hAnsi="Arial" w:cs="Arial"/>
              <w:sz w:val="22"/>
              <w:szCs w:val="22"/>
            </w:rPr>
            <w:t xml:space="preserve">In the first appeal (SCA 56/2011), the appellant is seeking the quashing of the Ex parte Order made on 13 October 2011 by the Ag Chief Justice in this jurisdiction whereby the powers of the respondents given in the English Court were extended to this jurisdiction. His orders followed an ex parte application made before him by the respondents seeking </w:t>
          </w:r>
          <w:r>
            <w:rPr>
              <w:rFonts w:ascii="Arial" w:hAnsi="Arial" w:cs="Arial"/>
              <w:sz w:val="22"/>
              <w:szCs w:val="22"/>
            </w:rPr>
            <w:lastRenderedPageBreak/>
            <w:t>the recognition of a Receiving Order made by the High Court of Justice of England and Wales, Queen’s Bench Division, Commercial Court dated 6</w:t>
          </w:r>
          <w:r w:rsidRPr="0089071E">
            <w:rPr>
              <w:rFonts w:ascii="Arial" w:hAnsi="Arial" w:cs="Arial"/>
              <w:sz w:val="22"/>
              <w:szCs w:val="22"/>
              <w:vertAlign w:val="superscript"/>
            </w:rPr>
            <w:t>th</w:t>
          </w:r>
          <w:r>
            <w:rPr>
              <w:rFonts w:ascii="Arial" w:hAnsi="Arial" w:cs="Arial"/>
              <w:sz w:val="22"/>
              <w:szCs w:val="22"/>
            </w:rPr>
            <w:t xml:space="preserve"> August 2010 through to 23</w:t>
          </w:r>
          <w:r w:rsidRPr="0089071E">
            <w:rPr>
              <w:rFonts w:ascii="Arial" w:hAnsi="Arial" w:cs="Arial"/>
              <w:sz w:val="22"/>
              <w:szCs w:val="22"/>
              <w:vertAlign w:val="superscript"/>
            </w:rPr>
            <w:t>rd</w:t>
          </w:r>
          <w:r>
            <w:rPr>
              <w:rFonts w:ascii="Arial" w:hAnsi="Arial" w:cs="Arial"/>
              <w:sz w:val="22"/>
              <w:szCs w:val="22"/>
            </w:rPr>
            <w:t xml:space="preserve"> January 2013, all comprising 12 in number of various dates. </w:t>
          </w:r>
        </w:p>
        <w:p w:rsidR="000C73E5" w:rsidRDefault="000C73E5" w:rsidP="000C73E5">
          <w:pPr>
            <w:pStyle w:val="ListParagraph"/>
            <w:widowControl/>
            <w:autoSpaceDE/>
            <w:autoSpaceDN/>
            <w:adjustRightInd/>
            <w:spacing w:after="200" w:line="360" w:lineRule="auto"/>
            <w:ind w:left="0"/>
            <w:jc w:val="both"/>
            <w:rPr>
              <w:rFonts w:ascii="Arial" w:hAnsi="Arial" w:cs="Arial"/>
              <w:sz w:val="22"/>
              <w:szCs w:val="22"/>
            </w:rPr>
          </w:pPr>
        </w:p>
        <w:p w:rsidR="000C73E5" w:rsidRDefault="000C73E5" w:rsidP="00717D0C">
          <w:pPr>
            <w:pStyle w:val="ListParagraph"/>
            <w:widowControl/>
            <w:numPr>
              <w:ilvl w:val="0"/>
              <w:numId w:val="13"/>
            </w:numPr>
            <w:autoSpaceDE/>
            <w:autoSpaceDN/>
            <w:adjustRightInd/>
            <w:spacing w:after="200" w:line="360" w:lineRule="auto"/>
            <w:ind w:hanging="720"/>
            <w:jc w:val="both"/>
            <w:rPr>
              <w:rFonts w:ascii="Arial" w:hAnsi="Arial" w:cs="Arial"/>
              <w:sz w:val="22"/>
              <w:szCs w:val="22"/>
            </w:rPr>
          </w:pPr>
          <w:r>
            <w:rPr>
              <w:rFonts w:ascii="Arial" w:hAnsi="Arial" w:cs="Arial"/>
              <w:sz w:val="22"/>
              <w:szCs w:val="22"/>
            </w:rPr>
            <w:t>The purpose of the Order was, inter alia, to authorize and permit the Receivers to take all steps within the jurisdiction of Seychelles to recover and preserve the assets which fell under their mandate and which were found in the jurisdiction of Seychelles.  This power included the location of those assets through enquiries, requests for information and documents which may lie in the possession or control of any person, bank or company within our jurisdiction.</w:t>
          </w:r>
        </w:p>
        <w:p w:rsidR="000C73E5" w:rsidRDefault="000C73E5" w:rsidP="000C73E5">
          <w:pPr>
            <w:pStyle w:val="ListParagraph"/>
            <w:widowControl/>
            <w:autoSpaceDE/>
            <w:autoSpaceDN/>
            <w:adjustRightInd/>
            <w:spacing w:after="200" w:line="360" w:lineRule="auto"/>
            <w:ind w:left="0"/>
            <w:jc w:val="both"/>
            <w:rPr>
              <w:rFonts w:ascii="Arial" w:hAnsi="Arial" w:cs="Arial"/>
              <w:sz w:val="22"/>
              <w:szCs w:val="22"/>
            </w:rPr>
          </w:pPr>
        </w:p>
        <w:p w:rsidR="000C73E5" w:rsidRDefault="000C73E5" w:rsidP="00717D0C">
          <w:pPr>
            <w:pStyle w:val="ListParagraph"/>
            <w:widowControl/>
            <w:numPr>
              <w:ilvl w:val="0"/>
              <w:numId w:val="13"/>
            </w:numPr>
            <w:autoSpaceDE/>
            <w:autoSpaceDN/>
            <w:adjustRightInd/>
            <w:spacing w:after="200" w:line="360" w:lineRule="auto"/>
            <w:ind w:hanging="720"/>
            <w:jc w:val="both"/>
            <w:rPr>
              <w:rFonts w:ascii="Arial" w:hAnsi="Arial" w:cs="Arial"/>
              <w:sz w:val="22"/>
              <w:szCs w:val="22"/>
            </w:rPr>
          </w:pPr>
          <w:r>
            <w:rPr>
              <w:rFonts w:ascii="Arial" w:hAnsi="Arial" w:cs="Arial"/>
              <w:sz w:val="22"/>
              <w:szCs w:val="22"/>
            </w:rPr>
            <w:t xml:space="preserve">The grounds for such an application were fully set out in the affidavit evidence </w:t>
          </w:r>
          <w:proofErr w:type="gramStart"/>
          <w:r>
            <w:rPr>
              <w:rFonts w:ascii="Arial" w:hAnsi="Arial" w:cs="Arial"/>
              <w:sz w:val="22"/>
              <w:szCs w:val="22"/>
            </w:rPr>
            <w:t>which  accompanied</w:t>
          </w:r>
          <w:proofErr w:type="gramEnd"/>
          <w:r>
            <w:rPr>
              <w:rFonts w:ascii="Arial" w:hAnsi="Arial" w:cs="Arial"/>
              <w:sz w:val="22"/>
              <w:szCs w:val="22"/>
            </w:rPr>
            <w:t xml:space="preserve"> the application. In short, they had been appointed to receive a substantial number of assets owned, or reportedly presently owned, by Mr Ablyazov but as ill-gotten gains. His co-operation in the matter was left very much to be desired somuch so that he had ended up fleeing the English jurisdiction, was sentenced for contempt of court and found himself in custody of the French courts pending extradition proceedings. </w:t>
          </w:r>
        </w:p>
        <w:p w:rsidR="000C73E5" w:rsidRDefault="000C73E5" w:rsidP="000C73E5">
          <w:pPr>
            <w:pStyle w:val="ListParagraph"/>
            <w:widowControl/>
            <w:autoSpaceDE/>
            <w:autoSpaceDN/>
            <w:adjustRightInd/>
            <w:spacing w:after="200" w:line="360" w:lineRule="auto"/>
            <w:ind w:left="0"/>
            <w:jc w:val="both"/>
            <w:rPr>
              <w:rFonts w:ascii="Arial" w:hAnsi="Arial" w:cs="Arial"/>
              <w:sz w:val="22"/>
              <w:szCs w:val="22"/>
            </w:rPr>
          </w:pPr>
        </w:p>
        <w:p w:rsidR="000C73E5" w:rsidRDefault="000C73E5" w:rsidP="00717D0C">
          <w:pPr>
            <w:pStyle w:val="ListParagraph"/>
            <w:widowControl/>
            <w:numPr>
              <w:ilvl w:val="0"/>
              <w:numId w:val="13"/>
            </w:numPr>
            <w:autoSpaceDE/>
            <w:autoSpaceDN/>
            <w:adjustRightInd/>
            <w:spacing w:after="200" w:line="360" w:lineRule="auto"/>
            <w:ind w:hanging="720"/>
            <w:jc w:val="both"/>
            <w:rPr>
              <w:rFonts w:ascii="Arial" w:hAnsi="Arial" w:cs="Arial"/>
              <w:sz w:val="22"/>
              <w:szCs w:val="22"/>
            </w:rPr>
          </w:pPr>
          <w:r>
            <w:rPr>
              <w:rFonts w:ascii="Arial" w:hAnsi="Arial" w:cs="Arial"/>
              <w:sz w:val="22"/>
              <w:szCs w:val="22"/>
            </w:rPr>
            <w:t xml:space="preserve">On 13 October 2011, the Ag Chief Justice, Karunakaran, granted the recognition order to authorize and permit the receivers to extend their receivership to the jurisdiction of Seychelles insofar as the assets of Mr Mukhtar Ablyazov, the appellant, could be found here. </w:t>
          </w:r>
        </w:p>
        <w:p w:rsidR="000C73E5" w:rsidRDefault="000C73E5" w:rsidP="000C73E5">
          <w:pPr>
            <w:pStyle w:val="ListParagraph"/>
            <w:widowControl/>
            <w:autoSpaceDE/>
            <w:autoSpaceDN/>
            <w:adjustRightInd/>
            <w:spacing w:after="200" w:line="360" w:lineRule="auto"/>
            <w:jc w:val="both"/>
            <w:rPr>
              <w:rFonts w:ascii="Arial" w:hAnsi="Arial" w:cs="Arial"/>
              <w:sz w:val="22"/>
              <w:szCs w:val="22"/>
            </w:rPr>
          </w:pPr>
        </w:p>
        <w:p w:rsidR="000C73E5" w:rsidRDefault="000C73E5" w:rsidP="00717D0C">
          <w:pPr>
            <w:pStyle w:val="ListParagraph"/>
            <w:widowControl/>
            <w:numPr>
              <w:ilvl w:val="0"/>
              <w:numId w:val="13"/>
            </w:numPr>
            <w:autoSpaceDE/>
            <w:autoSpaceDN/>
            <w:adjustRightInd/>
            <w:spacing w:after="200" w:line="360" w:lineRule="auto"/>
            <w:ind w:hanging="720"/>
            <w:jc w:val="both"/>
            <w:rPr>
              <w:rFonts w:ascii="Arial" w:hAnsi="Arial" w:cs="Arial"/>
              <w:sz w:val="22"/>
              <w:szCs w:val="22"/>
            </w:rPr>
          </w:pPr>
          <w:r>
            <w:rPr>
              <w:rFonts w:ascii="Arial" w:hAnsi="Arial" w:cs="Arial"/>
              <w:sz w:val="22"/>
              <w:szCs w:val="22"/>
            </w:rPr>
            <w:t xml:space="preserve">In the second appeal (SCA 08/2013), the appellant is seeking the quashing of the orders made in this jurisdiction on 14 February 2013 whereby 11 companies are listed as falling under the mandate of the receivers: Avalle Consulting Ltd, Avgur Group Ltd, Direct Logistic Solutions Ltd, Fexon International Ltd, Impulse Capital Corp, Jadason Enterprise Ltd, Lucky Kingdom Investments, Powermatic Data Ltd, Tedcom Finance Ltd, Varna Limited and Lafe Technology Ltd. </w:t>
          </w:r>
        </w:p>
        <w:p w:rsidR="000C73E5" w:rsidRPr="00CC07B2" w:rsidRDefault="000C73E5" w:rsidP="000C73E5">
          <w:pPr>
            <w:pStyle w:val="ListParagraph"/>
            <w:widowControl/>
            <w:autoSpaceDE/>
            <w:autoSpaceDN/>
            <w:adjustRightInd/>
            <w:spacing w:after="200" w:line="360" w:lineRule="auto"/>
            <w:ind w:left="1440"/>
            <w:jc w:val="both"/>
            <w:rPr>
              <w:rFonts w:ascii="Arial" w:hAnsi="Arial" w:cs="Arial"/>
              <w:sz w:val="22"/>
              <w:szCs w:val="22"/>
            </w:rPr>
          </w:pPr>
        </w:p>
        <w:p w:rsidR="000C73E5" w:rsidRPr="00CC07B2" w:rsidRDefault="000C73E5" w:rsidP="00717D0C">
          <w:pPr>
            <w:pStyle w:val="ListParagraph"/>
            <w:widowControl/>
            <w:numPr>
              <w:ilvl w:val="0"/>
              <w:numId w:val="13"/>
            </w:numPr>
            <w:autoSpaceDE/>
            <w:autoSpaceDN/>
            <w:adjustRightInd/>
            <w:spacing w:after="200" w:line="360" w:lineRule="auto"/>
            <w:ind w:hanging="720"/>
            <w:jc w:val="both"/>
            <w:rPr>
              <w:rFonts w:ascii="Arial" w:hAnsi="Arial" w:cs="Arial"/>
              <w:sz w:val="22"/>
              <w:szCs w:val="22"/>
            </w:rPr>
          </w:pPr>
          <w:r w:rsidRPr="00CC07B2">
            <w:rPr>
              <w:rFonts w:ascii="Arial" w:hAnsi="Arial" w:cs="Arial"/>
              <w:sz w:val="22"/>
              <w:szCs w:val="22"/>
            </w:rPr>
            <w:t xml:space="preserve">The grounds </w:t>
          </w:r>
          <w:r>
            <w:rPr>
              <w:rFonts w:ascii="Arial" w:hAnsi="Arial" w:cs="Arial"/>
              <w:sz w:val="22"/>
              <w:szCs w:val="22"/>
            </w:rPr>
            <w:t xml:space="preserve">of appeal in SCA 56/2011 </w:t>
          </w:r>
          <w:r w:rsidRPr="00CC07B2">
            <w:rPr>
              <w:rFonts w:ascii="Arial" w:hAnsi="Arial" w:cs="Arial"/>
              <w:sz w:val="22"/>
              <w:szCs w:val="22"/>
            </w:rPr>
            <w:t>are:</w:t>
          </w:r>
        </w:p>
        <w:p w:rsidR="000C73E5" w:rsidRPr="00CC07B2" w:rsidRDefault="000C73E5" w:rsidP="000C73E5">
          <w:pPr>
            <w:widowControl/>
            <w:numPr>
              <w:ilvl w:val="0"/>
              <w:numId w:val="9"/>
            </w:numPr>
            <w:autoSpaceDE/>
            <w:autoSpaceDN/>
            <w:adjustRightInd/>
            <w:spacing w:line="360" w:lineRule="auto"/>
            <w:jc w:val="both"/>
            <w:rPr>
              <w:rFonts w:ascii="Arial" w:hAnsi="Arial" w:cs="Arial"/>
              <w:i/>
              <w:sz w:val="22"/>
              <w:szCs w:val="22"/>
            </w:rPr>
          </w:pPr>
          <w:r w:rsidRPr="00CC07B2">
            <w:rPr>
              <w:rFonts w:ascii="Arial" w:hAnsi="Arial" w:cs="Arial"/>
              <w:i/>
              <w:sz w:val="22"/>
              <w:szCs w:val="22"/>
            </w:rPr>
            <w:t xml:space="preserve">The learned </w:t>
          </w:r>
          <w:r>
            <w:rPr>
              <w:rFonts w:ascii="Arial" w:hAnsi="Arial" w:cs="Arial"/>
              <w:i/>
              <w:sz w:val="22"/>
              <w:szCs w:val="22"/>
            </w:rPr>
            <w:t xml:space="preserve">trial judge </w:t>
          </w:r>
          <w:r w:rsidRPr="00CC07B2">
            <w:rPr>
              <w:rFonts w:ascii="Arial" w:hAnsi="Arial" w:cs="Arial"/>
              <w:i/>
              <w:sz w:val="22"/>
              <w:szCs w:val="22"/>
            </w:rPr>
            <w:t xml:space="preserve">erred in law in </w:t>
          </w:r>
          <w:r>
            <w:rPr>
              <w:rFonts w:ascii="Arial" w:hAnsi="Arial" w:cs="Arial"/>
              <w:i/>
              <w:sz w:val="22"/>
              <w:szCs w:val="22"/>
            </w:rPr>
            <w:t xml:space="preserve">recognising and/or declaring enforceable in the Seychelles the order of the High Court of the Justice of </w:t>
          </w:r>
          <w:r>
            <w:rPr>
              <w:rFonts w:ascii="Arial" w:hAnsi="Arial" w:cs="Arial"/>
              <w:i/>
              <w:sz w:val="22"/>
              <w:szCs w:val="22"/>
            </w:rPr>
            <w:lastRenderedPageBreak/>
            <w:t>England and Wales, Queen’s Bench Division, Commercial Court dated 6</w:t>
          </w:r>
          <w:r w:rsidRPr="0028051A">
            <w:rPr>
              <w:rFonts w:ascii="Arial" w:hAnsi="Arial" w:cs="Arial"/>
              <w:i/>
              <w:sz w:val="22"/>
              <w:szCs w:val="22"/>
              <w:vertAlign w:val="superscript"/>
            </w:rPr>
            <w:t>th</w:t>
          </w:r>
          <w:r>
            <w:rPr>
              <w:rFonts w:ascii="Arial" w:hAnsi="Arial" w:cs="Arial"/>
              <w:i/>
              <w:sz w:val="22"/>
              <w:szCs w:val="22"/>
            </w:rPr>
            <w:t xml:space="preserve"> August 2010 (as extended on 26</w:t>
          </w:r>
          <w:r w:rsidRPr="00287CEC">
            <w:rPr>
              <w:rFonts w:ascii="Arial" w:hAnsi="Arial" w:cs="Arial"/>
              <w:i/>
              <w:sz w:val="22"/>
              <w:szCs w:val="22"/>
              <w:vertAlign w:val="superscript"/>
            </w:rPr>
            <w:t>th</w:t>
          </w:r>
          <w:r>
            <w:rPr>
              <w:rFonts w:ascii="Arial" w:hAnsi="Arial" w:cs="Arial"/>
              <w:i/>
              <w:sz w:val="22"/>
              <w:szCs w:val="22"/>
            </w:rPr>
            <w:t xml:space="preserve"> January 2011, 8</w:t>
          </w:r>
          <w:r w:rsidRPr="0028051A">
            <w:rPr>
              <w:rFonts w:ascii="Arial" w:hAnsi="Arial" w:cs="Arial"/>
              <w:i/>
              <w:sz w:val="22"/>
              <w:szCs w:val="22"/>
              <w:vertAlign w:val="superscript"/>
            </w:rPr>
            <w:t>th</w:t>
          </w:r>
          <w:r>
            <w:rPr>
              <w:rFonts w:ascii="Arial" w:hAnsi="Arial" w:cs="Arial"/>
              <w:i/>
              <w:sz w:val="22"/>
              <w:szCs w:val="22"/>
            </w:rPr>
            <w:t xml:space="preserve"> April 2011, 27</w:t>
          </w:r>
          <w:r w:rsidRPr="00480044">
            <w:rPr>
              <w:rFonts w:ascii="Arial" w:hAnsi="Arial" w:cs="Arial"/>
              <w:i/>
              <w:sz w:val="22"/>
              <w:szCs w:val="22"/>
              <w:vertAlign w:val="superscript"/>
            </w:rPr>
            <w:t>th</w:t>
          </w:r>
          <w:r>
            <w:rPr>
              <w:rFonts w:ascii="Arial" w:hAnsi="Arial" w:cs="Arial"/>
              <w:i/>
              <w:sz w:val="22"/>
              <w:szCs w:val="22"/>
            </w:rPr>
            <w:t xml:space="preserve"> May 2011 and 9</w:t>
          </w:r>
          <w:r w:rsidRPr="00480044">
            <w:rPr>
              <w:rFonts w:ascii="Arial" w:hAnsi="Arial" w:cs="Arial"/>
              <w:i/>
              <w:sz w:val="22"/>
              <w:szCs w:val="22"/>
              <w:vertAlign w:val="superscript"/>
            </w:rPr>
            <w:t>th</w:t>
          </w:r>
          <w:r>
            <w:rPr>
              <w:rFonts w:ascii="Arial" w:hAnsi="Arial" w:cs="Arial"/>
              <w:i/>
              <w:sz w:val="22"/>
              <w:szCs w:val="22"/>
            </w:rPr>
            <w:t xml:space="preserve"> June 2011) made in the proceedings between JSC BTA Bank and Mukhtar ABLYAZOV and Others (Claim No. 2009, Folio 1099) (the “English Receiving Order”) since the English Receiving Order was not final and conclusive</w:t>
          </w:r>
          <w:r w:rsidRPr="00CC07B2">
            <w:rPr>
              <w:rFonts w:ascii="Arial" w:hAnsi="Arial" w:cs="Arial"/>
              <w:i/>
              <w:sz w:val="22"/>
              <w:szCs w:val="22"/>
            </w:rPr>
            <w:t xml:space="preserve">.  </w:t>
          </w:r>
        </w:p>
        <w:p w:rsidR="000C73E5" w:rsidRPr="009904B1" w:rsidRDefault="000C73E5" w:rsidP="000C73E5">
          <w:pPr>
            <w:widowControl/>
            <w:numPr>
              <w:ilvl w:val="0"/>
              <w:numId w:val="9"/>
            </w:numPr>
            <w:autoSpaceDE/>
            <w:autoSpaceDN/>
            <w:adjustRightInd/>
            <w:spacing w:line="360" w:lineRule="auto"/>
            <w:jc w:val="both"/>
            <w:rPr>
              <w:rFonts w:ascii="Arial" w:hAnsi="Arial" w:cs="Arial"/>
              <w:sz w:val="22"/>
              <w:szCs w:val="22"/>
            </w:rPr>
          </w:pPr>
          <w:r>
            <w:rPr>
              <w:rFonts w:ascii="Arial" w:hAnsi="Arial" w:cs="Arial"/>
              <w:i/>
              <w:sz w:val="22"/>
              <w:szCs w:val="22"/>
            </w:rPr>
            <w:t>Alternatively to grounds (1) above, t</w:t>
          </w:r>
          <w:r w:rsidRPr="00CC07B2">
            <w:rPr>
              <w:rFonts w:ascii="Arial" w:hAnsi="Arial" w:cs="Arial"/>
              <w:i/>
              <w:sz w:val="22"/>
              <w:szCs w:val="22"/>
            </w:rPr>
            <w:t xml:space="preserve">he </w:t>
          </w:r>
          <w:r>
            <w:rPr>
              <w:rFonts w:ascii="Arial" w:hAnsi="Arial" w:cs="Arial"/>
              <w:i/>
              <w:sz w:val="22"/>
              <w:szCs w:val="22"/>
            </w:rPr>
            <w:t>learned trial judge erred in law in recognizing and/or declaring enforceable in Seychelles the English Receiving Order since the English Receiving Order could only be rendered enforceable and executory in Seychelles if the Supreme Court had ordered the registration of the English Receivership Order and the said Order was in accordance with the Supreme Court Order registered in terms of the Foreign Judgments (Reciprocal Enforcement) Act, Cap 85.</w:t>
          </w:r>
        </w:p>
        <w:p w:rsidR="000C73E5" w:rsidRPr="009904B1" w:rsidRDefault="000C73E5" w:rsidP="000C73E5">
          <w:pPr>
            <w:widowControl/>
            <w:numPr>
              <w:ilvl w:val="0"/>
              <w:numId w:val="9"/>
            </w:numPr>
            <w:autoSpaceDE/>
            <w:autoSpaceDN/>
            <w:adjustRightInd/>
            <w:spacing w:line="360" w:lineRule="auto"/>
            <w:jc w:val="both"/>
            <w:rPr>
              <w:rFonts w:ascii="Arial" w:hAnsi="Arial" w:cs="Arial"/>
              <w:sz w:val="22"/>
              <w:szCs w:val="22"/>
            </w:rPr>
          </w:pPr>
          <w:r>
            <w:rPr>
              <w:rFonts w:ascii="Arial" w:hAnsi="Arial" w:cs="Arial"/>
              <w:i/>
              <w:sz w:val="22"/>
              <w:szCs w:val="22"/>
            </w:rPr>
            <w:t>Alternatively to grounds (1) and (2) above, t</w:t>
          </w:r>
          <w:r w:rsidRPr="00CC07B2">
            <w:rPr>
              <w:rFonts w:ascii="Arial" w:hAnsi="Arial" w:cs="Arial"/>
              <w:i/>
              <w:sz w:val="22"/>
              <w:szCs w:val="22"/>
            </w:rPr>
            <w:t xml:space="preserve">he </w:t>
          </w:r>
          <w:r>
            <w:rPr>
              <w:rFonts w:ascii="Arial" w:hAnsi="Arial" w:cs="Arial"/>
              <w:i/>
              <w:sz w:val="22"/>
              <w:szCs w:val="22"/>
            </w:rPr>
            <w:t>learned trial judge erred in law in recognizing and/or declaring enforceable in Seychelles the English Receiving Order since the Respondents have wrongly commenced proceedings by Notice of Application instead of by way of a Plaint.</w:t>
          </w:r>
        </w:p>
        <w:p w:rsidR="000C73E5" w:rsidRPr="009904B1" w:rsidRDefault="000C73E5" w:rsidP="000C73E5">
          <w:pPr>
            <w:widowControl/>
            <w:numPr>
              <w:ilvl w:val="0"/>
              <w:numId w:val="9"/>
            </w:numPr>
            <w:autoSpaceDE/>
            <w:autoSpaceDN/>
            <w:adjustRightInd/>
            <w:spacing w:line="360" w:lineRule="auto"/>
            <w:jc w:val="both"/>
            <w:rPr>
              <w:rFonts w:ascii="Arial" w:hAnsi="Arial" w:cs="Arial"/>
              <w:sz w:val="22"/>
              <w:szCs w:val="22"/>
            </w:rPr>
          </w:pPr>
          <w:r>
            <w:rPr>
              <w:rFonts w:ascii="Arial" w:hAnsi="Arial" w:cs="Arial"/>
              <w:i/>
              <w:sz w:val="22"/>
              <w:szCs w:val="22"/>
            </w:rPr>
            <w:t>Alternatively to grounds (1) and (2) above, the learned Judge erred in law in hearing and determining the application solely on Affidavit evidence.</w:t>
          </w:r>
        </w:p>
        <w:p w:rsidR="000C73E5" w:rsidRPr="009904B1" w:rsidRDefault="000C73E5" w:rsidP="000C73E5">
          <w:pPr>
            <w:widowControl/>
            <w:numPr>
              <w:ilvl w:val="0"/>
              <w:numId w:val="9"/>
            </w:numPr>
            <w:autoSpaceDE/>
            <w:autoSpaceDN/>
            <w:adjustRightInd/>
            <w:spacing w:line="360" w:lineRule="auto"/>
            <w:jc w:val="both"/>
            <w:rPr>
              <w:rFonts w:ascii="Arial" w:hAnsi="Arial" w:cs="Arial"/>
              <w:sz w:val="22"/>
              <w:szCs w:val="22"/>
            </w:rPr>
          </w:pPr>
          <w:r>
            <w:rPr>
              <w:rFonts w:ascii="Arial" w:hAnsi="Arial" w:cs="Arial"/>
              <w:i/>
              <w:sz w:val="22"/>
              <w:szCs w:val="22"/>
            </w:rPr>
            <w:t xml:space="preserve"> Alternatively to grounds (1) and (2) above, the learned Judge erred in law in hearing and determining the application, in the absence of and without notice to, the Appellant and in breach of the right to fair hearing of the Appellant and contrary to the principles of natural justice. </w:t>
          </w:r>
        </w:p>
        <w:p w:rsidR="000C73E5" w:rsidRPr="001E557E" w:rsidRDefault="000C73E5" w:rsidP="000C73E5">
          <w:pPr>
            <w:widowControl/>
            <w:autoSpaceDE/>
            <w:autoSpaceDN/>
            <w:adjustRightInd/>
            <w:spacing w:line="360" w:lineRule="auto"/>
            <w:ind w:left="1800"/>
            <w:jc w:val="both"/>
            <w:rPr>
              <w:rFonts w:ascii="Arial" w:hAnsi="Arial" w:cs="Arial"/>
              <w:sz w:val="22"/>
              <w:szCs w:val="22"/>
            </w:rPr>
          </w:pPr>
        </w:p>
        <w:p w:rsidR="000C73E5" w:rsidRPr="009904B1" w:rsidRDefault="000C73E5" w:rsidP="00717D0C">
          <w:pPr>
            <w:pStyle w:val="ListParagraph"/>
            <w:widowControl/>
            <w:numPr>
              <w:ilvl w:val="0"/>
              <w:numId w:val="13"/>
            </w:numPr>
            <w:autoSpaceDE/>
            <w:autoSpaceDN/>
            <w:adjustRightInd/>
            <w:spacing w:after="200" w:line="360" w:lineRule="auto"/>
            <w:ind w:hanging="720"/>
            <w:jc w:val="both"/>
            <w:rPr>
              <w:rFonts w:ascii="Arial" w:hAnsi="Arial" w:cs="Arial"/>
              <w:sz w:val="22"/>
              <w:szCs w:val="22"/>
            </w:rPr>
          </w:pPr>
          <w:r w:rsidRPr="009904B1">
            <w:rPr>
              <w:rFonts w:ascii="Arial" w:hAnsi="Arial" w:cs="Arial"/>
              <w:sz w:val="22"/>
              <w:szCs w:val="22"/>
            </w:rPr>
            <w:t>The grounds of appeal in SCA 08/2008 are:</w:t>
          </w:r>
        </w:p>
        <w:p w:rsidR="000C73E5" w:rsidRPr="00696FE2" w:rsidRDefault="000C73E5" w:rsidP="000C73E5">
          <w:pPr>
            <w:widowControl/>
            <w:numPr>
              <w:ilvl w:val="0"/>
              <w:numId w:val="14"/>
            </w:numPr>
            <w:autoSpaceDE/>
            <w:autoSpaceDN/>
            <w:adjustRightInd/>
            <w:spacing w:line="360" w:lineRule="auto"/>
            <w:jc w:val="both"/>
            <w:rPr>
              <w:rFonts w:ascii="Arial" w:hAnsi="Arial" w:cs="Arial"/>
              <w:sz w:val="22"/>
              <w:szCs w:val="22"/>
            </w:rPr>
          </w:pPr>
          <w:r w:rsidRPr="00CC07B2">
            <w:rPr>
              <w:rFonts w:ascii="Arial" w:hAnsi="Arial" w:cs="Arial"/>
              <w:i/>
              <w:sz w:val="22"/>
              <w:szCs w:val="22"/>
            </w:rPr>
            <w:t xml:space="preserve">The learned </w:t>
          </w:r>
          <w:r>
            <w:rPr>
              <w:rFonts w:ascii="Arial" w:hAnsi="Arial" w:cs="Arial"/>
              <w:i/>
              <w:sz w:val="22"/>
              <w:szCs w:val="22"/>
            </w:rPr>
            <w:t xml:space="preserve">trial judge </w:t>
          </w:r>
          <w:r w:rsidRPr="00CC07B2">
            <w:rPr>
              <w:rFonts w:ascii="Arial" w:hAnsi="Arial" w:cs="Arial"/>
              <w:i/>
              <w:sz w:val="22"/>
              <w:szCs w:val="22"/>
            </w:rPr>
            <w:t xml:space="preserve">erred in law in </w:t>
          </w:r>
          <w:r>
            <w:rPr>
              <w:rFonts w:ascii="Arial" w:hAnsi="Arial" w:cs="Arial"/>
              <w:i/>
              <w:sz w:val="22"/>
              <w:szCs w:val="22"/>
            </w:rPr>
            <w:t>recognising and/or declaring enforceable in the Seychelles the order of the High Court of the Justice of England and Wales, Queen’s Bench Division, Commercial Court dated 6</w:t>
          </w:r>
          <w:r w:rsidRPr="0028051A">
            <w:rPr>
              <w:rFonts w:ascii="Arial" w:hAnsi="Arial" w:cs="Arial"/>
              <w:i/>
              <w:sz w:val="22"/>
              <w:szCs w:val="22"/>
              <w:vertAlign w:val="superscript"/>
            </w:rPr>
            <w:t>th</w:t>
          </w:r>
          <w:r>
            <w:rPr>
              <w:rFonts w:ascii="Arial" w:hAnsi="Arial" w:cs="Arial"/>
              <w:i/>
              <w:sz w:val="22"/>
              <w:szCs w:val="22"/>
            </w:rPr>
            <w:t xml:space="preserve"> August 2010 (as amended on 10th November 2010, 26</w:t>
          </w:r>
          <w:r w:rsidRPr="004B1842">
            <w:rPr>
              <w:rFonts w:ascii="Arial" w:hAnsi="Arial" w:cs="Arial"/>
              <w:i/>
              <w:sz w:val="22"/>
              <w:szCs w:val="22"/>
              <w:vertAlign w:val="superscript"/>
            </w:rPr>
            <w:t>th</w:t>
          </w:r>
          <w:r>
            <w:rPr>
              <w:rFonts w:ascii="Arial" w:hAnsi="Arial" w:cs="Arial"/>
              <w:i/>
              <w:sz w:val="22"/>
              <w:szCs w:val="22"/>
            </w:rPr>
            <w:t xml:space="preserve"> January 2011, 8</w:t>
          </w:r>
          <w:r w:rsidRPr="0028051A">
            <w:rPr>
              <w:rFonts w:ascii="Arial" w:hAnsi="Arial" w:cs="Arial"/>
              <w:i/>
              <w:sz w:val="22"/>
              <w:szCs w:val="22"/>
              <w:vertAlign w:val="superscript"/>
            </w:rPr>
            <w:t>th</w:t>
          </w:r>
          <w:r>
            <w:rPr>
              <w:rFonts w:ascii="Arial" w:hAnsi="Arial" w:cs="Arial"/>
              <w:i/>
              <w:sz w:val="22"/>
              <w:szCs w:val="22"/>
            </w:rPr>
            <w:t xml:space="preserve"> April 2011, 27</w:t>
          </w:r>
          <w:r w:rsidRPr="00480044">
            <w:rPr>
              <w:rFonts w:ascii="Arial" w:hAnsi="Arial" w:cs="Arial"/>
              <w:i/>
              <w:sz w:val="22"/>
              <w:szCs w:val="22"/>
              <w:vertAlign w:val="superscript"/>
            </w:rPr>
            <w:t>th</w:t>
          </w:r>
          <w:r>
            <w:rPr>
              <w:rFonts w:ascii="Arial" w:hAnsi="Arial" w:cs="Arial"/>
              <w:i/>
              <w:sz w:val="22"/>
              <w:szCs w:val="22"/>
            </w:rPr>
            <w:t xml:space="preserve"> May 2011, 8</w:t>
          </w:r>
          <w:r w:rsidRPr="00696FE2">
            <w:rPr>
              <w:rFonts w:ascii="Arial" w:hAnsi="Arial" w:cs="Arial"/>
              <w:i/>
              <w:sz w:val="22"/>
              <w:szCs w:val="22"/>
              <w:vertAlign w:val="superscript"/>
            </w:rPr>
            <w:t>th</w:t>
          </w:r>
          <w:r>
            <w:rPr>
              <w:rFonts w:ascii="Arial" w:hAnsi="Arial" w:cs="Arial"/>
              <w:i/>
              <w:sz w:val="22"/>
              <w:szCs w:val="22"/>
            </w:rPr>
            <w:t xml:space="preserve"> March 2012 and 24</w:t>
          </w:r>
          <w:r w:rsidRPr="00696FE2">
            <w:rPr>
              <w:rFonts w:ascii="Arial" w:hAnsi="Arial" w:cs="Arial"/>
              <w:i/>
              <w:sz w:val="22"/>
              <w:szCs w:val="22"/>
              <w:vertAlign w:val="superscript"/>
            </w:rPr>
            <w:t>th</w:t>
          </w:r>
          <w:r>
            <w:rPr>
              <w:rFonts w:ascii="Arial" w:hAnsi="Arial" w:cs="Arial"/>
              <w:i/>
              <w:sz w:val="22"/>
              <w:szCs w:val="22"/>
            </w:rPr>
            <w:t xml:space="preserve"> April 2012, 22</w:t>
          </w:r>
          <w:r w:rsidRPr="00696FE2">
            <w:rPr>
              <w:rFonts w:ascii="Arial" w:hAnsi="Arial" w:cs="Arial"/>
              <w:i/>
              <w:sz w:val="22"/>
              <w:szCs w:val="22"/>
              <w:vertAlign w:val="superscript"/>
            </w:rPr>
            <w:t>nd</w:t>
          </w:r>
          <w:r>
            <w:rPr>
              <w:rFonts w:ascii="Arial" w:hAnsi="Arial" w:cs="Arial"/>
              <w:i/>
              <w:sz w:val="22"/>
              <w:szCs w:val="22"/>
            </w:rPr>
            <w:t xml:space="preserve"> May 2012, 9</w:t>
          </w:r>
          <w:r w:rsidRPr="00696FE2">
            <w:rPr>
              <w:rFonts w:ascii="Arial" w:hAnsi="Arial" w:cs="Arial"/>
              <w:i/>
              <w:sz w:val="22"/>
              <w:szCs w:val="22"/>
              <w:vertAlign w:val="superscript"/>
            </w:rPr>
            <w:t>th</w:t>
          </w:r>
          <w:r>
            <w:rPr>
              <w:rFonts w:ascii="Arial" w:hAnsi="Arial" w:cs="Arial"/>
              <w:i/>
              <w:sz w:val="22"/>
              <w:szCs w:val="22"/>
            </w:rPr>
            <w:t xml:space="preserve"> August 2012, 23</w:t>
          </w:r>
          <w:r w:rsidRPr="00696FE2">
            <w:rPr>
              <w:rFonts w:ascii="Arial" w:hAnsi="Arial" w:cs="Arial"/>
              <w:i/>
              <w:sz w:val="22"/>
              <w:szCs w:val="22"/>
              <w:vertAlign w:val="superscript"/>
            </w:rPr>
            <w:t>rd</w:t>
          </w:r>
          <w:r>
            <w:rPr>
              <w:rFonts w:ascii="Arial" w:hAnsi="Arial" w:cs="Arial"/>
              <w:i/>
              <w:sz w:val="22"/>
              <w:szCs w:val="22"/>
            </w:rPr>
            <w:t xml:space="preserve"> August 2012, 25</w:t>
          </w:r>
          <w:r w:rsidRPr="00696FE2">
            <w:rPr>
              <w:rFonts w:ascii="Arial" w:hAnsi="Arial" w:cs="Arial"/>
              <w:i/>
              <w:sz w:val="22"/>
              <w:szCs w:val="22"/>
              <w:vertAlign w:val="superscript"/>
            </w:rPr>
            <w:t>th</w:t>
          </w:r>
          <w:r>
            <w:rPr>
              <w:rFonts w:ascii="Arial" w:hAnsi="Arial" w:cs="Arial"/>
              <w:i/>
              <w:sz w:val="22"/>
              <w:szCs w:val="22"/>
            </w:rPr>
            <w:t xml:space="preserve"> (sic) August 2012 and 25</w:t>
          </w:r>
          <w:r w:rsidRPr="00696FE2">
            <w:rPr>
              <w:rFonts w:ascii="Arial" w:hAnsi="Arial" w:cs="Arial"/>
              <w:i/>
              <w:sz w:val="22"/>
              <w:szCs w:val="22"/>
              <w:vertAlign w:val="superscript"/>
            </w:rPr>
            <w:t>th</w:t>
          </w:r>
          <w:r>
            <w:rPr>
              <w:rFonts w:ascii="Arial" w:hAnsi="Arial" w:cs="Arial"/>
              <w:i/>
              <w:sz w:val="22"/>
              <w:szCs w:val="22"/>
            </w:rPr>
            <w:t xml:space="preserve"> January 2013) (“the English Receiving Order”) made in the proceedings between JSC BTA Bank and Mukhtar ABLYAZOV and Other </w:t>
          </w:r>
          <w:r>
            <w:rPr>
              <w:rFonts w:ascii="Arial" w:hAnsi="Arial" w:cs="Arial"/>
              <w:i/>
              <w:sz w:val="22"/>
              <w:szCs w:val="22"/>
            </w:rPr>
            <w:lastRenderedPageBreak/>
            <w:t>(Claim No. 2009, Folio 1099) (the “English Receiving Order”) since the English Receiving Order was not a judgment of our Foreign Judgements (Reciprocal Enforcement) Act, Cap 85.</w:t>
          </w:r>
        </w:p>
        <w:p w:rsidR="000C73E5" w:rsidRPr="00696FE2" w:rsidRDefault="000C73E5" w:rsidP="000C73E5">
          <w:pPr>
            <w:widowControl/>
            <w:numPr>
              <w:ilvl w:val="0"/>
              <w:numId w:val="14"/>
            </w:numPr>
            <w:autoSpaceDE/>
            <w:autoSpaceDN/>
            <w:adjustRightInd/>
            <w:spacing w:line="360" w:lineRule="auto"/>
            <w:jc w:val="both"/>
            <w:rPr>
              <w:rFonts w:ascii="Arial" w:hAnsi="Arial" w:cs="Arial"/>
              <w:sz w:val="22"/>
              <w:szCs w:val="22"/>
            </w:rPr>
          </w:pPr>
          <w:r>
            <w:rPr>
              <w:rFonts w:ascii="Arial" w:hAnsi="Arial" w:cs="Arial"/>
              <w:i/>
              <w:sz w:val="22"/>
              <w:szCs w:val="22"/>
            </w:rPr>
            <w:t>Alternatively, the learned Trial Judge erred in law in recognising and/or declaring enforceable in the Seychelles</w:t>
          </w:r>
          <w:r w:rsidRPr="00696FE2">
            <w:rPr>
              <w:rFonts w:ascii="Arial" w:hAnsi="Arial" w:cs="Arial"/>
              <w:i/>
              <w:sz w:val="22"/>
              <w:szCs w:val="22"/>
            </w:rPr>
            <w:t xml:space="preserve"> </w:t>
          </w:r>
          <w:r>
            <w:rPr>
              <w:rFonts w:ascii="Arial" w:hAnsi="Arial" w:cs="Arial"/>
              <w:i/>
              <w:sz w:val="22"/>
              <w:szCs w:val="22"/>
            </w:rPr>
            <w:t>the English Receivership Order, since the English Receivership Order was not final and conclusive (under) the Foreign Judgements (Reciprocal Enforcement) Act, Cap 85.</w:t>
          </w:r>
        </w:p>
        <w:p w:rsidR="000C73E5" w:rsidRPr="007F1E2C" w:rsidRDefault="000C73E5" w:rsidP="000C73E5">
          <w:pPr>
            <w:widowControl/>
            <w:numPr>
              <w:ilvl w:val="0"/>
              <w:numId w:val="14"/>
            </w:numPr>
            <w:autoSpaceDE/>
            <w:autoSpaceDN/>
            <w:adjustRightInd/>
            <w:spacing w:line="360" w:lineRule="auto"/>
            <w:jc w:val="both"/>
            <w:rPr>
              <w:rFonts w:ascii="Arial" w:hAnsi="Arial" w:cs="Arial"/>
              <w:sz w:val="22"/>
              <w:szCs w:val="22"/>
            </w:rPr>
          </w:pPr>
          <w:r>
            <w:rPr>
              <w:rFonts w:ascii="Arial" w:hAnsi="Arial" w:cs="Arial"/>
              <w:i/>
              <w:sz w:val="22"/>
              <w:szCs w:val="22"/>
            </w:rPr>
            <w:t>Alternative to ground (1) and (2) above, the learned Trial Judge erred in law in recognising and/or declaring enforceable the English Receivership Order in Seychelles since the English Receivership Order could only be rendered enforceable and executor in Seychelles (if it could be so rendered), if the Supreme Court had ordered the registration of the  English Receivership Order in Seychelles and the said Order was in accordance with the Supreme Court Order registered in terms of the Foreign Judgements (Reciprocal Enforcement) Act, Cap 85.</w:t>
          </w:r>
        </w:p>
        <w:p w:rsidR="000C73E5" w:rsidRPr="007F1E2C" w:rsidRDefault="000C73E5" w:rsidP="000C73E5">
          <w:pPr>
            <w:widowControl/>
            <w:numPr>
              <w:ilvl w:val="0"/>
              <w:numId w:val="14"/>
            </w:numPr>
            <w:autoSpaceDE/>
            <w:autoSpaceDN/>
            <w:adjustRightInd/>
            <w:spacing w:line="360" w:lineRule="auto"/>
            <w:jc w:val="both"/>
            <w:rPr>
              <w:rFonts w:ascii="Arial" w:hAnsi="Arial" w:cs="Arial"/>
              <w:sz w:val="22"/>
              <w:szCs w:val="22"/>
            </w:rPr>
          </w:pPr>
          <w:r>
            <w:rPr>
              <w:rFonts w:ascii="Arial" w:hAnsi="Arial" w:cs="Arial"/>
              <w:i/>
              <w:sz w:val="22"/>
              <w:szCs w:val="22"/>
            </w:rPr>
            <w:t xml:space="preserve">Alternative to grounds (1), (2) and (3) above, the learned Trial Judge erred in law </w:t>
          </w:r>
          <w:proofErr w:type="gramStart"/>
          <w:r>
            <w:rPr>
              <w:rFonts w:ascii="Arial" w:hAnsi="Arial" w:cs="Arial"/>
              <w:i/>
              <w:sz w:val="22"/>
              <w:szCs w:val="22"/>
            </w:rPr>
            <w:t>in  recognising</w:t>
          </w:r>
          <w:proofErr w:type="gramEnd"/>
          <w:r>
            <w:rPr>
              <w:rFonts w:ascii="Arial" w:hAnsi="Arial" w:cs="Arial"/>
              <w:i/>
              <w:sz w:val="22"/>
              <w:szCs w:val="22"/>
            </w:rPr>
            <w:t xml:space="preserve"> and/or declaring enforceable in Seychelles the English Receivership Order since the Respondents have wrongly commenced proceedings by Notice of Application instead of by way of a Plaint. </w:t>
          </w:r>
        </w:p>
        <w:p w:rsidR="000C73E5" w:rsidRPr="00783700" w:rsidRDefault="000C73E5" w:rsidP="000C73E5">
          <w:pPr>
            <w:widowControl/>
            <w:numPr>
              <w:ilvl w:val="0"/>
              <w:numId w:val="14"/>
            </w:numPr>
            <w:autoSpaceDE/>
            <w:autoSpaceDN/>
            <w:adjustRightInd/>
            <w:spacing w:line="360" w:lineRule="auto"/>
            <w:jc w:val="both"/>
            <w:rPr>
              <w:rFonts w:ascii="Arial" w:hAnsi="Arial" w:cs="Arial"/>
              <w:sz w:val="22"/>
              <w:szCs w:val="22"/>
            </w:rPr>
          </w:pPr>
          <w:r>
            <w:rPr>
              <w:rFonts w:ascii="Arial" w:hAnsi="Arial" w:cs="Arial"/>
              <w:i/>
              <w:sz w:val="22"/>
              <w:szCs w:val="22"/>
            </w:rPr>
            <w:t xml:space="preserve">Alternative </w:t>
          </w:r>
          <w:proofErr w:type="gramStart"/>
          <w:r>
            <w:rPr>
              <w:rFonts w:ascii="Arial" w:hAnsi="Arial" w:cs="Arial"/>
              <w:i/>
              <w:sz w:val="22"/>
              <w:szCs w:val="22"/>
            </w:rPr>
            <w:t>to ground (1), (2) and (3) above, the learned Trial Judge</w:t>
          </w:r>
          <w:proofErr w:type="gramEnd"/>
          <w:r>
            <w:rPr>
              <w:rFonts w:ascii="Arial" w:hAnsi="Arial" w:cs="Arial"/>
              <w:i/>
              <w:sz w:val="22"/>
              <w:szCs w:val="22"/>
            </w:rPr>
            <w:t xml:space="preserve"> erred in law in hearing and determining the application solely on Affidavit evidence.</w:t>
          </w:r>
        </w:p>
        <w:p w:rsidR="000C73E5" w:rsidRPr="007F1E2C" w:rsidRDefault="000C73E5" w:rsidP="000C73E5">
          <w:pPr>
            <w:widowControl/>
            <w:numPr>
              <w:ilvl w:val="0"/>
              <w:numId w:val="14"/>
            </w:numPr>
            <w:autoSpaceDE/>
            <w:autoSpaceDN/>
            <w:adjustRightInd/>
            <w:spacing w:line="360" w:lineRule="auto"/>
            <w:jc w:val="both"/>
            <w:rPr>
              <w:rFonts w:ascii="Arial" w:hAnsi="Arial" w:cs="Arial"/>
              <w:sz w:val="22"/>
              <w:szCs w:val="22"/>
            </w:rPr>
          </w:pPr>
          <w:r>
            <w:rPr>
              <w:rFonts w:ascii="Arial" w:hAnsi="Arial" w:cs="Arial"/>
              <w:i/>
              <w:sz w:val="22"/>
              <w:szCs w:val="22"/>
            </w:rPr>
            <w:t xml:space="preserve">Alternative to grounds (1), (2) and (3) above, the learned Trial Judge erred in law in hearing and determining the application, in the absence of and without notice to, the Appellant and in breach of the right to fair hearing of the Appellant and contrary to the principles of natural justice. </w:t>
          </w:r>
        </w:p>
        <w:p w:rsidR="000C73E5" w:rsidRDefault="000C73E5" w:rsidP="000C73E5">
          <w:pPr>
            <w:widowControl/>
            <w:autoSpaceDE/>
            <w:autoSpaceDN/>
            <w:adjustRightInd/>
            <w:spacing w:line="360" w:lineRule="auto"/>
            <w:jc w:val="both"/>
            <w:rPr>
              <w:rFonts w:ascii="Arial" w:hAnsi="Arial" w:cs="Arial"/>
              <w:sz w:val="22"/>
              <w:szCs w:val="22"/>
            </w:rPr>
          </w:pPr>
        </w:p>
        <w:p w:rsidR="000C73E5" w:rsidRDefault="000C73E5" w:rsidP="009C7805">
          <w:pPr>
            <w:widowControl/>
            <w:autoSpaceDE/>
            <w:autoSpaceDN/>
            <w:adjustRightInd/>
            <w:spacing w:line="360" w:lineRule="auto"/>
            <w:ind w:left="720" w:hanging="720"/>
            <w:jc w:val="both"/>
            <w:rPr>
              <w:rFonts w:ascii="Arial" w:hAnsi="Arial" w:cs="Arial"/>
              <w:sz w:val="22"/>
              <w:szCs w:val="22"/>
            </w:rPr>
          </w:pPr>
          <w:r>
            <w:rPr>
              <w:rFonts w:ascii="Arial" w:hAnsi="Arial" w:cs="Arial"/>
              <w:sz w:val="22"/>
              <w:szCs w:val="22"/>
            </w:rPr>
            <w:t xml:space="preserve">THE FACTS </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Default="00717D0C" w:rsidP="00717D0C">
          <w:pPr>
            <w:pStyle w:val="ListParagraph"/>
            <w:widowControl/>
            <w:autoSpaceDE/>
            <w:autoSpaceDN/>
            <w:adjustRightInd/>
            <w:spacing w:after="200" w:line="360" w:lineRule="auto"/>
            <w:ind w:hanging="720"/>
            <w:jc w:val="both"/>
            <w:rPr>
              <w:rFonts w:ascii="Arial" w:hAnsi="Arial" w:cs="Arial"/>
              <w:sz w:val="22"/>
              <w:szCs w:val="22"/>
            </w:rPr>
          </w:pPr>
          <w:r w:rsidRPr="00717D0C">
            <w:rPr>
              <w:rFonts w:ascii="Arial" w:hAnsi="Arial" w:cs="Arial"/>
              <w:b/>
              <w:sz w:val="22"/>
              <w:szCs w:val="22"/>
            </w:rPr>
            <w:t>[9]</w:t>
          </w:r>
          <w:r>
            <w:rPr>
              <w:rFonts w:ascii="Arial" w:hAnsi="Arial" w:cs="Arial"/>
              <w:sz w:val="22"/>
              <w:szCs w:val="22"/>
            </w:rPr>
            <w:tab/>
          </w:r>
          <w:r w:rsidR="000C73E5">
            <w:rPr>
              <w:rFonts w:ascii="Arial" w:hAnsi="Arial" w:cs="Arial"/>
              <w:sz w:val="22"/>
              <w:szCs w:val="22"/>
            </w:rPr>
            <w:t xml:space="preserve">Mr Mukhtar Ablyazov is a national of Kazakhstan and was at the material time resident in England, having obtained asylum status in England. He had been the Chairperson of JSC BTA Bank (“the Bank”) in Kazakhstan and complaints were made against him that he has misappropriated vast sums of money during the time he was in the chair. The </w:t>
          </w:r>
          <w:r w:rsidR="000C73E5">
            <w:rPr>
              <w:rFonts w:ascii="Arial" w:hAnsi="Arial" w:cs="Arial"/>
              <w:sz w:val="22"/>
              <w:szCs w:val="22"/>
            </w:rPr>
            <w:lastRenderedPageBreak/>
            <w:t xml:space="preserve">sums involved billions of dollars. The JSC BTA Bank sought a receiving order against him to recover the assets at the Commercial Court, Queen’s Bench Division of the High Court of Justice of England and Wales. At the end of an adversarial hearing which lasted 4½ days, Teare J. issued the Receiving Order, following which the Respondents were appointed as joint receivers. The Receivers are based in London. The tainted proceeds of the appellant reportedly lie in hundreds of companies, trusts and nominee holdings around the world, including the jurisdiction of Seychelles. </w:t>
          </w:r>
        </w:p>
        <w:p w:rsidR="000C73E5" w:rsidRDefault="000C73E5" w:rsidP="000C73E5">
          <w:pPr>
            <w:pStyle w:val="ListParagraph"/>
            <w:widowControl/>
            <w:autoSpaceDE/>
            <w:autoSpaceDN/>
            <w:adjustRightInd/>
            <w:spacing w:after="200" w:line="360" w:lineRule="auto"/>
            <w:ind w:left="0"/>
            <w:jc w:val="both"/>
            <w:rPr>
              <w:rFonts w:ascii="Arial" w:hAnsi="Arial" w:cs="Arial"/>
              <w:sz w:val="22"/>
              <w:szCs w:val="22"/>
            </w:rPr>
          </w:pPr>
        </w:p>
        <w:p w:rsidR="000C73E5" w:rsidRPr="00CC07B2" w:rsidRDefault="00717D0C" w:rsidP="00717D0C">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[10]</w:t>
          </w:r>
          <w:r>
            <w:rPr>
              <w:rFonts w:ascii="Arial" w:hAnsi="Arial" w:cs="Arial"/>
              <w:b/>
              <w:sz w:val="22"/>
              <w:szCs w:val="22"/>
            </w:rPr>
            <w:tab/>
          </w:r>
          <w:r w:rsidR="000C73E5">
            <w:rPr>
              <w:rFonts w:ascii="Arial" w:hAnsi="Arial" w:cs="Arial"/>
              <w:sz w:val="22"/>
              <w:szCs w:val="22"/>
            </w:rPr>
            <w:t xml:space="preserve">The Respondents have sought and already obtained recognitions for the tracing of the assets of Mr Ablyazov in many of the jurisdictions from the number of countries involved in the large network of the businesses of Appellant:  Austria, Belize, the British Virgin Islands, Cyprus, Dominica, Germany, Jersey, Lithuania, Luxembourg, the Netherlands, St Vincent and the Grenadines, Switzerland, Ukraine and Hong Kong.  Seychelles is not the first. </w:t>
          </w:r>
        </w:p>
        <w:p w:rsidR="000C73E5" w:rsidRDefault="000C73E5" w:rsidP="000C73E5">
          <w:pPr>
            <w:pStyle w:val="ListParagraph"/>
            <w:widowControl/>
            <w:autoSpaceDE/>
            <w:autoSpaceDN/>
            <w:adjustRightInd/>
            <w:spacing w:after="200" w:line="360" w:lineRule="auto"/>
            <w:ind w:left="0"/>
            <w:jc w:val="both"/>
            <w:rPr>
              <w:rFonts w:ascii="Arial" w:hAnsi="Arial" w:cs="Arial"/>
              <w:sz w:val="22"/>
              <w:szCs w:val="22"/>
            </w:rPr>
          </w:pPr>
        </w:p>
        <w:p w:rsidR="000C73E5" w:rsidRDefault="00717D0C" w:rsidP="00717D0C">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[11]</w:t>
          </w:r>
          <w:r>
            <w:rPr>
              <w:rFonts w:ascii="Arial" w:hAnsi="Arial" w:cs="Arial"/>
              <w:b/>
              <w:sz w:val="22"/>
              <w:szCs w:val="22"/>
            </w:rPr>
            <w:tab/>
          </w:r>
          <w:r w:rsidR="000C73E5" w:rsidRPr="0024018B">
            <w:rPr>
              <w:rFonts w:ascii="Arial" w:hAnsi="Arial" w:cs="Arial"/>
              <w:sz w:val="22"/>
              <w:szCs w:val="22"/>
            </w:rPr>
            <w:t xml:space="preserve">It is also worthy of note that as </w:t>
          </w:r>
          <w:r w:rsidR="000C73E5">
            <w:rPr>
              <w:rFonts w:ascii="Arial" w:hAnsi="Arial" w:cs="Arial"/>
              <w:sz w:val="22"/>
              <w:szCs w:val="22"/>
            </w:rPr>
            <w:t xml:space="preserve">it came to light that further entities were involved in the international and transnational network </w:t>
          </w:r>
          <w:r w:rsidR="000C73E5" w:rsidRPr="0024018B">
            <w:rPr>
              <w:rFonts w:ascii="Arial" w:hAnsi="Arial" w:cs="Arial"/>
              <w:sz w:val="22"/>
              <w:szCs w:val="22"/>
            </w:rPr>
            <w:t>of Mr Ablyazov, the respondents progressively went to Teare</w:t>
          </w:r>
          <w:r w:rsidR="000C73E5">
            <w:rPr>
              <w:rFonts w:ascii="Arial" w:hAnsi="Arial" w:cs="Arial"/>
              <w:sz w:val="22"/>
              <w:szCs w:val="22"/>
            </w:rPr>
            <w:t xml:space="preserve"> J.</w:t>
          </w:r>
          <w:r w:rsidR="000C73E5" w:rsidRPr="0024018B">
            <w:rPr>
              <w:rFonts w:ascii="Arial" w:hAnsi="Arial" w:cs="Arial"/>
              <w:sz w:val="22"/>
              <w:szCs w:val="22"/>
            </w:rPr>
            <w:t xml:space="preserve"> to seek an extension of their mandate </w:t>
          </w:r>
          <w:r w:rsidR="000C73E5">
            <w:rPr>
              <w:rFonts w:ascii="Arial" w:hAnsi="Arial" w:cs="Arial"/>
              <w:sz w:val="22"/>
              <w:szCs w:val="22"/>
            </w:rPr>
            <w:t>to cover the assets of the appellant as a matter of professional prudence</w:t>
          </w:r>
          <w:r w:rsidR="000C73E5" w:rsidRPr="0024018B">
            <w:rPr>
              <w:rFonts w:ascii="Arial" w:hAnsi="Arial" w:cs="Arial"/>
              <w:sz w:val="22"/>
              <w:szCs w:val="22"/>
            </w:rPr>
            <w:t xml:space="preserve">. </w:t>
          </w:r>
        </w:p>
        <w:p w:rsidR="000C73E5" w:rsidRDefault="000C73E5" w:rsidP="000C73E5">
          <w:pPr>
            <w:pStyle w:val="ListParagraph"/>
            <w:rPr>
              <w:rFonts w:ascii="Arial" w:hAnsi="Arial" w:cs="Arial"/>
              <w:sz w:val="22"/>
              <w:szCs w:val="22"/>
            </w:rPr>
          </w:pPr>
        </w:p>
        <w:p w:rsidR="000C73E5" w:rsidRDefault="00717D0C" w:rsidP="00717D0C">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[12]</w:t>
          </w:r>
          <w:r>
            <w:rPr>
              <w:rFonts w:ascii="Arial" w:hAnsi="Arial" w:cs="Arial"/>
              <w:b/>
              <w:sz w:val="22"/>
              <w:szCs w:val="22"/>
            </w:rPr>
            <w:tab/>
          </w:r>
          <w:r w:rsidR="000C73E5" w:rsidRPr="0024018B">
            <w:rPr>
              <w:rFonts w:ascii="Arial" w:hAnsi="Arial" w:cs="Arial"/>
              <w:sz w:val="22"/>
              <w:szCs w:val="22"/>
            </w:rPr>
            <w:t xml:space="preserve">Mr Ablyazov </w:t>
          </w:r>
          <w:r w:rsidR="000C73E5">
            <w:rPr>
              <w:rFonts w:ascii="Arial" w:hAnsi="Arial" w:cs="Arial"/>
              <w:sz w:val="22"/>
              <w:szCs w:val="22"/>
            </w:rPr>
            <w:t xml:space="preserve">had been offered the opportunity </w:t>
          </w:r>
          <w:r w:rsidR="000C73E5" w:rsidRPr="0024018B">
            <w:rPr>
              <w:rFonts w:ascii="Arial" w:hAnsi="Arial" w:cs="Arial"/>
              <w:sz w:val="22"/>
              <w:szCs w:val="22"/>
            </w:rPr>
            <w:t>to make an application for setting aside</w:t>
          </w:r>
          <w:r w:rsidR="000C73E5">
            <w:rPr>
              <w:rFonts w:ascii="Arial" w:hAnsi="Arial" w:cs="Arial"/>
              <w:sz w:val="22"/>
              <w:szCs w:val="22"/>
            </w:rPr>
            <w:t xml:space="preserve"> </w:t>
          </w:r>
          <w:r w:rsidR="000C73E5" w:rsidRPr="0024018B">
            <w:rPr>
              <w:rFonts w:ascii="Arial" w:hAnsi="Arial" w:cs="Arial"/>
              <w:sz w:val="22"/>
              <w:szCs w:val="22"/>
            </w:rPr>
            <w:t xml:space="preserve">the orders of Ag Chief Justice Karunakaran. But he did not. </w:t>
          </w:r>
          <w:r w:rsidR="000C73E5">
            <w:rPr>
              <w:rFonts w:ascii="Arial" w:hAnsi="Arial" w:cs="Arial"/>
              <w:sz w:val="22"/>
              <w:szCs w:val="22"/>
            </w:rPr>
            <w:t>H</w:t>
          </w:r>
          <w:r w:rsidR="000C73E5" w:rsidRPr="0024018B">
            <w:rPr>
              <w:rFonts w:ascii="Arial" w:hAnsi="Arial" w:cs="Arial"/>
              <w:sz w:val="22"/>
              <w:szCs w:val="22"/>
            </w:rPr>
            <w:t>e preferred to appeal to this Court against th</w:t>
          </w:r>
          <w:r w:rsidR="000C73E5">
            <w:rPr>
              <w:rFonts w:ascii="Arial" w:hAnsi="Arial" w:cs="Arial"/>
              <w:sz w:val="22"/>
              <w:szCs w:val="22"/>
            </w:rPr>
            <w:t>e</w:t>
          </w:r>
          <w:r w:rsidR="000C73E5" w:rsidRPr="0024018B">
            <w:rPr>
              <w:rFonts w:ascii="Arial" w:hAnsi="Arial" w:cs="Arial"/>
              <w:sz w:val="22"/>
              <w:szCs w:val="22"/>
            </w:rPr>
            <w:t xml:space="preserve"> order</w:t>
          </w:r>
          <w:r w:rsidR="000C73E5">
            <w:rPr>
              <w:rFonts w:ascii="Arial" w:hAnsi="Arial" w:cs="Arial"/>
              <w:sz w:val="22"/>
              <w:szCs w:val="22"/>
            </w:rPr>
            <w:t>s</w:t>
          </w:r>
          <w:r w:rsidR="000C73E5" w:rsidRPr="0024018B">
            <w:rPr>
              <w:rFonts w:ascii="Arial" w:hAnsi="Arial" w:cs="Arial"/>
              <w:sz w:val="22"/>
              <w:szCs w:val="22"/>
            </w:rPr>
            <w:t xml:space="preserve"> on the grounds as have been stated above. </w:t>
          </w:r>
          <w:r w:rsidR="000C73E5">
            <w:rPr>
              <w:rFonts w:ascii="Arial" w:hAnsi="Arial" w:cs="Arial"/>
              <w:sz w:val="22"/>
              <w:szCs w:val="22"/>
            </w:rPr>
            <w:t xml:space="preserve">There were four orders made but the appeal is only with respect to the first and the fourth. </w:t>
          </w:r>
        </w:p>
        <w:p w:rsidR="000C73E5" w:rsidRDefault="000C73E5" w:rsidP="000C73E5">
          <w:pPr>
            <w:pStyle w:val="ListParagraph"/>
            <w:rPr>
              <w:rFonts w:ascii="Arial" w:hAnsi="Arial" w:cs="Arial"/>
              <w:sz w:val="22"/>
              <w:szCs w:val="22"/>
            </w:rPr>
          </w:pPr>
        </w:p>
        <w:p w:rsidR="000C73E5" w:rsidRPr="00717D0C" w:rsidRDefault="00717D0C" w:rsidP="00717D0C">
          <w:pPr>
            <w:widowControl/>
            <w:autoSpaceDE/>
            <w:autoSpaceDN/>
            <w:adjustRightInd/>
            <w:spacing w:after="200" w:line="360" w:lineRule="auto"/>
            <w:ind w:left="720" w:hanging="720"/>
            <w:jc w:val="both"/>
            <w:rPr>
              <w:rFonts w:ascii="Arial" w:hAnsi="Arial" w:cs="Arial"/>
              <w:sz w:val="22"/>
              <w:szCs w:val="22"/>
            </w:rPr>
          </w:pPr>
          <w:r>
            <w:rPr>
              <w:rFonts w:ascii="Arial" w:hAnsi="Arial" w:cs="Arial"/>
              <w:b/>
              <w:sz w:val="22"/>
              <w:szCs w:val="22"/>
            </w:rPr>
            <w:t>[13]</w:t>
          </w:r>
          <w:r>
            <w:rPr>
              <w:rFonts w:ascii="Arial" w:hAnsi="Arial" w:cs="Arial"/>
              <w:b/>
              <w:sz w:val="22"/>
              <w:szCs w:val="22"/>
            </w:rPr>
            <w:tab/>
          </w:r>
          <w:r w:rsidR="000C73E5" w:rsidRPr="00717D0C">
            <w:rPr>
              <w:rFonts w:ascii="Arial" w:hAnsi="Arial" w:cs="Arial"/>
              <w:sz w:val="22"/>
              <w:szCs w:val="22"/>
            </w:rPr>
            <w:t>We consider it more appropriate to answer the first point raised in Ground 1 of the 2</w:t>
          </w:r>
          <w:r w:rsidR="000C73E5" w:rsidRPr="00717D0C">
            <w:rPr>
              <w:rFonts w:ascii="Arial" w:hAnsi="Arial" w:cs="Arial"/>
              <w:sz w:val="22"/>
              <w:szCs w:val="22"/>
              <w:vertAlign w:val="superscript"/>
            </w:rPr>
            <w:t>nd</w:t>
          </w:r>
          <w:r w:rsidR="000C73E5" w:rsidRPr="00717D0C">
            <w:rPr>
              <w:rFonts w:ascii="Arial" w:hAnsi="Arial" w:cs="Arial"/>
              <w:sz w:val="22"/>
              <w:szCs w:val="22"/>
            </w:rPr>
            <w:t xml:space="preserve"> Appeal against the decision handed down on 14 February 2013: namely, the applicability or otherwise of CAP 85. The answer to that question will have a bearing on how the rest will be disposed of, more particularly, the issue of the need for registration and that of the impugned non finality or inconclusiveness of the orders made by Teare J.</w:t>
          </w:r>
        </w:p>
        <w:p w:rsidR="000C73E5" w:rsidRPr="008D3793" w:rsidRDefault="000C73E5" w:rsidP="009C7805">
          <w:pPr>
            <w:widowControl/>
            <w:autoSpaceDE/>
            <w:autoSpaceDN/>
            <w:adjustRightInd/>
            <w:spacing w:line="360" w:lineRule="auto"/>
            <w:jc w:val="both"/>
            <w:rPr>
              <w:rFonts w:ascii="Arial" w:hAnsi="Arial" w:cs="Arial"/>
              <w:b/>
              <w:sz w:val="22"/>
              <w:szCs w:val="22"/>
            </w:rPr>
          </w:pPr>
          <w:r w:rsidRPr="008D3793">
            <w:rPr>
              <w:rFonts w:ascii="Arial" w:hAnsi="Arial" w:cs="Arial"/>
              <w:b/>
              <w:sz w:val="22"/>
              <w:szCs w:val="22"/>
            </w:rPr>
            <w:t>GROUND 1 of SCA 8 of 2013</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Default="000C73E5" w:rsidP="009C7805">
          <w:pPr>
            <w:widowControl/>
            <w:autoSpaceDE/>
            <w:autoSpaceDN/>
            <w:adjustRightInd/>
            <w:spacing w:line="360" w:lineRule="auto"/>
            <w:jc w:val="both"/>
            <w:rPr>
              <w:rFonts w:ascii="Arial" w:hAnsi="Arial" w:cs="Arial"/>
              <w:sz w:val="22"/>
              <w:szCs w:val="22"/>
            </w:rPr>
          </w:pPr>
          <w:r>
            <w:rPr>
              <w:rFonts w:ascii="Arial" w:hAnsi="Arial" w:cs="Arial"/>
              <w:sz w:val="22"/>
              <w:szCs w:val="22"/>
            </w:rPr>
            <w:t>THE SCOPE AND THE LIMITS OF CAP 85</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Default="00717D0C" w:rsidP="00717D0C">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lastRenderedPageBreak/>
            <w:t>[14]</w:t>
          </w:r>
          <w:r>
            <w:rPr>
              <w:rFonts w:ascii="Arial" w:hAnsi="Arial" w:cs="Arial"/>
              <w:b/>
              <w:sz w:val="22"/>
              <w:szCs w:val="22"/>
            </w:rPr>
            <w:tab/>
          </w:r>
          <w:r w:rsidR="000C73E5">
            <w:rPr>
              <w:rFonts w:ascii="Arial" w:hAnsi="Arial" w:cs="Arial"/>
              <w:sz w:val="22"/>
              <w:szCs w:val="22"/>
            </w:rPr>
            <w:t xml:space="preserve">It is the argument of Mr Basil Hoareau under Ground 1 of SCA 8/ </w:t>
          </w:r>
          <w:proofErr w:type="gramStart"/>
          <w:r w:rsidR="000C73E5">
            <w:rPr>
              <w:rFonts w:ascii="Arial" w:hAnsi="Arial" w:cs="Arial"/>
              <w:sz w:val="22"/>
              <w:szCs w:val="22"/>
            </w:rPr>
            <w:t>2013  that</w:t>
          </w:r>
          <w:proofErr w:type="gramEnd"/>
          <w:r w:rsidR="000C73E5">
            <w:rPr>
              <w:rFonts w:ascii="Arial" w:hAnsi="Arial" w:cs="Arial"/>
              <w:sz w:val="22"/>
              <w:szCs w:val="22"/>
            </w:rPr>
            <w:t xml:space="preserve"> the process in this case is inherently flawed by the omission of the respondents to register the foreign judgment before proceeding with it. </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Pr="00901E2A" w:rsidRDefault="000C73E5" w:rsidP="009C7805">
          <w:pPr>
            <w:widowControl/>
            <w:autoSpaceDE/>
            <w:autoSpaceDN/>
            <w:adjustRightInd/>
            <w:spacing w:line="360" w:lineRule="auto"/>
            <w:jc w:val="both"/>
            <w:rPr>
              <w:rFonts w:ascii="Arial" w:hAnsi="Arial" w:cs="Arial"/>
              <w:i/>
              <w:sz w:val="22"/>
              <w:szCs w:val="22"/>
            </w:rPr>
          </w:pPr>
          <w:r>
            <w:rPr>
              <w:rFonts w:ascii="Arial" w:hAnsi="Arial" w:cs="Arial"/>
              <w:i/>
              <w:sz w:val="22"/>
              <w:szCs w:val="22"/>
            </w:rPr>
            <w:t>Need for r</w:t>
          </w:r>
          <w:r w:rsidRPr="00901E2A">
            <w:rPr>
              <w:rFonts w:ascii="Arial" w:hAnsi="Arial" w:cs="Arial"/>
              <w:i/>
              <w:sz w:val="22"/>
              <w:szCs w:val="22"/>
            </w:rPr>
            <w:t>egistration</w:t>
          </w:r>
          <w:r>
            <w:rPr>
              <w:rFonts w:ascii="Arial" w:hAnsi="Arial" w:cs="Arial"/>
              <w:i/>
              <w:sz w:val="22"/>
              <w:szCs w:val="22"/>
            </w:rPr>
            <w:t xml:space="preserve"> of foreign judgement</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Default="00717D0C" w:rsidP="00717D0C">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[15]</w:t>
          </w:r>
          <w:r>
            <w:rPr>
              <w:rFonts w:ascii="Arial" w:hAnsi="Arial" w:cs="Arial"/>
              <w:b/>
              <w:sz w:val="22"/>
              <w:szCs w:val="22"/>
            </w:rPr>
            <w:tab/>
          </w:r>
          <w:r w:rsidR="000C73E5">
            <w:rPr>
              <w:rFonts w:ascii="Arial" w:hAnsi="Arial" w:cs="Arial"/>
              <w:sz w:val="22"/>
              <w:szCs w:val="22"/>
            </w:rPr>
            <w:t xml:space="preserve">As per section 4(1) of Cap 85, an applicant to a foreign judgment should proceed by way of up-front registration. It is, in fact, the registration </w:t>
          </w:r>
          <w:proofErr w:type="gramStart"/>
          <w:r w:rsidR="000C73E5">
            <w:rPr>
              <w:rFonts w:ascii="Arial" w:hAnsi="Arial" w:cs="Arial"/>
              <w:sz w:val="22"/>
              <w:szCs w:val="22"/>
            </w:rPr>
            <w:t>which  becomes</w:t>
          </w:r>
          <w:proofErr w:type="gramEnd"/>
          <w:r w:rsidR="000C73E5">
            <w:rPr>
              <w:rFonts w:ascii="Arial" w:hAnsi="Arial" w:cs="Arial"/>
              <w:sz w:val="22"/>
              <w:szCs w:val="22"/>
            </w:rPr>
            <w:t xml:space="preserve"> the substance of the matter and the contest takes place at this stage as may be evident by reading the sections hereunder reproduced.</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Default="00717D0C" w:rsidP="00717D0C">
          <w:pPr>
            <w:pStyle w:val="ListParagraph"/>
            <w:widowControl/>
            <w:autoSpaceDE/>
            <w:autoSpaceDN/>
            <w:adjustRightInd/>
            <w:spacing w:after="200" w:line="360" w:lineRule="auto"/>
            <w:ind w:left="0"/>
            <w:jc w:val="both"/>
            <w:rPr>
              <w:rFonts w:ascii="Arial" w:hAnsi="Arial" w:cs="Arial"/>
              <w:sz w:val="22"/>
              <w:szCs w:val="22"/>
            </w:rPr>
          </w:pPr>
          <w:r w:rsidRPr="00717D0C">
            <w:rPr>
              <w:rFonts w:ascii="Arial" w:hAnsi="Arial" w:cs="Arial"/>
              <w:b/>
              <w:sz w:val="22"/>
              <w:szCs w:val="22"/>
            </w:rPr>
            <w:t>[16]</w:t>
          </w:r>
          <w:r>
            <w:rPr>
              <w:rFonts w:ascii="Arial" w:hAnsi="Arial" w:cs="Arial"/>
              <w:sz w:val="22"/>
              <w:szCs w:val="22"/>
            </w:rPr>
            <w:tab/>
          </w:r>
          <w:r w:rsidR="000C73E5">
            <w:rPr>
              <w:rFonts w:ascii="Arial" w:hAnsi="Arial" w:cs="Arial"/>
              <w:sz w:val="22"/>
              <w:szCs w:val="22"/>
            </w:rPr>
            <w:t>The relevant part of section 4(1) reads:</w:t>
          </w:r>
        </w:p>
        <w:p w:rsidR="000C73E5" w:rsidRPr="00BC5A37" w:rsidRDefault="000C73E5" w:rsidP="00D1596A">
          <w:pPr>
            <w:widowControl/>
            <w:autoSpaceDE/>
            <w:autoSpaceDN/>
            <w:adjustRightInd/>
            <w:spacing w:line="360" w:lineRule="auto"/>
            <w:ind w:left="1440" w:right="720" w:hanging="720"/>
            <w:jc w:val="both"/>
            <w:rPr>
              <w:rFonts w:ascii="Arial" w:hAnsi="Arial" w:cs="Arial"/>
              <w:i/>
              <w:sz w:val="22"/>
              <w:szCs w:val="22"/>
            </w:rPr>
          </w:pPr>
          <w:r>
            <w:rPr>
              <w:rFonts w:ascii="Arial" w:hAnsi="Arial" w:cs="Arial"/>
              <w:sz w:val="22"/>
              <w:szCs w:val="22"/>
            </w:rPr>
            <w:tab/>
            <w:t>“</w:t>
          </w:r>
          <w:r w:rsidRPr="00BC5A37">
            <w:rPr>
              <w:rFonts w:ascii="Arial" w:hAnsi="Arial" w:cs="Arial"/>
              <w:i/>
              <w:sz w:val="22"/>
              <w:szCs w:val="22"/>
            </w:rPr>
            <w:t>4</w:t>
          </w:r>
          <w:r>
            <w:rPr>
              <w:rFonts w:ascii="Arial" w:hAnsi="Arial" w:cs="Arial"/>
              <w:i/>
              <w:sz w:val="22"/>
              <w:szCs w:val="22"/>
            </w:rPr>
            <w:t>.</w:t>
          </w:r>
          <w:r w:rsidRPr="00BC5A37">
            <w:rPr>
              <w:rFonts w:ascii="Arial" w:hAnsi="Arial" w:cs="Arial"/>
              <w:i/>
              <w:sz w:val="22"/>
              <w:szCs w:val="22"/>
            </w:rPr>
            <w:t xml:space="preserve"> (1) A person, being a judgment creditor .... may apply to the Supreme Court to have the judgment registered in the Supreme Court, and on such application the court shall, subject to proof of the prescribed matters and to other provisions of this Act, order the judgment to be registered provided that ....” </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[17]</w:t>
          </w:r>
          <w:r>
            <w:rPr>
              <w:rFonts w:ascii="Arial" w:hAnsi="Arial" w:cs="Arial"/>
              <w:b/>
              <w:sz w:val="22"/>
              <w:szCs w:val="22"/>
            </w:rPr>
            <w:tab/>
          </w:r>
          <w:r w:rsidR="000C73E5">
            <w:rPr>
              <w:rFonts w:ascii="Arial" w:hAnsi="Arial" w:cs="Arial"/>
              <w:sz w:val="22"/>
              <w:szCs w:val="22"/>
            </w:rPr>
            <w:t xml:space="preserve">Section 4(2) also gives the status of a registered judgment in terms of </w:t>
          </w:r>
          <w:proofErr w:type="gramStart"/>
          <w:r w:rsidR="000C73E5">
            <w:rPr>
              <w:rFonts w:ascii="Arial" w:hAnsi="Arial" w:cs="Arial"/>
              <w:sz w:val="22"/>
              <w:szCs w:val="22"/>
            </w:rPr>
            <w:t>the its</w:t>
          </w:r>
          <w:proofErr w:type="gramEnd"/>
          <w:r w:rsidR="000C73E5">
            <w:rPr>
              <w:rFonts w:ascii="Arial" w:hAnsi="Arial" w:cs="Arial"/>
              <w:sz w:val="22"/>
              <w:szCs w:val="22"/>
            </w:rPr>
            <w:t xml:space="preserve"> legal effect. In other words, the registering court shall have the same control over the execution of a registered judgment as if the judgment had been a judgment originally given in the registering court and entered on the date of registration. </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[18]</w:t>
          </w:r>
          <w:r>
            <w:rPr>
              <w:rFonts w:ascii="Arial" w:hAnsi="Arial" w:cs="Arial"/>
              <w:b/>
              <w:sz w:val="22"/>
              <w:szCs w:val="22"/>
            </w:rPr>
            <w:tab/>
          </w:r>
          <w:r w:rsidR="000C73E5">
            <w:rPr>
              <w:rFonts w:ascii="Arial" w:hAnsi="Arial" w:cs="Arial"/>
              <w:sz w:val="22"/>
              <w:szCs w:val="22"/>
            </w:rPr>
            <w:t>The respondents have answered this argument and submitted that their action is not an action under Cap 85 (Foreign Judgment Reciprocal Enforcement) Act (“Cap 85”). Cap 85 in their analysis deals with the execution of money judgment and this was not a money judgment.</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[19]</w:t>
          </w:r>
          <w:r>
            <w:rPr>
              <w:rFonts w:ascii="Arial" w:hAnsi="Arial" w:cs="Arial"/>
              <w:b/>
              <w:sz w:val="22"/>
              <w:szCs w:val="22"/>
            </w:rPr>
            <w:tab/>
          </w:r>
          <w:r w:rsidR="000C73E5">
            <w:rPr>
              <w:rFonts w:ascii="Arial" w:hAnsi="Arial" w:cs="Arial"/>
              <w:sz w:val="22"/>
              <w:szCs w:val="22"/>
            </w:rPr>
            <w:t>We have examined Cap 85 in its own right and in the history of the legislation by tracing it from the original Cap 99 of 18</w:t>
          </w:r>
          <w:r w:rsidR="000C73E5" w:rsidRPr="00811F7A">
            <w:rPr>
              <w:rFonts w:ascii="Arial" w:hAnsi="Arial" w:cs="Arial"/>
              <w:sz w:val="22"/>
              <w:szCs w:val="22"/>
              <w:vertAlign w:val="superscript"/>
            </w:rPr>
            <w:t>th</w:t>
          </w:r>
          <w:r w:rsidR="000C73E5">
            <w:rPr>
              <w:rFonts w:ascii="Arial" w:hAnsi="Arial" w:cs="Arial"/>
              <w:sz w:val="22"/>
              <w:szCs w:val="22"/>
            </w:rPr>
            <w:t xml:space="preserve"> February 1922. On the face of it the definition section would seem to be in favour of the submission of the appellant.  “Judgment” means a </w:t>
          </w:r>
          <w:r w:rsidR="000C73E5">
            <w:rPr>
              <w:rFonts w:ascii="Arial" w:hAnsi="Arial" w:cs="Arial"/>
              <w:sz w:val="22"/>
              <w:szCs w:val="22"/>
            </w:rPr>
            <w:lastRenderedPageBreak/>
            <w:t xml:space="preserve">judgment or order given or made by a court in any civil proceedings, or a judgment or order given or made by a court in any criminal proceedings for the payment of a sum of money in respect of compensation or damages to an injured party,” so that it covers civil proceedings not limited to monetary orders. </w:t>
          </w:r>
        </w:p>
        <w:p w:rsidR="000C73E5" w:rsidRDefault="000C73E5" w:rsidP="000C73E5">
          <w:pPr>
            <w:pStyle w:val="ListParagrap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[20]</w:t>
          </w:r>
          <w:r>
            <w:rPr>
              <w:rFonts w:ascii="Arial" w:hAnsi="Arial" w:cs="Arial"/>
              <w:b/>
              <w:sz w:val="22"/>
              <w:szCs w:val="22"/>
            </w:rPr>
            <w:tab/>
          </w:r>
          <w:r w:rsidR="000C73E5">
            <w:rPr>
              <w:rFonts w:ascii="Arial" w:hAnsi="Arial" w:cs="Arial"/>
              <w:sz w:val="22"/>
              <w:szCs w:val="22"/>
            </w:rPr>
            <w:t xml:space="preserve">However, when we look at the application sections we find that the Act makes a distinction </w:t>
          </w:r>
          <w:proofErr w:type="gramStart"/>
          <w:r w:rsidR="000C73E5">
            <w:rPr>
              <w:rFonts w:ascii="Arial" w:hAnsi="Arial" w:cs="Arial"/>
              <w:sz w:val="22"/>
              <w:szCs w:val="22"/>
            </w:rPr>
            <w:t>among  three</w:t>
          </w:r>
          <w:proofErr w:type="gramEnd"/>
          <w:r w:rsidR="000C73E5">
            <w:rPr>
              <w:rFonts w:ascii="Arial" w:hAnsi="Arial" w:cs="Arial"/>
              <w:sz w:val="22"/>
              <w:szCs w:val="22"/>
            </w:rPr>
            <w:t xml:space="preserve"> categories of foreign judgments.</w:t>
          </w:r>
        </w:p>
        <w:p w:rsidR="000C73E5" w:rsidRDefault="000C73E5" w:rsidP="000C73E5">
          <w:pPr>
            <w:pStyle w:val="ListParagraph"/>
            <w:rPr>
              <w:rFonts w:ascii="Arial" w:hAnsi="Arial" w:cs="Arial"/>
              <w:sz w:val="22"/>
              <w:szCs w:val="22"/>
            </w:rPr>
          </w:pPr>
        </w:p>
        <w:p w:rsidR="000C73E5" w:rsidRDefault="000C73E5" w:rsidP="00D1596A">
          <w:pPr>
            <w:pStyle w:val="ListParagraph"/>
            <w:widowControl/>
            <w:numPr>
              <w:ilvl w:val="1"/>
              <w:numId w:val="14"/>
            </w:numPr>
            <w:autoSpaceDE/>
            <w:autoSpaceDN/>
            <w:adjustRightInd/>
            <w:spacing w:after="200" w:line="360" w:lineRule="auto"/>
            <w:ind w:left="2160" w:hanging="720"/>
            <w:jc w:val="both"/>
            <w:rPr>
              <w:rFonts w:ascii="Arial" w:hAnsi="Arial" w:cs="Arial"/>
              <w:sz w:val="22"/>
              <w:szCs w:val="22"/>
            </w:rPr>
          </w:pPr>
          <w:r>
            <w:rPr>
              <w:rFonts w:ascii="Arial" w:hAnsi="Arial" w:cs="Arial"/>
              <w:sz w:val="22"/>
              <w:szCs w:val="22"/>
            </w:rPr>
            <w:t xml:space="preserve">foreign judgements which are money judgments which are enforceable on registration under the Act and become executory after the process; </w:t>
          </w:r>
        </w:p>
        <w:p w:rsidR="000C73E5" w:rsidRDefault="000C73E5" w:rsidP="00D1596A">
          <w:pPr>
            <w:pStyle w:val="ListParagraph"/>
            <w:widowControl/>
            <w:numPr>
              <w:ilvl w:val="1"/>
              <w:numId w:val="14"/>
            </w:numPr>
            <w:autoSpaceDE/>
            <w:autoSpaceDN/>
            <w:adjustRightInd/>
            <w:spacing w:after="200" w:line="360" w:lineRule="auto"/>
            <w:ind w:left="2160" w:hanging="720"/>
            <w:jc w:val="both"/>
            <w:rPr>
              <w:rFonts w:ascii="Arial" w:hAnsi="Arial" w:cs="Arial"/>
              <w:sz w:val="22"/>
              <w:szCs w:val="22"/>
            </w:rPr>
          </w:pPr>
          <w:proofErr w:type="gramStart"/>
          <w:r>
            <w:rPr>
              <w:rFonts w:ascii="Arial" w:hAnsi="Arial" w:cs="Arial"/>
              <w:sz w:val="22"/>
              <w:szCs w:val="22"/>
            </w:rPr>
            <w:t>foreign</w:t>
          </w:r>
          <w:proofErr w:type="gramEnd"/>
          <w:r>
            <w:rPr>
              <w:rFonts w:ascii="Arial" w:hAnsi="Arial" w:cs="Arial"/>
              <w:sz w:val="22"/>
              <w:szCs w:val="22"/>
            </w:rPr>
            <w:t xml:space="preserve"> judgements which are not monetary which can become enforceable only on the President’s order which must be published in the Gazette (we are not aware of any nor have we been shown of any by the appellant.</w:t>
          </w:r>
        </w:p>
        <w:p w:rsidR="000C73E5" w:rsidRDefault="000C73E5" w:rsidP="00D1596A">
          <w:pPr>
            <w:pStyle w:val="ListParagraph"/>
            <w:widowControl/>
            <w:numPr>
              <w:ilvl w:val="1"/>
              <w:numId w:val="14"/>
            </w:numPr>
            <w:autoSpaceDE/>
            <w:autoSpaceDN/>
            <w:adjustRightInd/>
            <w:spacing w:after="200" w:line="360" w:lineRule="auto"/>
            <w:ind w:left="2160" w:hanging="720"/>
            <w:jc w:val="both"/>
            <w:rPr>
              <w:rFonts w:ascii="Arial" w:hAnsi="Arial" w:cs="Arial"/>
              <w:sz w:val="22"/>
              <w:szCs w:val="22"/>
            </w:rPr>
          </w:pPr>
          <w:proofErr w:type="gramStart"/>
          <w:r>
            <w:rPr>
              <w:rFonts w:ascii="Arial" w:hAnsi="Arial" w:cs="Arial"/>
              <w:sz w:val="22"/>
              <w:szCs w:val="22"/>
            </w:rPr>
            <w:t>foreign</w:t>
          </w:r>
          <w:proofErr w:type="gramEnd"/>
          <w:r>
            <w:rPr>
              <w:rFonts w:ascii="Arial" w:hAnsi="Arial" w:cs="Arial"/>
              <w:sz w:val="22"/>
              <w:szCs w:val="22"/>
            </w:rPr>
            <w:t xml:space="preserve"> judgments which are recognised </w:t>
          </w:r>
          <w:r w:rsidRPr="00051092">
            <w:rPr>
              <w:rFonts w:ascii="Arial" w:hAnsi="Arial" w:cs="Arial"/>
              <w:i/>
              <w:sz w:val="22"/>
              <w:szCs w:val="22"/>
            </w:rPr>
            <w:t>per se</w:t>
          </w:r>
          <w:r>
            <w:rPr>
              <w:rFonts w:ascii="Arial" w:hAnsi="Arial" w:cs="Arial"/>
              <w:sz w:val="22"/>
              <w:szCs w:val="22"/>
            </w:rPr>
            <w:t xml:space="preserve"> by the courts presumably not for execution as such but for further action on them.  </w:t>
          </w:r>
        </w:p>
        <w:p w:rsidR="000C73E5" w:rsidRDefault="000C73E5" w:rsidP="000C73E5">
          <w:pPr>
            <w:pStyle w:val="ListParagraph"/>
            <w:widowControl/>
            <w:autoSpaceDE/>
            <w:autoSpaceDN/>
            <w:adjustRightInd/>
            <w:spacing w:after="200" w:line="360" w:lineRule="auto"/>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[21]</w:t>
          </w:r>
          <w:r>
            <w:rPr>
              <w:rFonts w:ascii="Arial" w:hAnsi="Arial" w:cs="Arial"/>
              <w:b/>
              <w:sz w:val="22"/>
              <w:szCs w:val="22"/>
            </w:rPr>
            <w:tab/>
          </w:r>
          <w:r w:rsidR="000C73E5">
            <w:rPr>
              <w:rFonts w:ascii="Arial" w:hAnsi="Arial" w:cs="Arial"/>
              <w:sz w:val="22"/>
              <w:szCs w:val="22"/>
            </w:rPr>
            <w:t>It is to be noted that the power of the Supreme Court to recognise foreign judgements is left untouched by CAP 89. At section 11(1) we read as follows:</w:t>
          </w:r>
        </w:p>
        <w:p w:rsidR="00D1596A" w:rsidRDefault="00D1596A" w:rsidP="00D1596A">
          <w:pPr>
            <w:pStyle w:val="ListParagraph"/>
            <w:widowControl/>
            <w:autoSpaceDE/>
            <w:autoSpaceDN/>
            <w:adjustRightInd/>
            <w:spacing w:after="200" w:line="360" w:lineRule="auto"/>
            <w:ind w:hanging="720"/>
            <w:jc w:val="both"/>
            <w:rPr>
              <w:rFonts w:ascii="Arial" w:hAnsi="Arial" w:cs="Arial"/>
              <w:sz w:val="22"/>
              <w:szCs w:val="22"/>
            </w:rPr>
          </w:pPr>
        </w:p>
        <w:p w:rsidR="000C73E5" w:rsidRPr="00C13164" w:rsidRDefault="000C73E5" w:rsidP="00D1596A">
          <w:pPr>
            <w:pStyle w:val="ListParagraph"/>
            <w:widowControl/>
            <w:autoSpaceDE/>
            <w:autoSpaceDN/>
            <w:adjustRightInd/>
            <w:spacing w:after="200" w:line="360" w:lineRule="auto"/>
            <w:ind w:left="1440" w:right="720"/>
            <w:jc w:val="both"/>
            <w:rPr>
              <w:rFonts w:ascii="Arial" w:hAnsi="Arial" w:cs="Arial"/>
              <w:i/>
              <w:sz w:val="22"/>
              <w:szCs w:val="22"/>
            </w:rPr>
          </w:pPr>
          <w:r w:rsidRPr="00C13164">
            <w:rPr>
              <w:rFonts w:ascii="Arial" w:hAnsi="Arial" w:cs="Arial"/>
              <w:i/>
              <w:sz w:val="22"/>
              <w:szCs w:val="22"/>
            </w:rPr>
            <w:t xml:space="preserve">“(3) Nothing in this section shall be taken to prevent any court in Seychelles recognising any judgment as conclusive of any matter of law or fact decided therein if that judgement would have been so recognised before the passing of this Act.” </w:t>
          </w:r>
        </w:p>
        <w:p w:rsidR="000C73E5" w:rsidRDefault="000C73E5" w:rsidP="000C73E5">
          <w:pPr>
            <w:pStyle w:val="ListParagraph"/>
            <w:widowControl/>
            <w:autoSpaceDE/>
            <w:autoSpaceDN/>
            <w:adjustRightInd/>
            <w:spacing w:after="200" w:line="360" w:lineRule="auto"/>
            <w:ind w:left="216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[22]</w:t>
          </w:r>
          <w:r>
            <w:rPr>
              <w:rFonts w:ascii="Arial" w:hAnsi="Arial" w:cs="Arial"/>
              <w:b/>
              <w:sz w:val="22"/>
              <w:szCs w:val="22"/>
            </w:rPr>
            <w:tab/>
          </w:r>
          <w:r w:rsidR="000C73E5">
            <w:rPr>
              <w:rFonts w:ascii="Arial" w:hAnsi="Arial" w:cs="Arial"/>
              <w:sz w:val="22"/>
              <w:szCs w:val="22"/>
            </w:rPr>
            <w:t>The English Receiving Order, it is admitted by the Appellant, is not and could not be treated as a judgment under which involved “</w:t>
          </w:r>
          <w:r w:rsidR="000C73E5" w:rsidRPr="0056361D">
            <w:rPr>
              <w:rFonts w:ascii="Arial" w:hAnsi="Arial" w:cs="Arial"/>
              <w:i/>
              <w:sz w:val="22"/>
              <w:szCs w:val="22"/>
            </w:rPr>
            <w:t>payment of a sum of money in respect of compensation or damages to an injured party</w:t>
          </w:r>
          <w:r w:rsidR="000C73E5">
            <w:rPr>
              <w:rFonts w:ascii="Arial" w:hAnsi="Arial" w:cs="Arial"/>
              <w:sz w:val="22"/>
              <w:szCs w:val="22"/>
            </w:rPr>
            <w:t xml:space="preserve"> through either a civil or a criminal proceedings. Ground 1 of SCA 8/2013 fails.</w:t>
          </w:r>
        </w:p>
        <w:p w:rsidR="00D1596A" w:rsidRDefault="00D1596A" w:rsidP="00D1596A">
          <w:pPr>
            <w:pStyle w:val="ListParagraph"/>
            <w:widowControl/>
            <w:autoSpaceDE/>
            <w:autoSpaceDN/>
            <w:adjustRightInd/>
            <w:spacing w:after="200" w:line="360" w:lineRule="auto"/>
            <w:ind w:hanging="72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[23]</w:t>
          </w:r>
          <w:r>
            <w:rPr>
              <w:rFonts w:ascii="Arial" w:hAnsi="Arial" w:cs="Arial"/>
              <w:b/>
              <w:sz w:val="22"/>
              <w:szCs w:val="22"/>
            </w:rPr>
            <w:tab/>
          </w:r>
          <w:r w:rsidR="000C73E5">
            <w:rPr>
              <w:rFonts w:ascii="Arial" w:hAnsi="Arial" w:cs="Arial"/>
              <w:sz w:val="22"/>
              <w:szCs w:val="22"/>
            </w:rPr>
            <w:t xml:space="preserve">The jurisdiction of the Courts in Seychelles has not been curtailed but saved by CAP 89 to recognise foreign judgments. </w:t>
          </w:r>
        </w:p>
        <w:p w:rsidR="000C73E5" w:rsidRDefault="000C73E5" w:rsidP="000C73E5">
          <w:pPr>
            <w:pStyle w:val="ListParagraph"/>
            <w:widowControl/>
            <w:autoSpaceDE/>
            <w:autoSpaceDN/>
            <w:adjustRightInd/>
            <w:spacing w:after="200" w:line="360" w:lineRule="auto"/>
            <w:jc w:val="both"/>
            <w:rPr>
              <w:rFonts w:ascii="Arial" w:hAnsi="Arial" w:cs="Arial"/>
              <w:sz w:val="22"/>
              <w:szCs w:val="22"/>
            </w:rPr>
          </w:pPr>
        </w:p>
        <w:p w:rsidR="000C73E5" w:rsidRDefault="000C73E5" w:rsidP="009C7805">
          <w:pPr>
            <w:pStyle w:val="ListParagraph"/>
            <w:widowControl/>
            <w:autoSpaceDE/>
            <w:autoSpaceDN/>
            <w:adjustRightInd/>
            <w:spacing w:after="200" w:line="360" w:lineRule="auto"/>
            <w:ind w:left="0"/>
            <w:jc w:val="both"/>
            <w:rPr>
              <w:rFonts w:ascii="Arial" w:hAnsi="Arial" w:cs="Arial"/>
              <w:sz w:val="22"/>
              <w:szCs w:val="22"/>
            </w:rPr>
          </w:pPr>
          <w:r>
            <w:rPr>
              <w:rFonts w:ascii="Arial" w:hAnsi="Arial" w:cs="Arial"/>
              <w:sz w:val="22"/>
              <w:szCs w:val="22"/>
            </w:rPr>
            <w:t xml:space="preserve">Ground 1 of SCA 8/2013, accordingly, fails. </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Pr="00644A1E" w:rsidRDefault="000C73E5" w:rsidP="009C7805">
          <w:pPr>
            <w:widowControl/>
            <w:autoSpaceDE/>
            <w:autoSpaceDN/>
            <w:adjustRightInd/>
            <w:spacing w:line="360" w:lineRule="auto"/>
            <w:jc w:val="both"/>
            <w:rPr>
              <w:rFonts w:ascii="Arial" w:hAnsi="Arial" w:cs="Arial"/>
              <w:b/>
              <w:sz w:val="22"/>
              <w:szCs w:val="22"/>
            </w:rPr>
          </w:pPr>
          <w:r w:rsidRPr="00644A1E">
            <w:rPr>
              <w:rFonts w:ascii="Arial" w:hAnsi="Arial" w:cs="Arial"/>
              <w:b/>
              <w:sz w:val="22"/>
              <w:szCs w:val="22"/>
            </w:rPr>
            <w:t>Ground 1 of SCA 56/2011 and Ground 2 of SCA 8/2013</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Pr="00644A1E" w:rsidRDefault="000C73E5" w:rsidP="009C7805">
          <w:pPr>
            <w:widowControl/>
            <w:autoSpaceDE/>
            <w:autoSpaceDN/>
            <w:adjustRightInd/>
            <w:spacing w:line="360" w:lineRule="auto"/>
            <w:jc w:val="both"/>
            <w:rPr>
              <w:rFonts w:ascii="Arial" w:hAnsi="Arial" w:cs="Arial"/>
              <w:i/>
              <w:sz w:val="22"/>
              <w:szCs w:val="22"/>
            </w:rPr>
          </w:pPr>
          <w:r w:rsidRPr="00644A1E">
            <w:rPr>
              <w:rFonts w:ascii="Arial" w:hAnsi="Arial" w:cs="Arial"/>
              <w:i/>
              <w:sz w:val="22"/>
              <w:szCs w:val="22"/>
            </w:rPr>
            <w:t>Registration</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[24]</w:t>
          </w:r>
          <w:r>
            <w:rPr>
              <w:rFonts w:ascii="Arial" w:hAnsi="Arial" w:cs="Arial"/>
              <w:b/>
              <w:sz w:val="22"/>
              <w:szCs w:val="22"/>
            </w:rPr>
            <w:tab/>
          </w:r>
          <w:r w:rsidR="000C73E5">
            <w:rPr>
              <w:rFonts w:ascii="Arial" w:hAnsi="Arial" w:cs="Arial"/>
              <w:sz w:val="22"/>
              <w:szCs w:val="22"/>
            </w:rPr>
            <w:t xml:space="preserve">Since we have decided that CAP 85 is not applicable, the question of registration under CAP 85 does not arise. </w:t>
          </w:r>
        </w:p>
        <w:p w:rsidR="000C73E5" w:rsidRDefault="000C73E5" w:rsidP="000C73E5">
          <w:pPr>
            <w:widowControl/>
            <w:autoSpaceDE/>
            <w:autoSpaceDN/>
            <w:adjustRightInd/>
            <w:spacing w:line="360" w:lineRule="auto"/>
            <w:ind w:left="720"/>
            <w:jc w:val="both"/>
            <w:rPr>
              <w:rFonts w:ascii="Arial" w:hAnsi="Arial" w:cs="Arial"/>
              <w:sz w:val="22"/>
              <w:szCs w:val="22"/>
            </w:rPr>
          </w:pPr>
          <w:r w:rsidRPr="00644A1E">
            <w:rPr>
              <w:rFonts w:ascii="Arial" w:hAnsi="Arial" w:cs="Arial"/>
              <w:b/>
              <w:sz w:val="22"/>
              <w:szCs w:val="22"/>
            </w:rPr>
            <w:t>Ground 2 of SCA 56/2011 and Ground 3 of SCA 8/2013</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Pr="0068603C" w:rsidRDefault="000C73E5" w:rsidP="000C73E5">
          <w:pPr>
            <w:widowControl/>
            <w:autoSpaceDE/>
            <w:autoSpaceDN/>
            <w:adjustRightInd/>
            <w:spacing w:line="360" w:lineRule="auto"/>
            <w:ind w:left="720"/>
            <w:jc w:val="both"/>
            <w:rPr>
              <w:rFonts w:ascii="Arial" w:hAnsi="Arial" w:cs="Arial"/>
              <w:i/>
              <w:sz w:val="22"/>
              <w:szCs w:val="22"/>
            </w:rPr>
          </w:pPr>
          <w:r w:rsidRPr="0068603C">
            <w:rPr>
              <w:rFonts w:ascii="Arial" w:hAnsi="Arial" w:cs="Arial"/>
              <w:i/>
              <w:sz w:val="22"/>
              <w:szCs w:val="22"/>
            </w:rPr>
            <w:t>Foreign Judgment to be Final and Conclusive</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[25]</w:t>
          </w:r>
          <w:r>
            <w:rPr>
              <w:rFonts w:ascii="Arial" w:hAnsi="Arial" w:cs="Arial"/>
              <w:b/>
              <w:sz w:val="22"/>
              <w:szCs w:val="22"/>
            </w:rPr>
            <w:tab/>
          </w:r>
          <w:r w:rsidR="000C73E5">
            <w:rPr>
              <w:rFonts w:ascii="Arial" w:hAnsi="Arial" w:cs="Arial"/>
              <w:sz w:val="22"/>
              <w:szCs w:val="22"/>
            </w:rPr>
            <w:t>Mr Basil Hoareau also submitted that, as per section 3(2</w:t>
          </w:r>
          <w:proofErr w:type="gramStart"/>
          <w:r w:rsidR="000C73E5">
            <w:rPr>
              <w:rFonts w:ascii="Arial" w:hAnsi="Arial" w:cs="Arial"/>
              <w:sz w:val="22"/>
              <w:szCs w:val="22"/>
            </w:rPr>
            <w:t>)(</w:t>
          </w:r>
          <w:proofErr w:type="gramEnd"/>
          <w:r w:rsidR="000C73E5">
            <w:rPr>
              <w:rFonts w:ascii="Arial" w:hAnsi="Arial" w:cs="Arial"/>
              <w:sz w:val="22"/>
              <w:szCs w:val="22"/>
            </w:rPr>
            <w:t>a) of CAP 85,  there is a formal requirement that the judgment should be final and conclusive in the first place.</w:t>
          </w:r>
        </w:p>
        <w:p w:rsidR="00D1596A" w:rsidRDefault="00D1596A" w:rsidP="00D1596A">
          <w:pPr>
            <w:pStyle w:val="ListParagraph"/>
            <w:widowControl/>
            <w:autoSpaceDE/>
            <w:autoSpaceDN/>
            <w:adjustRightInd/>
            <w:spacing w:after="200" w:line="360" w:lineRule="auto"/>
            <w:ind w:hanging="720"/>
            <w:jc w:val="both"/>
            <w:rPr>
              <w:rFonts w:ascii="Arial" w:hAnsi="Arial" w:cs="Arial"/>
              <w:sz w:val="22"/>
              <w:szCs w:val="22"/>
            </w:rPr>
          </w:pPr>
        </w:p>
        <w:p w:rsidR="000C73E5" w:rsidRPr="006D6417"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[26]</w:t>
          </w:r>
          <w:r>
            <w:rPr>
              <w:rFonts w:ascii="Arial" w:hAnsi="Arial" w:cs="Arial"/>
              <w:b/>
              <w:sz w:val="22"/>
              <w:szCs w:val="22"/>
            </w:rPr>
            <w:tab/>
          </w:r>
          <w:r w:rsidR="000C73E5" w:rsidRPr="006D6417">
            <w:rPr>
              <w:rFonts w:ascii="Arial" w:hAnsi="Arial" w:cs="Arial"/>
              <w:sz w:val="22"/>
              <w:szCs w:val="22"/>
            </w:rPr>
            <w:t xml:space="preserve">From the moment we have decided that CAP 85 is not applicable to this case, the </w:t>
          </w:r>
          <w:r w:rsidR="000C73E5">
            <w:rPr>
              <w:rFonts w:ascii="Arial" w:hAnsi="Arial" w:cs="Arial"/>
              <w:sz w:val="22"/>
              <w:szCs w:val="22"/>
            </w:rPr>
            <w:t xml:space="preserve">controversy that the judgement is or is not </w:t>
          </w:r>
          <w:r w:rsidR="000C73E5" w:rsidRPr="006D6417">
            <w:rPr>
              <w:rFonts w:ascii="Arial" w:hAnsi="Arial" w:cs="Arial"/>
              <w:sz w:val="22"/>
              <w:szCs w:val="22"/>
            </w:rPr>
            <w:t xml:space="preserve">final and conclusive </w:t>
          </w:r>
          <w:r w:rsidR="000C73E5">
            <w:rPr>
              <w:rFonts w:ascii="Arial" w:hAnsi="Arial" w:cs="Arial"/>
              <w:sz w:val="22"/>
              <w:szCs w:val="22"/>
            </w:rPr>
            <w:t>is purely academic</w:t>
          </w:r>
          <w:r w:rsidR="000C73E5" w:rsidRPr="006D6417">
            <w:rPr>
              <w:rFonts w:ascii="Arial" w:hAnsi="Arial" w:cs="Arial"/>
              <w:sz w:val="22"/>
              <w:szCs w:val="22"/>
            </w:rPr>
            <w:t>.  For the same reason as for registration, we consider that there is no substance in Ground 2 of SCA 56/2011 and Ground 3 of SCA 8/2013</w:t>
          </w:r>
          <w:r w:rsidR="000C73E5">
            <w:rPr>
              <w:rFonts w:ascii="Arial" w:hAnsi="Arial" w:cs="Arial"/>
              <w:sz w:val="22"/>
              <w:szCs w:val="22"/>
            </w:rPr>
            <w:t xml:space="preserve"> as well</w:t>
          </w:r>
          <w:r w:rsidR="000C73E5" w:rsidRPr="006D6417">
            <w:rPr>
              <w:rFonts w:ascii="Arial" w:hAnsi="Arial" w:cs="Arial"/>
              <w:sz w:val="22"/>
              <w:szCs w:val="22"/>
            </w:rPr>
            <w:t>.</w:t>
          </w:r>
        </w:p>
        <w:p w:rsidR="000C73E5" w:rsidRDefault="000C73E5" w:rsidP="000C73E5">
          <w:pPr>
            <w:widowControl/>
            <w:autoSpaceDE/>
            <w:autoSpaceDN/>
            <w:adjustRightInd/>
            <w:spacing w:line="360" w:lineRule="auto"/>
            <w:ind w:left="72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[27]</w:t>
          </w:r>
          <w:r>
            <w:rPr>
              <w:rFonts w:ascii="Arial" w:hAnsi="Arial" w:cs="Arial"/>
              <w:b/>
              <w:sz w:val="22"/>
              <w:szCs w:val="22"/>
            </w:rPr>
            <w:tab/>
          </w:r>
          <w:r w:rsidR="000C73E5">
            <w:rPr>
              <w:rFonts w:ascii="Arial" w:hAnsi="Arial" w:cs="Arial"/>
              <w:sz w:val="22"/>
              <w:szCs w:val="22"/>
            </w:rPr>
            <w:t xml:space="preserve">However, to the extent that this term may be applicable to the Receiving Order made, we would wish to state that final and conclusive may only be interpreted with respect to the judicial proceedings which led to the order and not to the order itself. In this case the Teare J., after hearing the application for four and a half days came to the decision that an order should be made to appoint a receiver. There was an appeal against that order which was upheld. The order for appointment therefore was final and conclusive. If there have been amendments to the orders, these amendment do not impair anything from the finality and the conclusiveness of the judgment delivered on 26 November 2010. . </w:t>
          </w:r>
        </w:p>
        <w:p w:rsidR="000C73E5" w:rsidRDefault="000C73E5" w:rsidP="000C73E5">
          <w:pPr>
            <w:pStyle w:val="ListParagraph"/>
            <w:widowControl/>
            <w:autoSpaceDE/>
            <w:autoSpaceDN/>
            <w:adjustRightInd/>
            <w:spacing w:after="200" w:line="360" w:lineRule="auto"/>
            <w:jc w:val="both"/>
            <w:rPr>
              <w:rFonts w:ascii="Arial" w:hAnsi="Arial" w:cs="Arial"/>
              <w:sz w:val="22"/>
              <w:szCs w:val="22"/>
            </w:rPr>
          </w:pPr>
        </w:p>
        <w:p w:rsidR="000C73E5" w:rsidRPr="00CC07B2" w:rsidRDefault="000C73E5" w:rsidP="009C7805">
          <w:pPr>
            <w:spacing w:line="360" w:lineRule="auto"/>
            <w:jc w:val="both"/>
            <w:rPr>
              <w:rFonts w:ascii="Arial" w:hAnsi="Arial" w:cs="Arial"/>
              <w:b/>
              <w:sz w:val="22"/>
              <w:szCs w:val="22"/>
            </w:rPr>
          </w:pPr>
          <w:r w:rsidRPr="00644A1E">
            <w:rPr>
              <w:rFonts w:ascii="Arial" w:hAnsi="Arial" w:cs="Arial"/>
              <w:b/>
              <w:sz w:val="22"/>
              <w:szCs w:val="22"/>
            </w:rPr>
            <w:t>Ground 3 of SC</w:t>
          </w:r>
          <w:r>
            <w:rPr>
              <w:rFonts w:ascii="Arial" w:hAnsi="Arial" w:cs="Arial"/>
              <w:b/>
              <w:sz w:val="22"/>
              <w:szCs w:val="22"/>
            </w:rPr>
            <w:t>A 56/2011 and Ground 4 of SCA 8/</w:t>
          </w:r>
          <w:r w:rsidRPr="00644A1E">
            <w:rPr>
              <w:rFonts w:ascii="Arial" w:hAnsi="Arial" w:cs="Arial"/>
              <w:b/>
              <w:sz w:val="22"/>
              <w:szCs w:val="22"/>
            </w:rPr>
            <w:t xml:space="preserve"> 2013</w:t>
          </w:r>
        </w:p>
        <w:p w:rsidR="000C73E5" w:rsidRPr="00CC07B2" w:rsidRDefault="000C73E5" w:rsidP="000C73E5">
          <w:pPr>
            <w:spacing w:line="360" w:lineRule="auto"/>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[28]</w:t>
          </w:r>
          <w:r>
            <w:rPr>
              <w:rFonts w:ascii="Arial" w:hAnsi="Arial" w:cs="Arial"/>
              <w:b/>
              <w:sz w:val="22"/>
              <w:szCs w:val="22"/>
            </w:rPr>
            <w:tab/>
          </w:r>
          <w:r w:rsidR="000C73E5">
            <w:rPr>
              <w:rFonts w:ascii="Arial" w:hAnsi="Arial" w:cs="Arial"/>
              <w:sz w:val="22"/>
              <w:szCs w:val="22"/>
            </w:rPr>
            <w:t xml:space="preserve">It has been submitted before us under Ground 3 of SCA 56/2011 and Ground 4 of SCA 8/2013 that the matter should have commenced by way of a Plaint </w:t>
          </w:r>
          <w:proofErr w:type="gramStart"/>
          <w:r w:rsidR="000C73E5">
            <w:rPr>
              <w:rFonts w:ascii="Arial" w:hAnsi="Arial" w:cs="Arial"/>
              <w:sz w:val="22"/>
              <w:szCs w:val="22"/>
            </w:rPr>
            <w:t>With</w:t>
          </w:r>
          <w:proofErr w:type="gramEnd"/>
          <w:r w:rsidR="000C73E5">
            <w:rPr>
              <w:rFonts w:ascii="Arial" w:hAnsi="Arial" w:cs="Arial"/>
              <w:sz w:val="22"/>
              <w:szCs w:val="22"/>
            </w:rPr>
            <w:t xml:space="preserve"> Summons </w:t>
          </w:r>
          <w:r w:rsidR="000C73E5">
            <w:rPr>
              <w:rFonts w:ascii="Arial" w:hAnsi="Arial" w:cs="Arial"/>
              <w:sz w:val="22"/>
              <w:szCs w:val="22"/>
            </w:rPr>
            <w:lastRenderedPageBreak/>
            <w:t xml:space="preserve">(PWS). The Appellant relied on the decision of </w:t>
          </w:r>
          <w:r w:rsidR="000C73E5" w:rsidRPr="002E7544">
            <w:rPr>
              <w:rFonts w:ascii="Arial" w:hAnsi="Arial" w:cs="Arial"/>
              <w:b/>
              <w:sz w:val="22"/>
              <w:szCs w:val="22"/>
            </w:rPr>
            <w:t>Privatbanken Aktieselskab v Bantele [1978] S.L.R. 226</w:t>
          </w:r>
          <w:r w:rsidR="000C73E5">
            <w:rPr>
              <w:rFonts w:ascii="Arial" w:hAnsi="Arial" w:cs="Arial"/>
              <w:sz w:val="22"/>
              <w:szCs w:val="22"/>
            </w:rPr>
            <w:t xml:space="preserve"> where Sauzier J. commented that </w:t>
          </w:r>
          <w:r w:rsidR="000C73E5" w:rsidRPr="002E7544">
            <w:rPr>
              <w:rFonts w:ascii="Arial" w:hAnsi="Arial" w:cs="Arial"/>
              <w:i/>
              <w:sz w:val="22"/>
              <w:szCs w:val="22"/>
            </w:rPr>
            <w:t xml:space="preserve">“In Mauritius the procedure is to apply to the Supreme Court by motion to render the foreign judgment executor. In England, the foreign judgment is sued upon in an ordinary action. The last procedure is the correct one to be followed in Seychelles ...” </w:t>
          </w:r>
        </w:p>
        <w:p w:rsidR="000C73E5" w:rsidRDefault="000C73E5" w:rsidP="000C73E5">
          <w:pPr>
            <w:pStyle w:val="ListParagraph"/>
            <w:widowControl/>
            <w:autoSpaceDE/>
            <w:autoSpaceDN/>
            <w:adjustRightInd/>
            <w:spacing w:after="200" w:line="360" w:lineRule="auto"/>
            <w:ind w:left="90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[29]</w:t>
          </w:r>
          <w:r>
            <w:rPr>
              <w:rFonts w:ascii="Arial" w:hAnsi="Arial" w:cs="Arial"/>
              <w:b/>
              <w:sz w:val="22"/>
              <w:szCs w:val="22"/>
            </w:rPr>
            <w:tab/>
          </w:r>
          <w:r w:rsidR="000C73E5">
            <w:rPr>
              <w:rFonts w:ascii="Arial" w:hAnsi="Arial" w:cs="Arial"/>
              <w:sz w:val="22"/>
              <w:szCs w:val="22"/>
            </w:rPr>
            <w:t xml:space="preserve">It would appear that the procedure in Mauritius is different from what it was at the time of the judgment. But we are concerned with this jurisdiction. On this point, it is important not to give to the comment of Sauzier J. </w:t>
          </w:r>
          <w:proofErr w:type="gramStart"/>
          <w:r w:rsidR="000C73E5">
            <w:rPr>
              <w:rFonts w:ascii="Arial" w:hAnsi="Arial" w:cs="Arial"/>
              <w:sz w:val="22"/>
              <w:szCs w:val="22"/>
            </w:rPr>
            <w:t>A wider import than the plain meaning.</w:t>
          </w:r>
          <w:proofErr w:type="gramEnd"/>
          <w:r w:rsidR="000C73E5">
            <w:rPr>
              <w:rFonts w:ascii="Arial" w:hAnsi="Arial" w:cs="Arial"/>
              <w:sz w:val="22"/>
              <w:szCs w:val="22"/>
            </w:rPr>
            <w:t xml:space="preserve"> “Sued upon in an ordinary action” can hardly mean “sued upon by means of a plaint.” The ordinary action referred to by Sauzier J</w:t>
          </w:r>
          <w:proofErr w:type="gramStart"/>
          <w:r w:rsidR="000C73E5">
            <w:rPr>
              <w:rFonts w:ascii="Arial" w:hAnsi="Arial" w:cs="Arial"/>
              <w:sz w:val="22"/>
              <w:szCs w:val="22"/>
            </w:rPr>
            <w:t>. ,</w:t>
          </w:r>
          <w:proofErr w:type="gramEnd"/>
          <w:r w:rsidR="000C73E5">
            <w:rPr>
              <w:rFonts w:ascii="Arial" w:hAnsi="Arial" w:cs="Arial"/>
              <w:sz w:val="22"/>
              <w:szCs w:val="22"/>
            </w:rPr>
            <w:t xml:space="preserve"> is in clear contrast, contextually, to an executory action as in the case of Mauritius. Ordinary actions start in Seychelles, as in England, by several methods: by plaints, by motions, by applications and by petitions and, lately, in England by claim forms. This is the meaning which should be attached to the words of </w:t>
          </w:r>
          <w:proofErr w:type="gramStart"/>
          <w:r w:rsidR="000C73E5">
            <w:rPr>
              <w:rFonts w:ascii="Arial" w:hAnsi="Arial" w:cs="Arial"/>
              <w:sz w:val="22"/>
              <w:szCs w:val="22"/>
            </w:rPr>
            <w:t>Sauzier  J</w:t>
          </w:r>
          <w:proofErr w:type="gramEnd"/>
          <w:r w:rsidR="000C73E5">
            <w:rPr>
              <w:rFonts w:ascii="Arial" w:hAnsi="Arial" w:cs="Arial"/>
              <w:sz w:val="22"/>
              <w:szCs w:val="22"/>
            </w:rPr>
            <w:t xml:space="preserve">. </w:t>
          </w:r>
        </w:p>
        <w:p w:rsidR="000C73E5" w:rsidRDefault="000C73E5" w:rsidP="000C73E5">
          <w:pPr>
            <w:pStyle w:val="ListParagrap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[30]</w:t>
          </w:r>
          <w:r>
            <w:rPr>
              <w:rFonts w:ascii="Arial" w:hAnsi="Arial" w:cs="Arial"/>
              <w:b/>
              <w:sz w:val="22"/>
              <w:szCs w:val="22"/>
            </w:rPr>
            <w:tab/>
          </w:r>
          <w:r w:rsidR="000C73E5">
            <w:rPr>
              <w:rFonts w:ascii="Arial" w:hAnsi="Arial" w:cs="Arial"/>
              <w:sz w:val="22"/>
              <w:szCs w:val="22"/>
            </w:rPr>
            <w:t xml:space="preserve">This issue was addressed in the case of </w:t>
          </w:r>
          <w:r w:rsidR="000C73E5" w:rsidRPr="00B46373">
            <w:rPr>
              <w:rFonts w:ascii="Arial" w:hAnsi="Arial" w:cs="Arial"/>
              <w:b/>
              <w:sz w:val="22"/>
              <w:szCs w:val="22"/>
            </w:rPr>
            <w:t>Dhanjee v Dhanjee (Civil Appeal no. 13/2000)</w:t>
          </w:r>
          <w:r w:rsidR="000C73E5">
            <w:rPr>
              <w:rFonts w:ascii="Arial" w:hAnsi="Arial" w:cs="Arial"/>
              <w:sz w:val="22"/>
              <w:szCs w:val="22"/>
            </w:rPr>
            <w:t xml:space="preserve"> which favourably decided that Sauzier J. could not have restricted it necessarily to a plaint. </w:t>
          </w:r>
        </w:p>
        <w:p w:rsidR="000C73E5" w:rsidRDefault="000C73E5" w:rsidP="000C73E5">
          <w:pPr>
            <w:pStyle w:val="ListParagraph"/>
            <w:widowControl/>
            <w:autoSpaceDE/>
            <w:autoSpaceDN/>
            <w:adjustRightInd/>
            <w:spacing w:after="200" w:line="360" w:lineRule="auto"/>
            <w:ind w:left="90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[31]</w:t>
          </w:r>
          <w:r>
            <w:rPr>
              <w:rFonts w:ascii="Arial" w:hAnsi="Arial" w:cs="Arial"/>
              <w:b/>
              <w:sz w:val="22"/>
              <w:szCs w:val="22"/>
            </w:rPr>
            <w:tab/>
          </w:r>
          <w:r w:rsidR="000C73E5">
            <w:rPr>
              <w:rFonts w:ascii="Arial" w:hAnsi="Arial" w:cs="Arial"/>
              <w:sz w:val="22"/>
              <w:szCs w:val="22"/>
            </w:rPr>
            <w:t xml:space="preserve">In fact in the case of receivers, actions start by applications and not by plaints: see White Book, Practice Directions, Insolvency Proceedings, </w:t>
          </w:r>
          <w:proofErr w:type="gramStart"/>
          <w:r w:rsidR="000C73E5">
            <w:rPr>
              <w:rFonts w:ascii="Arial" w:hAnsi="Arial" w:cs="Arial"/>
              <w:sz w:val="22"/>
              <w:szCs w:val="22"/>
            </w:rPr>
            <w:t>Section</w:t>
          </w:r>
          <w:proofErr w:type="gramEnd"/>
          <w:r w:rsidR="000C73E5">
            <w:rPr>
              <w:rFonts w:ascii="Arial" w:hAnsi="Arial" w:cs="Arial"/>
              <w:sz w:val="22"/>
              <w:szCs w:val="22"/>
            </w:rPr>
            <w:t xml:space="preserve"> 3E: 50 et seq. </w:t>
          </w:r>
        </w:p>
        <w:p w:rsidR="000C73E5" w:rsidRDefault="000C73E5" w:rsidP="000C73E5">
          <w:pPr>
            <w:pStyle w:val="ListParagraph"/>
            <w:widowControl/>
            <w:autoSpaceDE/>
            <w:autoSpaceDN/>
            <w:adjustRightInd/>
            <w:spacing w:after="200" w:line="360" w:lineRule="auto"/>
            <w:ind w:left="0"/>
            <w:jc w:val="both"/>
            <w:rPr>
              <w:rFonts w:ascii="Arial" w:hAnsi="Arial" w:cs="Arial"/>
              <w:sz w:val="22"/>
              <w:szCs w:val="22"/>
            </w:rPr>
          </w:pPr>
        </w:p>
        <w:p w:rsidR="000C73E5" w:rsidRPr="00482AD3"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[32]</w:t>
          </w:r>
          <w:r>
            <w:rPr>
              <w:rFonts w:ascii="Arial" w:hAnsi="Arial" w:cs="Arial"/>
              <w:b/>
              <w:sz w:val="22"/>
              <w:szCs w:val="22"/>
            </w:rPr>
            <w:tab/>
          </w:r>
          <w:r w:rsidR="000C73E5" w:rsidRPr="00482AD3">
            <w:rPr>
              <w:rFonts w:ascii="Arial" w:hAnsi="Arial" w:cs="Arial"/>
              <w:sz w:val="22"/>
              <w:szCs w:val="22"/>
            </w:rPr>
            <w:t xml:space="preserve">The procedure obtaining in Seychelles is </w:t>
          </w:r>
          <w:r w:rsidR="000C73E5">
            <w:rPr>
              <w:rFonts w:ascii="Arial" w:hAnsi="Arial" w:cs="Arial"/>
              <w:sz w:val="22"/>
              <w:szCs w:val="22"/>
            </w:rPr>
            <w:t xml:space="preserve">as it used to be before in England: i.e. initiated by way of </w:t>
          </w:r>
          <w:r w:rsidR="000C73E5" w:rsidRPr="00482AD3">
            <w:rPr>
              <w:rFonts w:ascii="Arial" w:hAnsi="Arial" w:cs="Arial"/>
              <w:sz w:val="22"/>
              <w:szCs w:val="22"/>
            </w:rPr>
            <w:t>plaint</w:t>
          </w:r>
          <w:r w:rsidR="000C73E5">
            <w:rPr>
              <w:rFonts w:ascii="Arial" w:hAnsi="Arial" w:cs="Arial"/>
              <w:sz w:val="22"/>
              <w:szCs w:val="22"/>
            </w:rPr>
            <w:t>s, petitions or motions</w:t>
          </w:r>
          <w:r w:rsidR="000C73E5" w:rsidRPr="00482AD3">
            <w:rPr>
              <w:rFonts w:ascii="Arial" w:hAnsi="Arial" w:cs="Arial"/>
              <w:sz w:val="22"/>
              <w:szCs w:val="22"/>
            </w:rPr>
            <w:t xml:space="preserve">. The nature of the action will determine whether the action should be by </w:t>
          </w:r>
          <w:r w:rsidR="000C73E5">
            <w:rPr>
              <w:rFonts w:ascii="Arial" w:hAnsi="Arial" w:cs="Arial"/>
              <w:sz w:val="22"/>
              <w:szCs w:val="22"/>
            </w:rPr>
            <w:t xml:space="preserve">plaint, </w:t>
          </w:r>
          <w:r w:rsidR="000C73E5" w:rsidRPr="00482AD3">
            <w:rPr>
              <w:rFonts w:ascii="Arial" w:hAnsi="Arial" w:cs="Arial"/>
              <w:sz w:val="22"/>
              <w:szCs w:val="22"/>
            </w:rPr>
            <w:t>petition</w:t>
          </w:r>
          <w:r w:rsidR="000C73E5">
            <w:rPr>
              <w:rFonts w:ascii="Arial" w:hAnsi="Arial" w:cs="Arial"/>
              <w:sz w:val="22"/>
              <w:szCs w:val="22"/>
            </w:rPr>
            <w:t xml:space="preserve"> or</w:t>
          </w:r>
          <w:r w:rsidR="000C73E5" w:rsidRPr="00482AD3">
            <w:rPr>
              <w:rFonts w:ascii="Arial" w:hAnsi="Arial" w:cs="Arial"/>
              <w:sz w:val="22"/>
              <w:szCs w:val="22"/>
            </w:rPr>
            <w:t xml:space="preserve"> motion. That is the choice of the initiator and the nature of the action. Whether in the English procedure for Receivership or the Seychelles law of Receivership, it starts by way of petition. They have also submitted that the application should have proceeded by way of execution in terms of section 227 of the Civil Procedure Code read with former Article 2123 of the Civil Code (incorporated by reference in the said section 227</w:t>
          </w:r>
          <w:r w:rsidR="000C73E5">
            <w:rPr>
              <w:rFonts w:ascii="Arial" w:hAnsi="Arial" w:cs="Arial"/>
              <w:sz w:val="22"/>
              <w:szCs w:val="22"/>
            </w:rPr>
            <w:t>0</w:t>
          </w:r>
          <w:r w:rsidR="000C73E5" w:rsidRPr="00482AD3">
            <w:rPr>
              <w:rFonts w:ascii="Arial" w:hAnsi="Arial" w:cs="Arial"/>
              <w:sz w:val="22"/>
              <w:szCs w:val="22"/>
            </w:rPr>
            <w:t xml:space="preserve">. </w:t>
          </w:r>
        </w:p>
        <w:p w:rsidR="000C73E5" w:rsidRDefault="000C73E5" w:rsidP="000C73E5">
          <w:pPr>
            <w:pStyle w:val="ListParagraph"/>
            <w:widowControl/>
            <w:autoSpaceDE/>
            <w:autoSpaceDN/>
            <w:adjustRightInd/>
            <w:spacing w:after="200" w:line="360" w:lineRule="auto"/>
            <w:ind w:left="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lastRenderedPageBreak/>
            <w:t>[33]</w:t>
          </w:r>
          <w:r>
            <w:rPr>
              <w:rFonts w:ascii="Arial" w:hAnsi="Arial" w:cs="Arial"/>
              <w:b/>
              <w:sz w:val="22"/>
              <w:szCs w:val="22"/>
            </w:rPr>
            <w:tab/>
          </w:r>
          <w:r w:rsidR="000C73E5">
            <w:rPr>
              <w:rFonts w:ascii="Arial" w:hAnsi="Arial" w:cs="Arial"/>
              <w:sz w:val="22"/>
              <w:szCs w:val="22"/>
            </w:rPr>
            <w:t>Accordingly, we consider that there is no substance in the argument that the respondents should have started their action for recognition by way of a plaint with summons. There is no merit in the grounds under consideration and they are dismissed.</w:t>
          </w:r>
        </w:p>
        <w:p w:rsidR="000C73E5" w:rsidRDefault="000C73E5" w:rsidP="000C73E5">
          <w:pPr>
            <w:pStyle w:val="ListParagraph"/>
            <w:widowControl/>
            <w:autoSpaceDE/>
            <w:autoSpaceDN/>
            <w:adjustRightInd/>
            <w:spacing w:after="200" w:line="360" w:lineRule="auto"/>
            <w:jc w:val="both"/>
            <w:rPr>
              <w:rFonts w:ascii="Arial" w:hAnsi="Arial" w:cs="Arial"/>
              <w:sz w:val="22"/>
              <w:szCs w:val="22"/>
              <w:u w:val="single"/>
            </w:rPr>
          </w:pPr>
        </w:p>
        <w:p w:rsidR="000C73E5" w:rsidRPr="00051092"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[34]</w:t>
          </w:r>
          <w:r>
            <w:rPr>
              <w:rFonts w:ascii="Arial" w:hAnsi="Arial" w:cs="Arial"/>
              <w:b/>
              <w:sz w:val="22"/>
              <w:szCs w:val="22"/>
            </w:rPr>
            <w:tab/>
          </w:r>
          <w:r w:rsidR="000C73E5">
            <w:rPr>
              <w:rFonts w:ascii="Arial" w:hAnsi="Arial" w:cs="Arial"/>
              <w:sz w:val="22"/>
              <w:szCs w:val="22"/>
            </w:rPr>
            <w:t xml:space="preserve">We adopt the reasoning that procedure is the hand-maid of justice and should not be made to become the mistress even if many hand-maids would aspire to become mistresses: see </w:t>
          </w:r>
          <w:r w:rsidR="000C73E5" w:rsidRPr="00A71E47">
            <w:rPr>
              <w:rFonts w:ascii="Arial" w:hAnsi="Arial" w:cs="Arial"/>
              <w:b/>
              <w:sz w:val="22"/>
              <w:szCs w:val="22"/>
            </w:rPr>
            <w:t>Gill v Film Ansalt 2003 SLR 137</w:t>
          </w:r>
          <w:r w:rsidR="000C73E5">
            <w:rPr>
              <w:rFonts w:ascii="Arial" w:hAnsi="Arial" w:cs="Arial"/>
              <w:b/>
              <w:sz w:val="22"/>
              <w:szCs w:val="22"/>
            </w:rPr>
            <w:t xml:space="preserve">; Mary Quilindo and Ors v Sandra Moncherry and Anor SCA 29 of 2009; Toomany and Anor v Veerasamy [2012 UKPC 13. </w:t>
          </w:r>
        </w:p>
        <w:p w:rsidR="000C73E5" w:rsidRDefault="000C73E5" w:rsidP="000C73E5">
          <w:pPr>
            <w:pStyle w:val="ListParagrap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[35]</w:t>
          </w:r>
          <w:r>
            <w:rPr>
              <w:rFonts w:ascii="Arial" w:hAnsi="Arial" w:cs="Arial"/>
              <w:b/>
              <w:sz w:val="22"/>
              <w:szCs w:val="22"/>
            </w:rPr>
            <w:tab/>
          </w:r>
          <w:r w:rsidR="000C73E5">
            <w:rPr>
              <w:rFonts w:ascii="Arial" w:hAnsi="Arial" w:cs="Arial"/>
              <w:sz w:val="22"/>
              <w:szCs w:val="22"/>
            </w:rPr>
            <w:t xml:space="preserve">In the </w:t>
          </w:r>
          <w:r w:rsidR="000C73E5">
            <w:rPr>
              <w:rFonts w:ascii="Arial" w:hAnsi="Arial" w:cs="Arial"/>
              <w:b/>
              <w:sz w:val="22"/>
              <w:szCs w:val="22"/>
            </w:rPr>
            <w:t xml:space="preserve">Toomany and Anor v Veerasamy, </w:t>
          </w:r>
          <w:r w:rsidR="000C73E5" w:rsidRPr="00051092">
            <w:rPr>
              <w:rFonts w:ascii="Arial" w:hAnsi="Arial" w:cs="Arial"/>
              <w:sz w:val="22"/>
              <w:szCs w:val="22"/>
            </w:rPr>
            <w:t>the Law Lords of the Judicial Committee such technicalities raised to shut out litigants from the court system constitute a blot on the administration of justice.</w:t>
          </w:r>
          <w:r w:rsidR="000C73E5">
            <w:rPr>
              <w:rFonts w:ascii="Arial" w:hAnsi="Arial" w:cs="Arial"/>
              <w:sz w:val="22"/>
              <w:szCs w:val="22"/>
            </w:rPr>
            <w:t xml:space="preserve"> This has been made part of the law of Seychelles as per the decision of Twomey JA, now Chief Justice. </w:t>
          </w:r>
          <w:r w:rsidR="000C73E5">
            <w:rPr>
              <w:rFonts w:ascii="Arial" w:hAnsi="Arial" w:cs="Arial"/>
              <w:b/>
              <w:sz w:val="22"/>
              <w:szCs w:val="22"/>
            </w:rPr>
            <w:t xml:space="preserve"> </w:t>
          </w:r>
        </w:p>
        <w:p w:rsidR="000C73E5" w:rsidRDefault="000C73E5" w:rsidP="000C73E5">
          <w:pPr>
            <w:pStyle w:val="ListParagraph"/>
            <w:widowControl/>
            <w:autoSpaceDE/>
            <w:autoSpaceDN/>
            <w:adjustRightInd/>
            <w:spacing w:after="200" w:line="360" w:lineRule="auto"/>
            <w:jc w:val="both"/>
            <w:rPr>
              <w:rFonts w:ascii="Arial" w:hAnsi="Arial" w:cs="Arial"/>
              <w:sz w:val="22"/>
              <w:szCs w:val="22"/>
            </w:rPr>
          </w:pPr>
        </w:p>
        <w:p w:rsidR="000C73E5" w:rsidRDefault="000C73E5" w:rsidP="009C7805">
          <w:pPr>
            <w:pStyle w:val="ListParagraph"/>
            <w:widowControl/>
            <w:autoSpaceDE/>
            <w:autoSpaceDN/>
            <w:adjustRightInd/>
            <w:spacing w:after="200" w:line="360" w:lineRule="auto"/>
            <w:ind w:left="0"/>
            <w:jc w:val="both"/>
            <w:rPr>
              <w:rFonts w:ascii="Arial" w:hAnsi="Arial" w:cs="Arial"/>
              <w:b/>
              <w:sz w:val="22"/>
              <w:szCs w:val="22"/>
            </w:rPr>
          </w:pPr>
          <w:r w:rsidRPr="007105E9">
            <w:rPr>
              <w:rFonts w:ascii="Arial" w:hAnsi="Arial" w:cs="Arial"/>
              <w:b/>
              <w:sz w:val="22"/>
              <w:szCs w:val="22"/>
            </w:rPr>
            <w:t>Ground 4 of SCA 56/2011 and Ground 5 of SCA 8 of 2013</w:t>
          </w:r>
        </w:p>
        <w:p w:rsidR="000C73E5" w:rsidRDefault="000C73E5" w:rsidP="000C73E5">
          <w:pPr>
            <w:pStyle w:val="ListParagraph"/>
            <w:widowControl/>
            <w:autoSpaceDE/>
            <w:autoSpaceDN/>
            <w:adjustRightInd/>
            <w:spacing w:after="200" w:line="360" w:lineRule="auto"/>
            <w:ind w:left="0" w:firstLine="360"/>
            <w:jc w:val="both"/>
            <w:rPr>
              <w:rFonts w:ascii="Arial" w:hAnsi="Arial" w:cs="Arial"/>
              <w:sz w:val="22"/>
              <w:szCs w:val="22"/>
            </w:rPr>
          </w:pPr>
        </w:p>
        <w:p w:rsidR="000C73E5"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[36]</w:t>
          </w:r>
          <w:r>
            <w:rPr>
              <w:rFonts w:ascii="Arial" w:hAnsi="Arial" w:cs="Arial"/>
              <w:b/>
              <w:sz w:val="22"/>
              <w:szCs w:val="22"/>
            </w:rPr>
            <w:tab/>
          </w:r>
          <w:r w:rsidR="000C73E5" w:rsidRPr="00B46373">
            <w:rPr>
              <w:rFonts w:ascii="Arial" w:hAnsi="Arial" w:cs="Arial"/>
              <w:sz w:val="22"/>
              <w:szCs w:val="22"/>
            </w:rPr>
            <w:t xml:space="preserve">Was anything amiss that this recognition order was made on affidavit evidence? </w:t>
          </w:r>
          <w:r w:rsidR="000C73E5">
            <w:rPr>
              <w:rFonts w:ascii="Arial" w:hAnsi="Arial" w:cs="Arial"/>
              <w:sz w:val="22"/>
              <w:szCs w:val="22"/>
            </w:rPr>
            <w:t>The appellant submits before us t</w:t>
          </w:r>
          <w:r w:rsidR="000C73E5" w:rsidRPr="00B46373">
            <w:rPr>
              <w:rFonts w:ascii="Arial" w:hAnsi="Arial" w:cs="Arial"/>
              <w:sz w:val="22"/>
              <w:szCs w:val="22"/>
            </w:rPr>
            <w:t xml:space="preserve">hat the action was </w:t>
          </w:r>
          <w:proofErr w:type="gramStart"/>
          <w:r w:rsidR="000C73E5" w:rsidRPr="00B46373">
            <w:rPr>
              <w:rFonts w:ascii="Arial" w:hAnsi="Arial" w:cs="Arial"/>
              <w:sz w:val="22"/>
              <w:szCs w:val="22"/>
            </w:rPr>
            <w:t>wrongly  based</w:t>
          </w:r>
          <w:proofErr w:type="gramEnd"/>
          <w:r w:rsidR="000C73E5" w:rsidRPr="00B46373">
            <w:rPr>
              <w:rFonts w:ascii="Arial" w:hAnsi="Arial" w:cs="Arial"/>
              <w:sz w:val="22"/>
              <w:szCs w:val="22"/>
            </w:rPr>
            <w:t xml:space="preserve"> on affidavit evidence</w:t>
          </w:r>
          <w:r w:rsidR="000C73E5">
            <w:rPr>
              <w:rFonts w:ascii="Arial" w:hAnsi="Arial" w:cs="Arial"/>
              <w:sz w:val="22"/>
              <w:szCs w:val="22"/>
            </w:rPr>
            <w:t xml:space="preserve">. Learned counsel has not substantiated his proposition. </w:t>
          </w:r>
        </w:p>
        <w:p w:rsidR="00D1596A" w:rsidRDefault="00D1596A" w:rsidP="00D1596A">
          <w:pPr>
            <w:pStyle w:val="ListParagraph"/>
            <w:widowControl/>
            <w:autoSpaceDE/>
            <w:autoSpaceDN/>
            <w:adjustRightInd/>
            <w:spacing w:after="200" w:line="360" w:lineRule="auto"/>
            <w:ind w:hanging="720"/>
            <w:jc w:val="both"/>
            <w:rPr>
              <w:rFonts w:ascii="Arial" w:hAnsi="Arial" w:cs="Arial"/>
              <w:sz w:val="22"/>
              <w:szCs w:val="22"/>
            </w:rPr>
          </w:pPr>
        </w:p>
        <w:p w:rsidR="000C73E5" w:rsidRPr="00B46373" w:rsidRDefault="00D1596A" w:rsidP="00D1596A">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[37]</w:t>
          </w:r>
          <w:r>
            <w:rPr>
              <w:rFonts w:ascii="Arial" w:hAnsi="Arial" w:cs="Arial"/>
              <w:b/>
              <w:sz w:val="22"/>
              <w:szCs w:val="22"/>
            </w:rPr>
            <w:tab/>
          </w:r>
          <w:r w:rsidR="000C73E5">
            <w:rPr>
              <w:rFonts w:ascii="Arial" w:hAnsi="Arial" w:cs="Arial"/>
              <w:sz w:val="22"/>
              <w:szCs w:val="22"/>
            </w:rPr>
            <w:t>Our answer is that it is the principle of courses for horses which should apply. F</w:t>
          </w:r>
          <w:r w:rsidR="000C73E5" w:rsidRPr="00B46373">
            <w:rPr>
              <w:rFonts w:ascii="Arial" w:hAnsi="Arial" w:cs="Arial"/>
              <w:sz w:val="22"/>
              <w:szCs w:val="22"/>
            </w:rPr>
            <w:t xml:space="preserve">rom the moment the </w:t>
          </w:r>
          <w:r w:rsidR="000C73E5">
            <w:rPr>
              <w:rFonts w:ascii="Arial" w:hAnsi="Arial" w:cs="Arial"/>
              <w:sz w:val="22"/>
              <w:szCs w:val="22"/>
            </w:rPr>
            <w:t>respondents chose to initiate their action through an application</w:t>
          </w:r>
          <w:r w:rsidR="000C73E5" w:rsidRPr="00B46373">
            <w:rPr>
              <w:rFonts w:ascii="Arial" w:hAnsi="Arial" w:cs="Arial"/>
              <w:sz w:val="22"/>
              <w:szCs w:val="22"/>
            </w:rPr>
            <w:t xml:space="preserve">, it followed that the </w:t>
          </w:r>
          <w:r w:rsidR="000C73E5">
            <w:rPr>
              <w:rFonts w:ascii="Arial" w:hAnsi="Arial" w:cs="Arial"/>
              <w:sz w:val="22"/>
              <w:szCs w:val="22"/>
            </w:rPr>
            <w:t xml:space="preserve">hearing </w:t>
          </w:r>
          <w:r w:rsidR="000C73E5" w:rsidRPr="00B46373">
            <w:rPr>
              <w:rFonts w:ascii="Arial" w:hAnsi="Arial" w:cs="Arial"/>
              <w:sz w:val="22"/>
              <w:szCs w:val="22"/>
            </w:rPr>
            <w:t>would be</w:t>
          </w:r>
          <w:r w:rsidR="000C73E5">
            <w:rPr>
              <w:rFonts w:ascii="Arial" w:hAnsi="Arial" w:cs="Arial"/>
              <w:sz w:val="22"/>
              <w:szCs w:val="22"/>
            </w:rPr>
            <w:t>,</w:t>
          </w:r>
          <w:r w:rsidR="000C73E5" w:rsidRPr="00B46373">
            <w:rPr>
              <w:rFonts w:ascii="Arial" w:hAnsi="Arial" w:cs="Arial"/>
              <w:sz w:val="22"/>
              <w:szCs w:val="22"/>
            </w:rPr>
            <w:t xml:space="preserve"> by </w:t>
          </w:r>
          <w:r w:rsidR="000C73E5">
            <w:rPr>
              <w:rFonts w:ascii="Arial" w:hAnsi="Arial" w:cs="Arial"/>
              <w:sz w:val="22"/>
              <w:szCs w:val="22"/>
            </w:rPr>
            <w:t xml:space="preserve">and large, by </w:t>
          </w:r>
          <w:r w:rsidR="000C73E5" w:rsidRPr="00B46373">
            <w:rPr>
              <w:rFonts w:ascii="Arial" w:hAnsi="Arial" w:cs="Arial"/>
              <w:sz w:val="22"/>
              <w:szCs w:val="22"/>
            </w:rPr>
            <w:t>affidavit evidence and not by oral testimony. I</w:t>
          </w:r>
          <w:r w:rsidR="000C73E5">
            <w:rPr>
              <w:rFonts w:ascii="Arial" w:hAnsi="Arial" w:cs="Arial"/>
              <w:sz w:val="22"/>
              <w:szCs w:val="22"/>
            </w:rPr>
            <w:t xml:space="preserve">t is a </w:t>
          </w:r>
          <w:r w:rsidR="000C73E5" w:rsidRPr="00B46373">
            <w:rPr>
              <w:rFonts w:ascii="Arial" w:hAnsi="Arial" w:cs="Arial"/>
              <w:sz w:val="22"/>
              <w:szCs w:val="22"/>
            </w:rPr>
            <w:t xml:space="preserve">case ill-suited for </w:t>
          </w:r>
          <w:r w:rsidR="000C73E5" w:rsidRPr="00B46373">
            <w:rPr>
              <w:rFonts w:ascii="Arial" w:hAnsi="Arial" w:cs="Arial"/>
              <w:i/>
              <w:sz w:val="22"/>
              <w:szCs w:val="22"/>
            </w:rPr>
            <w:t>vi</w:t>
          </w:r>
          <w:r w:rsidR="000C73E5">
            <w:rPr>
              <w:rFonts w:ascii="Arial" w:hAnsi="Arial" w:cs="Arial"/>
              <w:i/>
              <w:sz w:val="22"/>
              <w:szCs w:val="22"/>
            </w:rPr>
            <w:t>v</w:t>
          </w:r>
          <w:r w:rsidR="000C73E5" w:rsidRPr="00B46373">
            <w:rPr>
              <w:rFonts w:ascii="Arial" w:hAnsi="Arial" w:cs="Arial"/>
              <w:i/>
              <w:sz w:val="22"/>
              <w:szCs w:val="22"/>
            </w:rPr>
            <w:t>a voce</w:t>
          </w:r>
          <w:r w:rsidR="000C73E5">
            <w:rPr>
              <w:rFonts w:ascii="Arial" w:hAnsi="Arial" w:cs="Arial"/>
              <w:i/>
              <w:sz w:val="22"/>
              <w:szCs w:val="22"/>
            </w:rPr>
            <w:t xml:space="preserve"> </w:t>
          </w:r>
          <w:r w:rsidR="000C73E5" w:rsidRPr="00A71E47">
            <w:rPr>
              <w:rFonts w:ascii="Arial" w:hAnsi="Arial" w:cs="Arial"/>
              <w:sz w:val="22"/>
              <w:szCs w:val="22"/>
            </w:rPr>
            <w:t>testimony</w:t>
          </w:r>
          <w:r w:rsidR="000C73E5" w:rsidRPr="00B46373">
            <w:rPr>
              <w:rFonts w:ascii="Arial" w:hAnsi="Arial" w:cs="Arial"/>
              <w:sz w:val="22"/>
              <w:szCs w:val="22"/>
            </w:rPr>
            <w:t xml:space="preserve">, considering the nature of the </w:t>
          </w:r>
          <w:r w:rsidR="000C73E5">
            <w:rPr>
              <w:rFonts w:ascii="Arial" w:hAnsi="Arial" w:cs="Arial"/>
              <w:sz w:val="22"/>
              <w:szCs w:val="22"/>
            </w:rPr>
            <w:t xml:space="preserve">action, the </w:t>
          </w:r>
          <w:r w:rsidR="000C73E5" w:rsidRPr="00B46373">
            <w:rPr>
              <w:rFonts w:ascii="Arial" w:hAnsi="Arial" w:cs="Arial"/>
              <w:sz w:val="22"/>
              <w:szCs w:val="22"/>
            </w:rPr>
            <w:t xml:space="preserve">remedy </w:t>
          </w:r>
          <w:r w:rsidR="000C73E5">
            <w:rPr>
              <w:rFonts w:ascii="Arial" w:hAnsi="Arial" w:cs="Arial"/>
              <w:sz w:val="22"/>
              <w:szCs w:val="22"/>
            </w:rPr>
            <w:t xml:space="preserve">prayed for, the practice of the courts, the type of the party involved and the related matters of proceedings and pleadings. He who pays the piper calls the tune. He who initiates action has the carriage of of proceedings. </w:t>
          </w:r>
        </w:p>
        <w:p w:rsidR="000C73E5" w:rsidRDefault="000C73E5" w:rsidP="000C73E5">
          <w:pPr>
            <w:pStyle w:val="ListParagraph"/>
            <w:widowControl/>
            <w:autoSpaceDE/>
            <w:autoSpaceDN/>
            <w:adjustRightInd/>
            <w:spacing w:after="200" w:line="360" w:lineRule="auto"/>
            <w:jc w:val="both"/>
            <w:rPr>
              <w:rFonts w:ascii="Arial" w:hAnsi="Arial" w:cs="Arial"/>
              <w:sz w:val="22"/>
              <w:szCs w:val="22"/>
            </w:rPr>
          </w:pPr>
        </w:p>
        <w:p w:rsidR="000C73E5" w:rsidRDefault="00D21217" w:rsidP="00D21217">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[38]</w:t>
          </w:r>
          <w:r>
            <w:rPr>
              <w:rFonts w:ascii="Arial" w:hAnsi="Arial" w:cs="Arial"/>
              <w:b/>
              <w:sz w:val="22"/>
              <w:szCs w:val="22"/>
            </w:rPr>
            <w:tab/>
          </w:r>
          <w:r w:rsidR="000C73E5">
            <w:rPr>
              <w:rFonts w:ascii="Arial" w:hAnsi="Arial" w:cs="Arial"/>
              <w:sz w:val="22"/>
              <w:szCs w:val="22"/>
            </w:rPr>
            <w:t xml:space="preserve">Affidavit evidence is a convenient way of dealing with cases where the determination of the central issue in the case does not depend upon </w:t>
          </w:r>
          <w:r w:rsidR="000C73E5" w:rsidRPr="00204937">
            <w:rPr>
              <w:rFonts w:ascii="Arial" w:hAnsi="Arial" w:cs="Arial"/>
              <w:i/>
              <w:sz w:val="22"/>
              <w:szCs w:val="22"/>
            </w:rPr>
            <w:t>viva voce</w:t>
          </w:r>
          <w:r w:rsidR="000C73E5">
            <w:rPr>
              <w:rFonts w:ascii="Arial" w:hAnsi="Arial" w:cs="Arial"/>
              <w:sz w:val="22"/>
              <w:szCs w:val="22"/>
            </w:rPr>
            <w:t xml:space="preserve"> testimony of witnesses where the demeanour in the course of the depositions becomes relevant to identify truth from falsehood. Where such </w:t>
          </w:r>
          <w:r w:rsidR="000C73E5" w:rsidRPr="00204937">
            <w:rPr>
              <w:rFonts w:ascii="Arial" w:hAnsi="Arial" w:cs="Arial"/>
              <w:i/>
              <w:sz w:val="22"/>
              <w:szCs w:val="22"/>
            </w:rPr>
            <w:t>viva voce</w:t>
          </w:r>
          <w:r w:rsidR="000C73E5">
            <w:rPr>
              <w:rFonts w:ascii="Arial" w:hAnsi="Arial" w:cs="Arial"/>
              <w:sz w:val="22"/>
              <w:szCs w:val="22"/>
            </w:rPr>
            <w:t xml:space="preserve"> evidence is not required and documentary evidence will largely suffice, affidavit evidence is as good evidence as oral deposition. </w:t>
          </w:r>
          <w:r w:rsidR="000C73E5">
            <w:rPr>
              <w:rFonts w:ascii="Arial" w:hAnsi="Arial" w:cs="Arial"/>
              <w:sz w:val="22"/>
              <w:szCs w:val="22"/>
            </w:rPr>
            <w:lastRenderedPageBreak/>
            <w:t xml:space="preserve">Where certain facts in the affidavit evidence are contested, the other party may always move to call the affidavit deponent in the witness box to subject him to cross examination. The probative weight in such evidence is as good as best evidence. That way the weakness indicated in the case of </w:t>
          </w:r>
          <w:r w:rsidR="000C73E5" w:rsidRPr="00CE6E54">
            <w:rPr>
              <w:rFonts w:ascii="Arial" w:hAnsi="Arial" w:cs="Arial"/>
              <w:b/>
              <w:sz w:val="22"/>
              <w:szCs w:val="22"/>
            </w:rPr>
            <w:t>Margaret Herbert v Martha Hossel [1984] SLR 127</w:t>
          </w:r>
          <w:r w:rsidR="000C73E5">
            <w:rPr>
              <w:rFonts w:ascii="Arial" w:hAnsi="Arial" w:cs="Arial"/>
              <w:b/>
              <w:sz w:val="22"/>
              <w:szCs w:val="22"/>
            </w:rPr>
            <w:t xml:space="preserve"> </w:t>
          </w:r>
          <w:r w:rsidR="000C73E5" w:rsidRPr="00204937">
            <w:rPr>
              <w:rFonts w:ascii="Arial" w:hAnsi="Arial" w:cs="Arial"/>
              <w:sz w:val="22"/>
              <w:szCs w:val="22"/>
            </w:rPr>
            <w:t>as regards affidavit evidence is catered for.</w:t>
          </w:r>
          <w:r w:rsidR="000C73E5">
            <w:rPr>
              <w:rFonts w:ascii="Arial" w:hAnsi="Arial" w:cs="Arial"/>
              <w:sz w:val="22"/>
              <w:szCs w:val="22"/>
            </w:rPr>
            <w:t xml:space="preserve">  The good sense in conducting such cases by affidavit evidence fully comes to light in the explanations set out in </w:t>
          </w:r>
          <w:r w:rsidR="000C73E5" w:rsidRPr="00A716CD">
            <w:rPr>
              <w:rFonts w:ascii="Arial" w:hAnsi="Arial" w:cs="Arial"/>
              <w:sz w:val="22"/>
              <w:szCs w:val="22"/>
            </w:rPr>
            <w:t xml:space="preserve">Halsbury, </w:t>
          </w:r>
          <w:r w:rsidR="000C73E5">
            <w:rPr>
              <w:rFonts w:ascii="Arial" w:hAnsi="Arial" w:cs="Arial"/>
              <w:sz w:val="22"/>
              <w:szCs w:val="22"/>
            </w:rPr>
            <w:t>4</w:t>
          </w:r>
          <w:r w:rsidR="000C73E5" w:rsidRPr="008370D1">
            <w:rPr>
              <w:rFonts w:ascii="Arial" w:hAnsi="Arial" w:cs="Arial"/>
              <w:sz w:val="22"/>
              <w:szCs w:val="22"/>
              <w:vertAlign w:val="superscript"/>
            </w:rPr>
            <w:t>th</w:t>
          </w:r>
          <w:r w:rsidR="000C73E5">
            <w:rPr>
              <w:rFonts w:ascii="Arial" w:hAnsi="Arial" w:cs="Arial"/>
              <w:sz w:val="22"/>
              <w:szCs w:val="22"/>
            </w:rPr>
            <w:t xml:space="preserve"> E</w:t>
          </w:r>
          <w:r w:rsidR="000C73E5" w:rsidRPr="00A716CD">
            <w:rPr>
              <w:rFonts w:ascii="Arial" w:hAnsi="Arial" w:cs="Arial"/>
              <w:sz w:val="22"/>
              <w:szCs w:val="22"/>
            </w:rPr>
            <w:t xml:space="preserve">dition, at paragraph </w:t>
          </w:r>
          <w:r w:rsidR="000C73E5">
            <w:rPr>
              <w:rFonts w:ascii="Arial" w:hAnsi="Arial" w:cs="Arial"/>
              <w:sz w:val="22"/>
              <w:szCs w:val="22"/>
            </w:rPr>
            <w:t>819-821.</w:t>
          </w:r>
        </w:p>
        <w:p w:rsidR="000C73E5" w:rsidRDefault="000C73E5" w:rsidP="000C73E5">
          <w:pPr>
            <w:pStyle w:val="ListParagraph"/>
            <w:widowControl/>
            <w:autoSpaceDE/>
            <w:autoSpaceDN/>
            <w:adjustRightInd/>
            <w:spacing w:after="200" w:line="360" w:lineRule="auto"/>
            <w:jc w:val="both"/>
            <w:rPr>
              <w:rFonts w:ascii="Arial" w:hAnsi="Arial" w:cs="Arial"/>
              <w:sz w:val="22"/>
              <w:szCs w:val="22"/>
            </w:rPr>
          </w:pPr>
        </w:p>
        <w:p w:rsidR="000C73E5" w:rsidRDefault="000C73E5" w:rsidP="009C7805">
          <w:pPr>
            <w:pStyle w:val="ListParagraph"/>
            <w:widowControl/>
            <w:autoSpaceDE/>
            <w:autoSpaceDN/>
            <w:adjustRightInd/>
            <w:spacing w:after="200" w:line="360" w:lineRule="auto"/>
            <w:ind w:left="0"/>
            <w:jc w:val="both"/>
            <w:rPr>
              <w:rFonts w:ascii="Arial" w:hAnsi="Arial" w:cs="Arial"/>
              <w:sz w:val="22"/>
              <w:szCs w:val="22"/>
            </w:rPr>
          </w:pPr>
          <w:r>
            <w:rPr>
              <w:rFonts w:ascii="Arial" w:hAnsi="Arial" w:cs="Arial"/>
              <w:sz w:val="22"/>
              <w:szCs w:val="22"/>
            </w:rPr>
            <w:t>Ground 5 of SCA 56/2011 and Ground 6 of SCA 8 of 2013</w:t>
          </w:r>
        </w:p>
        <w:p w:rsidR="000C73E5" w:rsidRDefault="000C73E5" w:rsidP="000C73E5">
          <w:pPr>
            <w:pStyle w:val="ListParagraph"/>
            <w:widowControl/>
            <w:autoSpaceDE/>
            <w:autoSpaceDN/>
            <w:adjustRightInd/>
            <w:spacing w:after="200" w:line="360" w:lineRule="auto"/>
            <w:ind w:left="900"/>
            <w:jc w:val="both"/>
            <w:rPr>
              <w:rFonts w:ascii="Arial" w:hAnsi="Arial" w:cs="Arial"/>
              <w:sz w:val="22"/>
              <w:szCs w:val="22"/>
            </w:rPr>
          </w:pPr>
        </w:p>
        <w:p w:rsidR="000C73E5" w:rsidRDefault="00D21217" w:rsidP="00D21217">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[39]</w:t>
          </w:r>
          <w:r>
            <w:rPr>
              <w:rFonts w:ascii="Arial" w:hAnsi="Arial" w:cs="Arial"/>
              <w:b/>
              <w:sz w:val="22"/>
              <w:szCs w:val="22"/>
            </w:rPr>
            <w:tab/>
          </w:r>
          <w:r w:rsidR="000C73E5">
            <w:rPr>
              <w:rFonts w:ascii="Arial" w:hAnsi="Arial" w:cs="Arial"/>
              <w:sz w:val="22"/>
              <w:szCs w:val="22"/>
            </w:rPr>
            <w:t>The decision is being challenged on the ground that the appellant has not had a fair trial and the decision has been given in breach of natural justice.</w:t>
          </w:r>
        </w:p>
        <w:p w:rsidR="000C73E5" w:rsidRDefault="000C73E5" w:rsidP="000C73E5">
          <w:pPr>
            <w:pStyle w:val="ListParagraph"/>
            <w:widowControl/>
            <w:autoSpaceDE/>
            <w:autoSpaceDN/>
            <w:adjustRightInd/>
            <w:spacing w:after="200" w:line="360" w:lineRule="auto"/>
            <w:ind w:left="900"/>
            <w:jc w:val="both"/>
            <w:rPr>
              <w:rFonts w:ascii="Arial" w:hAnsi="Arial" w:cs="Arial"/>
              <w:sz w:val="22"/>
              <w:szCs w:val="22"/>
            </w:rPr>
          </w:pPr>
        </w:p>
        <w:p w:rsidR="000C73E5" w:rsidRDefault="00D21217" w:rsidP="00D21217">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[40]</w:t>
          </w:r>
          <w:r>
            <w:rPr>
              <w:rFonts w:ascii="Arial" w:hAnsi="Arial" w:cs="Arial"/>
              <w:b/>
              <w:sz w:val="22"/>
              <w:szCs w:val="22"/>
            </w:rPr>
            <w:tab/>
          </w:r>
          <w:r w:rsidR="000C73E5" w:rsidRPr="00204937">
            <w:rPr>
              <w:rFonts w:ascii="Arial" w:hAnsi="Arial" w:cs="Arial"/>
              <w:sz w:val="22"/>
              <w:szCs w:val="22"/>
            </w:rPr>
            <w:t xml:space="preserve">This assumes that the respondent is in trial and he has been convicted without a hearing. </w:t>
          </w:r>
          <w:r w:rsidR="000C73E5">
            <w:rPr>
              <w:rFonts w:ascii="Arial" w:hAnsi="Arial" w:cs="Arial"/>
              <w:sz w:val="22"/>
              <w:szCs w:val="22"/>
            </w:rPr>
            <w:t xml:space="preserve">We are concerned here with </w:t>
          </w:r>
          <w:r w:rsidR="000C73E5" w:rsidRPr="00204937">
            <w:rPr>
              <w:rFonts w:ascii="Arial" w:hAnsi="Arial" w:cs="Arial"/>
              <w:sz w:val="22"/>
              <w:szCs w:val="22"/>
            </w:rPr>
            <w:t xml:space="preserve">a </w:t>
          </w:r>
          <w:r w:rsidR="000C73E5">
            <w:rPr>
              <w:rFonts w:ascii="Arial" w:hAnsi="Arial" w:cs="Arial"/>
              <w:sz w:val="22"/>
              <w:szCs w:val="22"/>
            </w:rPr>
            <w:t xml:space="preserve">matter of looking for the place in Seychelles where the </w:t>
          </w:r>
          <w:r w:rsidR="000C73E5" w:rsidRPr="00204937">
            <w:rPr>
              <w:rFonts w:ascii="Arial" w:hAnsi="Arial" w:cs="Arial"/>
              <w:sz w:val="22"/>
              <w:szCs w:val="22"/>
            </w:rPr>
            <w:t>appellant on reasonable suspicion</w:t>
          </w:r>
          <w:proofErr w:type="gramStart"/>
          <w:r w:rsidR="000C73E5">
            <w:rPr>
              <w:rFonts w:ascii="Arial" w:hAnsi="Arial" w:cs="Arial"/>
              <w:sz w:val="22"/>
              <w:szCs w:val="22"/>
            </w:rPr>
            <w:t xml:space="preserve">, </w:t>
          </w:r>
          <w:r w:rsidR="000C73E5" w:rsidRPr="00204937">
            <w:rPr>
              <w:rFonts w:ascii="Arial" w:hAnsi="Arial" w:cs="Arial"/>
              <w:sz w:val="22"/>
              <w:szCs w:val="22"/>
            </w:rPr>
            <w:t xml:space="preserve"> </w:t>
          </w:r>
          <w:r w:rsidR="000C73E5">
            <w:rPr>
              <w:rFonts w:ascii="Arial" w:hAnsi="Arial" w:cs="Arial"/>
              <w:sz w:val="22"/>
              <w:szCs w:val="22"/>
            </w:rPr>
            <w:t>following</w:t>
          </w:r>
          <w:proofErr w:type="gramEnd"/>
          <w:r w:rsidR="000C73E5">
            <w:rPr>
              <w:rFonts w:ascii="Arial" w:hAnsi="Arial" w:cs="Arial"/>
              <w:sz w:val="22"/>
              <w:szCs w:val="22"/>
            </w:rPr>
            <w:t xml:space="preserve"> complaints made, has hoarded </w:t>
          </w:r>
          <w:r w:rsidR="000C73E5" w:rsidRPr="00204937">
            <w:rPr>
              <w:rFonts w:ascii="Arial" w:hAnsi="Arial" w:cs="Arial"/>
              <w:sz w:val="22"/>
              <w:szCs w:val="22"/>
            </w:rPr>
            <w:t>ill-gotten gains</w:t>
          </w:r>
          <w:r w:rsidR="000C73E5">
            <w:rPr>
              <w:rFonts w:ascii="Arial" w:hAnsi="Arial" w:cs="Arial"/>
              <w:sz w:val="22"/>
              <w:szCs w:val="22"/>
            </w:rPr>
            <w:t xml:space="preserve"> in a network of entities </w:t>
          </w:r>
          <w:r>
            <w:rPr>
              <w:rFonts w:ascii="Arial" w:hAnsi="Arial" w:cs="Arial"/>
              <w:sz w:val="22"/>
              <w:szCs w:val="22"/>
            </w:rPr>
            <w:t>worldwide</w:t>
          </w:r>
          <w:r w:rsidR="000C73E5" w:rsidRPr="00204937">
            <w:rPr>
              <w:rFonts w:ascii="Arial" w:hAnsi="Arial" w:cs="Arial"/>
              <w:sz w:val="22"/>
              <w:szCs w:val="22"/>
            </w:rPr>
            <w:t xml:space="preserve">. There was justification in the application, as with other applications of such a nature, to be made </w:t>
          </w:r>
          <w:r w:rsidR="000C73E5" w:rsidRPr="00204937">
            <w:rPr>
              <w:rFonts w:ascii="Arial" w:hAnsi="Arial" w:cs="Arial"/>
              <w:i/>
              <w:sz w:val="22"/>
              <w:szCs w:val="22"/>
            </w:rPr>
            <w:t>ex parte</w:t>
          </w:r>
          <w:r w:rsidR="000C73E5" w:rsidRPr="00204937">
            <w:rPr>
              <w:rFonts w:ascii="Arial" w:hAnsi="Arial" w:cs="Arial"/>
              <w:sz w:val="22"/>
              <w:szCs w:val="22"/>
            </w:rPr>
            <w:t xml:space="preserve"> subject to the judge examining the justification of same. In this case, it goes without saying that had the orders been made </w:t>
          </w:r>
          <w:r w:rsidR="000C73E5" w:rsidRPr="00204937">
            <w:rPr>
              <w:rFonts w:ascii="Arial" w:hAnsi="Arial" w:cs="Arial"/>
              <w:i/>
              <w:sz w:val="22"/>
              <w:szCs w:val="22"/>
            </w:rPr>
            <w:t>inter partes</w:t>
          </w:r>
          <w:r w:rsidR="000C73E5" w:rsidRPr="00204937">
            <w:rPr>
              <w:rFonts w:ascii="Arial" w:hAnsi="Arial" w:cs="Arial"/>
              <w:sz w:val="22"/>
              <w:szCs w:val="22"/>
            </w:rPr>
            <w:t xml:space="preserve">, the risks would have run high for the assets to vanish in thin air by the time the respondent made an appearance. It </w:t>
          </w:r>
          <w:r w:rsidR="000C73E5">
            <w:rPr>
              <w:rFonts w:ascii="Arial" w:hAnsi="Arial" w:cs="Arial"/>
              <w:sz w:val="22"/>
              <w:szCs w:val="22"/>
            </w:rPr>
            <w:t xml:space="preserve">is </w:t>
          </w:r>
          <w:r w:rsidR="000C73E5" w:rsidRPr="00204937">
            <w:rPr>
              <w:rFonts w:ascii="Arial" w:hAnsi="Arial" w:cs="Arial"/>
              <w:sz w:val="22"/>
              <w:szCs w:val="22"/>
            </w:rPr>
            <w:t xml:space="preserve">still open to the respondent to co-operate and to make disclosures to assist the Receivers in their task. He is not on trial here. Fairness demands that he makes fair and frank disclosures. </w:t>
          </w:r>
          <w:r w:rsidR="000C73E5">
            <w:rPr>
              <w:rFonts w:ascii="Arial" w:hAnsi="Arial" w:cs="Arial"/>
              <w:sz w:val="22"/>
              <w:szCs w:val="22"/>
            </w:rPr>
            <w:t xml:space="preserve"> The appellant had been offered the liberty to apply for the discharge of the order/s. He did not do so. He chose to appeal not having exhausted his available remedies at the lower court. Much more than a breach of fairness to the appellant, it smacks of an abuse of process by the appellant.</w:t>
          </w:r>
        </w:p>
        <w:p w:rsidR="000C73E5" w:rsidRDefault="000C73E5" w:rsidP="000C73E5">
          <w:pPr>
            <w:pStyle w:val="ListParagraph"/>
            <w:widowControl/>
            <w:autoSpaceDE/>
            <w:autoSpaceDN/>
            <w:adjustRightInd/>
            <w:spacing w:after="200" w:line="360" w:lineRule="auto"/>
            <w:ind w:left="2160"/>
            <w:jc w:val="both"/>
            <w:rPr>
              <w:rFonts w:ascii="Arial" w:hAnsi="Arial" w:cs="Arial"/>
              <w:sz w:val="22"/>
              <w:szCs w:val="22"/>
            </w:rPr>
          </w:pPr>
        </w:p>
        <w:p w:rsidR="000C73E5" w:rsidRPr="00204937" w:rsidRDefault="00D21217" w:rsidP="00D21217">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[41]</w:t>
          </w:r>
          <w:r>
            <w:rPr>
              <w:rFonts w:ascii="Arial" w:hAnsi="Arial" w:cs="Arial"/>
              <w:b/>
              <w:sz w:val="22"/>
              <w:szCs w:val="22"/>
            </w:rPr>
            <w:tab/>
          </w:r>
          <w:r w:rsidR="000C73E5">
            <w:rPr>
              <w:rFonts w:ascii="Arial" w:hAnsi="Arial" w:cs="Arial"/>
              <w:sz w:val="22"/>
              <w:szCs w:val="22"/>
            </w:rPr>
            <w:t xml:space="preserve">Grounds 5 of SCA 56/11 and Ground 6 of SCA 8/13 are dismissed as frivolous and vexatious.  </w:t>
          </w:r>
        </w:p>
        <w:p w:rsidR="000C73E5" w:rsidRDefault="000C73E5" w:rsidP="000C73E5">
          <w:pPr>
            <w:pStyle w:val="ListParagraph"/>
            <w:widowControl/>
            <w:autoSpaceDE/>
            <w:autoSpaceDN/>
            <w:adjustRightInd/>
            <w:spacing w:after="200" w:line="360" w:lineRule="auto"/>
            <w:ind w:left="900"/>
            <w:jc w:val="both"/>
            <w:rPr>
              <w:rFonts w:ascii="Arial" w:hAnsi="Arial" w:cs="Arial"/>
              <w:sz w:val="22"/>
              <w:szCs w:val="22"/>
            </w:rPr>
          </w:pPr>
        </w:p>
        <w:p w:rsidR="000C73E5" w:rsidRDefault="00D21217" w:rsidP="00D21217">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[42]</w:t>
          </w:r>
          <w:r>
            <w:rPr>
              <w:rFonts w:ascii="Arial" w:hAnsi="Arial" w:cs="Arial"/>
              <w:b/>
              <w:sz w:val="22"/>
              <w:szCs w:val="22"/>
            </w:rPr>
            <w:tab/>
          </w:r>
          <w:r w:rsidR="000C73E5">
            <w:rPr>
              <w:rFonts w:ascii="Arial" w:hAnsi="Arial" w:cs="Arial"/>
              <w:sz w:val="22"/>
              <w:szCs w:val="22"/>
            </w:rPr>
            <w:t xml:space="preserve">None of the grounds of appeal having shown substance, the appeal </w:t>
          </w:r>
          <w:proofErr w:type="gramStart"/>
          <w:r w:rsidR="000C73E5">
            <w:rPr>
              <w:rFonts w:ascii="Arial" w:hAnsi="Arial" w:cs="Arial"/>
              <w:sz w:val="22"/>
              <w:szCs w:val="22"/>
            </w:rPr>
            <w:t>must  fail</w:t>
          </w:r>
          <w:proofErr w:type="gramEnd"/>
          <w:r w:rsidR="000C73E5">
            <w:rPr>
              <w:rFonts w:ascii="Arial" w:hAnsi="Arial" w:cs="Arial"/>
              <w:sz w:val="22"/>
              <w:szCs w:val="22"/>
            </w:rPr>
            <w:t xml:space="preserve">. However, it is befitting that we set out the law of recognition of foreign receiving orders. </w:t>
          </w:r>
        </w:p>
        <w:p w:rsidR="000C73E5" w:rsidRDefault="000C73E5" w:rsidP="000C73E5">
          <w:pPr>
            <w:pStyle w:val="ListParagraph"/>
            <w:widowControl/>
            <w:autoSpaceDE/>
            <w:autoSpaceDN/>
            <w:adjustRightInd/>
            <w:spacing w:after="200" w:line="360" w:lineRule="auto"/>
            <w:ind w:left="900"/>
            <w:jc w:val="both"/>
            <w:rPr>
              <w:rFonts w:ascii="Arial" w:hAnsi="Arial" w:cs="Arial"/>
              <w:sz w:val="22"/>
              <w:szCs w:val="22"/>
            </w:rPr>
          </w:pPr>
        </w:p>
        <w:p w:rsidR="000C73E5" w:rsidRDefault="000C73E5" w:rsidP="009C7805">
          <w:pPr>
            <w:pStyle w:val="ListParagraph"/>
            <w:widowControl/>
            <w:autoSpaceDE/>
            <w:autoSpaceDN/>
            <w:adjustRightInd/>
            <w:spacing w:after="200" w:line="360" w:lineRule="auto"/>
            <w:ind w:left="0"/>
            <w:jc w:val="both"/>
            <w:rPr>
              <w:rFonts w:ascii="Arial" w:hAnsi="Arial" w:cs="Arial"/>
              <w:b/>
              <w:sz w:val="22"/>
              <w:szCs w:val="22"/>
            </w:rPr>
          </w:pPr>
          <w:r w:rsidRPr="00C519A7">
            <w:rPr>
              <w:rFonts w:ascii="Arial" w:hAnsi="Arial" w:cs="Arial"/>
              <w:b/>
              <w:sz w:val="22"/>
              <w:szCs w:val="22"/>
            </w:rPr>
            <w:lastRenderedPageBreak/>
            <w:t>THE LAW AS REGARDS RECOGNITION OF RECEIVING ORDERS</w:t>
          </w:r>
        </w:p>
        <w:p w:rsidR="000C73E5" w:rsidRDefault="000C73E5" w:rsidP="000C73E5">
          <w:pPr>
            <w:pStyle w:val="ListParagraph"/>
            <w:widowControl/>
            <w:autoSpaceDE/>
            <w:autoSpaceDN/>
            <w:adjustRightInd/>
            <w:spacing w:after="200" w:line="360" w:lineRule="auto"/>
            <w:ind w:left="900"/>
            <w:jc w:val="both"/>
            <w:rPr>
              <w:rFonts w:ascii="Arial" w:hAnsi="Arial" w:cs="Arial"/>
              <w:sz w:val="22"/>
              <w:szCs w:val="22"/>
            </w:rPr>
          </w:pPr>
        </w:p>
        <w:p w:rsidR="000C73E5" w:rsidRDefault="00D21217" w:rsidP="00D21217">
          <w:pPr>
            <w:pStyle w:val="ListParagraph"/>
            <w:widowControl/>
            <w:autoSpaceDE/>
            <w:autoSpaceDN/>
            <w:adjustRightInd/>
            <w:spacing w:after="200" w:line="360" w:lineRule="auto"/>
            <w:ind w:hanging="720"/>
            <w:jc w:val="both"/>
            <w:rPr>
              <w:rFonts w:ascii="Arial" w:hAnsi="Arial" w:cs="Arial"/>
              <w:sz w:val="22"/>
              <w:szCs w:val="22"/>
            </w:rPr>
          </w:pPr>
          <w:r w:rsidRPr="00D21217">
            <w:rPr>
              <w:rFonts w:ascii="Arial" w:hAnsi="Arial" w:cs="Arial"/>
              <w:b/>
              <w:sz w:val="22"/>
              <w:szCs w:val="22"/>
            </w:rPr>
            <w:t>[43]</w:t>
          </w:r>
          <w:r>
            <w:rPr>
              <w:rFonts w:ascii="Arial" w:hAnsi="Arial" w:cs="Arial"/>
              <w:sz w:val="22"/>
              <w:szCs w:val="22"/>
            </w:rPr>
            <w:tab/>
          </w:r>
          <w:r w:rsidR="000C73E5" w:rsidRPr="00A716CD">
            <w:rPr>
              <w:rFonts w:ascii="Arial" w:hAnsi="Arial" w:cs="Arial"/>
              <w:sz w:val="22"/>
              <w:szCs w:val="22"/>
            </w:rPr>
            <w:t xml:space="preserve">From the decisions of various jurisdictions, it would appear that actions of receivers and their recognition in countries other than where they were </w:t>
          </w:r>
          <w:r w:rsidR="000C73E5">
            <w:rPr>
              <w:rFonts w:ascii="Arial" w:hAnsi="Arial" w:cs="Arial"/>
              <w:sz w:val="22"/>
              <w:szCs w:val="22"/>
            </w:rPr>
            <w:t xml:space="preserve">originally appointed </w:t>
          </w:r>
          <w:r w:rsidR="000C73E5" w:rsidRPr="00A716CD">
            <w:rPr>
              <w:rFonts w:ascii="Arial" w:hAnsi="Arial" w:cs="Arial"/>
              <w:sz w:val="22"/>
              <w:szCs w:val="22"/>
            </w:rPr>
            <w:t xml:space="preserve">fall under a different category of </w:t>
          </w:r>
          <w:r w:rsidR="000C73E5">
            <w:rPr>
              <w:rFonts w:ascii="Arial" w:hAnsi="Arial" w:cs="Arial"/>
              <w:sz w:val="22"/>
              <w:szCs w:val="22"/>
            </w:rPr>
            <w:t>cases with transnational ramifications and concerns for the legal system of all the national courts.</w:t>
          </w:r>
          <w:r w:rsidR="000C73E5" w:rsidRPr="00A716CD">
            <w:rPr>
              <w:rFonts w:ascii="Arial" w:hAnsi="Arial" w:cs="Arial"/>
              <w:sz w:val="22"/>
              <w:szCs w:val="22"/>
            </w:rPr>
            <w:t xml:space="preserve"> </w:t>
          </w:r>
          <w:r w:rsidR="000C73E5">
            <w:rPr>
              <w:rFonts w:ascii="Arial" w:hAnsi="Arial" w:cs="Arial"/>
              <w:sz w:val="22"/>
              <w:szCs w:val="22"/>
            </w:rPr>
            <w:t xml:space="preserve">Various reasons have been put forward as the rationale behind giving effect to the decisions of courts such as the comity of nations, the principles of conflicts of laws, the rule of </w:t>
          </w:r>
          <w:r w:rsidR="000C73E5" w:rsidRPr="00DC58F3">
            <w:rPr>
              <w:rFonts w:ascii="Arial" w:hAnsi="Arial" w:cs="Arial"/>
              <w:i/>
              <w:sz w:val="22"/>
              <w:szCs w:val="22"/>
            </w:rPr>
            <w:t>competence-competence</w:t>
          </w:r>
          <w:r w:rsidR="000C73E5" w:rsidRPr="00DC58F3">
            <w:rPr>
              <w:rFonts w:ascii="Arial" w:hAnsi="Arial" w:cs="Arial"/>
              <w:sz w:val="22"/>
              <w:szCs w:val="22"/>
            </w:rPr>
            <w:t xml:space="preserve"> </w:t>
          </w:r>
          <w:r w:rsidR="000C73E5">
            <w:rPr>
              <w:rFonts w:ascii="Arial" w:hAnsi="Arial" w:cs="Arial"/>
              <w:sz w:val="22"/>
              <w:szCs w:val="22"/>
            </w:rPr>
            <w:t xml:space="preserve">etc. Whichever may be the rationale, the fact remains that recognition of receiving orders has emerged as a genus of its own in mutual judicial assistance, whether or not there has been a formal law for such deference. </w:t>
          </w:r>
          <w:r w:rsidR="000C73E5" w:rsidRPr="00A716CD">
            <w:rPr>
              <w:rFonts w:ascii="Arial" w:hAnsi="Arial" w:cs="Arial"/>
              <w:sz w:val="22"/>
              <w:szCs w:val="22"/>
            </w:rPr>
            <w:t xml:space="preserve">In </w:t>
          </w:r>
          <w:r w:rsidR="000C73E5" w:rsidRPr="00DE48A0">
            <w:rPr>
              <w:rFonts w:ascii="Arial" w:hAnsi="Arial" w:cs="Arial"/>
              <w:b/>
              <w:sz w:val="22"/>
              <w:szCs w:val="22"/>
            </w:rPr>
            <w:t>Halsbury, 4</w:t>
          </w:r>
          <w:r w:rsidR="000C73E5" w:rsidRPr="00DE48A0">
            <w:rPr>
              <w:rFonts w:ascii="Arial" w:hAnsi="Arial" w:cs="Arial"/>
              <w:b/>
              <w:sz w:val="22"/>
              <w:szCs w:val="22"/>
              <w:vertAlign w:val="superscript"/>
            </w:rPr>
            <w:t>th</w:t>
          </w:r>
          <w:r w:rsidR="000C73E5" w:rsidRPr="00DE48A0">
            <w:rPr>
              <w:rFonts w:ascii="Arial" w:hAnsi="Arial" w:cs="Arial"/>
              <w:b/>
              <w:sz w:val="22"/>
              <w:szCs w:val="22"/>
            </w:rPr>
            <w:t xml:space="preserve"> Edition, at paragraph 855,</w:t>
          </w:r>
          <w:r w:rsidR="000C73E5">
            <w:rPr>
              <w:rFonts w:ascii="Arial" w:hAnsi="Arial" w:cs="Arial"/>
              <w:sz w:val="22"/>
              <w:szCs w:val="22"/>
            </w:rPr>
            <w:t xml:space="preserve"> </w:t>
          </w:r>
          <w:r w:rsidR="000C73E5" w:rsidRPr="00A716CD">
            <w:rPr>
              <w:rFonts w:ascii="Arial" w:hAnsi="Arial" w:cs="Arial"/>
              <w:sz w:val="22"/>
              <w:szCs w:val="22"/>
            </w:rPr>
            <w:t xml:space="preserve">we read as follows: </w:t>
          </w:r>
        </w:p>
        <w:p w:rsidR="000C73E5" w:rsidRPr="00A716CD" w:rsidRDefault="000C73E5" w:rsidP="000C73E5">
          <w:pPr>
            <w:pStyle w:val="ListParagraph"/>
            <w:widowControl/>
            <w:tabs>
              <w:tab w:val="left" w:pos="900"/>
            </w:tabs>
            <w:autoSpaceDE/>
            <w:autoSpaceDN/>
            <w:adjustRightInd/>
            <w:spacing w:after="200" w:line="360" w:lineRule="auto"/>
            <w:ind w:left="900"/>
            <w:jc w:val="both"/>
            <w:rPr>
              <w:rFonts w:ascii="Arial" w:hAnsi="Arial" w:cs="Arial"/>
              <w:sz w:val="22"/>
              <w:szCs w:val="22"/>
            </w:rPr>
          </w:pPr>
        </w:p>
        <w:p w:rsidR="000C73E5" w:rsidRDefault="000C73E5" w:rsidP="00D21217">
          <w:pPr>
            <w:pStyle w:val="ListParagraph"/>
            <w:widowControl/>
            <w:tabs>
              <w:tab w:val="left" w:pos="900"/>
            </w:tabs>
            <w:autoSpaceDE/>
            <w:autoSpaceDN/>
            <w:adjustRightInd/>
            <w:spacing w:after="200" w:line="360" w:lineRule="auto"/>
            <w:ind w:left="1440" w:right="720" w:hanging="540"/>
            <w:jc w:val="both"/>
            <w:rPr>
              <w:rFonts w:ascii="Arial" w:hAnsi="Arial" w:cs="Arial"/>
              <w:sz w:val="22"/>
              <w:szCs w:val="22"/>
            </w:rPr>
          </w:pPr>
          <w:r>
            <w:rPr>
              <w:rFonts w:ascii="Arial" w:hAnsi="Arial" w:cs="Arial"/>
              <w:sz w:val="22"/>
              <w:szCs w:val="22"/>
            </w:rPr>
            <w:tab/>
          </w:r>
          <w:r w:rsidRPr="00A716CD">
            <w:rPr>
              <w:rFonts w:ascii="Arial" w:hAnsi="Arial" w:cs="Arial"/>
              <w:i/>
              <w:sz w:val="22"/>
              <w:szCs w:val="22"/>
            </w:rPr>
            <w:t xml:space="preserve">“A receiver may be appointed of property situated in a foreign country. Although the court is unable to enforce delivery of possession it may direct an inquiry as to the best means of obtaining possession, and make any necessary order on a defendant within its jurisdiction: </w:t>
          </w:r>
          <w:r w:rsidRPr="00A716CD">
            <w:rPr>
              <w:rFonts w:ascii="Arial" w:hAnsi="Arial" w:cs="Arial"/>
              <w:b/>
              <w:sz w:val="22"/>
              <w:szCs w:val="22"/>
            </w:rPr>
            <w:t>Cockburn v Raphael (1825) 2 Sim &amp; St 453</w:t>
          </w:r>
          <w:r w:rsidRPr="00A716CD">
            <w:rPr>
              <w:rFonts w:ascii="Arial" w:hAnsi="Arial" w:cs="Arial"/>
              <w:sz w:val="22"/>
              <w:szCs w:val="22"/>
            </w:rPr>
            <w:t>.</w:t>
          </w:r>
          <w:r w:rsidRPr="00A716CD">
            <w:rPr>
              <w:rFonts w:ascii="Arial" w:hAnsi="Arial" w:cs="Arial"/>
              <w:i/>
              <w:sz w:val="22"/>
              <w:szCs w:val="22"/>
            </w:rPr>
            <w:t xml:space="preserve"> It is usual to authorise the receiver to appoint an agent to act in the foreign country: </w:t>
          </w:r>
          <w:r w:rsidRPr="00A716CD">
            <w:rPr>
              <w:rFonts w:ascii="Arial" w:hAnsi="Arial" w:cs="Arial"/>
              <w:b/>
              <w:sz w:val="22"/>
              <w:szCs w:val="22"/>
            </w:rPr>
            <w:t>- v Lindley (1808) 15 Ves 91</w:t>
          </w:r>
          <w:proofErr w:type="gramStart"/>
          <w:r w:rsidRPr="00A716CD">
            <w:rPr>
              <w:rFonts w:ascii="Arial" w:hAnsi="Arial" w:cs="Arial"/>
              <w:b/>
              <w:sz w:val="22"/>
              <w:szCs w:val="22"/>
            </w:rPr>
            <w:t>;  Cockburn</w:t>
          </w:r>
          <w:proofErr w:type="gramEnd"/>
          <w:r w:rsidRPr="00A716CD">
            <w:rPr>
              <w:rFonts w:ascii="Arial" w:hAnsi="Arial" w:cs="Arial"/>
              <w:b/>
              <w:sz w:val="22"/>
              <w:szCs w:val="22"/>
            </w:rPr>
            <w:t xml:space="preserve"> v Raphael (1825) 2 Sim &amp; St 453</w:t>
          </w:r>
          <w:r w:rsidRPr="00A716CD">
            <w:rPr>
              <w:rFonts w:ascii="Arial" w:hAnsi="Arial" w:cs="Arial"/>
              <w:i/>
              <w:sz w:val="22"/>
              <w:szCs w:val="22"/>
            </w:rPr>
            <w:t xml:space="preserve">. The Court will recognise a person in the position of a receiver appointed by a foreign court: </w:t>
          </w:r>
          <w:r w:rsidRPr="00A716CD">
            <w:rPr>
              <w:rFonts w:ascii="Arial" w:hAnsi="Arial" w:cs="Arial"/>
              <w:b/>
              <w:sz w:val="22"/>
              <w:szCs w:val="22"/>
            </w:rPr>
            <w:t>Lepage v San Paulo Copper Estates Ltd (1917) 33 TLR 457</w:t>
          </w:r>
          <w:r w:rsidRPr="00A716CD">
            <w:rPr>
              <w:rFonts w:ascii="Arial" w:hAnsi="Arial" w:cs="Arial"/>
              <w:i/>
              <w:sz w:val="22"/>
              <w:szCs w:val="22"/>
            </w:rPr>
            <w:t xml:space="preserve"> either by recognising his title to the assets located in England or setting up an auxiliary receivership in England, but only if the court is satisfied that there is sufficient connection between the defendant and the jurisdiction in which the foreign receiver was appointed</w:t>
          </w:r>
          <w:r>
            <w:rPr>
              <w:rFonts w:ascii="Arial" w:hAnsi="Arial" w:cs="Arial"/>
              <w:sz w:val="22"/>
              <w:szCs w:val="22"/>
            </w:rPr>
            <w:t xml:space="preserve">: </w:t>
          </w:r>
          <w:r w:rsidRPr="00C519A7">
            <w:rPr>
              <w:rFonts w:ascii="Arial" w:hAnsi="Arial" w:cs="Arial"/>
              <w:b/>
              <w:sz w:val="22"/>
              <w:szCs w:val="22"/>
            </w:rPr>
            <w:t>Schemmer v Property Resources Ltd [1975] Ch 273, [1974] 3 All ER 451.</w:t>
          </w:r>
          <w:r>
            <w:rPr>
              <w:rFonts w:ascii="Arial" w:hAnsi="Arial" w:cs="Arial"/>
              <w:sz w:val="22"/>
              <w:szCs w:val="22"/>
            </w:rPr>
            <w:t xml:space="preserve">  </w:t>
          </w:r>
        </w:p>
        <w:p w:rsidR="000C73E5" w:rsidRDefault="000C73E5" w:rsidP="000C73E5">
          <w:pPr>
            <w:pStyle w:val="ListParagraph"/>
            <w:widowControl/>
            <w:autoSpaceDE/>
            <w:autoSpaceDN/>
            <w:adjustRightInd/>
            <w:spacing w:after="200" w:line="360" w:lineRule="auto"/>
            <w:ind w:left="900"/>
            <w:jc w:val="both"/>
            <w:rPr>
              <w:rFonts w:ascii="Arial" w:hAnsi="Arial" w:cs="Arial"/>
              <w:sz w:val="22"/>
              <w:szCs w:val="22"/>
            </w:rPr>
          </w:pPr>
        </w:p>
        <w:p w:rsidR="000C73E5" w:rsidRDefault="000C3198" w:rsidP="000C3198">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[44]</w:t>
          </w:r>
          <w:r>
            <w:rPr>
              <w:rFonts w:ascii="Arial" w:hAnsi="Arial" w:cs="Arial"/>
              <w:b/>
              <w:sz w:val="22"/>
              <w:szCs w:val="22"/>
            </w:rPr>
            <w:tab/>
          </w:r>
          <w:r w:rsidR="000C73E5">
            <w:rPr>
              <w:rFonts w:ascii="Arial" w:hAnsi="Arial" w:cs="Arial"/>
              <w:sz w:val="22"/>
              <w:szCs w:val="22"/>
            </w:rPr>
            <w:t xml:space="preserve">With respect to assuming competence, courts of unlimited jurisdictions have invoked their inherent jurisdiction functions to assume competence to recognise orders made by foreign courts to the extent that the assets may be traced in their own jurisdictions, irrespective of whether there exist a formal law between democratic nations to co-operate and collaborate in judicial matters within the limits of their territorial jurisdictions presumably as a modern application of </w:t>
          </w:r>
          <w:r w:rsidR="000C73E5" w:rsidRPr="002057F3">
            <w:rPr>
              <w:rFonts w:ascii="Arial" w:hAnsi="Arial" w:cs="Arial"/>
              <w:i/>
              <w:sz w:val="22"/>
              <w:szCs w:val="22"/>
            </w:rPr>
            <w:t>lex mercatoria</w:t>
          </w:r>
          <w:r w:rsidR="000C73E5">
            <w:rPr>
              <w:rFonts w:ascii="Arial" w:hAnsi="Arial" w:cs="Arial"/>
              <w:sz w:val="22"/>
              <w:szCs w:val="22"/>
            </w:rPr>
            <w:t xml:space="preserve">. But we shall not enter into this debate. A distinction is made between making a foreign judgment executory and </w:t>
          </w:r>
          <w:r w:rsidR="000C73E5">
            <w:rPr>
              <w:rFonts w:ascii="Arial" w:hAnsi="Arial" w:cs="Arial"/>
              <w:sz w:val="22"/>
              <w:szCs w:val="22"/>
            </w:rPr>
            <w:lastRenderedPageBreak/>
            <w:t xml:space="preserve">recognising a foreign judgment. A national court seems to take into account that a receiving order is not an enforcement exercise but a protection exercise under the principle of good order under the rule of law. Protection of assets no matter which jurisdictions the assets exist in is of a universal concern.  Courts have therefore invoked their inherent jurisdictions to do so. </w:t>
          </w:r>
        </w:p>
        <w:p w:rsidR="000C73E5" w:rsidRDefault="000C73E5" w:rsidP="000C73E5">
          <w:pPr>
            <w:pStyle w:val="ListParagraph"/>
            <w:widowControl/>
            <w:autoSpaceDE/>
            <w:autoSpaceDN/>
            <w:adjustRightInd/>
            <w:spacing w:after="200" w:line="360" w:lineRule="auto"/>
            <w:ind w:left="900"/>
            <w:jc w:val="both"/>
            <w:rPr>
              <w:rFonts w:ascii="Arial" w:hAnsi="Arial" w:cs="Arial"/>
              <w:sz w:val="22"/>
              <w:szCs w:val="22"/>
            </w:rPr>
          </w:pPr>
        </w:p>
        <w:p w:rsidR="000C73E5" w:rsidRDefault="000C3198" w:rsidP="000C3198">
          <w:pPr>
            <w:pStyle w:val="ListParagraph"/>
            <w:widowControl/>
            <w:autoSpaceDE/>
            <w:autoSpaceDN/>
            <w:adjustRightInd/>
            <w:spacing w:after="200" w:line="360" w:lineRule="auto"/>
            <w:ind w:hanging="720"/>
            <w:jc w:val="both"/>
            <w:rPr>
              <w:rFonts w:ascii="Arial" w:hAnsi="Arial" w:cs="Arial"/>
              <w:sz w:val="22"/>
              <w:szCs w:val="22"/>
            </w:rPr>
          </w:pPr>
          <w:r w:rsidRPr="000C3198">
            <w:rPr>
              <w:rFonts w:ascii="Arial" w:hAnsi="Arial" w:cs="Arial"/>
              <w:b/>
              <w:sz w:val="22"/>
              <w:szCs w:val="22"/>
            </w:rPr>
            <w:t>[45]</w:t>
          </w:r>
          <w:r>
            <w:rPr>
              <w:rFonts w:ascii="Arial" w:hAnsi="Arial" w:cs="Arial"/>
              <w:sz w:val="22"/>
              <w:szCs w:val="22"/>
            </w:rPr>
            <w:tab/>
          </w:r>
          <w:r w:rsidR="000C73E5" w:rsidRPr="00C519A7">
            <w:rPr>
              <w:rFonts w:ascii="Arial" w:hAnsi="Arial" w:cs="Arial"/>
              <w:b/>
              <w:sz w:val="22"/>
              <w:szCs w:val="22"/>
            </w:rPr>
            <w:t>Privatbanken Aktieselkab v. Bantele 1978 SLR 226</w:t>
          </w:r>
          <w:r w:rsidR="000C73E5">
            <w:rPr>
              <w:rFonts w:ascii="Arial" w:hAnsi="Arial" w:cs="Arial"/>
              <w:b/>
              <w:sz w:val="22"/>
              <w:szCs w:val="22"/>
            </w:rPr>
            <w:t xml:space="preserve"> </w:t>
          </w:r>
          <w:r w:rsidR="000C73E5" w:rsidRPr="00833AA5">
            <w:rPr>
              <w:rFonts w:ascii="Arial" w:hAnsi="Arial" w:cs="Arial"/>
              <w:sz w:val="22"/>
              <w:szCs w:val="22"/>
            </w:rPr>
            <w:t xml:space="preserve">had to do with execution of judgments but the principles behind recognition and exequatur are </w:t>
          </w:r>
          <w:r w:rsidR="000C73E5">
            <w:rPr>
              <w:rFonts w:ascii="Arial" w:hAnsi="Arial" w:cs="Arial"/>
              <w:sz w:val="22"/>
              <w:szCs w:val="22"/>
            </w:rPr>
            <w:t>not far different. The relevant part reads:</w:t>
          </w:r>
        </w:p>
        <w:p w:rsidR="000C73E5" w:rsidRDefault="000C73E5" w:rsidP="000C73E5">
          <w:pPr>
            <w:pStyle w:val="ListParagraph"/>
            <w:widowControl/>
            <w:autoSpaceDE/>
            <w:autoSpaceDN/>
            <w:adjustRightInd/>
            <w:spacing w:after="200" w:line="360" w:lineRule="auto"/>
            <w:ind w:left="2160"/>
            <w:jc w:val="both"/>
            <w:rPr>
              <w:rFonts w:ascii="Arial" w:hAnsi="Arial" w:cs="Arial"/>
              <w:i/>
              <w:sz w:val="22"/>
              <w:szCs w:val="22"/>
            </w:rPr>
          </w:pPr>
        </w:p>
        <w:p w:rsidR="000C73E5" w:rsidRDefault="000C73E5" w:rsidP="000C3198">
          <w:pPr>
            <w:pStyle w:val="ListParagraph"/>
            <w:widowControl/>
            <w:autoSpaceDE/>
            <w:autoSpaceDN/>
            <w:adjustRightInd/>
            <w:spacing w:after="200" w:line="360" w:lineRule="auto"/>
            <w:ind w:left="1440" w:right="720"/>
            <w:jc w:val="both"/>
            <w:rPr>
              <w:rFonts w:ascii="Arial" w:hAnsi="Arial" w:cs="Arial"/>
              <w:i/>
              <w:sz w:val="22"/>
              <w:szCs w:val="22"/>
            </w:rPr>
          </w:pPr>
          <w:r w:rsidRPr="006A737A">
            <w:rPr>
              <w:rFonts w:ascii="Arial" w:hAnsi="Arial" w:cs="Arial"/>
              <w:i/>
              <w:sz w:val="22"/>
              <w:szCs w:val="22"/>
            </w:rPr>
            <w:t>“</w:t>
          </w:r>
          <w:proofErr w:type="gramStart"/>
          <w:r w:rsidRPr="006A737A">
            <w:rPr>
              <w:rFonts w:ascii="Arial" w:hAnsi="Arial" w:cs="Arial"/>
              <w:i/>
              <w:sz w:val="22"/>
              <w:szCs w:val="22"/>
            </w:rPr>
            <w:t>foreign</w:t>
          </w:r>
          <w:proofErr w:type="gramEnd"/>
          <w:r w:rsidRPr="006A737A">
            <w:rPr>
              <w:rFonts w:ascii="Arial" w:hAnsi="Arial" w:cs="Arial"/>
              <w:i/>
              <w:sz w:val="22"/>
              <w:szCs w:val="22"/>
            </w:rPr>
            <w:t xml:space="preserve"> judgments can only be enforced in Seychelles if declared executor by the Supreme Court of Seychelles, without prejudice to the contrary provisions contained in any enactment or treaty.”</w:t>
          </w:r>
          <w:r>
            <w:rPr>
              <w:rFonts w:ascii="Arial" w:hAnsi="Arial" w:cs="Arial"/>
              <w:i/>
              <w:sz w:val="22"/>
              <w:szCs w:val="22"/>
            </w:rPr>
            <w:t xml:space="preserve"> </w:t>
          </w:r>
          <w:r w:rsidRPr="00044CFA">
            <w:rPr>
              <w:rFonts w:ascii="Arial" w:hAnsi="Arial" w:cs="Arial"/>
              <w:sz w:val="22"/>
              <w:szCs w:val="22"/>
            </w:rPr>
            <w:t>(</w:t>
          </w:r>
          <w:proofErr w:type="gramStart"/>
          <w:r w:rsidRPr="00044CFA">
            <w:rPr>
              <w:rFonts w:ascii="Arial" w:hAnsi="Arial" w:cs="Arial"/>
              <w:sz w:val="22"/>
              <w:szCs w:val="22"/>
            </w:rPr>
            <w:t>see</w:t>
          </w:r>
          <w:proofErr w:type="gramEnd"/>
          <w:r w:rsidRPr="00044CFA">
            <w:rPr>
              <w:rFonts w:ascii="Arial" w:hAnsi="Arial" w:cs="Arial"/>
              <w:sz w:val="22"/>
              <w:szCs w:val="22"/>
            </w:rPr>
            <w:t xml:space="preserve"> p. 232).</w:t>
          </w:r>
        </w:p>
        <w:p w:rsidR="000C73E5" w:rsidRDefault="000C73E5" w:rsidP="000C73E5">
          <w:pPr>
            <w:pStyle w:val="ListParagraph"/>
            <w:widowControl/>
            <w:autoSpaceDE/>
            <w:autoSpaceDN/>
            <w:adjustRightInd/>
            <w:spacing w:after="200" w:line="360" w:lineRule="auto"/>
            <w:ind w:left="1440"/>
            <w:jc w:val="both"/>
            <w:rPr>
              <w:rFonts w:ascii="Arial" w:hAnsi="Arial" w:cs="Arial"/>
              <w:i/>
              <w:sz w:val="22"/>
              <w:szCs w:val="22"/>
            </w:rPr>
          </w:pPr>
        </w:p>
        <w:p w:rsidR="000C73E5" w:rsidRDefault="000C3198" w:rsidP="000C3198">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[46]</w:t>
          </w:r>
          <w:r>
            <w:rPr>
              <w:rFonts w:ascii="Arial" w:hAnsi="Arial" w:cs="Arial"/>
              <w:b/>
              <w:sz w:val="22"/>
              <w:szCs w:val="22"/>
            </w:rPr>
            <w:tab/>
          </w:r>
          <w:r w:rsidR="000C73E5" w:rsidRPr="006A737A">
            <w:rPr>
              <w:rFonts w:ascii="Arial" w:hAnsi="Arial" w:cs="Arial"/>
              <w:sz w:val="22"/>
              <w:szCs w:val="22"/>
            </w:rPr>
            <w:t xml:space="preserve">We are happy to </w:t>
          </w:r>
          <w:r w:rsidR="000C73E5">
            <w:rPr>
              <w:rFonts w:ascii="Arial" w:hAnsi="Arial" w:cs="Arial"/>
              <w:sz w:val="22"/>
              <w:szCs w:val="22"/>
            </w:rPr>
            <w:t xml:space="preserve">confirm as good law the decision given by Sauzier J. in the case as regards execution and hold that they may also be used for recognition in matters of receiverships. The conditions are: </w:t>
          </w:r>
        </w:p>
        <w:p w:rsidR="000C73E5" w:rsidRDefault="000C73E5" w:rsidP="000C3198">
          <w:pPr>
            <w:pStyle w:val="ListParagraph"/>
            <w:widowControl/>
            <w:numPr>
              <w:ilvl w:val="0"/>
              <w:numId w:val="11"/>
            </w:numPr>
            <w:autoSpaceDE/>
            <w:autoSpaceDN/>
            <w:adjustRightInd/>
            <w:spacing w:after="200" w:line="360" w:lineRule="auto"/>
            <w:ind w:left="2160" w:hanging="720"/>
            <w:jc w:val="both"/>
            <w:rPr>
              <w:rFonts w:ascii="Arial" w:hAnsi="Arial" w:cs="Arial"/>
              <w:sz w:val="22"/>
              <w:szCs w:val="22"/>
            </w:rPr>
          </w:pPr>
          <w:r>
            <w:rPr>
              <w:rFonts w:ascii="Arial" w:hAnsi="Arial" w:cs="Arial"/>
              <w:sz w:val="22"/>
              <w:szCs w:val="22"/>
            </w:rPr>
            <w:t>the foreign judgment must be capable of recognition execution in the country where it was delivered;</w:t>
          </w:r>
        </w:p>
        <w:p w:rsidR="000C73E5" w:rsidRDefault="000C73E5" w:rsidP="000C3198">
          <w:pPr>
            <w:pStyle w:val="ListParagraph"/>
            <w:widowControl/>
            <w:numPr>
              <w:ilvl w:val="0"/>
              <w:numId w:val="11"/>
            </w:numPr>
            <w:autoSpaceDE/>
            <w:autoSpaceDN/>
            <w:adjustRightInd/>
            <w:spacing w:after="200" w:line="360" w:lineRule="auto"/>
            <w:ind w:left="2160" w:hanging="720"/>
            <w:jc w:val="both"/>
            <w:rPr>
              <w:rFonts w:ascii="Arial" w:hAnsi="Arial" w:cs="Arial"/>
              <w:sz w:val="22"/>
              <w:szCs w:val="22"/>
            </w:rPr>
          </w:pPr>
          <w:r>
            <w:rPr>
              <w:rFonts w:ascii="Arial" w:hAnsi="Arial" w:cs="Arial"/>
              <w:sz w:val="22"/>
              <w:szCs w:val="22"/>
            </w:rPr>
            <w:t>The foreign court must have had jurisdiction to deal with the matter submitted to it;</w:t>
          </w:r>
        </w:p>
        <w:p w:rsidR="000C73E5" w:rsidRDefault="000C73E5" w:rsidP="000C3198">
          <w:pPr>
            <w:pStyle w:val="ListParagraph"/>
            <w:widowControl/>
            <w:numPr>
              <w:ilvl w:val="0"/>
              <w:numId w:val="11"/>
            </w:numPr>
            <w:autoSpaceDE/>
            <w:autoSpaceDN/>
            <w:adjustRightInd/>
            <w:spacing w:after="200" w:line="360" w:lineRule="auto"/>
            <w:ind w:left="2160" w:hanging="720"/>
            <w:jc w:val="both"/>
            <w:rPr>
              <w:rFonts w:ascii="Arial" w:hAnsi="Arial" w:cs="Arial"/>
              <w:sz w:val="22"/>
              <w:szCs w:val="22"/>
            </w:rPr>
          </w:pPr>
          <w:r w:rsidRPr="006C5C44">
            <w:rPr>
              <w:rFonts w:ascii="Arial" w:hAnsi="Arial" w:cs="Arial"/>
              <w:sz w:val="22"/>
              <w:szCs w:val="22"/>
            </w:rPr>
            <w:t>The foreign court must have applied the correct law (“la loi competence”) to the case in accordance with the rules of Seychelles private international law;</w:t>
          </w:r>
        </w:p>
        <w:p w:rsidR="000C73E5" w:rsidRDefault="000C73E5" w:rsidP="000C3198">
          <w:pPr>
            <w:pStyle w:val="ListParagraph"/>
            <w:widowControl/>
            <w:numPr>
              <w:ilvl w:val="0"/>
              <w:numId w:val="11"/>
            </w:numPr>
            <w:autoSpaceDE/>
            <w:autoSpaceDN/>
            <w:adjustRightInd/>
            <w:spacing w:after="200" w:line="360" w:lineRule="auto"/>
            <w:ind w:left="2160" w:hanging="720"/>
            <w:jc w:val="both"/>
            <w:rPr>
              <w:rFonts w:ascii="Arial" w:hAnsi="Arial" w:cs="Arial"/>
              <w:sz w:val="22"/>
              <w:szCs w:val="22"/>
            </w:rPr>
          </w:pPr>
          <w:r w:rsidRPr="006C5C44">
            <w:rPr>
              <w:rFonts w:ascii="Arial" w:hAnsi="Arial" w:cs="Arial"/>
              <w:sz w:val="22"/>
              <w:szCs w:val="22"/>
            </w:rPr>
            <w:t>The rights of the defence must have been respected;</w:t>
          </w:r>
        </w:p>
        <w:p w:rsidR="000C73E5" w:rsidRDefault="000C73E5" w:rsidP="000C3198">
          <w:pPr>
            <w:pStyle w:val="ListParagraph"/>
            <w:widowControl/>
            <w:numPr>
              <w:ilvl w:val="0"/>
              <w:numId w:val="11"/>
            </w:numPr>
            <w:autoSpaceDE/>
            <w:autoSpaceDN/>
            <w:adjustRightInd/>
            <w:spacing w:after="200" w:line="360" w:lineRule="auto"/>
            <w:ind w:left="2160" w:hanging="720"/>
            <w:jc w:val="both"/>
            <w:rPr>
              <w:rFonts w:ascii="Arial" w:hAnsi="Arial" w:cs="Arial"/>
              <w:sz w:val="22"/>
              <w:szCs w:val="22"/>
            </w:rPr>
          </w:pPr>
          <w:r w:rsidRPr="006C5C44">
            <w:rPr>
              <w:rFonts w:ascii="Arial" w:hAnsi="Arial" w:cs="Arial"/>
              <w:sz w:val="22"/>
              <w:szCs w:val="22"/>
            </w:rPr>
            <w:t>The foreign judgment must not be contrary to any fundamental rules of public policy;</w:t>
          </w:r>
        </w:p>
        <w:p w:rsidR="000C73E5" w:rsidRPr="006C5C44" w:rsidRDefault="000C73E5" w:rsidP="000C3198">
          <w:pPr>
            <w:pStyle w:val="ListParagraph"/>
            <w:widowControl/>
            <w:numPr>
              <w:ilvl w:val="0"/>
              <w:numId w:val="11"/>
            </w:numPr>
            <w:autoSpaceDE/>
            <w:autoSpaceDN/>
            <w:adjustRightInd/>
            <w:spacing w:after="200" w:line="360" w:lineRule="auto"/>
            <w:ind w:left="2160" w:hanging="720"/>
            <w:jc w:val="both"/>
            <w:rPr>
              <w:rFonts w:ascii="Arial" w:hAnsi="Arial" w:cs="Arial"/>
              <w:sz w:val="22"/>
              <w:szCs w:val="22"/>
            </w:rPr>
          </w:pPr>
          <w:r w:rsidRPr="006C5C44">
            <w:rPr>
              <w:rFonts w:ascii="Arial" w:hAnsi="Arial" w:cs="Arial"/>
              <w:sz w:val="22"/>
              <w:szCs w:val="22"/>
            </w:rPr>
            <w:t xml:space="preserve">There must be absence of fraud. </w:t>
          </w:r>
        </w:p>
        <w:p w:rsidR="000C73E5" w:rsidRPr="006A737A" w:rsidRDefault="000C73E5" w:rsidP="000C73E5">
          <w:pPr>
            <w:pStyle w:val="ListParagraph"/>
            <w:widowControl/>
            <w:autoSpaceDE/>
            <w:autoSpaceDN/>
            <w:adjustRightInd/>
            <w:spacing w:after="200" w:line="360" w:lineRule="auto"/>
            <w:ind w:left="1440"/>
            <w:jc w:val="both"/>
            <w:rPr>
              <w:rFonts w:ascii="Arial" w:hAnsi="Arial" w:cs="Arial"/>
              <w:i/>
              <w:sz w:val="22"/>
              <w:szCs w:val="22"/>
            </w:rPr>
          </w:pPr>
        </w:p>
        <w:p w:rsidR="000C73E5" w:rsidRDefault="000C3198" w:rsidP="000C3198">
          <w:pPr>
            <w:pStyle w:val="ListParagraph"/>
            <w:widowControl/>
            <w:autoSpaceDE/>
            <w:autoSpaceDN/>
            <w:adjustRightInd/>
            <w:spacing w:after="200" w:line="360" w:lineRule="auto"/>
            <w:ind w:left="630" w:hanging="630"/>
            <w:jc w:val="both"/>
            <w:rPr>
              <w:rFonts w:ascii="Arial" w:hAnsi="Arial" w:cs="Arial"/>
              <w:sz w:val="22"/>
              <w:szCs w:val="22"/>
            </w:rPr>
          </w:pPr>
          <w:r>
            <w:rPr>
              <w:rFonts w:ascii="Arial" w:hAnsi="Arial" w:cs="Arial"/>
              <w:b/>
              <w:sz w:val="22"/>
              <w:szCs w:val="22"/>
            </w:rPr>
            <w:t>[47]</w:t>
          </w:r>
          <w:r>
            <w:rPr>
              <w:rFonts w:ascii="Arial" w:hAnsi="Arial" w:cs="Arial"/>
              <w:b/>
              <w:sz w:val="22"/>
              <w:szCs w:val="22"/>
            </w:rPr>
            <w:tab/>
          </w:r>
          <w:r w:rsidR="000C73E5">
            <w:rPr>
              <w:rFonts w:ascii="Arial" w:hAnsi="Arial" w:cs="Arial"/>
              <w:sz w:val="22"/>
              <w:szCs w:val="22"/>
            </w:rPr>
            <w:t xml:space="preserve">With respect to the procedure, courts have been realistic. In the case of </w:t>
          </w:r>
          <w:r w:rsidR="000C73E5" w:rsidRPr="007866FC">
            <w:rPr>
              <w:rFonts w:ascii="Arial" w:hAnsi="Arial" w:cs="Arial"/>
              <w:b/>
              <w:sz w:val="22"/>
              <w:szCs w:val="22"/>
            </w:rPr>
            <w:t xml:space="preserve">Dhanjee v </w:t>
          </w:r>
          <w:proofErr w:type="gramStart"/>
          <w:r w:rsidR="000C73E5" w:rsidRPr="007866FC">
            <w:rPr>
              <w:rFonts w:ascii="Arial" w:hAnsi="Arial" w:cs="Arial"/>
              <w:b/>
              <w:sz w:val="22"/>
              <w:szCs w:val="22"/>
            </w:rPr>
            <w:t>Dhanjee ,</w:t>
          </w:r>
          <w:proofErr w:type="gramEnd"/>
          <w:r w:rsidR="000C73E5" w:rsidRPr="007866FC">
            <w:rPr>
              <w:rFonts w:ascii="Arial" w:hAnsi="Arial" w:cs="Arial"/>
              <w:b/>
              <w:sz w:val="22"/>
              <w:szCs w:val="22"/>
            </w:rPr>
            <w:t xml:space="preserve"> Civil Appeal no. 13 of 2000,</w:t>
          </w:r>
          <w:r w:rsidR="000C73E5">
            <w:rPr>
              <w:rFonts w:ascii="Arial" w:hAnsi="Arial" w:cs="Arial"/>
              <w:sz w:val="22"/>
              <w:szCs w:val="22"/>
            </w:rPr>
            <w:t xml:space="preserve"> this Court held that substance should prevail over form. It commented as follows:</w:t>
          </w:r>
        </w:p>
        <w:p w:rsidR="000C73E5" w:rsidRDefault="000C73E5" w:rsidP="000C3198">
          <w:pPr>
            <w:pStyle w:val="ListParagraph"/>
            <w:widowControl/>
            <w:autoSpaceDE/>
            <w:autoSpaceDN/>
            <w:adjustRightInd/>
            <w:spacing w:after="200" w:line="360" w:lineRule="auto"/>
            <w:ind w:left="1440" w:right="720"/>
            <w:jc w:val="both"/>
            <w:rPr>
              <w:rFonts w:ascii="Arial" w:hAnsi="Arial" w:cs="Arial"/>
              <w:i/>
              <w:sz w:val="22"/>
              <w:szCs w:val="22"/>
            </w:rPr>
          </w:pPr>
          <w:r w:rsidRPr="0002664D">
            <w:rPr>
              <w:rFonts w:ascii="Arial" w:hAnsi="Arial" w:cs="Arial"/>
              <w:i/>
              <w:sz w:val="22"/>
              <w:szCs w:val="22"/>
            </w:rPr>
            <w:t xml:space="preserve">“it was not contended that the form of the application filed by the respondent prevented the appellant from raising the appropriate defences </w:t>
          </w:r>
          <w:r w:rsidRPr="0002664D">
            <w:rPr>
              <w:rFonts w:ascii="Arial" w:hAnsi="Arial" w:cs="Arial"/>
              <w:i/>
              <w:sz w:val="22"/>
              <w:szCs w:val="22"/>
            </w:rPr>
            <w:lastRenderedPageBreak/>
            <w:t>nor was it suggested that the failure to file a plaint caused any prejudice wha</w:t>
          </w:r>
          <w:r>
            <w:rPr>
              <w:rFonts w:ascii="Arial" w:hAnsi="Arial" w:cs="Arial"/>
              <w:i/>
              <w:sz w:val="22"/>
              <w:szCs w:val="22"/>
            </w:rPr>
            <w:t>t</w:t>
          </w:r>
          <w:r w:rsidRPr="0002664D">
            <w:rPr>
              <w:rFonts w:ascii="Arial" w:hAnsi="Arial" w:cs="Arial"/>
              <w:i/>
              <w:sz w:val="22"/>
              <w:szCs w:val="22"/>
            </w:rPr>
            <w:t>ever to the appellant in the presentation of his case before the Supreme Court.</w:t>
          </w:r>
          <w:r>
            <w:rPr>
              <w:rFonts w:ascii="Arial" w:hAnsi="Arial" w:cs="Arial"/>
              <w:i/>
              <w:sz w:val="22"/>
              <w:szCs w:val="22"/>
            </w:rPr>
            <w:t>”</w:t>
          </w:r>
        </w:p>
        <w:p w:rsidR="000C73E5" w:rsidRDefault="000C73E5" w:rsidP="000C73E5">
          <w:pPr>
            <w:pStyle w:val="ListParagraph"/>
            <w:widowControl/>
            <w:autoSpaceDE/>
            <w:autoSpaceDN/>
            <w:adjustRightInd/>
            <w:spacing w:after="200" w:line="360" w:lineRule="auto"/>
            <w:ind w:left="2160" w:hanging="180"/>
            <w:jc w:val="both"/>
            <w:rPr>
              <w:rFonts w:ascii="Arial" w:hAnsi="Arial" w:cs="Arial"/>
              <w:i/>
              <w:sz w:val="22"/>
              <w:szCs w:val="22"/>
            </w:rPr>
          </w:pPr>
        </w:p>
        <w:p w:rsidR="000C73E5" w:rsidRDefault="000C3198" w:rsidP="000C3198">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[48]</w:t>
          </w:r>
          <w:r>
            <w:rPr>
              <w:rFonts w:ascii="Arial" w:hAnsi="Arial" w:cs="Arial"/>
              <w:b/>
              <w:sz w:val="22"/>
              <w:szCs w:val="22"/>
            </w:rPr>
            <w:tab/>
          </w:r>
          <w:r w:rsidR="000C73E5">
            <w:rPr>
              <w:rFonts w:ascii="Arial" w:hAnsi="Arial" w:cs="Arial"/>
              <w:sz w:val="22"/>
              <w:szCs w:val="22"/>
            </w:rPr>
            <w:t xml:space="preserve">It bears repetition that recognising a receivership is an asset protection exercise and not an asset enforcement exercise. It relates to the power of the competent court in one country to exercise authority to co-operate with the competent court in another jurisdictions, within the limits permissible under the rule of law under both jurisdictions and subject to the internal laws of each state for the purpose of ensuring that no jurisdiction becomes either a safe haven or a safe conduit for ill gotten gains. </w:t>
          </w:r>
        </w:p>
        <w:p w:rsidR="000C73E5" w:rsidRDefault="000C73E5" w:rsidP="000C73E5">
          <w:pPr>
            <w:pStyle w:val="ListParagraph"/>
            <w:widowControl/>
            <w:autoSpaceDE/>
            <w:autoSpaceDN/>
            <w:adjustRightInd/>
            <w:spacing w:after="200" w:line="360" w:lineRule="auto"/>
            <w:jc w:val="both"/>
            <w:rPr>
              <w:rFonts w:ascii="Arial" w:hAnsi="Arial" w:cs="Arial"/>
              <w:sz w:val="22"/>
              <w:szCs w:val="22"/>
            </w:rPr>
          </w:pPr>
        </w:p>
        <w:p w:rsidR="000C73E5" w:rsidRDefault="000C3198" w:rsidP="000C3198">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[49]</w:t>
          </w:r>
          <w:r>
            <w:rPr>
              <w:rFonts w:ascii="Arial" w:hAnsi="Arial" w:cs="Arial"/>
              <w:b/>
              <w:sz w:val="22"/>
              <w:szCs w:val="22"/>
            </w:rPr>
            <w:tab/>
          </w:r>
          <w:r w:rsidR="000C73E5">
            <w:rPr>
              <w:rFonts w:ascii="Arial" w:hAnsi="Arial" w:cs="Arial"/>
              <w:sz w:val="22"/>
              <w:szCs w:val="22"/>
            </w:rPr>
            <w:t xml:space="preserve">As far as English Courts are concerned, in </w:t>
          </w:r>
          <w:r w:rsidR="000C73E5" w:rsidRPr="00E901F9">
            <w:rPr>
              <w:rFonts w:ascii="Arial" w:hAnsi="Arial" w:cs="Arial"/>
              <w:b/>
              <w:sz w:val="22"/>
              <w:szCs w:val="22"/>
            </w:rPr>
            <w:t>Schemmer v. Property Resources Ltd [1975]</w:t>
          </w:r>
          <w:r w:rsidR="000C73E5">
            <w:rPr>
              <w:rFonts w:ascii="Arial" w:hAnsi="Arial" w:cs="Arial"/>
              <w:b/>
              <w:sz w:val="22"/>
              <w:szCs w:val="22"/>
            </w:rPr>
            <w:t xml:space="preserve"> </w:t>
          </w:r>
          <w:r w:rsidR="000C73E5" w:rsidRPr="00E901F9">
            <w:rPr>
              <w:rFonts w:ascii="Arial" w:hAnsi="Arial" w:cs="Arial"/>
              <w:b/>
              <w:sz w:val="22"/>
              <w:szCs w:val="22"/>
            </w:rPr>
            <w:t>1 Chancery 273</w:t>
          </w:r>
          <w:r w:rsidR="000C73E5">
            <w:rPr>
              <w:rFonts w:ascii="Arial" w:hAnsi="Arial" w:cs="Arial"/>
              <w:sz w:val="22"/>
              <w:szCs w:val="22"/>
            </w:rPr>
            <w:t xml:space="preserve"> at p. 287 E-F, there started a discussion on whether the jurisdiction of recognition is grounded on the principle of comity of nations but did not venture a final word on it. It none the less held that:</w:t>
          </w:r>
        </w:p>
        <w:p w:rsidR="000C73E5" w:rsidRDefault="000C73E5" w:rsidP="000C73E5">
          <w:pPr>
            <w:pStyle w:val="ListParagraph"/>
            <w:widowControl/>
            <w:autoSpaceDE/>
            <w:autoSpaceDN/>
            <w:adjustRightInd/>
            <w:spacing w:after="200" w:line="360" w:lineRule="auto"/>
            <w:jc w:val="both"/>
            <w:rPr>
              <w:rFonts w:ascii="Arial" w:hAnsi="Arial" w:cs="Arial"/>
              <w:sz w:val="22"/>
              <w:szCs w:val="22"/>
            </w:rPr>
          </w:pPr>
        </w:p>
        <w:p w:rsidR="000C73E5" w:rsidRDefault="000C73E5" w:rsidP="000C3198">
          <w:pPr>
            <w:pStyle w:val="ListParagraph"/>
            <w:widowControl/>
            <w:autoSpaceDE/>
            <w:autoSpaceDN/>
            <w:adjustRightInd/>
            <w:spacing w:after="200" w:line="360" w:lineRule="auto"/>
            <w:ind w:left="1440" w:right="720"/>
            <w:jc w:val="both"/>
            <w:rPr>
              <w:rFonts w:ascii="Arial" w:hAnsi="Arial" w:cs="Arial"/>
              <w:i/>
              <w:sz w:val="22"/>
              <w:szCs w:val="22"/>
            </w:rPr>
          </w:pPr>
          <w:r w:rsidRPr="00A36F97">
            <w:rPr>
              <w:rFonts w:ascii="Arial" w:hAnsi="Arial" w:cs="Arial"/>
              <w:i/>
              <w:sz w:val="22"/>
              <w:szCs w:val="22"/>
            </w:rPr>
            <w:t>“</w:t>
          </w:r>
          <w:proofErr w:type="gramStart"/>
          <w:r w:rsidRPr="00A36F97">
            <w:rPr>
              <w:rFonts w:ascii="Arial" w:hAnsi="Arial" w:cs="Arial"/>
              <w:i/>
              <w:sz w:val="22"/>
              <w:szCs w:val="22"/>
            </w:rPr>
            <w:t>an</w:t>
          </w:r>
          <w:proofErr w:type="gramEnd"/>
          <w:r w:rsidRPr="00A36F97">
            <w:rPr>
              <w:rFonts w:ascii="Arial" w:hAnsi="Arial" w:cs="Arial"/>
              <w:i/>
              <w:sz w:val="22"/>
              <w:szCs w:val="22"/>
            </w:rPr>
            <w:t xml:space="preserve"> English Court will either recognise directly the title of a foreign receiver to assets located here, or, by its own order, will set up  an auxiliary receivership in England. To do either of those things the court must previously, in my judgement, be satisfied of a sufficient connection between the defendant and the jurisdiction in which the foreign receiver was appointed to justify recognition of the foreign court’s order, on English conflict principles, as having effect outside such jurisdiction.” </w:t>
          </w:r>
        </w:p>
        <w:p w:rsidR="000C73E5" w:rsidRPr="000B54A9" w:rsidRDefault="000C73E5" w:rsidP="000C73E5">
          <w:pPr>
            <w:pStyle w:val="ListParagraph"/>
            <w:widowControl/>
            <w:autoSpaceDE/>
            <w:autoSpaceDN/>
            <w:adjustRightInd/>
            <w:spacing w:after="200" w:line="360" w:lineRule="auto"/>
            <w:ind w:left="0"/>
            <w:jc w:val="both"/>
            <w:rPr>
              <w:rFonts w:ascii="Arial" w:hAnsi="Arial" w:cs="Arial"/>
              <w:i/>
              <w:sz w:val="22"/>
              <w:szCs w:val="22"/>
            </w:rPr>
          </w:pPr>
        </w:p>
        <w:p w:rsidR="000C73E5" w:rsidRDefault="000C3198" w:rsidP="000C3198">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[50]</w:t>
          </w:r>
          <w:r>
            <w:rPr>
              <w:rFonts w:ascii="Arial" w:hAnsi="Arial" w:cs="Arial"/>
              <w:b/>
              <w:sz w:val="22"/>
              <w:szCs w:val="22"/>
            </w:rPr>
            <w:tab/>
          </w:r>
          <w:r w:rsidR="000C73E5" w:rsidRPr="000B54A9">
            <w:rPr>
              <w:rFonts w:ascii="Arial" w:hAnsi="Arial" w:cs="Arial"/>
              <w:sz w:val="22"/>
              <w:szCs w:val="22"/>
            </w:rPr>
            <w:t xml:space="preserve">Other courts have followed suit. </w:t>
          </w:r>
          <w:proofErr w:type="gramStart"/>
          <w:r w:rsidR="000C73E5" w:rsidRPr="000B54A9">
            <w:rPr>
              <w:rFonts w:ascii="Arial" w:hAnsi="Arial" w:cs="Arial"/>
              <w:sz w:val="22"/>
              <w:szCs w:val="22"/>
            </w:rPr>
            <w:t xml:space="preserve">Thus, in </w:t>
          </w:r>
          <w:r w:rsidR="000C73E5" w:rsidRPr="000B54A9">
            <w:rPr>
              <w:rFonts w:ascii="Arial" w:hAnsi="Arial" w:cs="Arial"/>
              <w:b/>
              <w:sz w:val="22"/>
              <w:szCs w:val="22"/>
            </w:rPr>
            <w:t>Kilderkin Inves.</w:t>
          </w:r>
          <w:proofErr w:type="gramEnd"/>
          <w:r w:rsidR="000C73E5" w:rsidRPr="000B54A9">
            <w:rPr>
              <w:rFonts w:ascii="Arial" w:hAnsi="Arial" w:cs="Arial"/>
              <w:b/>
              <w:sz w:val="22"/>
              <w:szCs w:val="22"/>
            </w:rPr>
            <w:t xml:space="preserve">  V.  Player 1984 CILR 63, </w:t>
          </w:r>
          <w:r w:rsidR="000C73E5" w:rsidRPr="00F70DED">
            <w:rPr>
              <w:rFonts w:ascii="Arial" w:hAnsi="Arial" w:cs="Arial"/>
              <w:sz w:val="22"/>
              <w:szCs w:val="22"/>
            </w:rPr>
            <w:t xml:space="preserve">the Grand Court in Cayman </w:t>
          </w:r>
          <w:proofErr w:type="gramStart"/>
          <w:r w:rsidR="000C73E5" w:rsidRPr="00F70DED">
            <w:rPr>
              <w:rFonts w:ascii="Arial" w:hAnsi="Arial" w:cs="Arial"/>
              <w:sz w:val="22"/>
              <w:szCs w:val="22"/>
            </w:rPr>
            <w:t>islands</w:t>
          </w:r>
          <w:proofErr w:type="gramEnd"/>
          <w:r w:rsidR="000C73E5" w:rsidRPr="00F70DED">
            <w:rPr>
              <w:rFonts w:ascii="Arial" w:hAnsi="Arial" w:cs="Arial"/>
              <w:sz w:val="22"/>
              <w:szCs w:val="22"/>
            </w:rPr>
            <w:t xml:space="preserve"> recognised </w:t>
          </w:r>
          <w:r w:rsidR="000C73E5" w:rsidRPr="000B54A9">
            <w:rPr>
              <w:rFonts w:ascii="Arial" w:hAnsi="Arial" w:cs="Arial"/>
              <w:sz w:val="22"/>
              <w:szCs w:val="22"/>
            </w:rPr>
            <w:t xml:space="preserve">the appointment of a receiver and manager appointed by the Supreme Court of Ontario in Cayman Islands. The Grand Court granted the order on an ex parte application for the Canadian appointed receiver manager to identify and locate all the defendant’s assets within the jurisdiction.  It held that the legal position in the matter was the same in Canada as it was in England and, by derivation, the Cayman Islands. The Grand Court had jurisdiction (derived from that exercised by the High Court in England) to recognize in the Cayman Islands the appellant as receiver appointed by a foreign Court if it were satisfied that there was a sufficient connection between the receiver and the jurisdiction in which the appellant was </w:t>
          </w:r>
          <w:r w:rsidR="000C73E5" w:rsidRPr="000B54A9">
            <w:rPr>
              <w:rFonts w:ascii="Arial" w:hAnsi="Arial" w:cs="Arial"/>
              <w:sz w:val="22"/>
              <w:szCs w:val="22"/>
            </w:rPr>
            <w:lastRenderedPageBreak/>
            <w:t xml:space="preserve">appointed to justify recognition of the foreign court’s order. It went on to state that, in the absence of local rules dealing specifically with the procedure for the recognition of a foreign-appointed receiver manager, it was proper to follow the procedure laid down for the appointment of a receiver within the jurisdiction and, under the terms of the Grand Court Law, ss 13(1) and 20, the English Supreme Court Act 1981, s. 37(1) and the Rules of the Supreme Court, O. 30 r. 1 therefore applied. Under these provisions, it was open to a defendant, or other applicant with a sufficient interest in the matter, to apply ex parte for the appointment of a receiver and an interlocutory application could properly be made of the relief claimed was incidental to or arose out of the relief claimed by a plaintiff. </w:t>
          </w:r>
        </w:p>
        <w:p w:rsidR="000C3198" w:rsidRPr="000B54A9" w:rsidRDefault="000C3198" w:rsidP="000C3198">
          <w:pPr>
            <w:pStyle w:val="ListParagraph"/>
            <w:widowControl/>
            <w:autoSpaceDE/>
            <w:autoSpaceDN/>
            <w:adjustRightInd/>
            <w:spacing w:after="200" w:line="360" w:lineRule="auto"/>
            <w:ind w:left="0"/>
            <w:jc w:val="both"/>
            <w:rPr>
              <w:rFonts w:ascii="Arial" w:hAnsi="Arial" w:cs="Arial"/>
              <w:sz w:val="22"/>
              <w:szCs w:val="22"/>
            </w:rPr>
          </w:pPr>
        </w:p>
        <w:p w:rsidR="000C73E5" w:rsidRDefault="000C3198" w:rsidP="000C3198">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[51]</w:t>
          </w:r>
          <w:r>
            <w:rPr>
              <w:rFonts w:ascii="Arial" w:hAnsi="Arial" w:cs="Arial"/>
              <w:b/>
              <w:sz w:val="22"/>
              <w:szCs w:val="22"/>
            </w:rPr>
            <w:tab/>
          </w:r>
          <w:r w:rsidR="000C73E5">
            <w:rPr>
              <w:rFonts w:ascii="Arial" w:hAnsi="Arial" w:cs="Arial"/>
              <w:sz w:val="22"/>
              <w:szCs w:val="22"/>
            </w:rPr>
            <w:t xml:space="preserve"> It further took the view that t</w:t>
          </w:r>
          <w:r w:rsidR="000C73E5" w:rsidRPr="000B54A9">
            <w:rPr>
              <w:rFonts w:ascii="Arial" w:hAnsi="Arial" w:cs="Arial"/>
              <w:sz w:val="22"/>
              <w:szCs w:val="22"/>
            </w:rPr>
            <w:t xml:space="preserve">he </w:t>
          </w:r>
          <w:r w:rsidR="000C73E5">
            <w:rPr>
              <w:rFonts w:ascii="Arial" w:hAnsi="Arial" w:cs="Arial"/>
              <w:sz w:val="22"/>
              <w:szCs w:val="22"/>
            </w:rPr>
            <w:t xml:space="preserve">procedure adopted was justified by the </w:t>
          </w:r>
          <w:r w:rsidR="000C73E5" w:rsidRPr="000B54A9">
            <w:rPr>
              <w:rFonts w:ascii="Arial" w:hAnsi="Arial" w:cs="Arial"/>
              <w:sz w:val="22"/>
              <w:szCs w:val="22"/>
            </w:rPr>
            <w:t xml:space="preserve">urgency of the application. So was the </w:t>
          </w:r>
          <w:r w:rsidR="000C73E5" w:rsidRPr="00DE48A0">
            <w:rPr>
              <w:rFonts w:ascii="Arial" w:hAnsi="Arial" w:cs="Arial"/>
              <w:i/>
              <w:sz w:val="22"/>
              <w:szCs w:val="22"/>
            </w:rPr>
            <w:t>ex parte</w:t>
          </w:r>
          <w:r w:rsidR="000C73E5" w:rsidRPr="000B54A9">
            <w:rPr>
              <w:rFonts w:ascii="Arial" w:hAnsi="Arial" w:cs="Arial"/>
              <w:sz w:val="22"/>
              <w:szCs w:val="22"/>
            </w:rPr>
            <w:t xml:space="preserve"> application. And any strict non compliance with the rules was minor with no incidence on substance.</w:t>
          </w:r>
        </w:p>
        <w:p w:rsidR="000C73E5" w:rsidRPr="000B54A9" w:rsidRDefault="000C73E5" w:rsidP="000C73E5">
          <w:pPr>
            <w:pStyle w:val="ListParagraph"/>
            <w:widowControl/>
            <w:autoSpaceDE/>
            <w:autoSpaceDN/>
            <w:adjustRightInd/>
            <w:spacing w:after="200" w:line="360" w:lineRule="auto"/>
            <w:ind w:left="2160"/>
            <w:jc w:val="both"/>
            <w:rPr>
              <w:rFonts w:ascii="Arial" w:hAnsi="Arial" w:cs="Arial"/>
              <w:sz w:val="22"/>
              <w:szCs w:val="22"/>
            </w:rPr>
          </w:pPr>
        </w:p>
        <w:p w:rsidR="000C73E5" w:rsidRPr="000B54A9" w:rsidRDefault="000C3198" w:rsidP="000C3198">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[52]</w:t>
          </w:r>
          <w:r>
            <w:rPr>
              <w:rFonts w:ascii="Arial" w:hAnsi="Arial" w:cs="Arial"/>
              <w:b/>
              <w:sz w:val="22"/>
              <w:szCs w:val="22"/>
            </w:rPr>
            <w:tab/>
          </w:r>
          <w:r w:rsidR="000C73E5" w:rsidRPr="000B54A9">
            <w:rPr>
              <w:rFonts w:ascii="Arial" w:hAnsi="Arial" w:cs="Arial"/>
              <w:sz w:val="22"/>
              <w:szCs w:val="22"/>
            </w:rPr>
            <w:t xml:space="preserve">Further, in </w:t>
          </w:r>
          <w:r w:rsidR="000C73E5" w:rsidRPr="000B54A9">
            <w:rPr>
              <w:rFonts w:ascii="Arial" w:hAnsi="Arial" w:cs="Arial"/>
              <w:b/>
              <w:sz w:val="22"/>
              <w:szCs w:val="22"/>
            </w:rPr>
            <w:t>Millenium Financial Limited and Thomas MC Namara and Anor</w:t>
          </w:r>
          <w:r w:rsidR="000C73E5">
            <w:rPr>
              <w:rFonts w:ascii="Arial" w:hAnsi="Arial" w:cs="Arial"/>
              <w:b/>
              <w:sz w:val="22"/>
              <w:szCs w:val="22"/>
            </w:rPr>
            <w:t>,</w:t>
          </w:r>
          <w:r w:rsidR="000C73E5" w:rsidRPr="000B54A9">
            <w:rPr>
              <w:rFonts w:ascii="Arial" w:hAnsi="Arial" w:cs="Arial"/>
              <w:b/>
              <w:sz w:val="22"/>
              <w:szCs w:val="22"/>
            </w:rPr>
            <w:t xml:space="preserve"> HCAP 2008/012,</w:t>
          </w:r>
          <w:r w:rsidR="000C73E5" w:rsidRPr="000B54A9">
            <w:rPr>
              <w:rFonts w:ascii="Arial" w:hAnsi="Arial" w:cs="Arial"/>
              <w:sz w:val="22"/>
              <w:szCs w:val="22"/>
            </w:rPr>
            <w:t xml:space="preserve"> the Court of Appeal of Saint Christopher and Nevis, with a similar issue of the power of the courts of that jurisdiction to recognise the order of appointment of a receiver appointed in a foreign court: i.e. the United States adopted the English position: namely, the test of sufficiency of connection: whether the defendant involved in the action has a sufficient connection with the jurisdiction in which the receiver was appointed.  It added that, in the absence of a statutory basis, the inherent jurisdiction of the court provides the requisite authority for the recognition of a foreign appointed receiver.  But where </w:t>
          </w:r>
          <w:r w:rsidR="000C73E5">
            <w:rPr>
              <w:rFonts w:ascii="Arial" w:hAnsi="Arial" w:cs="Arial"/>
              <w:sz w:val="22"/>
              <w:szCs w:val="22"/>
            </w:rPr>
            <w:t xml:space="preserve">a </w:t>
          </w:r>
          <w:r w:rsidR="000C73E5" w:rsidRPr="000B54A9">
            <w:rPr>
              <w:rFonts w:ascii="Arial" w:hAnsi="Arial" w:cs="Arial"/>
              <w:sz w:val="22"/>
              <w:szCs w:val="22"/>
            </w:rPr>
            <w:t>statute make</w:t>
          </w:r>
          <w:r w:rsidR="000C73E5">
            <w:rPr>
              <w:rFonts w:ascii="Arial" w:hAnsi="Arial" w:cs="Arial"/>
              <w:sz w:val="22"/>
              <w:szCs w:val="22"/>
            </w:rPr>
            <w:t>s</w:t>
          </w:r>
          <w:r w:rsidR="000C73E5" w:rsidRPr="000B54A9">
            <w:rPr>
              <w:rFonts w:ascii="Arial" w:hAnsi="Arial" w:cs="Arial"/>
              <w:sz w:val="22"/>
              <w:szCs w:val="22"/>
            </w:rPr>
            <w:t xml:space="preserve"> provision for any matter, the statu</w:t>
          </w:r>
          <w:r w:rsidR="000C73E5">
            <w:rPr>
              <w:rFonts w:ascii="Arial" w:hAnsi="Arial" w:cs="Arial"/>
              <w:sz w:val="22"/>
              <w:szCs w:val="22"/>
            </w:rPr>
            <w:t>t</w:t>
          </w:r>
          <w:r w:rsidR="000C73E5" w:rsidRPr="000B54A9">
            <w:rPr>
              <w:rFonts w:ascii="Arial" w:hAnsi="Arial" w:cs="Arial"/>
              <w:sz w:val="22"/>
              <w:szCs w:val="22"/>
            </w:rPr>
            <w:t xml:space="preserve">e will prevail and inherent jurisdiction may not be invoked. </w:t>
          </w:r>
        </w:p>
        <w:p w:rsidR="000C73E5" w:rsidRPr="000B54A9" w:rsidRDefault="000C73E5" w:rsidP="000C73E5">
          <w:pPr>
            <w:spacing w:line="360" w:lineRule="auto"/>
            <w:jc w:val="both"/>
            <w:rPr>
              <w:rFonts w:ascii="Arial" w:hAnsi="Arial" w:cs="Arial"/>
              <w:sz w:val="22"/>
              <w:szCs w:val="22"/>
            </w:rPr>
          </w:pPr>
        </w:p>
        <w:p w:rsidR="000C73E5" w:rsidRDefault="000C3198" w:rsidP="000C3198">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sz w:val="22"/>
              <w:szCs w:val="22"/>
            </w:rPr>
            <w:t>[53]</w:t>
          </w:r>
          <w:r>
            <w:rPr>
              <w:rFonts w:ascii="Arial" w:hAnsi="Arial" w:cs="Arial"/>
              <w:b/>
              <w:sz w:val="22"/>
              <w:szCs w:val="22"/>
            </w:rPr>
            <w:tab/>
          </w:r>
          <w:r w:rsidR="000C73E5" w:rsidRPr="000B54A9">
            <w:rPr>
              <w:rFonts w:ascii="Arial" w:hAnsi="Arial" w:cs="Arial"/>
              <w:sz w:val="22"/>
              <w:szCs w:val="22"/>
            </w:rPr>
            <w:t xml:space="preserve">In Seychelles, the </w:t>
          </w:r>
          <w:proofErr w:type="gramStart"/>
          <w:r w:rsidR="000C73E5" w:rsidRPr="000B54A9">
            <w:rPr>
              <w:rFonts w:ascii="Arial" w:hAnsi="Arial" w:cs="Arial"/>
              <w:sz w:val="22"/>
              <w:szCs w:val="22"/>
            </w:rPr>
            <w:t>procedure for the recognition of foreign judgments need</w:t>
          </w:r>
          <w:proofErr w:type="gramEnd"/>
          <w:r w:rsidR="000C73E5" w:rsidRPr="000B54A9">
            <w:rPr>
              <w:rFonts w:ascii="Arial" w:hAnsi="Arial" w:cs="Arial"/>
              <w:sz w:val="22"/>
              <w:szCs w:val="22"/>
            </w:rPr>
            <w:t xml:space="preserve"> to be looked not so much </w:t>
          </w:r>
          <w:r w:rsidR="000C73E5">
            <w:rPr>
              <w:rFonts w:ascii="Arial" w:hAnsi="Arial" w:cs="Arial"/>
              <w:sz w:val="22"/>
              <w:szCs w:val="22"/>
            </w:rPr>
            <w:t xml:space="preserve">in the context of </w:t>
          </w:r>
          <w:r w:rsidR="000C73E5" w:rsidRPr="000B54A9">
            <w:rPr>
              <w:rFonts w:ascii="Arial" w:hAnsi="Arial" w:cs="Arial"/>
              <w:sz w:val="22"/>
              <w:szCs w:val="22"/>
            </w:rPr>
            <w:t xml:space="preserve">common law </w:t>
          </w:r>
          <w:r w:rsidR="000C73E5">
            <w:rPr>
              <w:rFonts w:ascii="Arial" w:hAnsi="Arial" w:cs="Arial"/>
              <w:sz w:val="22"/>
              <w:szCs w:val="22"/>
            </w:rPr>
            <w:t>but in the context of our written C</w:t>
          </w:r>
          <w:r w:rsidR="000C73E5" w:rsidRPr="000B54A9">
            <w:rPr>
              <w:rFonts w:ascii="Arial" w:hAnsi="Arial" w:cs="Arial"/>
              <w:sz w:val="22"/>
              <w:szCs w:val="22"/>
            </w:rPr>
            <w:t>onstitution. What is our jurisdiction to adopt the English position in recogni</w:t>
          </w:r>
          <w:r w:rsidR="000C73E5">
            <w:rPr>
              <w:rFonts w:ascii="Arial" w:hAnsi="Arial" w:cs="Arial"/>
              <w:sz w:val="22"/>
              <w:szCs w:val="22"/>
            </w:rPr>
            <w:t xml:space="preserve">sing </w:t>
          </w:r>
          <w:r w:rsidR="000C73E5" w:rsidRPr="000B54A9">
            <w:rPr>
              <w:rFonts w:ascii="Arial" w:hAnsi="Arial" w:cs="Arial"/>
              <w:sz w:val="22"/>
              <w:szCs w:val="22"/>
            </w:rPr>
            <w:t xml:space="preserve">foreign receivership orders, the type that was made in </w:t>
          </w:r>
          <w:r w:rsidR="000C73E5" w:rsidRPr="00BA4792">
            <w:rPr>
              <w:rFonts w:ascii="Arial" w:hAnsi="Arial" w:cs="Arial"/>
              <w:b/>
              <w:sz w:val="22"/>
              <w:szCs w:val="22"/>
            </w:rPr>
            <w:t>Schemmer v. Property Resources Ltd [supra]</w:t>
          </w:r>
          <w:r w:rsidR="000C73E5" w:rsidRPr="000B54A9">
            <w:rPr>
              <w:rFonts w:ascii="Arial" w:hAnsi="Arial" w:cs="Arial"/>
              <w:sz w:val="22"/>
              <w:szCs w:val="22"/>
            </w:rPr>
            <w:t xml:space="preserve">? </w:t>
          </w:r>
        </w:p>
        <w:p w:rsidR="000C3198" w:rsidRPr="000B54A9" w:rsidRDefault="000C3198" w:rsidP="000C3198">
          <w:pPr>
            <w:pStyle w:val="ListParagraph"/>
            <w:widowControl/>
            <w:autoSpaceDE/>
            <w:autoSpaceDN/>
            <w:adjustRightInd/>
            <w:spacing w:after="200" w:line="360" w:lineRule="auto"/>
            <w:ind w:hanging="720"/>
            <w:jc w:val="both"/>
            <w:rPr>
              <w:rFonts w:ascii="Arial" w:hAnsi="Arial" w:cs="Arial"/>
              <w:sz w:val="22"/>
              <w:szCs w:val="22"/>
            </w:rPr>
          </w:pPr>
        </w:p>
        <w:p w:rsidR="000C73E5" w:rsidRPr="000C3198" w:rsidRDefault="000C3198" w:rsidP="000C3198">
          <w:pPr>
            <w:widowControl/>
            <w:autoSpaceDE/>
            <w:autoSpaceDN/>
            <w:adjustRightInd/>
            <w:spacing w:after="200" w:line="360" w:lineRule="auto"/>
            <w:jc w:val="both"/>
            <w:rPr>
              <w:rFonts w:ascii="Arial" w:hAnsi="Arial" w:cs="Arial"/>
              <w:sz w:val="22"/>
              <w:szCs w:val="22"/>
            </w:rPr>
          </w:pPr>
          <w:r>
            <w:rPr>
              <w:rFonts w:ascii="Arial" w:hAnsi="Arial" w:cs="Arial"/>
              <w:b/>
              <w:sz w:val="22"/>
              <w:szCs w:val="22"/>
            </w:rPr>
            <w:t>[54]</w:t>
          </w:r>
          <w:r>
            <w:rPr>
              <w:rFonts w:ascii="Arial" w:hAnsi="Arial" w:cs="Arial"/>
              <w:b/>
              <w:sz w:val="22"/>
              <w:szCs w:val="22"/>
            </w:rPr>
            <w:tab/>
          </w:r>
          <w:r w:rsidR="000C73E5" w:rsidRPr="000C3198">
            <w:rPr>
              <w:rFonts w:ascii="Arial" w:hAnsi="Arial" w:cs="Arial"/>
              <w:sz w:val="22"/>
              <w:szCs w:val="22"/>
            </w:rPr>
            <w:t>Article 125 of the Constitution provides:</w:t>
          </w:r>
        </w:p>
        <w:p w:rsidR="000C3198" w:rsidRDefault="000C73E5" w:rsidP="000C3198">
          <w:pPr>
            <w:spacing w:line="360" w:lineRule="auto"/>
            <w:ind w:left="1440" w:right="720"/>
            <w:jc w:val="both"/>
            <w:rPr>
              <w:rFonts w:ascii="Arial" w:hAnsi="Arial" w:cs="Arial"/>
              <w:i/>
              <w:sz w:val="22"/>
              <w:szCs w:val="22"/>
            </w:rPr>
          </w:pPr>
          <w:r w:rsidRPr="00A50EF0">
            <w:rPr>
              <w:rFonts w:ascii="Arial" w:hAnsi="Arial" w:cs="Arial"/>
              <w:i/>
              <w:sz w:val="22"/>
              <w:szCs w:val="22"/>
            </w:rPr>
            <w:t>“There shall be a Supreme Court which shall, in addition to the jurisdiction</w:t>
          </w:r>
          <w:r w:rsidR="000C3198">
            <w:rPr>
              <w:rFonts w:ascii="Arial" w:hAnsi="Arial" w:cs="Arial"/>
              <w:i/>
              <w:sz w:val="22"/>
              <w:szCs w:val="22"/>
            </w:rPr>
            <w:t xml:space="preserve"> </w:t>
          </w:r>
        </w:p>
        <w:p w:rsidR="000C73E5" w:rsidRPr="00A50EF0" w:rsidRDefault="000C73E5" w:rsidP="000C3198">
          <w:pPr>
            <w:spacing w:line="360" w:lineRule="auto"/>
            <w:ind w:left="1440" w:right="720"/>
            <w:jc w:val="both"/>
            <w:rPr>
              <w:rFonts w:ascii="Arial" w:hAnsi="Arial" w:cs="Arial"/>
              <w:i/>
              <w:sz w:val="22"/>
              <w:szCs w:val="22"/>
            </w:rPr>
          </w:pPr>
          <w:r w:rsidRPr="00A50EF0">
            <w:rPr>
              <w:rFonts w:ascii="Arial" w:hAnsi="Arial" w:cs="Arial"/>
              <w:i/>
              <w:sz w:val="22"/>
              <w:szCs w:val="22"/>
            </w:rPr>
            <w:lastRenderedPageBreak/>
            <w:t xml:space="preserve"> </w:t>
          </w:r>
          <w:proofErr w:type="gramStart"/>
          <w:r w:rsidRPr="00A50EF0">
            <w:rPr>
              <w:rFonts w:ascii="Arial" w:hAnsi="Arial" w:cs="Arial"/>
              <w:i/>
              <w:sz w:val="22"/>
              <w:szCs w:val="22"/>
            </w:rPr>
            <w:t>and</w:t>
          </w:r>
          <w:proofErr w:type="gramEnd"/>
          <w:r w:rsidRPr="00A50EF0">
            <w:rPr>
              <w:rFonts w:ascii="Arial" w:hAnsi="Arial" w:cs="Arial"/>
              <w:i/>
              <w:sz w:val="22"/>
              <w:szCs w:val="22"/>
            </w:rPr>
            <w:t xml:space="preserve"> powers conferred by this Constitution, have –</w:t>
          </w:r>
        </w:p>
        <w:p w:rsidR="000C73E5" w:rsidRPr="00A50EF0" w:rsidRDefault="000C73E5" w:rsidP="000C3198">
          <w:pPr>
            <w:pStyle w:val="ListParagraph"/>
            <w:widowControl/>
            <w:numPr>
              <w:ilvl w:val="0"/>
              <w:numId w:val="12"/>
            </w:numPr>
            <w:autoSpaceDE/>
            <w:autoSpaceDN/>
            <w:adjustRightInd/>
            <w:spacing w:after="200" w:line="360" w:lineRule="auto"/>
            <w:ind w:hanging="720"/>
            <w:jc w:val="both"/>
            <w:rPr>
              <w:rFonts w:ascii="Arial" w:hAnsi="Arial" w:cs="Arial"/>
              <w:i/>
              <w:sz w:val="22"/>
              <w:szCs w:val="22"/>
            </w:rPr>
          </w:pPr>
          <w:r w:rsidRPr="00A50EF0">
            <w:rPr>
              <w:rFonts w:ascii="Arial" w:hAnsi="Arial" w:cs="Arial"/>
              <w:i/>
              <w:sz w:val="22"/>
              <w:szCs w:val="22"/>
            </w:rPr>
            <w:t xml:space="preserve">original jurisdiction in matters relating to the application, contravention, enforcement or interpretation of this Constitution;  </w:t>
          </w:r>
        </w:p>
        <w:p w:rsidR="000C73E5" w:rsidRPr="00A50EF0" w:rsidRDefault="000C73E5" w:rsidP="000C3198">
          <w:pPr>
            <w:pStyle w:val="ListParagraph"/>
            <w:widowControl/>
            <w:numPr>
              <w:ilvl w:val="0"/>
              <w:numId w:val="12"/>
            </w:numPr>
            <w:autoSpaceDE/>
            <w:autoSpaceDN/>
            <w:adjustRightInd/>
            <w:spacing w:after="200" w:line="360" w:lineRule="auto"/>
            <w:ind w:hanging="720"/>
            <w:jc w:val="both"/>
            <w:rPr>
              <w:rFonts w:ascii="Arial" w:hAnsi="Arial" w:cs="Arial"/>
              <w:i/>
              <w:sz w:val="22"/>
              <w:szCs w:val="22"/>
            </w:rPr>
          </w:pPr>
          <w:r w:rsidRPr="00A50EF0">
            <w:rPr>
              <w:rFonts w:ascii="Arial" w:hAnsi="Arial" w:cs="Arial"/>
              <w:i/>
              <w:sz w:val="22"/>
              <w:szCs w:val="22"/>
            </w:rPr>
            <w:t>original jurisdiction in civil and criminal matters;</w:t>
          </w:r>
        </w:p>
        <w:p w:rsidR="000C73E5" w:rsidRPr="00A50EF0" w:rsidRDefault="000C73E5" w:rsidP="000C3198">
          <w:pPr>
            <w:pStyle w:val="ListParagraph"/>
            <w:widowControl/>
            <w:numPr>
              <w:ilvl w:val="0"/>
              <w:numId w:val="12"/>
            </w:numPr>
            <w:autoSpaceDE/>
            <w:autoSpaceDN/>
            <w:adjustRightInd/>
            <w:spacing w:after="200" w:line="360" w:lineRule="auto"/>
            <w:ind w:hanging="720"/>
            <w:jc w:val="both"/>
            <w:rPr>
              <w:rFonts w:ascii="Arial" w:hAnsi="Arial" w:cs="Arial"/>
              <w:i/>
              <w:sz w:val="22"/>
              <w:szCs w:val="22"/>
            </w:rPr>
          </w:pPr>
          <w:r w:rsidRPr="00A50EF0">
            <w:rPr>
              <w:rFonts w:ascii="Arial" w:hAnsi="Arial" w:cs="Arial"/>
              <w:i/>
              <w:sz w:val="22"/>
              <w:szCs w:val="22"/>
            </w:rPr>
            <w:t xml:space="preserve">supervisory jurisdiction over subordinate courts, tribunals and adjudicating authority ….; and </w:t>
          </w:r>
        </w:p>
        <w:p w:rsidR="000C73E5" w:rsidRDefault="000C73E5" w:rsidP="000C3198">
          <w:pPr>
            <w:pStyle w:val="ListParagraph"/>
            <w:widowControl/>
            <w:numPr>
              <w:ilvl w:val="0"/>
              <w:numId w:val="12"/>
            </w:numPr>
            <w:autoSpaceDE/>
            <w:autoSpaceDN/>
            <w:adjustRightInd/>
            <w:spacing w:after="200" w:line="360" w:lineRule="auto"/>
            <w:ind w:hanging="720"/>
            <w:jc w:val="both"/>
            <w:rPr>
              <w:rFonts w:ascii="Arial" w:hAnsi="Arial" w:cs="Arial"/>
              <w:sz w:val="22"/>
              <w:szCs w:val="22"/>
            </w:rPr>
          </w:pPr>
          <w:proofErr w:type="gramStart"/>
          <w:r w:rsidRPr="00A50EF0">
            <w:rPr>
              <w:rFonts w:ascii="Arial" w:hAnsi="Arial" w:cs="Arial"/>
              <w:i/>
              <w:sz w:val="22"/>
              <w:szCs w:val="22"/>
            </w:rPr>
            <w:t>such</w:t>
          </w:r>
          <w:proofErr w:type="gramEnd"/>
          <w:r w:rsidRPr="00A50EF0">
            <w:rPr>
              <w:rFonts w:ascii="Arial" w:hAnsi="Arial" w:cs="Arial"/>
              <w:i/>
              <w:sz w:val="22"/>
              <w:szCs w:val="22"/>
            </w:rPr>
            <w:t xml:space="preserve"> other original, appellate and other jurisdiction as may be conferred on it by or under an Act.</w:t>
          </w:r>
          <w:r>
            <w:rPr>
              <w:rFonts w:ascii="Arial" w:hAnsi="Arial" w:cs="Arial"/>
              <w:i/>
              <w:sz w:val="22"/>
              <w:szCs w:val="22"/>
            </w:rPr>
            <w:t>”</w:t>
          </w:r>
          <w:r w:rsidRPr="000B54A9">
            <w:rPr>
              <w:rFonts w:ascii="Arial" w:hAnsi="Arial" w:cs="Arial"/>
              <w:sz w:val="22"/>
              <w:szCs w:val="22"/>
            </w:rPr>
            <w:t xml:space="preserve"> </w:t>
          </w:r>
        </w:p>
        <w:p w:rsidR="000C3198" w:rsidRPr="000B54A9" w:rsidRDefault="000C3198" w:rsidP="000C3198">
          <w:pPr>
            <w:pStyle w:val="ListParagraph"/>
            <w:widowControl/>
            <w:autoSpaceDE/>
            <w:autoSpaceDN/>
            <w:adjustRightInd/>
            <w:spacing w:after="200" w:line="360" w:lineRule="auto"/>
            <w:ind w:left="2880"/>
            <w:jc w:val="both"/>
            <w:rPr>
              <w:rFonts w:ascii="Arial" w:hAnsi="Arial" w:cs="Arial"/>
              <w:sz w:val="22"/>
              <w:szCs w:val="22"/>
            </w:rPr>
          </w:pPr>
        </w:p>
        <w:p w:rsidR="000C73E5" w:rsidRPr="000B54A9" w:rsidRDefault="000C3198" w:rsidP="000C3198">
          <w:pPr>
            <w:pStyle w:val="ListParagraph"/>
            <w:widowControl/>
            <w:autoSpaceDE/>
            <w:autoSpaceDN/>
            <w:adjustRightInd/>
            <w:spacing w:after="200" w:line="360" w:lineRule="auto"/>
            <w:ind w:hanging="720"/>
            <w:jc w:val="both"/>
            <w:rPr>
              <w:rFonts w:ascii="Arial" w:hAnsi="Arial" w:cs="Arial"/>
              <w:b/>
              <w:bCs/>
              <w:color w:val="000000"/>
              <w:sz w:val="22"/>
              <w:szCs w:val="22"/>
            </w:rPr>
          </w:pPr>
          <w:r>
            <w:rPr>
              <w:rFonts w:ascii="Arial" w:hAnsi="Arial" w:cs="Arial"/>
              <w:b/>
              <w:sz w:val="22"/>
              <w:szCs w:val="22"/>
            </w:rPr>
            <w:t>[55]</w:t>
          </w:r>
          <w:r>
            <w:rPr>
              <w:rFonts w:ascii="Arial" w:hAnsi="Arial" w:cs="Arial"/>
              <w:b/>
              <w:sz w:val="22"/>
              <w:szCs w:val="22"/>
            </w:rPr>
            <w:tab/>
          </w:r>
          <w:r w:rsidR="000C73E5" w:rsidRPr="000B54A9">
            <w:rPr>
              <w:rFonts w:ascii="Arial" w:hAnsi="Arial" w:cs="Arial"/>
              <w:sz w:val="22"/>
              <w:szCs w:val="22"/>
            </w:rPr>
            <w:t xml:space="preserve">From then on, we proceed to examine the provision of the Courts Act which vests various jurisdictions upon the Supreme Court of Seychelles. With regard to its </w:t>
          </w:r>
          <w:r w:rsidR="000C73E5" w:rsidRPr="00F70DED">
            <w:rPr>
              <w:rFonts w:ascii="Arial" w:hAnsi="Arial" w:cs="Arial"/>
              <w:sz w:val="22"/>
              <w:szCs w:val="22"/>
            </w:rPr>
            <w:t>g</w:t>
          </w:r>
          <w:r w:rsidR="000C73E5" w:rsidRPr="00F70DED">
            <w:rPr>
              <w:rFonts w:ascii="Arial" w:hAnsi="Arial" w:cs="Arial"/>
              <w:bCs/>
              <w:color w:val="000000"/>
              <w:sz w:val="22"/>
              <w:szCs w:val="22"/>
            </w:rPr>
            <w:t>eneral jurisdiction, section 4 provides:</w:t>
          </w:r>
          <w:r w:rsidR="000C73E5" w:rsidRPr="000B54A9">
            <w:rPr>
              <w:rFonts w:ascii="Arial" w:hAnsi="Arial" w:cs="Arial"/>
              <w:b/>
              <w:bCs/>
              <w:color w:val="000000"/>
              <w:sz w:val="22"/>
              <w:szCs w:val="22"/>
            </w:rPr>
            <w:t xml:space="preserve"> </w:t>
          </w:r>
        </w:p>
        <w:p w:rsidR="000C73E5" w:rsidRPr="00A50EF0" w:rsidRDefault="000C73E5" w:rsidP="000C3198">
          <w:pPr>
            <w:pStyle w:val="estatutes-1-section"/>
            <w:shd w:val="clear" w:color="auto" w:fill="FFFFFF"/>
            <w:spacing w:line="360" w:lineRule="auto"/>
            <w:ind w:left="1530" w:right="720"/>
            <w:jc w:val="both"/>
            <w:rPr>
              <w:rFonts w:ascii="Arial" w:hAnsi="Arial" w:cs="Arial"/>
              <w:i/>
              <w:color w:val="000000"/>
              <w:sz w:val="22"/>
              <w:szCs w:val="22"/>
              <w:lang w:val="en-GB"/>
            </w:rPr>
          </w:pPr>
          <w:r w:rsidRPr="00A50EF0">
            <w:rPr>
              <w:rFonts w:ascii="Arial" w:hAnsi="Arial" w:cs="Arial"/>
              <w:i/>
              <w:color w:val="000000"/>
              <w:sz w:val="22"/>
              <w:szCs w:val="22"/>
              <w:lang w:val="en-GB"/>
            </w:rPr>
            <w:t>“4.The Supreme Court shall be a Superior Court of Record and, in addition to any other jurisdiction conferred by this Act or any other law, shall have and may exercise the powers, authorities and jurisdiction possessed and exercised by the High Court of Justice in England.”</w:t>
          </w:r>
        </w:p>
        <w:p w:rsidR="000C73E5" w:rsidRPr="000B54A9" w:rsidRDefault="000C3198" w:rsidP="000C3198">
          <w:pPr>
            <w:pStyle w:val="ListParagraph"/>
            <w:widowControl/>
            <w:autoSpaceDE/>
            <w:autoSpaceDN/>
            <w:adjustRightInd/>
            <w:spacing w:after="200" w:line="360" w:lineRule="auto"/>
            <w:ind w:left="0"/>
            <w:jc w:val="both"/>
            <w:rPr>
              <w:rFonts w:ascii="Arial" w:hAnsi="Arial" w:cs="Arial"/>
              <w:b/>
              <w:bCs/>
              <w:color w:val="000000"/>
              <w:sz w:val="22"/>
              <w:szCs w:val="22"/>
            </w:rPr>
          </w:pPr>
          <w:r>
            <w:rPr>
              <w:rFonts w:ascii="Arial" w:hAnsi="Arial" w:cs="Arial"/>
              <w:b/>
              <w:color w:val="000000"/>
              <w:sz w:val="22"/>
              <w:szCs w:val="22"/>
            </w:rPr>
            <w:t>[56]</w:t>
          </w:r>
          <w:r>
            <w:rPr>
              <w:rFonts w:ascii="Arial" w:hAnsi="Arial" w:cs="Arial"/>
              <w:b/>
              <w:color w:val="000000"/>
              <w:sz w:val="22"/>
              <w:szCs w:val="22"/>
            </w:rPr>
            <w:tab/>
          </w:r>
          <w:r w:rsidR="000C73E5" w:rsidRPr="000B54A9">
            <w:rPr>
              <w:rFonts w:ascii="Arial" w:hAnsi="Arial" w:cs="Arial"/>
              <w:color w:val="000000"/>
              <w:sz w:val="22"/>
              <w:szCs w:val="22"/>
            </w:rPr>
            <w:t xml:space="preserve">As regards civil jurisdiction, section 5 reads: </w:t>
          </w:r>
          <w:bookmarkStart w:id="1" w:name="_Toc410900327"/>
          <w:bookmarkStart w:id="2" w:name="zoupio-_Toc393721344"/>
          <w:bookmarkEnd w:id="1"/>
          <w:bookmarkEnd w:id="2"/>
        </w:p>
        <w:p w:rsidR="000C73E5" w:rsidRPr="00A50EF0" w:rsidRDefault="000C73E5" w:rsidP="000C3198">
          <w:pPr>
            <w:pStyle w:val="estatutes-1-section"/>
            <w:shd w:val="clear" w:color="auto" w:fill="FFFFFF"/>
            <w:spacing w:line="360" w:lineRule="auto"/>
            <w:ind w:left="1530" w:right="720"/>
            <w:jc w:val="both"/>
            <w:rPr>
              <w:rFonts w:ascii="Arial" w:hAnsi="Arial" w:cs="Arial"/>
              <w:i/>
              <w:color w:val="000000"/>
              <w:sz w:val="22"/>
              <w:szCs w:val="22"/>
              <w:lang w:val="en-GB"/>
            </w:rPr>
          </w:pPr>
          <w:r w:rsidRPr="00A50EF0">
            <w:rPr>
              <w:rFonts w:ascii="Arial" w:hAnsi="Arial" w:cs="Arial"/>
              <w:i/>
              <w:color w:val="000000"/>
              <w:sz w:val="22"/>
              <w:szCs w:val="22"/>
              <w:lang w:val="en-GB"/>
            </w:rPr>
            <w:t>“5.</w:t>
          </w:r>
          <w:bookmarkStart w:id="3" w:name="S05"/>
          <w:bookmarkEnd w:id="3"/>
          <w:r w:rsidRPr="00A50EF0">
            <w:rPr>
              <w:rFonts w:ascii="Arial" w:hAnsi="Arial" w:cs="Arial"/>
              <w:i/>
              <w:color w:val="000000"/>
              <w:sz w:val="22"/>
              <w:szCs w:val="22"/>
              <w:lang w:val="en-GB"/>
            </w:rPr>
            <w:t>The Supreme Court shall continue to have, and is hereby invested with full original jurisdiction to hear and determine all suits, actions, causes, and matters under all laws for the time being in force in Seychelles relating to wills and execution of wills, interdiction or appointment of a Curator, guardianship of minors, adoption, insolvency, bankruptcy, matrimonial causes and generally to hear and determine all civil suits, actions, causes and matters that may be the nature of such suits, actions, causes or matters, and, in exercising such jurisdiction, the Supreme Court shall have, and is hereby invested with, all the powers, privileges, authority, and jurisdiction which is vested in, or capable of being exercised by the High Court of Justice in England.”</w:t>
          </w:r>
          <w:bookmarkStart w:id="4" w:name="_Toc410900328"/>
          <w:bookmarkStart w:id="5" w:name="zoupio-_Toc393721345"/>
          <w:bookmarkStart w:id="6" w:name="_Toc393721345"/>
          <w:bookmarkEnd w:id="4"/>
          <w:bookmarkEnd w:id="5"/>
        </w:p>
        <w:p w:rsidR="000C73E5" w:rsidRPr="000B54A9" w:rsidRDefault="000C3198" w:rsidP="000C3198">
          <w:pPr>
            <w:pStyle w:val="ListParagraph"/>
            <w:widowControl/>
            <w:autoSpaceDE/>
            <w:autoSpaceDN/>
            <w:adjustRightInd/>
            <w:spacing w:after="200" w:line="360" w:lineRule="auto"/>
            <w:ind w:left="0"/>
            <w:jc w:val="both"/>
            <w:rPr>
              <w:rFonts w:ascii="Arial" w:hAnsi="Arial" w:cs="Arial"/>
              <w:color w:val="000000"/>
              <w:sz w:val="22"/>
              <w:szCs w:val="22"/>
            </w:rPr>
          </w:pPr>
          <w:r>
            <w:rPr>
              <w:rFonts w:ascii="Arial" w:hAnsi="Arial" w:cs="Arial"/>
              <w:b/>
              <w:color w:val="000000"/>
              <w:sz w:val="22"/>
              <w:szCs w:val="22"/>
            </w:rPr>
            <w:t>[57]</w:t>
          </w:r>
          <w:r>
            <w:rPr>
              <w:rFonts w:ascii="Arial" w:hAnsi="Arial" w:cs="Arial"/>
              <w:b/>
              <w:color w:val="000000"/>
              <w:sz w:val="22"/>
              <w:szCs w:val="22"/>
            </w:rPr>
            <w:tab/>
          </w:r>
          <w:r w:rsidR="000C73E5" w:rsidRPr="000B54A9">
            <w:rPr>
              <w:rFonts w:ascii="Arial" w:hAnsi="Arial" w:cs="Arial"/>
              <w:color w:val="000000"/>
              <w:sz w:val="22"/>
              <w:szCs w:val="22"/>
            </w:rPr>
            <w:t xml:space="preserve">And as regards equity jurisdiction, section 6 provides: </w:t>
          </w:r>
          <w:bookmarkEnd w:id="6"/>
        </w:p>
        <w:p w:rsidR="000C73E5" w:rsidRPr="00A50EF0" w:rsidRDefault="000C73E5" w:rsidP="000C3198">
          <w:pPr>
            <w:pStyle w:val="estatutes-1-section"/>
            <w:shd w:val="clear" w:color="auto" w:fill="FFFFFF"/>
            <w:spacing w:line="360" w:lineRule="auto"/>
            <w:ind w:left="1530" w:right="720"/>
            <w:jc w:val="both"/>
            <w:rPr>
              <w:rFonts w:ascii="Arial" w:hAnsi="Arial" w:cs="Arial"/>
              <w:i/>
              <w:color w:val="000000"/>
              <w:sz w:val="22"/>
              <w:szCs w:val="22"/>
              <w:lang w:val="en-GB"/>
            </w:rPr>
          </w:pPr>
          <w:r w:rsidRPr="00A50EF0">
            <w:rPr>
              <w:rFonts w:ascii="Arial" w:hAnsi="Arial" w:cs="Arial"/>
              <w:i/>
              <w:color w:val="000000"/>
              <w:sz w:val="22"/>
              <w:szCs w:val="22"/>
              <w:lang w:val="en-GB"/>
            </w:rPr>
            <w:lastRenderedPageBreak/>
            <w:t>“6.</w:t>
          </w:r>
          <w:bookmarkStart w:id="7" w:name="S06"/>
          <w:bookmarkEnd w:id="7"/>
          <w:r w:rsidRPr="00A50EF0">
            <w:rPr>
              <w:rFonts w:ascii="Arial" w:hAnsi="Arial" w:cs="Arial"/>
              <w:i/>
              <w:color w:val="000000"/>
              <w:sz w:val="22"/>
              <w:szCs w:val="22"/>
              <w:lang w:val="en-GB"/>
            </w:rPr>
            <w:t xml:space="preserve"> The Supreme Court shall continue to be a Court of Equity and is hereby invested with powers, authority, and jurisdiction to administer justice and to do all acts for the due execution of such equitable jurisdiction in all cases where no sufficient legal remedy is provided by the law of Seychelles.” </w:t>
          </w:r>
          <w:bookmarkStart w:id="8" w:name="_Toc410900329"/>
          <w:bookmarkStart w:id="9" w:name="zoupio-_Toc393721346"/>
          <w:bookmarkStart w:id="10" w:name="_Toc393721346"/>
          <w:bookmarkEnd w:id="8"/>
          <w:bookmarkEnd w:id="9"/>
        </w:p>
        <w:p w:rsidR="000C73E5" w:rsidRPr="00F70DED" w:rsidRDefault="000C3198" w:rsidP="000C3198">
          <w:pPr>
            <w:pStyle w:val="ListParagraph"/>
            <w:widowControl/>
            <w:autoSpaceDE/>
            <w:autoSpaceDN/>
            <w:adjustRightInd/>
            <w:spacing w:after="200" w:line="360" w:lineRule="auto"/>
            <w:ind w:hanging="720"/>
            <w:jc w:val="both"/>
            <w:rPr>
              <w:rFonts w:ascii="Arial" w:hAnsi="Arial" w:cs="Arial"/>
              <w:color w:val="000000"/>
              <w:sz w:val="22"/>
              <w:szCs w:val="22"/>
            </w:rPr>
          </w:pPr>
          <w:r>
            <w:rPr>
              <w:rFonts w:ascii="Arial" w:hAnsi="Arial" w:cs="Arial"/>
              <w:b/>
              <w:color w:val="000000"/>
              <w:sz w:val="22"/>
              <w:szCs w:val="22"/>
            </w:rPr>
            <w:t>[58]</w:t>
          </w:r>
          <w:r>
            <w:rPr>
              <w:rFonts w:ascii="Arial" w:hAnsi="Arial" w:cs="Arial"/>
              <w:b/>
              <w:color w:val="000000"/>
              <w:sz w:val="22"/>
              <w:szCs w:val="22"/>
            </w:rPr>
            <w:tab/>
          </w:r>
          <w:r w:rsidR="000C73E5" w:rsidRPr="00E901F9">
            <w:rPr>
              <w:rFonts w:ascii="Arial" w:hAnsi="Arial" w:cs="Arial"/>
              <w:color w:val="000000"/>
              <w:sz w:val="22"/>
              <w:szCs w:val="22"/>
            </w:rPr>
            <w:t>But there is more</w:t>
          </w:r>
          <w:r w:rsidR="000C73E5">
            <w:rPr>
              <w:rFonts w:ascii="Arial" w:hAnsi="Arial" w:cs="Arial"/>
              <w:color w:val="000000"/>
              <w:sz w:val="22"/>
              <w:szCs w:val="22"/>
            </w:rPr>
            <w:t>. A</w:t>
          </w:r>
          <w:r w:rsidR="000C73E5" w:rsidRPr="00E901F9">
            <w:rPr>
              <w:rFonts w:ascii="Arial" w:hAnsi="Arial" w:cs="Arial"/>
              <w:color w:val="000000"/>
              <w:sz w:val="22"/>
              <w:szCs w:val="22"/>
            </w:rPr>
            <w:t>fter vesting a</w:t>
          </w:r>
          <w:r w:rsidR="000C73E5" w:rsidRPr="00E901F9">
            <w:rPr>
              <w:rFonts w:ascii="Arial" w:hAnsi="Arial" w:cs="Arial"/>
              <w:bCs/>
              <w:color w:val="000000"/>
              <w:sz w:val="22"/>
              <w:szCs w:val="22"/>
            </w:rPr>
            <w:t>dmiralty jurisdiction</w:t>
          </w:r>
          <w:bookmarkEnd w:id="10"/>
          <w:r w:rsidR="000C73E5" w:rsidRPr="00E901F9">
            <w:rPr>
              <w:rFonts w:ascii="Arial" w:hAnsi="Arial" w:cs="Arial"/>
              <w:bCs/>
              <w:color w:val="000000"/>
              <w:sz w:val="22"/>
              <w:szCs w:val="22"/>
            </w:rPr>
            <w:t xml:space="preserve"> in section 7</w:t>
          </w:r>
          <w:r w:rsidR="000C73E5">
            <w:rPr>
              <w:rFonts w:ascii="Arial" w:hAnsi="Arial" w:cs="Arial"/>
              <w:bCs/>
              <w:color w:val="000000"/>
              <w:sz w:val="22"/>
              <w:szCs w:val="22"/>
            </w:rPr>
            <w:t xml:space="preserve"> </w:t>
          </w:r>
          <w:proofErr w:type="gramStart"/>
          <w:r w:rsidR="000C73E5">
            <w:rPr>
              <w:rFonts w:ascii="Arial" w:hAnsi="Arial" w:cs="Arial"/>
              <w:bCs/>
              <w:color w:val="000000"/>
              <w:sz w:val="22"/>
              <w:szCs w:val="22"/>
            </w:rPr>
            <w:t>and</w:t>
          </w:r>
          <w:r w:rsidR="000C73E5" w:rsidRPr="00E901F9">
            <w:rPr>
              <w:rFonts w:ascii="Arial" w:hAnsi="Arial" w:cs="Arial"/>
              <w:bCs/>
              <w:color w:val="000000"/>
              <w:sz w:val="22"/>
              <w:szCs w:val="22"/>
            </w:rPr>
            <w:t xml:space="preserve">  jurisdiction</w:t>
          </w:r>
          <w:proofErr w:type="gramEnd"/>
          <w:r w:rsidR="000C73E5" w:rsidRPr="00E901F9">
            <w:rPr>
              <w:rFonts w:ascii="Arial" w:hAnsi="Arial" w:cs="Arial"/>
              <w:bCs/>
              <w:color w:val="000000"/>
              <w:sz w:val="22"/>
              <w:szCs w:val="22"/>
            </w:rPr>
            <w:t xml:space="preserve"> in disciplinary matters over the legal profession in section 8, it </w:t>
          </w:r>
          <w:r w:rsidR="000C73E5">
            <w:rPr>
              <w:rFonts w:ascii="Arial" w:hAnsi="Arial" w:cs="Arial"/>
              <w:bCs/>
              <w:color w:val="000000"/>
              <w:sz w:val="22"/>
              <w:szCs w:val="22"/>
            </w:rPr>
            <w:t xml:space="preserve">specifically vests </w:t>
          </w:r>
          <w:r w:rsidR="000C73E5" w:rsidRPr="00E901F9">
            <w:rPr>
              <w:rFonts w:ascii="Arial" w:hAnsi="Arial" w:cs="Arial"/>
              <w:bCs/>
              <w:color w:val="000000"/>
              <w:sz w:val="22"/>
              <w:szCs w:val="22"/>
            </w:rPr>
            <w:t xml:space="preserve">all the powers and privileges of the High Court of Justice in England </w:t>
          </w:r>
          <w:r w:rsidR="000C73E5">
            <w:rPr>
              <w:rFonts w:ascii="Arial" w:hAnsi="Arial" w:cs="Arial"/>
              <w:bCs/>
              <w:color w:val="000000"/>
              <w:sz w:val="22"/>
              <w:szCs w:val="22"/>
            </w:rPr>
            <w:t xml:space="preserve">as regards the </w:t>
          </w:r>
          <w:r w:rsidR="000C73E5" w:rsidRPr="00E901F9">
            <w:rPr>
              <w:rFonts w:ascii="Arial" w:hAnsi="Arial" w:cs="Arial"/>
              <w:bCs/>
              <w:color w:val="000000"/>
              <w:sz w:val="22"/>
              <w:szCs w:val="22"/>
            </w:rPr>
            <w:t>criminal, appellate j</w:t>
          </w:r>
          <w:r w:rsidR="000C73E5">
            <w:rPr>
              <w:rFonts w:ascii="Arial" w:hAnsi="Arial" w:cs="Arial"/>
              <w:bCs/>
              <w:color w:val="000000"/>
              <w:sz w:val="22"/>
              <w:szCs w:val="22"/>
            </w:rPr>
            <w:t>urisdiction in section 9 and 10 to the Supreme Court of Seychelles.</w:t>
          </w:r>
        </w:p>
        <w:p w:rsidR="000C73E5" w:rsidRPr="00E901F9" w:rsidRDefault="000C73E5" w:rsidP="000C73E5">
          <w:pPr>
            <w:pStyle w:val="ListParagraph"/>
            <w:widowControl/>
            <w:autoSpaceDE/>
            <w:autoSpaceDN/>
            <w:adjustRightInd/>
            <w:spacing w:after="200" w:line="360" w:lineRule="auto"/>
            <w:ind w:left="2160"/>
            <w:jc w:val="both"/>
            <w:rPr>
              <w:rFonts w:ascii="Arial" w:hAnsi="Arial" w:cs="Arial"/>
              <w:color w:val="000000"/>
              <w:sz w:val="22"/>
              <w:szCs w:val="22"/>
            </w:rPr>
          </w:pPr>
        </w:p>
        <w:p w:rsidR="000C73E5" w:rsidRPr="00E901F9" w:rsidRDefault="000C3198" w:rsidP="000C3198">
          <w:pPr>
            <w:pStyle w:val="ListParagraph"/>
            <w:widowControl/>
            <w:autoSpaceDE/>
            <w:autoSpaceDN/>
            <w:adjustRightInd/>
            <w:spacing w:after="200" w:line="360" w:lineRule="auto"/>
            <w:ind w:hanging="720"/>
            <w:jc w:val="both"/>
            <w:rPr>
              <w:rFonts w:ascii="Arial" w:hAnsi="Arial" w:cs="Arial"/>
              <w:color w:val="000000"/>
              <w:sz w:val="22"/>
              <w:szCs w:val="22"/>
            </w:rPr>
          </w:pPr>
          <w:bookmarkStart w:id="11" w:name="_Toc410900333"/>
          <w:bookmarkStart w:id="12" w:name="zoupio-_Toc393721350"/>
          <w:bookmarkStart w:id="13" w:name="_Toc393721350"/>
          <w:bookmarkEnd w:id="11"/>
          <w:bookmarkEnd w:id="12"/>
          <w:r>
            <w:rPr>
              <w:rFonts w:ascii="Arial" w:hAnsi="Arial" w:cs="Arial"/>
              <w:b/>
              <w:bCs/>
              <w:color w:val="000000"/>
              <w:sz w:val="22"/>
              <w:szCs w:val="22"/>
            </w:rPr>
            <w:t>[59]</w:t>
          </w:r>
          <w:r>
            <w:rPr>
              <w:rFonts w:ascii="Arial" w:hAnsi="Arial" w:cs="Arial"/>
              <w:b/>
              <w:bCs/>
              <w:color w:val="000000"/>
              <w:sz w:val="22"/>
              <w:szCs w:val="22"/>
            </w:rPr>
            <w:tab/>
          </w:r>
          <w:r w:rsidR="000C73E5" w:rsidRPr="00E901F9">
            <w:rPr>
              <w:rFonts w:ascii="Arial" w:hAnsi="Arial" w:cs="Arial"/>
              <w:bCs/>
              <w:color w:val="000000"/>
              <w:sz w:val="22"/>
              <w:szCs w:val="22"/>
            </w:rPr>
            <w:t xml:space="preserve">Finally, </w:t>
          </w:r>
          <w:r w:rsidR="000C73E5">
            <w:rPr>
              <w:rFonts w:ascii="Arial" w:hAnsi="Arial" w:cs="Arial"/>
              <w:bCs/>
              <w:color w:val="000000"/>
              <w:sz w:val="22"/>
              <w:szCs w:val="22"/>
            </w:rPr>
            <w:t xml:space="preserve">the </w:t>
          </w:r>
          <w:r w:rsidR="000C73E5" w:rsidRPr="00A50EF0">
            <w:rPr>
              <w:rFonts w:ascii="Arial" w:hAnsi="Arial" w:cs="Arial"/>
              <w:bCs/>
              <w:i/>
              <w:color w:val="000000"/>
              <w:sz w:val="22"/>
              <w:szCs w:val="22"/>
            </w:rPr>
            <w:t>coup de maitre</w:t>
          </w:r>
          <w:r w:rsidR="000C73E5">
            <w:rPr>
              <w:rFonts w:ascii="Arial" w:hAnsi="Arial" w:cs="Arial"/>
              <w:bCs/>
              <w:color w:val="000000"/>
              <w:sz w:val="22"/>
              <w:szCs w:val="22"/>
            </w:rPr>
            <w:t xml:space="preserve"> provision is found in section 11 </w:t>
          </w:r>
          <w:r w:rsidR="000C73E5" w:rsidRPr="00E901F9">
            <w:rPr>
              <w:rFonts w:ascii="Arial" w:hAnsi="Arial" w:cs="Arial"/>
              <w:bCs/>
              <w:color w:val="000000"/>
              <w:sz w:val="22"/>
              <w:szCs w:val="22"/>
            </w:rPr>
            <w:t>as regards the extent of jurisdiction of the Supreme Court</w:t>
          </w:r>
          <w:bookmarkEnd w:id="13"/>
          <w:r w:rsidR="000C73E5">
            <w:rPr>
              <w:rFonts w:ascii="Arial" w:hAnsi="Arial" w:cs="Arial"/>
              <w:bCs/>
              <w:color w:val="000000"/>
              <w:sz w:val="22"/>
              <w:szCs w:val="22"/>
            </w:rPr>
            <w:t xml:space="preserve">. It vests </w:t>
          </w:r>
          <w:r w:rsidR="000C73E5" w:rsidRPr="00E901F9">
            <w:rPr>
              <w:rFonts w:ascii="Arial" w:hAnsi="Arial" w:cs="Arial"/>
              <w:bCs/>
              <w:color w:val="000000"/>
              <w:sz w:val="22"/>
              <w:szCs w:val="22"/>
            </w:rPr>
            <w:t xml:space="preserve">extra-territorial powers also. </w:t>
          </w:r>
        </w:p>
        <w:p w:rsidR="000C73E5" w:rsidRPr="000B54A9" w:rsidRDefault="000C73E5" w:rsidP="000C3198">
          <w:pPr>
            <w:pStyle w:val="estatutes-1-section"/>
            <w:shd w:val="clear" w:color="auto" w:fill="FFFFFF"/>
            <w:spacing w:line="360" w:lineRule="auto"/>
            <w:ind w:left="1440" w:right="720"/>
            <w:rPr>
              <w:rFonts w:ascii="Arial" w:hAnsi="Arial" w:cs="Arial"/>
              <w:i/>
              <w:color w:val="000000"/>
              <w:sz w:val="22"/>
              <w:szCs w:val="22"/>
            </w:rPr>
          </w:pPr>
          <w:r w:rsidRPr="000B54A9">
            <w:rPr>
              <w:rFonts w:ascii="Arial" w:hAnsi="Arial" w:cs="Arial"/>
              <w:i/>
              <w:color w:val="000000"/>
              <w:sz w:val="22"/>
              <w:szCs w:val="22"/>
              <w:lang w:val="en-GB"/>
            </w:rPr>
            <w:t xml:space="preserve">“11. </w:t>
          </w:r>
          <w:bookmarkStart w:id="14" w:name="S11"/>
          <w:bookmarkEnd w:id="14"/>
          <w:proofErr w:type="gramStart"/>
          <w:r w:rsidRPr="000B54A9">
            <w:rPr>
              <w:rFonts w:ascii="Arial" w:hAnsi="Arial" w:cs="Arial"/>
              <w:i/>
              <w:color w:val="000000"/>
              <w:sz w:val="22"/>
              <w:szCs w:val="22"/>
              <w:lang w:val="en-GB"/>
            </w:rPr>
            <w:t>The</w:t>
          </w:r>
          <w:proofErr w:type="gramEnd"/>
          <w:r w:rsidRPr="000B54A9">
            <w:rPr>
              <w:rFonts w:ascii="Arial" w:hAnsi="Arial" w:cs="Arial"/>
              <w:i/>
              <w:color w:val="000000"/>
              <w:sz w:val="22"/>
              <w:szCs w:val="22"/>
              <w:lang w:val="en-GB"/>
            </w:rPr>
            <w:t xml:space="preserve"> jurisdiction of the Supreme Court in all its functions shall extend throughout Seychelles:</w:t>
          </w:r>
        </w:p>
        <w:p w:rsidR="000C73E5" w:rsidRPr="000B54A9" w:rsidRDefault="000C73E5" w:rsidP="000C3198">
          <w:pPr>
            <w:pStyle w:val="estatutes-2-subsection"/>
            <w:shd w:val="clear" w:color="auto" w:fill="FFFFFF"/>
            <w:spacing w:line="360" w:lineRule="auto"/>
            <w:ind w:left="1440" w:right="720"/>
            <w:jc w:val="both"/>
            <w:rPr>
              <w:rFonts w:ascii="Arial" w:hAnsi="Arial" w:cs="Arial"/>
              <w:i/>
              <w:color w:val="000000"/>
              <w:sz w:val="22"/>
              <w:szCs w:val="22"/>
            </w:rPr>
          </w:pPr>
          <w:r w:rsidRPr="000B54A9">
            <w:rPr>
              <w:rFonts w:ascii="Arial" w:hAnsi="Arial" w:cs="Arial"/>
              <w:i/>
              <w:color w:val="000000"/>
              <w:sz w:val="22"/>
              <w:szCs w:val="22"/>
              <w:lang w:val="en-GB"/>
            </w:rPr>
            <w:t xml:space="preserve">Provided that this section shall not be construed as diminishing any jurisdiction of the Supreme Court relating to persons being, </w:t>
          </w:r>
          <w:r w:rsidRPr="00A50EF0">
            <w:rPr>
              <w:rFonts w:ascii="Arial" w:hAnsi="Arial" w:cs="Arial"/>
              <w:i/>
              <w:color w:val="000000"/>
              <w:sz w:val="22"/>
              <w:szCs w:val="22"/>
              <w:u w:val="single"/>
              <w:lang w:val="en-GB"/>
            </w:rPr>
            <w:t>or to matters arising, outside Seychelles.”</w:t>
          </w:r>
        </w:p>
        <w:p w:rsidR="000C73E5" w:rsidRDefault="000C3198" w:rsidP="000C3198">
          <w:pPr>
            <w:pStyle w:val="ListParagraph"/>
            <w:widowControl/>
            <w:autoSpaceDE/>
            <w:autoSpaceDN/>
            <w:adjustRightInd/>
            <w:spacing w:after="200" w:line="360" w:lineRule="auto"/>
            <w:ind w:hanging="720"/>
            <w:jc w:val="both"/>
            <w:rPr>
              <w:rFonts w:ascii="Arial" w:hAnsi="Arial" w:cs="Arial"/>
              <w:sz w:val="22"/>
              <w:szCs w:val="22"/>
            </w:rPr>
          </w:pPr>
          <w:r>
            <w:rPr>
              <w:rFonts w:ascii="Arial" w:hAnsi="Arial" w:cs="Arial"/>
              <w:b/>
              <w:bCs/>
              <w:color w:val="000000"/>
              <w:sz w:val="22"/>
              <w:szCs w:val="22"/>
            </w:rPr>
            <w:t>[60]</w:t>
          </w:r>
          <w:r>
            <w:rPr>
              <w:rFonts w:ascii="Arial" w:hAnsi="Arial" w:cs="Arial"/>
              <w:b/>
              <w:bCs/>
              <w:color w:val="000000"/>
              <w:sz w:val="22"/>
              <w:szCs w:val="22"/>
            </w:rPr>
            <w:tab/>
          </w:r>
          <w:r w:rsidR="000C73E5" w:rsidRPr="00166D6E">
            <w:rPr>
              <w:rFonts w:ascii="Arial" w:hAnsi="Arial" w:cs="Arial"/>
              <w:bCs/>
              <w:color w:val="000000"/>
              <w:sz w:val="22"/>
              <w:szCs w:val="22"/>
            </w:rPr>
            <w:t>Th</w:t>
          </w:r>
          <w:r w:rsidR="000C73E5">
            <w:rPr>
              <w:rFonts w:ascii="Arial" w:hAnsi="Arial" w:cs="Arial"/>
              <w:bCs/>
              <w:color w:val="000000"/>
              <w:sz w:val="22"/>
              <w:szCs w:val="22"/>
            </w:rPr>
            <w:t xml:space="preserve">is matter of the receivership, albeit issued in another country, concerns Seychelles by virtue of their registration in Seychelles and facts which show they may hold tainted assets. Our jurisdiction is seriously concerned – whether under the name of comity of nations, conflict of laws, competence-competence, parity or any other name – to recognise it in Seychelles, all the more so when the Supreme Court of Seychelles has the same powers as </w:t>
          </w:r>
          <w:r w:rsidR="000C73E5" w:rsidRPr="000B54A9">
            <w:rPr>
              <w:rFonts w:ascii="Arial" w:hAnsi="Arial" w:cs="Arial"/>
              <w:sz w:val="22"/>
              <w:szCs w:val="22"/>
            </w:rPr>
            <w:t>the High Court of England and Wales.</w:t>
          </w:r>
          <w:r w:rsidR="000C73E5">
            <w:rPr>
              <w:rFonts w:ascii="Arial" w:hAnsi="Arial" w:cs="Arial"/>
              <w:sz w:val="22"/>
              <w:szCs w:val="22"/>
            </w:rPr>
            <w:t xml:space="preserve"> </w:t>
          </w:r>
        </w:p>
        <w:p w:rsidR="000C73E5" w:rsidRPr="000B54A9" w:rsidRDefault="000C73E5" w:rsidP="000C73E5">
          <w:pPr>
            <w:pStyle w:val="ListParagraph"/>
            <w:widowControl/>
            <w:autoSpaceDE/>
            <w:autoSpaceDN/>
            <w:adjustRightInd/>
            <w:spacing w:after="200" w:line="360" w:lineRule="auto"/>
            <w:ind w:left="2160"/>
            <w:jc w:val="both"/>
            <w:rPr>
              <w:rFonts w:ascii="Arial" w:hAnsi="Arial" w:cs="Arial"/>
              <w:sz w:val="22"/>
              <w:szCs w:val="22"/>
            </w:rPr>
          </w:pPr>
          <w:r w:rsidRPr="000B54A9">
            <w:rPr>
              <w:rFonts w:ascii="Arial" w:hAnsi="Arial" w:cs="Arial"/>
              <w:sz w:val="22"/>
              <w:szCs w:val="22"/>
            </w:rPr>
            <w:t xml:space="preserve"> </w:t>
          </w:r>
        </w:p>
        <w:p w:rsidR="000C73E5" w:rsidRPr="000B54A9" w:rsidRDefault="000C3198" w:rsidP="000C3198">
          <w:pPr>
            <w:pStyle w:val="ListParagraph"/>
            <w:widowControl/>
            <w:autoSpaceDE/>
            <w:autoSpaceDN/>
            <w:adjustRightInd/>
            <w:spacing w:after="200" w:line="360" w:lineRule="auto"/>
            <w:ind w:left="0"/>
            <w:jc w:val="both"/>
            <w:rPr>
              <w:rFonts w:ascii="Arial" w:hAnsi="Arial" w:cs="Arial"/>
              <w:sz w:val="22"/>
              <w:szCs w:val="22"/>
            </w:rPr>
          </w:pPr>
          <w:r>
            <w:rPr>
              <w:rFonts w:ascii="Arial" w:hAnsi="Arial" w:cs="Arial"/>
              <w:b/>
              <w:sz w:val="22"/>
              <w:szCs w:val="22"/>
            </w:rPr>
            <w:t>[61]</w:t>
          </w:r>
          <w:r>
            <w:rPr>
              <w:rFonts w:ascii="Arial" w:hAnsi="Arial" w:cs="Arial"/>
              <w:b/>
              <w:sz w:val="22"/>
              <w:szCs w:val="22"/>
            </w:rPr>
            <w:tab/>
          </w:r>
          <w:r w:rsidR="000C73E5" w:rsidRPr="000B54A9">
            <w:rPr>
              <w:rFonts w:ascii="Arial" w:hAnsi="Arial" w:cs="Arial"/>
              <w:sz w:val="22"/>
              <w:szCs w:val="22"/>
            </w:rPr>
            <w:t xml:space="preserve">For the reasons amply set out above, we dismiss the appeal with costs. </w:t>
          </w:r>
        </w:p>
        <w:p w:rsidR="0006489F" w:rsidRPr="00503E49" w:rsidRDefault="008E2A40" w:rsidP="000C3198">
          <w:pPr>
            <w:pStyle w:val="JudgmentText"/>
            <w:numPr>
              <w:ilvl w:val="0"/>
              <w:numId w:val="0"/>
            </w:numPr>
            <w:ind w:left="360"/>
          </w:pPr>
        </w:p>
      </w:sdtContent>
    </w:sdt>
    <w:p w:rsidR="00EF2051" w:rsidRDefault="008E2A4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8E2A40" w:rsidP="00AD63F9">
      <w:pPr>
        <w:spacing w:before="120" w:line="480" w:lineRule="auto"/>
        <w:rPr>
          <w:b/>
          <w:sz w:val="24"/>
          <w:szCs w:val="24"/>
        </w:rPr>
      </w:pPr>
      <w:sdt>
        <w:sdtPr>
          <w:rPr>
            <w:b/>
            <w:sz w:val="28"/>
            <w:szCs w:val="28"/>
          </w:rPr>
          <w:id w:val="22920303"/>
          <w:placeholder>
            <w:docPart w:val="3DA85DE211754352B1EC0CC183EB912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C3198">
            <w:rPr>
              <w:b/>
              <w:sz w:val="28"/>
              <w:szCs w:val="28"/>
            </w:rPr>
            <w:t>S. Domah (J.A)</w:t>
          </w:r>
        </w:sdtContent>
      </w:sdt>
    </w:p>
    <w:sdt>
      <w:sdtPr>
        <w:rPr>
          <w:b/>
          <w:sz w:val="24"/>
          <w:szCs w:val="24"/>
        </w:rPr>
        <w:id w:val="4919265"/>
        <w:placeholder>
          <w:docPart w:val="365E659A33BC48E490FDF59369E771A5"/>
        </w:placeholder>
        <w:docPartList>
          <w:docPartGallery w:val="Quick Parts"/>
        </w:docPartList>
      </w:sdtPr>
      <w:sdtContent>
        <w:p w:rsidR="00AD63F9" w:rsidRPr="00681C76" w:rsidRDefault="008E2A40" w:rsidP="00AD63F9">
          <w:pPr>
            <w:spacing w:before="360" w:after="240" w:line="480" w:lineRule="auto"/>
            <w:rPr>
              <w:b/>
              <w:sz w:val="24"/>
              <w:szCs w:val="24"/>
            </w:rPr>
          </w:pPr>
          <w:sdt>
            <w:sdtPr>
              <w:rPr>
                <w:b/>
                <w:sz w:val="24"/>
                <w:szCs w:val="24"/>
              </w:rPr>
              <w:id w:val="4919266"/>
              <w:lock w:val="contentLocked"/>
              <w:placeholder>
                <w:docPart w:val="D0C878E33E234AE9A96FE6C7BBA0E9A4"/>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8B75D5BCF6134623A7B85542AF00673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C3198">
                <w:rPr>
                  <w:sz w:val="24"/>
                  <w:szCs w:val="24"/>
                </w:rPr>
                <w:t>A.Fernando (J.A)</w:t>
              </w:r>
            </w:sdtContent>
          </w:sdt>
        </w:p>
      </w:sdtContent>
    </w:sdt>
    <w:sdt>
      <w:sdtPr>
        <w:rPr>
          <w:b/>
          <w:sz w:val="24"/>
          <w:szCs w:val="24"/>
        </w:rPr>
        <w:id w:val="4919458"/>
        <w:placeholder>
          <w:docPart w:val="B40EDE6F45A64B64ACAB219E194D3AA7"/>
        </w:placeholder>
        <w:docPartList>
          <w:docPartGallery w:val="Quick Parts"/>
        </w:docPartList>
      </w:sdtPr>
      <w:sdtContent>
        <w:p w:rsidR="00AD63F9" w:rsidRPr="00681C76" w:rsidRDefault="008E2A40" w:rsidP="00AD63F9">
          <w:pPr>
            <w:spacing w:before="360" w:after="240" w:line="480" w:lineRule="auto"/>
            <w:rPr>
              <w:b/>
              <w:sz w:val="24"/>
              <w:szCs w:val="24"/>
            </w:rPr>
          </w:pPr>
          <w:sdt>
            <w:sdtPr>
              <w:rPr>
                <w:b/>
                <w:sz w:val="24"/>
                <w:szCs w:val="24"/>
              </w:rPr>
              <w:id w:val="4919459"/>
              <w:lock w:val="contentLocked"/>
              <w:placeholder>
                <w:docPart w:val="492E98C61AEF4A38922A4C686B0CB100"/>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32C3CB0444734AE287E6BDD936E4D33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C3198">
                <w:rPr>
                  <w:sz w:val="24"/>
                  <w:szCs w:val="24"/>
                </w:rPr>
                <w:t>J. Msoffe (J.A)</w:t>
              </w:r>
            </w:sdtContent>
          </w:sdt>
        </w:p>
      </w:sdtContent>
    </w:sdt>
    <w:p w:rsidR="0087722C" w:rsidRDefault="0087722C" w:rsidP="007F351F">
      <w:pPr>
        <w:rPr>
          <w:b/>
          <w:sz w:val="28"/>
          <w:szCs w:val="28"/>
        </w:rPr>
      </w:pPr>
    </w:p>
    <w:p w:rsidR="00681C76" w:rsidRPr="00503E49" w:rsidRDefault="008E2A40"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09303B01F8534C089908DB0237018459"/>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F5895D6420304C2F9675EEFCE57080CC"/>
          </w:placeholder>
          <w:date w:fullDate="2015-08-28T00:00:00Z">
            <w:dateFormat w:val="dd MMMM yyyy"/>
            <w:lid w:val="en-GB"/>
            <w:storeMappedDataAs w:val="dateTime"/>
            <w:calendar w:val="gregorian"/>
          </w:date>
        </w:sdtPr>
        <w:sdtContent>
          <w:r w:rsidR="009C7805">
            <w:rPr>
              <w:sz w:val="24"/>
              <w:szCs w:val="24"/>
            </w:rPr>
            <w:t>28 August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0FD" w:rsidRDefault="00AE10FD" w:rsidP="00DB6D34">
      <w:r>
        <w:separator/>
      </w:r>
    </w:p>
  </w:endnote>
  <w:endnote w:type="continuationSeparator" w:id="0">
    <w:p w:rsidR="00AE10FD" w:rsidRDefault="00AE10FD"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8E2A40">
    <w:pPr>
      <w:pStyle w:val="Footer"/>
      <w:jc w:val="center"/>
    </w:pPr>
    <w:fldSimple w:instr=" PAGE   \* MERGEFORMAT ">
      <w:r w:rsidR="0083641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0FD" w:rsidRDefault="00AE10FD" w:rsidP="00DB6D34">
      <w:r>
        <w:separator/>
      </w:r>
    </w:p>
  </w:footnote>
  <w:footnote w:type="continuationSeparator" w:id="0">
    <w:p w:rsidR="00AE10FD" w:rsidRDefault="00AE10FD"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C762E01"/>
    <w:multiLevelType w:val="hybridMultilevel"/>
    <w:tmpl w:val="9D0E90F2"/>
    <w:lvl w:ilvl="0" w:tplc="DE1C799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171D0"/>
    <w:multiLevelType w:val="hybridMultilevel"/>
    <w:tmpl w:val="DD48AFFC"/>
    <w:lvl w:ilvl="0" w:tplc="07244C2A">
      <w:start w:val="1"/>
      <w:numFmt w:val="decimal"/>
      <w:lvlText w:val="%1."/>
      <w:lvlJc w:val="left"/>
      <w:pPr>
        <w:ind w:left="2160" w:hanging="360"/>
      </w:pPr>
      <w:rPr>
        <w:rFonts w:hint="default"/>
        <w:b/>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A594B3E"/>
    <w:multiLevelType w:val="hybridMultilevel"/>
    <w:tmpl w:val="59FC938A"/>
    <w:lvl w:ilvl="0" w:tplc="92648F3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7265DA4"/>
    <w:multiLevelType w:val="hybridMultilevel"/>
    <w:tmpl w:val="5C42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B74E9"/>
    <w:multiLevelType w:val="hybridMultilevel"/>
    <w:tmpl w:val="270AEE7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E74820"/>
    <w:multiLevelType w:val="multilevel"/>
    <w:tmpl w:val="1CC89892"/>
    <w:numStyleLink w:val="Judgments"/>
  </w:abstractNum>
  <w:abstractNum w:abstractNumId="1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4A1A44"/>
    <w:multiLevelType w:val="hybridMultilevel"/>
    <w:tmpl w:val="82CAE79E"/>
    <w:lvl w:ilvl="0" w:tplc="162E34B8">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0531E9"/>
    <w:multiLevelType w:val="hybridMultilevel"/>
    <w:tmpl w:val="8104D36E"/>
    <w:lvl w:ilvl="0" w:tplc="D1345FB8">
      <w:start w:val="1"/>
      <w:numFmt w:val="lowerLetter"/>
      <w:lvlText w:val="(%1)"/>
      <w:lvlJc w:val="left"/>
      <w:pPr>
        <w:ind w:left="2880" w:hanging="360"/>
      </w:pPr>
      <w:rPr>
        <w:rFonts w:hint="default"/>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10"/>
  </w:num>
  <w:num w:numId="3">
    <w:abstractNumId w:val="0"/>
  </w:num>
  <w:num w:numId="4">
    <w:abstractNumId w:val="5"/>
  </w:num>
  <w:num w:numId="5">
    <w:abstractNumId w:val="9"/>
  </w:num>
  <w:num w:numId="6">
    <w:abstractNumId w:val="4"/>
  </w:num>
  <w:num w:numId="7">
    <w:abstractNumId w:val="12"/>
  </w:num>
  <w:num w:numId="8">
    <w:abstractNumId w:val="6"/>
  </w:num>
  <w:num w:numId="9">
    <w:abstractNumId w:val="8"/>
  </w:num>
  <w:num w:numId="10">
    <w:abstractNumId w:val="1"/>
  </w:num>
  <w:num w:numId="11">
    <w:abstractNumId w:val="3"/>
  </w:num>
  <w:num w:numId="12">
    <w:abstractNumId w:val="1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17D0C"/>
    <w:rsid w:val="0000071D"/>
    <w:rsid w:val="000043B1"/>
    <w:rsid w:val="00005BEF"/>
    <w:rsid w:val="00017F12"/>
    <w:rsid w:val="0002497E"/>
    <w:rsid w:val="00030C81"/>
    <w:rsid w:val="0006489F"/>
    <w:rsid w:val="00075573"/>
    <w:rsid w:val="00091036"/>
    <w:rsid w:val="00097B9A"/>
    <w:rsid w:val="000A10B8"/>
    <w:rsid w:val="000C3198"/>
    <w:rsid w:val="000C5AB2"/>
    <w:rsid w:val="000C73E5"/>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E07"/>
    <w:rsid w:val="001B6E9A"/>
    <w:rsid w:val="001E3539"/>
    <w:rsid w:val="001E4ED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6612"/>
    <w:rsid w:val="002E6963"/>
    <w:rsid w:val="002E70F9"/>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A0BA8"/>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17D0C"/>
    <w:rsid w:val="00744508"/>
    <w:rsid w:val="00760665"/>
    <w:rsid w:val="00763535"/>
    <w:rsid w:val="00766505"/>
    <w:rsid w:val="007820CB"/>
    <w:rsid w:val="00782F7D"/>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3641D"/>
    <w:rsid w:val="00841387"/>
    <w:rsid w:val="00845DCB"/>
    <w:rsid w:val="008472B3"/>
    <w:rsid w:val="008478D6"/>
    <w:rsid w:val="00861993"/>
    <w:rsid w:val="00861F83"/>
    <w:rsid w:val="0087722C"/>
    <w:rsid w:val="008A5208"/>
    <w:rsid w:val="008A58A5"/>
    <w:rsid w:val="008C0FD6"/>
    <w:rsid w:val="008E1DB1"/>
    <w:rsid w:val="008E2A40"/>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64194"/>
    <w:rsid w:val="00981287"/>
    <w:rsid w:val="00983045"/>
    <w:rsid w:val="00994DB2"/>
    <w:rsid w:val="0099672E"/>
    <w:rsid w:val="009C5D65"/>
    <w:rsid w:val="009C676C"/>
    <w:rsid w:val="009C713C"/>
    <w:rsid w:val="009C7805"/>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C6B11"/>
    <w:rsid w:val="00AD03C3"/>
    <w:rsid w:val="00AD63F9"/>
    <w:rsid w:val="00AD75CD"/>
    <w:rsid w:val="00AE10F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C5D98"/>
    <w:rsid w:val="00BD03E6"/>
    <w:rsid w:val="00BD0BE9"/>
    <w:rsid w:val="00BD4287"/>
    <w:rsid w:val="00BD5359"/>
    <w:rsid w:val="00BD60D5"/>
    <w:rsid w:val="00BD7752"/>
    <w:rsid w:val="00BE1D00"/>
    <w:rsid w:val="00BE30D4"/>
    <w:rsid w:val="00BE3628"/>
    <w:rsid w:val="00BE424C"/>
    <w:rsid w:val="00BF5CC9"/>
    <w:rsid w:val="00BF634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1596A"/>
    <w:rsid w:val="00D2057D"/>
    <w:rsid w:val="00D21217"/>
    <w:rsid w:val="00D23B56"/>
    <w:rsid w:val="00D82047"/>
    <w:rsid w:val="00DA292E"/>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40129"/>
    <w:rsid w:val="00F573DA"/>
    <w:rsid w:val="00F7059D"/>
    <w:rsid w:val="00F74500"/>
    <w:rsid w:val="00F804CC"/>
    <w:rsid w:val="00F82A83"/>
    <w:rsid w:val="00F83B3D"/>
    <w:rsid w:val="00F96768"/>
    <w:rsid w:val="00FB0AFB"/>
    <w:rsid w:val="00FB2453"/>
    <w:rsid w:val="00FB2601"/>
    <w:rsid w:val="00FB39BA"/>
    <w:rsid w:val="00FB62FC"/>
    <w:rsid w:val="00FC61E3"/>
    <w:rsid w:val="00FD51E7"/>
    <w:rsid w:val="00FF7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1-section">
    <w:name w:val="estatutes-1-section"/>
    <w:basedOn w:val="Normal"/>
    <w:rsid w:val="000C73E5"/>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0C73E5"/>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9CEA27504D454B939F5DA7286910AF"/>
        <w:category>
          <w:name w:val="General"/>
          <w:gallery w:val="placeholder"/>
        </w:category>
        <w:types>
          <w:type w:val="bbPlcHdr"/>
        </w:types>
        <w:behaviors>
          <w:behavior w:val="content"/>
        </w:behaviors>
        <w:guid w:val="{508FAE3A-7238-4CE2-BE94-B726911B4871}"/>
      </w:docPartPr>
      <w:docPartBody>
        <w:p w:rsidR="002F1873" w:rsidRDefault="0028476B">
          <w:pPr>
            <w:pStyle w:val="209CEA27504D454B939F5DA7286910AF"/>
          </w:pPr>
          <w:r w:rsidRPr="002A0FDF">
            <w:rPr>
              <w:rStyle w:val="PlaceholderText"/>
            </w:rPr>
            <w:t>Click here to enter text.</w:t>
          </w:r>
        </w:p>
      </w:docPartBody>
    </w:docPart>
    <w:docPart>
      <w:docPartPr>
        <w:name w:val="9017218721EB4DE98BFA7C6F565CA9D9"/>
        <w:category>
          <w:name w:val="General"/>
          <w:gallery w:val="placeholder"/>
        </w:category>
        <w:types>
          <w:type w:val="bbPlcHdr"/>
        </w:types>
        <w:behaviors>
          <w:behavior w:val="content"/>
        </w:behaviors>
        <w:guid w:val="{8D30D4B2-4CF8-43D2-AC2B-7719A664A45A}"/>
      </w:docPartPr>
      <w:docPartBody>
        <w:p w:rsidR="002F1873" w:rsidRDefault="0028476B">
          <w:pPr>
            <w:pStyle w:val="9017218721EB4DE98BFA7C6F565CA9D9"/>
          </w:pPr>
          <w:r w:rsidRPr="002A0FDF">
            <w:rPr>
              <w:rStyle w:val="PlaceholderText"/>
            </w:rPr>
            <w:t>Choose a building block.</w:t>
          </w:r>
        </w:p>
      </w:docPartBody>
    </w:docPart>
    <w:docPart>
      <w:docPartPr>
        <w:name w:val="0AA19908FEC14857AD30DF6616913AF9"/>
        <w:category>
          <w:name w:val="General"/>
          <w:gallery w:val="placeholder"/>
        </w:category>
        <w:types>
          <w:type w:val="bbPlcHdr"/>
        </w:types>
        <w:behaviors>
          <w:behavior w:val="content"/>
        </w:behaviors>
        <w:guid w:val="{2D39BF6B-2C7A-4393-AC3D-8C58240F579A}"/>
      </w:docPartPr>
      <w:docPartBody>
        <w:p w:rsidR="002F1873" w:rsidRDefault="0028476B">
          <w:pPr>
            <w:pStyle w:val="0AA19908FEC14857AD30DF6616913AF9"/>
          </w:pPr>
          <w:r w:rsidRPr="006E09BE">
            <w:rPr>
              <w:rStyle w:val="PlaceholderText"/>
            </w:rPr>
            <w:t>Click here to enter text.</w:t>
          </w:r>
        </w:p>
      </w:docPartBody>
    </w:docPart>
    <w:docPart>
      <w:docPartPr>
        <w:name w:val="6F52631BD6DA467988A68D05F698CAE3"/>
        <w:category>
          <w:name w:val="General"/>
          <w:gallery w:val="placeholder"/>
        </w:category>
        <w:types>
          <w:type w:val="bbPlcHdr"/>
        </w:types>
        <w:behaviors>
          <w:behavior w:val="content"/>
        </w:behaviors>
        <w:guid w:val="{F6BA1A80-ED06-4E27-9113-47A5B1ACC7D4}"/>
      </w:docPartPr>
      <w:docPartBody>
        <w:p w:rsidR="002F1873" w:rsidRDefault="0028476B">
          <w:pPr>
            <w:pStyle w:val="6F52631BD6DA467988A68D05F698CAE3"/>
          </w:pPr>
          <w:r w:rsidRPr="00E56144">
            <w:rPr>
              <w:rStyle w:val="PlaceholderText"/>
            </w:rPr>
            <w:t>.</w:t>
          </w:r>
        </w:p>
      </w:docPartBody>
    </w:docPart>
    <w:docPart>
      <w:docPartPr>
        <w:name w:val="8A2DD78F3DB4466AA80586CE201C5B08"/>
        <w:category>
          <w:name w:val="General"/>
          <w:gallery w:val="placeholder"/>
        </w:category>
        <w:types>
          <w:type w:val="bbPlcHdr"/>
        </w:types>
        <w:behaviors>
          <w:behavior w:val="content"/>
        </w:behaviors>
        <w:guid w:val="{4077EA81-00C8-4D0B-9259-299D6F58A8A1}"/>
      </w:docPartPr>
      <w:docPartBody>
        <w:p w:rsidR="002F1873" w:rsidRDefault="0028476B">
          <w:pPr>
            <w:pStyle w:val="8A2DD78F3DB4466AA80586CE201C5B08"/>
          </w:pPr>
          <w:r w:rsidRPr="00E56144">
            <w:rPr>
              <w:rStyle w:val="PlaceholderText"/>
            </w:rPr>
            <w:t>.</w:t>
          </w:r>
        </w:p>
      </w:docPartBody>
    </w:docPart>
    <w:docPart>
      <w:docPartPr>
        <w:name w:val="2D84084A0A9143CE8D61C471FE6DE40F"/>
        <w:category>
          <w:name w:val="General"/>
          <w:gallery w:val="placeholder"/>
        </w:category>
        <w:types>
          <w:type w:val="bbPlcHdr"/>
        </w:types>
        <w:behaviors>
          <w:behavior w:val="content"/>
        </w:behaviors>
        <w:guid w:val="{38E028B2-4E9A-416E-A783-5BE4C95AD9D0}"/>
      </w:docPartPr>
      <w:docPartBody>
        <w:p w:rsidR="002F1873" w:rsidRDefault="0028476B">
          <w:pPr>
            <w:pStyle w:val="2D84084A0A9143CE8D61C471FE6DE40F"/>
          </w:pPr>
          <w:r w:rsidRPr="00E56144">
            <w:rPr>
              <w:rStyle w:val="PlaceholderText"/>
            </w:rPr>
            <w:t>.</w:t>
          </w:r>
        </w:p>
      </w:docPartBody>
    </w:docPart>
    <w:docPart>
      <w:docPartPr>
        <w:name w:val="84DDCAA18A42473AAAF20EF9BAE15DBF"/>
        <w:category>
          <w:name w:val="General"/>
          <w:gallery w:val="placeholder"/>
        </w:category>
        <w:types>
          <w:type w:val="bbPlcHdr"/>
        </w:types>
        <w:behaviors>
          <w:behavior w:val="content"/>
        </w:behaviors>
        <w:guid w:val="{C97A0A2A-8CA1-44DA-8149-C165FB7F22F0}"/>
      </w:docPartPr>
      <w:docPartBody>
        <w:p w:rsidR="002F1873" w:rsidRDefault="0028476B">
          <w:pPr>
            <w:pStyle w:val="84DDCAA18A42473AAAF20EF9BAE15DBF"/>
          </w:pPr>
          <w:r w:rsidRPr="00EE5BC4">
            <w:rPr>
              <w:rStyle w:val="PlaceholderText"/>
            </w:rPr>
            <w:t>Click here to enter text.</w:t>
          </w:r>
        </w:p>
      </w:docPartBody>
    </w:docPart>
    <w:docPart>
      <w:docPartPr>
        <w:name w:val="DBFE2B4F192D462CBBE5BFE026CB4F0A"/>
        <w:category>
          <w:name w:val="General"/>
          <w:gallery w:val="placeholder"/>
        </w:category>
        <w:types>
          <w:type w:val="bbPlcHdr"/>
        </w:types>
        <w:behaviors>
          <w:behavior w:val="content"/>
        </w:behaviors>
        <w:guid w:val="{DE8DA6BB-AFA4-491B-BABE-0B109FC7BF25}"/>
      </w:docPartPr>
      <w:docPartBody>
        <w:p w:rsidR="002F1873" w:rsidRDefault="0028476B">
          <w:pPr>
            <w:pStyle w:val="DBFE2B4F192D462CBBE5BFE026CB4F0A"/>
          </w:pPr>
          <w:r w:rsidRPr="00EE5BC4">
            <w:rPr>
              <w:rStyle w:val="PlaceholderText"/>
            </w:rPr>
            <w:t>Click here to enter text.</w:t>
          </w:r>
        </w:p>
      </w:docPartBody>
    </w:docPart>
    <w:docPart>
      <w:docPartPr>
        <w:name w:val="E1379444372A4EF8B4C998009CC8AA61"/>
        <w:category>
          <w:name w:val="General"/>
          <w:gallery w:val="placeholder"/>
        </w:category>
        <w:types>
          <w:type w:val="bbPlcHdr"/>
        </w:types>
        <w:behaviors>
          <w:behavior w:val="content"/>
        </w:behaviors>
        <w:guid w:val="{E61BFD7C-4364-4658-A2C8-2DCB620D4F59}"/>
      </w:docPartPr>
      <w:docPartBody>
        <w:p w:rsidR="002F1873" w:rsidRDefault="0028476B">
          <w:pPr>
            <w:pStyle w:val="E1379444372A4EF8B4C998009CC8AA61"/>
          </w:pPr>
          <w:r w:rsidRPr="00B26028">
            <w:rPr>
              <w:rStyle w:val="PlaceholderText"/>
            </w:rPr>
            <w:t>Click here to enter text.</w:t>
          </w:r>
        </w:p>
      </w:docPartBody>
    </w:docPart>
    <w:docPart>
      <w:docPartPr>
        <w:name w:val="E8F995DF45B442CF856554F1075F7E81"/>
        <w:category>
          <w:name w:val="General"/>
          <w:gallery w:val="placeholder"/>
        </w:category>
        <w:types>
          <w:type w:val="bbPlcHdr"/>
        </w:types>
        <w:behaviors>
          <w:behavior w:val="content"/>
        </w:behaviors>
        <w:guid w:val="{2F01B078-A31A-43FD-A75E-ED8BA6DD7358}"/>
      </w:docPartPr>
      <w:docPartBody>
        <w:p w:rsidR="002F1873" w:rsidRDefault="0028476B">
          <w:pPr>
            <w:pStyle w:val="E8F995DF45B442CF856554F1075F7E81"/>
          </w:pPr>
          <w:r w:rsidRPr="00503E49">
            <w:rPr>
              <w:rStyle w:val="PlaceholderText"/>
            </w:rPr>
            <w:t>Click here to enter a date.</w:t>
          </w:r>
        </w:p>
      </w:docPartBody>
    </w:docPart>
    <w:docPart>
      <w:docPartPr>
        <w:name w:val="C44BD4D082ED445FB014E84620F02D21"/>
        <w:category>
          <w:name w:val="General"/>
          <w:gallery w:val="placeholder"/>
        </w:category>
        <w:types>
          <w:type w:val="bbPlcHdr"/>
        </w:types>
        <w:behaviors>
          <w:behavior w:val="content"/>
        </w:behaviors>
        <w:guid w:val="{2FC32748-D077-4D00-8F7E-F6D9894557AD}"/>
      </w:docPartPr>
      <w:docPartBody>
        <w:p w:rsidR="002F1873" w:rsidRDefault="0028476B">
          <w:pPr>
            <w:pStyle w:val="C44BD4D082ED445FB014E84620F02D21"/>
          </w:pPr>
          <w:r w:rsidRPr="00503E49">
            <w:rPr>
              <w:rStyle w:val="PlaceholderText"/>
            </w:rPr>
            <w:t>Click here to enter text.</w:t>
          </w:r>
        </w:p>
      </w:docPartBody>
    </w:docPart>
    <w:docPart>
      <w:docPartPr>
        <w:name w:val="4EE37B7CAD7B4204B7413035AE35FE27"/>
        <w:category>
          <w:name w:val="General"/>
          <w:gallery w:val="placeholder"/>
        </w:category>
        <w:types>
          <w:type w:val="bbPlcHdr"/>
        </w:types>
        <w:behaviors>
          <w:behavior w:val="content"/>
        </w:behaviors>
        <w:guid w:val="{5ED1CEA7-9541-4AC9-AE5D-9DACEAB5ED86}"/>
      </w:docPartPr>
      <w:docPartBody>
        <w:p w:rsidR="002F1873" w:rsidRDefault="0028476B">
          <w:pPr>
            <w:pStyle w:val="4EE37B7CAD7B4204B7413035AE35FE27"/>
          </w:pPr>
          <w:r w:rsidRPr="006E09BE">
            <w:rPr>
              <w:rStyle w:val="PlaceholderText"/>
            </w:rPr>
            <w:t>Click here to enter a date.</w:t>
          </w:r>
        </w:p>
      </w:docPartBody>
    </w:docPart>
    <w:docPart>
      <w:docPartPr>
        <w:name w:val="EE6770A414134AB6A413EF5E1CAEBBB5"/>
        <w:category>
          <w:name w:val="General"/>
          <w:gallery w:val="placeholder"/>
        </w:category>
        <w:types>
          <w:type w:val="bbPlcHdr"/>
        </w:types>
        <w:behaviors>
          <w:behavior w:val="content"/>
        </w:behaviors>
        <w:guid w:val="{F8F22A95-D0F9-4A73-ABA5-D5A2648B36C5}"/>
      </w:docPartPr>
      <w:docPartBody>
        <w:p w:rsidR="002F1873" w:rsidRDefault="0028476B">
          <w:pPr>
            <w:pStyle w:val="EE6770A414134AB6A413EF5E1CAEBBB5"/>
          </w:pPr>
          <w:r w:rsidRPr="00E56144">
            <w:rPr>
              <w:rStyle w:val="PlaceholderText"/>
            </w:rPr>
            <w:t>.</w:t>
          </w:r>
        </w:p>
      </w:docPartBody>
    </w:docPart>
    <w:docPart>
      <w:docPartPr>
        <w:name w:val="228C76E3F0954464A01557E90BDE1CA5"/>
        <w:category>
          <w:name w:val="General"/>
          <w:gallery w:val="placeholder"/>
        </w:category>
        <w:types>
          <w:type w:val="bbPlcHdr"/>
        </w:types>
        <w:behaviors>
          <w:behavior w:val="content"/>
        </w:behaviors>
        <w:guid w:val="{6F2C202B-6E60-48AA-8E74-956BC10645D3}"/>
      </w:docPartPr>
      <w:docPartBody>
        <w:p w:rsidR="002F1873" w:rsidRDefault="0028476B">
          <w:pPr>
            <w:pStyle w:val="228C76E3F0954464A01557E90BDE1CA5"/>
          </w:pPr>
          <w:r w:rsidRPr="00503E49">
            <w:rPr>
              <w:rStyle w:val="PlaceholderText"/>
            </w:rPr>
            <w:t xml:space="preserve">Click here to enter text. here to enter text here to enter text here to enter text here to e </w:t>
          </w:r>
        </w:p>
      </w:docPartBody>
    </w:docPart>
    <w:docPart>
      <w:docPartPr>
        <w:name w:val="3DA85DE211754352B1EC0CC183EB9122"/>
        <w:category>
          <w:name w:val="General"/>
          <w:gallery w:val="placeholder"/>
        </w:category>
        <w:types>
          <w:type w:val="bbPlcHdr"/>
        </w:types>
        <w:behaviors>
          <w:behavior w:val="content"/>
        </w:behaviors>
        <w:guid w:val="{522E5610-6A6C-401D-8AF7-2DCD2A2B71F0}"/>
      </w:docPartPr>
      <w:docPartBody>
        <w:p w:rsidR="002F1873" w:rsidRDefault="0028476B">
          <w:pPr>
            <w:pStyle w:val="3DA85DE211754352B1EC0CC183EB9122"/>
          </w:pPr>
          <w:r w:rsidRPr="00E56144">
            <w:rPr>
              <w:rStyle w:val="PlaceholderText"/>
            </w:rPr>
            <w:t>.</w:t>
          </w:r>
        </w:p>
      </w:docPartBody>
    </w:docPart>
    <w:docPart>
      <w:docPartPr>
        <w:name w:val="365E659A33BC48E490FDF59369E771A5"/>
        <w:category>
          <w:name w:val="General"/>
          <w:gallery w:val="placeholder"/>
        </w:category>
        <w:types>
          <w:type w:val="bbPlcHdr"/>
        </w:types>
        <w:behaviors>
          <w:behavior w:val="content"/>
        </w:behaviors>
        <w:guid w:val="{C98FCC62-A28A-48A2-A4E7-36160FDDB800}"/>
      </w:docPartPr>
      <w:docPartBody>
        <w:p w:rsidR="002F1873" w:rsidRDefault="0028476B">
          <w:pPr>
            <w:pStyle w:val="365E659A33BC48E490FDF59369E771A5"/>
          </w:pPr>
          <w:r w:rsidRPr="002A0FDF">
            <w:rPr>
              <w:rStyle w:val="PlaceholderText"/>
            </w:rPr>
            <w:t>Choose a building block.</w:t>
          </w:r>
        </w:p>
      </w:docPartBody>
    </w:docPart>
    <w:docPart>
      <w:docPartPr>
        <w:name w:val="D0C878E33E234AE9A96FE6C7BBA0E9A4"/>
        <w:category>
          <w:name w:val="General"/>
          <w:gallery w:val="placeholder"/>
        </w:category>
        <w:types>
          <w:type w:val="bbPlcHdr"/>
        </w:types>
        <w:behaviors>
          <w:behavior w:val="content"/>
        </w:behaviors>
        <w:guid w:val="{6549C104-9505-4F94-9EED-B2A57E7D5AD2}"/>
      </w:docPartPr>
      <w:docPartBody>
        <w:p w:rsidR="002F1873" w:rsidRDefault="0028476B">
          <w:pPr>
            <w:pStyle w:val="D0C878E33E234AE9A96FE6C7BBA0E9A4"/>
          </w:pPr>
          <w:r w:rsidRPr="006E09BE">
            <w:rPr>
              <w:rStyle w:val="PlaceholderText"/>
            </w:rPr>
            <w:t>Click here to enter text.</w:t>
          </w:r>
        </w:p>
      </w:docPartBody>
    </w:docPart>
    <w:docPart>
      <w:docPartPr>
        <w:name w:val="8B75D5BCF6134623A7B85542AF006731"/>
        <w:category>
          <w:name w:val="General"/>
          <w:gallery w:val="placeholder"/>
        </w:category>
        <w:types>
          <w:type w:val="bbPlcHdr"/>
        </w:types>
        <w:behaviors>
          <w:behavior w:val="content"/>
        </w:behaviors>
        <w:guid w:val="{48127CF1-1D9B-4FB3-A70F-0BAC2359E1C1}"/>
      </w:docPartPr>
      <w:docPartBody>
        <w:p w:rsidR="002F1873" w:rsidRDefault="0028476B">
          <w:pPr>
            <w:pStyle w:val="8B75D5BCF6134623A7B85542AF006731"/>
          </w:pPr>
          <w:r w:rsidRPr="00E56144">
            <w:rPr>
              <w:rStyle w:val="PlaceholderText"/>
            </w:rPr>
            <w:t>.</w:t>
          </w:r>
        </w:p>
      </w:docPartBody>
    </w:docPart>
    <w:docPart>
      <w:docPartPr>
        <w:name w:val="B40EDE6F45A64B64ACAB219E194D3AA7"/>
        <w:category>
          <w:name w:val="General"/>
          <w:gallery w:val="placeholder"/>
        </w:category>
        <w:types>
          <w:type w:val="bbPlcHdr"/>
        </w:types>
        <w:behaviors>
          <w:behavior w:val="content"/>
        </w:behaviors>
        <w:guid w:val="{6A4020E2-B0CC-4686-AD7B-14980D6CDCEA}"/>
      </w:docPartPr>
      <w:docPartBody>
        <w:p w:rsidR="002F1873" w:rsidRDefault="0028476B">
          <w:pPr>
            <w:pStyle w:val="B40EDE6F45A64B64ACAB219E194D3AA7"/>
          </w:pPr>
          <w:r w:rsidRPr="002A0FDF">
            <w:rPr>
              <w:rStyle w:val="PlaceholderText"/>
            </w:rPr>
            <w:t>Choose a building block.</w:t>
          </w:r>
        </w:p>
      </w:docPartBody>
    </w:docPart>
    <w:docPart>
      <w:docPartPr>
        <w:name w:val="492E98C61AEF4A38922A4C686B0CB100"/>
        <w:category>
          <w:name w:val="General"/>
          <w:gallery w:val="placeholder"/>
        </w:category>
        <w:types>
          <w:type w:val="bbPlcHdr"/>
        </w:types>
        <w:behaviors>
          <w:behavior w:val="content"/>
        </w:behaviors>
        <w:guid w:val="{AB377341-308A-4A6A-A907-D585280B61BA}"/>
      </w:docPartPr>
      <w:docPartBody>
        <w:p w:rsidR="002F1873" w:rsidRDefault="0028476B">
          <w:pPr>
            <w:pStyle w:val="492E98C61AEF4A38922A4C686B0CB100"/>
          </w:pPr>
          <w:r w:rsidRPr="006E09BE">
            <w:rPr>
              <w:rStyle w:val="PlaceholderText"/>
            </w:rPr>
            <w:t>Click here to enter text.</w:t>
          </w:r>
        </w:p>
      </w:docPartBody>
    </w:docPart>
    <w:docPart>
      <w:docPartPr>
        <w:name w:val="32C3CB0444734AE287E6BDD936E4D335"/>
        <w:category>
          <w:name w:val="General"/>
          <w:gallery w:val="placeholder"/>
        </w:category>
        <w:types>
          <w:type w:val="bbPlcHdr"/>
        </w:types>
        <w:behaviors>
          <w:behavior w:val="content"/>
        </w:behaviors>
        <w:guid w:val="{2F4CCE68-45E1-41E5-BE93-D97FA83ED019}"/>
      </w:docPartPr>
      <w:docPartBody>
        <w:p w:rsidR="002F1873" w:rsidRDefault="0028476B">
          <w:pPr>
            <w:pStyle w:val="32C3CB0444734AE287E6BDD936E4D335"/>
          </w:pPr>
          <w:r w:rsidRPr="00E56144">
            <w:rPr>
              <w:rStyle w:val="PlaceholderText"/>
            </w:rPr>
            <w:t>.</w:t>
          </w:r>
        </w:p>
      </w:docPartBody>
    </w:docPart>
    <w:docPart>
      <w:docPartPr>
        <w:name w:val="09303B01F8534C089908DB0237018459"/>
        <w:category>
          <w:name w:val="General"/>
          <w:gallery w:val="placeholder"/>
        </w:category>
        <w:types>
          <w:type w:val="bbPlcHdr"/>
        </w:types>
        <w:behaviors>
          <w:behavior w:val="content"/>
        </w:behaviors>
        <w:guid w:val="{40096927-E1CA-4CD3-8A7F-CB59A2F582F6}"/>
      </w:docPartPr>
      <w:docPartBody>
        <w:p w:rsidR="002F1873" w:rsidRDefault="0028476B">
          <w:pPr>
            <w:pStyle w:val="09303B01F8534C089908DB0237018459"/>
          </w:pPr>
          <w:r w:rsidRPr="006E09BE">
            <w:rPr>
              <w:rStyle w:val="PlaceholderText"/>
            </w:rPr>
            <w:t>Choose a building block.</w:t>
          </w:r>
        </w:p>
      </w:docPartBody>
    </w:docPart>
    <w:docPart>
      <w:docPartPr>
        <w:name w:val="F5895D6420304C2F9675EEFCE57080CC"/>
        <w:category>
          <w:name w:val="General"/>
          <w:gallery w:val="placeholder"/>
        </w:category>
        <w:types>
          <w:type w:val="bbPlcHdr"/>
        </w:types>
        <w:behaviors>
          <w:behavior w:val="content"/>
        </w:behaviors>
        <w:guid w:val="{555F0992-8CAA-41C6-BFFB-7B406F8836F8}"/>
      </w:docPartPr>
      <w:docPartBody>
        <w:p w:rsidR="002F1873" w:rsidRDefault="0028476B">
          <w:pPr>
            <w:pStyle w:val="F5895D6420304C2F9675EEFCE57080CC"/>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476B"/>
    <w:rsid w:val="0028476B"/>
    <w:rsid w:val="002F1873"/>
    <w:rsid w:val="005E7A40"/>
    <w:rsid w:val="00FC7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873"/>
    <w:rPr>
      <w:color w:val="808080"/>
    </w:rPr>
  </w:style>
  <w:style w:type="paragraph" w:customStyle="1" w:styleId="209CEA27504D454B939F5DA7286910AF">
    <w:name w:val="209CEA27504D454B939F5DA7286910AF"/>
    <w:rsid w:val="002F1873"/>
  </w:style>
  <w:style w:type="paragraph" w:customStyle="1" w:styleId="9017218721EB4DE98BFA7C6F565CA9D9">
    <w:name w:val="9017218721EB4DE98BFA7C6F565CA9D9"/>
    <w:rsid w:val="002F1873"/>
  </w:style>
  <w:style w:type="paragraph" w:customStyle="1" w:styleId="0AA19908FEC14857AD30DF6616913AF9">
    <w:name w:val="0AA19908FEC14857AD30DF6616913AF9"/>
    <w:rsid w:val="002F1873"/>
  </w:style>
  <w:style w:type="paragraph" w:customStyle="1" w:styleId="6F52631BD6DA467988A68D05F698CAE3">
    <w:name w:val="6F52631BD6DA467988A68D05F698CAE3"/>
    <w:rsid w:val="002F1873"/>
  </w:style>
  <w:style w:type="paragraph" w:customStyle="1" w:styleId="8A2DD78F3DB4466AA80586CE201C5B08">
    <w:name w:val="8A2DD78F3DB4466AA80586CE201C5B08"/>
    <w:rsid w:val="002F1873"/>
  </w:style>
  <w:style w:type="paragraph" w:customStyle="1" w:styleId="2D84084A0A9143CE8D61C471FE6DE40F">
    <w:name w:val="2D84084A0A9143CE8D61C471FE6DE40F"/>
    <w:rsid w:val="002F1873"/>
  </w:style>
  <w:style w:type="paragraph" w:customStyle="1" w:styleId="EBE6E122F8BC4880987E87E2718FBAAB">
    <w:name w:val="EBE6E122F8BC4880987E87E2718FBAAB"/>
    <w:rsid w:val="002F1873"/>
  </w:style>
  <w:style w:type="paragraph" w:customStyle="1" w:styleId="C5DE53AEAF6748A6A52550FF3CA2547C">
    <w:name w:val="C5DE53AEAF6748A6A52550FF3CA2547C"/>
    <w:rsid w:val="002F1873"/>
  </w:style>
  <w:style w:type="paragraph" w:customStyle="1" w:styleId="84DDCAA18A42473AAAF20EF9BAE15DBF">
    <w:name w:val="84DDCAA18A42473AAAF20EF9BAE15DBF"/>
    <w:rsid w:val="002F1873"/>
  </w:style>
  <w:style w:type="paragraph" w:customStyle="1" w:styleId="6DED807103C74DCB9CC6FB3969BEF19A">
    <w:name w:val="6DED807103C74DCB9CC6FB3969BEF19A"/>
    <w:rsid w:val="002F1873"/>
  </w:style>
  <w:style w:type="paragraph" w:customStyle="1" w:styleId="9C167866CDD14DA99AEB4A676C12C0D5">
    <w:name w:val="9C167866CDD14DA99AEB4A676C12C0D5"/>
    <w:rsid w:val="002F1873"/>
  </w:style>
  <w:style w:type="paragraph" w:customStyle="1" w:styleId="6FFDF6DE8EE4460FA3E299CF78BF74B4">
    <w:name w:val="6FFDF6DE8EE4460FA3E299CF78BF74B4"/>
    <w:rsid w:val="002F1873"/>
  </w:style>
  <w:style w:type="paragraph" w:customStyle="1" w:styleId="CC0591359F1F4ECFBC3E437D86B94ECD">
    <w:name w:val="CC0591359F1F4ECFBC3E437D86B94ECD"/>
    <w:rsid w:val="002F1873"/>
  </w:style>
  <w:style w:type="paragraph" w:customStyle="1" w:styleId="A38464FB9F1642C19500EFF7E9B8FDE6">
    <w:name w:val="A38464FB9F1642C19500EFF7E9B8FDE6"/>
    <w:rsid w:val="002F1873"/>
  </w:style>
  <w:style w:type="paragraph" w:customStyle="1" w:styleId="479D3A6B0D464EC88491303CD8E65406">
    <w:name w:val="479D3A6B0D464EC88491303CD8E65406"/>
    <w:rsid w:val="002F1873"/>
  </w:style>
  <w:style w:type="paragraph" w:customStyle="1" w:styleId="C48A2C508FDE4DF6A9025BFE77F751F1">
    <w:name w:val="C48A2C508FDE4DF6A9025BFE77F751F1"/>
    <w:rsid w:val="002F1873"/>
  </w:style>
  <w:style w:type="paragraph" w:customStyle="1" w:styleId="52C848E83505441680218590E138B86C">
    <w:name w:val="52C848E83505441680218590E138B86C"/>
    <w:rsid w:val="002F1873"/>
  </w:style>
  <w:style w:type="paragraph" w:customStyle="1" w:styleId="602F8A3F0E1241CBB3362B22B6CA3971">
    <w:name w:val="602F8A3F0E1241CBB3362B22B6CA3971"/>
    <w:rsid w:val="002F1873"/>
  </w:style>
  <w:style w:type="paragraph" w:customStyle="1" w:styleId="48E50733302A41D3B85BDF0054C6E809">
    <w:name w:val="48E50733302A41D3B85BDF0054C6E809"/>
    <w:rsid w:val="002F1873"/>
  </w:style>
  <w:style w:type="paragraph" w:customStyle="1" w:styleId="6781F548BBBC45F3A9014A5774F463DE">
    <w:name w:val="6781F548BBBC45F3A9014A5774F463DE"/>
    <w:rsid w:val="002F1873"/>
  </w:style>
  <w:style w:type="paragraph" w:customStyle="1" w:styleId="DBFE2B4F192D462CBBE5BFE026CB4F0A">
    <w:name w:val="DBFE2B4F192D462CBBE5BFE026CB4F0A"/>
    <w:rsid w:val="002F1873"/>
  </w:style>
  <w:style w:type="paragraph" w:customStyle="1" w:styleId="E1379444372A4EF8B4C998009CC8AA61">
    <w:name w:val="E1379444372A4EF8B4C998009CC8AA61"/>
    <w:rsid w:val="002F1873"/>
  </w:style>
  <w:style w:type="paragraph" w:customStyle="1" w:styleId="550AE1B0E9544EDCA2AE796D1B839BB9">
    <w:name w:val="550AE1B0E9544EDCA2AE796D1B839BB9"/>
    <w:rsid w:val="002F1873"/>
  </w:style>
  <w:style w:type="paragraph" w:customStyle="1" w:styleId="7BB1067DD1EE4E118296C5DB767AAC92">
    <w:name w:val="7BB1067DD1EE4E118296C5DB767AAC92"/>
    <w:rsid w:val="002F1873"/>
  </w:style>
  <w:style w:type="paragraph" w:customStyle="1" w:styleId="974103D55A7E4BF286929C053DA87BC9">
    <w:name w:val="974103D55A7E4BF286929C053DA87BC9"/>
    <w:rsid w:val="002F1873"/>
  </w:style>
  <w:style w:type="paragraph" w:customStyle="1" w:styleId="45C5DF3262224F178FEDDE3806C0D2C3">
    <w:name w:val="45C5DF3262224F178FEDDE3806C0D2C3"/>
    <w:rsid w:val="002F1873"/>
  </w:style>
  <w:style w:type="paragraph" w:customStyle="1" w:styleId="97F810C727164915B4C79B12C84C29B5">
    <w:name w:val="97F810C727164915B4C79B12C84C29B5"/>
    <w:rsid w:val="002F1873"/>
  </w:style>
  <w:style w:type="paragraph" w:customStyle="1" w:styleId="5898F829E4A045E98A15AA77960BA0ED">
    <w:name w:val="5898F829E4A045E98A15AA77960BA0ED"/>
    <w:rsid w:val="002F1873"/>
  </w:style>
  <w:style w:type="paragraph" w:customStyle="1" w:styleId="8A1FA9FF7CC747958986B17ACB6D1E4F">
    <w:name w:val="8A1FA9FF7CC747958986B17ACB6D1E4F"/>
    <w:rsid w:val="002F1873"/>
  </w:style>
  <w:style w:type="paragraph" w:customStyle="1" w:styleId="3B8A8F5498CC4323A50FF97C4397394E">
    <w:name w:val="3B8A8F5498CC4323A50FF97C4397394E"/>
    <w:rsid w:val="002F1873"/>
  </w:style>
  <w:style w:type="paragraph" w:customStyle="1" w:styleId="FD14E89E1AB3450F8FAD8C9772BA5758">
    <w:name w:val="FD14E89E1AB3450F8FAD8C9772BA5758"/>
    <w:rsid w:val="002F1873"/>
  </w:style>
  <w:style w:type="paragraph" w:customStyle="1" w:styleId="C8D67A6E033A4E9DAFB11A67AC172A5E">
    <w:name w:val="C8D67A6E033A4E9DAFB11A67AC172A5E"/>
    <w:rsid w:val="002F1873"/>
  </w:style>
  <w:style w:type="paragraph" w:customStyle="1" w:styleId="E8F995DF45B442CF856554F1075F7E81">
    <w:name w:val="E8F995DF45B442CF856554F1075F7E81"/>
    <w:rsid w:val="002F1873"/>
  </w:style>
  <w:style w:type="paragraph" w:customStyle="1" w:styleId="C44BD4D082ED445FB014E84620F02D21">
    <w:name w:val="C44BD4D082ED445FB014E84620F02D21"/>
    <w:rsid w:val="002F1873"/>
  </w:style>
  <w:style w:type="paragraph" w:customStyle="1" w:styleId="4EE37B7CAD7B4204B7413035AE35FE27">
    <w:name w:val="4EE37B7CAD7B4204B7413035AE35FE27"/>
    <w:rsid w:val="002F1873"/>
  </w:style>
  <w:style w:type="paragraph" w:customStyle="1" w:styleId="EE6770A414134AB6A413EF5E1CAEBBB5">
    <w:name w:val="EE6770A414134AB6A413EF5E1CAEBBB5"/>
    <w:rsid w:val="002F1873"/>
  </w:style>
  <w:style w:type="paragraph" w:customStyle="1" w:styleId="228C76E3F0954464A01557E90BDE1CA5">
    <w:name w:val="228C76E3F0954464A01557E90BDE1CA5"/>
    <w:rsid w:val="002F1873"/>
  </w:style>
  <w:style w:type="paragraph" w:customStyle="1" w:styleId="3DA85DE211754352B1EC0CC183EB9122">
    <w:name w:val="3DA85DE211754352B1EC0CC183EB9122"/>
    <w:rsid w:val="002F1873"/>
  </w:style>
  <w:style w:type="paragraph" w:customStyle="1" w:styleId="365E659A33BC48E490FDF59369E771A5">
    <w:name w:val="365E659A33BC48E490FDF59369E771A5"/>
    <w:rsid w:val="002F1873"/>
  </w:style>
  <w:style w:type="paragraph" w:customStyle="1" w:styleId="D0C878E33E234AE9A96FE6C7BBA0E9A4">
    <w:name w:val="D0C878E33E234AE9A96FE6C7BBA0E9A4"/>
    <w:rsid w:val="002F1873"/>
  </w:style>
  <w:style w:type="paragraph" w:customStyle="1" w:styleId="8B75D5BCF6134623A7B85542AF006731">
    <w:name w:val="8B75D5BCF6134623A7B85542AF006731"/>
    <w:rsid w:val="002F1873"/>
  </w:style>
  <w:style w:type="paragraph" w:customStyle="1" w:styleId="B40EDE6F45A64B64ACAB219E194D3AA7">
    <w:name w:val="B40EDE6F45A64B64ACAB219E194D3AA7"/>
    <w:rsid w:val="002F1873"/>
  </w:style>
  <w:style w:type="paragraph" w:customStyle="1" w:styleId="492E98C61AEF4A38922A4C686B0CB100">
    <w:name w:val="492E98C61AEF4A38922A4C686B0CB100"/>
    <w:rsid w:val="002F1873"/>
  </w:style>
  <w:style w:type="paragraph" w:customStyle="1" w:styleId="32C3CB0444734AE287E6BDD936E4D335">
    <w:name w:val="32C3CB0444734AE287E6BDD936E4D335"/>
    <w:rsid w:val="002F1873"/>
  </w:style>
  <w:style w:type="paragraph" w:customStyle="1" w:styleId="157DF0E6A65C4E859EF909EB1AB3AECC">
    <w:name w:val="157DF0E6A65C4E859EF909EB1AB3AECC"/>
    <w:rsid w:val="002F1873"/>
  </w:style>
  <w:style w:type="paragraph" w:customStyle="1" w:styleId="3920AB0F1A684348B01E873151C86DC8">
    <w:name w:val="3920AB0F1A684348B01E873151C86DC8"/>
    <w:rsid w:val="002F1873"/>
  </w:style>
  <w:style w:type="paragraph" w:customStyle="1" w:styleId="1B6476F410CB4C9E816AFCB437509CCA">
    <w:name w:val="1B6476F410CB4C9E816AFCB437509CCA"/>
    <w:rsid w:val="002F1873"/>
  </w:style>
  <w:style w:type="paragraph" w:customStyle="1" w:styleId="D96CCDEE913C45A693DAC3AA6F230746">
    <w:name w:val="D96CCDEE913C45A693DAC3AA6F230746"/>
    <w:rsid w:val="002F1873"/>
  </w:style>
  <w:style w:type="paragraph" w:customStyle="1" w:styleId="48D0E4B9525D473CAB6A72E0A321998F">
    <w:name w:val="48D0E4B9525D473CAB6A72E0A321998F"/>
    <w:rsid w:val="002F1873"/>
  </w:style>
  <w:style w:type="paragraph" w:customStyle="1" w:styleId="F2CE43FCDEA44767886867A309640A4F">
    <w:name w:val="F2CE43FCDEA44767886867A309640A4F"/>
    <w:rsid w:val="002F1873"/>
  </w:style>
  <w:style w:type="paragraph" w:customStyle="1" w:styleId="09303B01F8534C089908DB0237018459">
    <w:name w:val="09303B01F8534C089908DB0237018459"/>
    <w:rsid w:val="002F1873"/>
  </w:style>
  <w:style w:type="paragraph" w:customStyle="1" w:styleId="F5895D6420304C2F9675EEFCE57080CC">
    <w:name w:val="F5895D6420304C2F9675EEFCE57080CC"/>
    <w:rsid w:val="002F18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6A1D-37D9-4846-A547-B6FB0941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18</Pages>
  <Words>5154</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2015-08-28T04:18:00Z</cp:lastPrinted>
  <dcterms:created xsi:type="dcterms:W3CDTF">2015-08-28T11:29:00Z</dcterms:created>
  <dcterms:modified xsi:type="dcterms:W3CDTF">2015-08-28T11:29:00Z</dcterms:modified>
</cp:coreProperties>
</file>