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C8" w:rsidRDefault="00161DE6" w:rsidP="00CA7795">
      <w:pPr>
        <w:jc w:val="center"/>
        <w:rPr>
          <w:b/>
          <w:sz w:val="28"/>
          <w:szCs w:val="28"/>
        </w:rPr>
      </w:pPr>
      <w:r>
        <w:rPr>
          <w:b/>
          <w:sz w:val="28"/>
          <w:szCs w:val="28"/>
        </w:rPr>
        <w:t xml:space="preserve"> </w:t>
      </w:r>
      <w:sdt>
        <w:sdtPr>
          <w:rPr>
            <w:b/>
            <w:sz w:val="28"/>
            <w:szCs w:val="28"/>
          </w:rPr>
          <w:id w:val="13542603"/>
          <w:placeholder>
            <w:docPart w:val="8563572F19DA41E19ED48E177367A830"/>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A819F5">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5F87E0A9631A4E508F227AEAAA12A3BD"/>
        </w:placeholder>
        <w:docPartList>
          <w:docPartGallery w:val="Quick Parts"/>
        </w:docPartList>
      </w:sdtPr>
      <w:sdtEndPr/>
      <w:sdtContent>
        <w:p w:rsidR="00102EE1" w:rsidRDefault="009E2ADA" w:rsidP="00CA7795">
          <w:pPr>
            <w:jc w:val="center"/>
            <w:rPr>
              <w:b/>
              <w:sz w:val="28"/>
              <w:szCs w:val="28"/>
            </w:rPr>
          </w:pPr>
          <w:sdt>
            <w:sdtPr>
              <w:rPr>
                <w:b/>
                <w:sz w:val="28"/>
                <w:szCs w:val="28"/>
              </w:rPr>
              <w:id w:val="13542618"/>
              <w:placeholder>
                <w:docPart w:val="17F131336E5247D3901926485062E22E"/>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F3F85519F33A497494F6A48A980F05D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043E24">
                <w:rPr>
                  <w:sz w:val="28"/>
                  <w:szCs w:val="28"/>
                </w:rPr>
                <w:t>S. Domah (J.A)</w:t>
              </w:r>
            </w:sdtContent>
          </w:sdt>
          <w:r w:rsidR="00097B9A">
            <w:rPr>
              <w:b/>
              <w:sz w:val="28"/>
              <w:szCs w:val="28"/>
            </w:rPr>
            <w:t xml:space="preserve"> </w:t>
          </w:r>
          <w:sdt>
            <w:sdtPr>
              <w:rPr>
                <w:sz w:val="28"/>
                <w:szCs w:val="28"/>
              </w:rPr>
              <w:id w:val="15629612"/>
              <w:placeholder>
                <w:docPart w:val="A75C4B36F3CC4DE0A7DE2E1EA8CBFA7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043E24">
                <w:rPr>
                  <w:sz w:val="28"/>
                  <w:szCs w:val="28"/>
                </w:rPr>
                <w:t>,</w:t>
              </w:r>
              <w:r w:rsidR="00161DE6">
                <w:rPr>
                  <w:sz w:val="28"/>
                  <w:szCs w:val="28"/>
                </w:rPr>
                <w:t xml:space="preserve"> </w:t>
              </w:r>
              <w:proofErr w:type="spellStart"/>
              <w:r w:rsidR="00043E24">
                <w:rPr>
                  <w:sz w:val="28"/>
                  <w:szCs w:val="28"/>
                </w:rPr>
                <w:t>A.Fernando</w:t>
              </w:r>
              <w:proofErr w:type="spellEnd"/>
              <w:r w:rsidR="00043E24">
                <w:rPr>
                  <w:sz w:val="28"/>
                  <w:szCs w:val="28"/>
                </w:rPr>
                <w:t xml:space="preserve"> (J.A)</w:t>
              </w:r>
            </w:sdtContent>
          </w:sdt>
          <w:r w:rsidR="00097B9A">
            <w:rPr>
              <w:b/>
              <w:sz w:val="28"/>
              <w:szCs w:val="28"/>
            </w:rPr>
            <w:t xml:space="preserve"> </w:t>
          </w:r>
          <w:sdt>
            <w:sdtPr>
              <w:rPr>
                <w:sz w:val="28"/>
                <w:szCs w:val="28"/>
              </w:rPr>
              <w:id w:val="15629656"/>
              <w:placeholder>
                <w:docPart w:val="0B967201DB164D179763FF3E2D4AB78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043E24">
                <w:rPr>
                  <w:sz w:val="28"/>
                  <w:szCs w:val="28"/>
                </w:rPr>
                <w:t>,</w:t>
              </w:r>
              <w:r w:rsidR="00161DE6">
                <w:rPr>
                  <w:sz w:val="28"/>
                  <w:szCs w:val="28"/>
                </w:rPr>
                <w:t xml:space="preserve"> </w:t>
              </w:r>
              <w:r w:rsidR="00043E24">
                <w:rPr>
                  <w:sz w:val="28"/>
                  <w:szCs w:val="28"/>
                </w:rPr>
                <w:t>M. Twomey (J.A)</w:t>
              </w:r>
            </w:sdtContent>
          </w:sdt>
          <w:r w:rsidR="006D0D9B">
            <w:rPr>
              <w:b/>
              <w:sz w:val="28"/>
              <w:szCs w:val="28"/>
            </w:rPr>
            <w:t>]</w:t>
          </w:r>
        </w:p>
      </w:sdtContent>
    </w:sdt>
    <w:p w:rsidR="00C55FDF" w:rsidRDefault="009E2ADA" w:rsidP="0006489F">
      <w:pPr>
        <w:spacing w:before="240"/>
        <w:jc w:val="center"/>
        <w:rPr>
          <w:b/>
          <w:sz w:val="28"/>
          <w:szCs w:val="28"/>
        </w:rPr>
      </w:pPr>
      <w:sdt>
        <w:sdtPr>
          <w:rPr>
            <w:b/>
            <w:sz w:val="28"/>
            <w:szCs w:val="28"/>
          </w:rPr>
          <w:id w:val="14547297"/>
          <w:lock w:val="contentLocked"/>
          <w:placeholder>
            <w:docPart w:val="8563572F19DA41E19ED48E177367A830"/>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043E24">
        <w:rPr>
          <w:b/>
          <w:sz w:val="28"/>
          <w:szCs w:val="28"/>
        </w:rPr>
        <w:t>40</w:t>
      </w:r>
      <w:sdt>
        <w:sdtPr>
          <w:rPr>
            <w:b/>
            <w:sz w:val="28"/>
            <w:szCs w:val="28"/>
          </w:rPr>
          <w:id w:val="14547301"/>
          <w:lock w:val="sdtContentLocked"/>
          <w:placeholder>
            <w:docPart w:val="8563572F19DA41E19ED48E177367A830"/>
          </w:placeholder>
        </w:sdtPr>
        <w:sdtEndPr/>
        <w:sdtContent>
          <w:r w:rsidR="00E86753">
            <w:rPr>
              <w:b/>
              <w:sz w:val="28"/>
              <w:szCs w:val="28"/>
            </w:rPr>
            <w:t>/20</w:t>
          </w:r>
        </w:sdtContent>
      </w:sdt>
      <w:r w:rsidR="00043E24">
        <w:rPr>
          <w:b/>
          <w:sz w:val="28"/>
          <w:szCs w:val="28"/>
        </w:rPr>
        <w:t>13</w:t>
      </w:r>
    </w:p>
    <w:p w:rsidR="00DB6D34" w:rsidRPr="00606EEA" w:rsidRDefault="009E2ADA" w:rsidP="00616597">
      <w:pPr>
        <w:spacing w:before="120"/>
        <w:jc w:val="center"/>
        <w:rPr>
          <w:b/>
          <w:sz w:val="24"/>
          <w:szCs w:val="24"/>
        </w:rPr>
      </w:pPr>
      <w:sdt>
        <w:sdtPr>
          <w:rPr>
            <w:b/>
            <w:sz w:val="28"/>
            <w:szCs w:val="28"/>
          </w:rPr>
          <w:id w:val="15629594"/>
          <w:lock w:val="contentLocked"/>
          <w:placeholder>
            <w:docPart w:val="00F6C41BD6DD4B81960604A2936E7D56"/>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043E24" w:rsidRPr="00043E24">
        <w:rPr>
          <w:b/>
          <w:sz w:val="24"/>
          <w:szCs w:val="24"/>
        </w:rPr>
        <w:t>11</w:t>
      </w:r>
      <w:sdt>
        <w:sdtPr>
          <w:rPr>
            <w:b/>
            <w:sz w:val="28"/>
            <w:szCs w:val="28"/>
          </w:rPr>
          <w:id w:val="15629598"/>
          <w:lock w:val="contentLocked"/>
          <w:placeholder>
            <w:docPart w:val="00F6C41BD6DD4B81960604A2936E7D56"/>
          </w:placeholder>
        </w:sdtPr>
        <w:sdtEndPr/>
        <w:sdtContent>
          <w:r w:rsidR="00097B9A">
            <w:rPr>
              <w:b/>
              <w:sz w:val="24"/>
              <w:szCs w:val="24"/>
            </w:rPr>
            <w:t>/20</w:t>
          </w:r>
        </w:sdtContent>
      </w:sdt>
      <w:r w:rsidR="00043E24" w:rsidRPr="00043E24">
        <w:rPr>
          <w:b/>
          <w:sz w:val="24"/>
          <w:szCs w:val="24"/>
        </w:rPr>
        <w:t>10</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27"/>
        <w:gridCol w:w="883"/>
        <w:gridCol w:w="4350"/>
      </w:tblGrid>
      <w:tr w:rsidR="003A059B" w:rsidRPr="00B26028" w:rsidTr="00B66B63">
        <w:tc>
          <w:tcPr>
            <w:tcW w:w="4428" w:type="dxa"/>
            <w:tcBorders>
              <w:top w:val="nil"/>
              <w:left w:val="nil"/>
              <w:bottom w:val="nil"/>
              <w:right w:val="nil"/>
            </w:tcBorders>
          </w:tcPr>
          <w:p w:rsidR="003A059B" w:rsidRPr="00B26028" w:rsidRDefault="00043E24" w:rsidP="00043E24">
            <w:pPr>
              <w:spacing w:before="120" w:after="120"/>
              <w:rPr>
                <w:sz w:val="24"/>
                <w:szCs w:val="24"/>
              </w:rPr>
            </w:pPr>
            <w:r>
              <w:rPr>
                <w:sz w:val="24"/>
                <w:szCs w:val="24"/>
              </w:rPr>
              <w:t xml:space="preserve">Charles Alfred </w:t>
            </w:r>
            <w:proofErr w:type="spellStart"/>
            <w:r>
              <w:rPr>
                <w:sz w:val="24"/>
                <w:szCs w:val="24"/>
              </w:rPr>
              <w:t>Moulinie</w:t>
            </w:r>
            <w:proofErr w:type="spellEnd"/>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CE0CDA" w:rsidRDefault="00043E24" w:rsidP="00043E24">
            <w:pPr>
              <w:spacing w:before="120" w:after="120"/>
              <w:ind w:left="2049"/>
              <w:jc w:val="center"/>
              <w:rPr>
                <w:sz w:val="24"/>
                <w:szCs w:val="24"/>
              </w:rPr>
            </w:pPr>
            <w:r>
              <w:rPr>
                <w:sz w:val="24"/>
                <w:szCs w:val="24"/>
              </w:rPr>
              <w:t>Appellant</w:t>
            </w:r>
          </w:p>
          <w:p w:rsidR="00043E24" w:rsidRPr="00B26028" w:rsidRDefault="00043E24" w:rsidP="00043E24">
            <w:pPr>
              <w:spacing w:before="120" w:after="120"/>
              <w:ind w:left="1436"/>
              <w:jc w:val="center"/>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16868067550F40409EAEFA3DE65F3388"/>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5A60B27D9E9D48E7ACEC8F8483CA517A"/>
              </w:placeholder>
            </w:sdtPr>
            <w:sdtEndPr/>
            <w:sdtContent>
              <w:p w:rsidR="00043E24" w:rsidRDefault="00043E24" w:rsidP="00043E24">
                <w:pPr>
                  <w:spacing w:before="120" w:after="120"/>
                  <w:rPr>
                    <w:sz w:val="24"/>
                    <w:szCs w:val="24"/>
                  </w:rPr>
                </w:pPr>
                <w:r>
                  <w:rPr>
                    <w:sz w:val="24"/>
                    <w:szCs w:val="24"/>
                  </w:rPr>
                  <w:t>Government of Seychelles</w:t>
                </w:r>
              </w:p>
              <w:p w:rsidR="003A059B" w:rsidRPr="00B26028" w:rsidRDefault="00043E24" w:rsidP="00043E24">
                <w:pPr>
                  <w:spacing w:before="120" w:after="120"/>
                  <w:rPr>
                    <w:sz w:val="24"/>
                    <w:szCs w:val="24"/>
                  </w:rPr>
                </w:pPr>
                <w:r>
                  <w:rPr>
                    <w:sz w:val="24"/>
                    <w:szCs w:val="24"/>
                  </w:rPr>
                  <w:t>Attorney General</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Default="00043E24" w:rsidP="00043E24">
            <w:pPr>
              <w:spacing w:before="120" w:after="120"/>
              <w:ind w:left="2190"/>
              <w:jc w:val="center"/>
              <w:rPr>
                <w:sz w:val="24"/>
                <w:szCs w:val="24"/>
              </w:rPr>
            </w:pPr>
            <w:r>
              <w:rPr>
                <w:sz w:val="24"/>
                <w:szCs w:val="24"/>
              </w:rPr>
              <w:t>1</w:t>
            </w:r>
            <w:r w:rsidRPr="00043E24">
              <w:rPr>
                <w:sz w:val="24"/>
                <w:szCs w:val="24"/>
                <w:vertAlign w:val="superscript"/>
              </w:rPr>
              <w:t>st</w:t>
            </w:r>
            <w:r>
              <w:rPr>
                <w:sz w:val="24"/>
                <w:szCs w:val="24"/>
              </w:rPr>
              <w:t xml:space="preserve"> Respondent</w:t>
            </w:r>
          </w:p>
          <w:p w:rsidR="00043E24" w:rsidRPr="00B26028" w:rsidRDefault="00043E24" w:rsidP="00043E24">
            <w:pPr>
              <w:spacing w:before="120" w:after="120"/>
              <w:ind w:left="2303"/>
              <w:jc w:val="center"/>
              <w:rPr>
                <w:sz w:val="24"/>
                <w:szCs w:val="24"/>
              </w:rPr>
            </w:pPr>
            <w:r>
              <w:rPr>
                <w:sz w:val="24"/>
                <w:szCs w:val="24"/>
              </w:rPr>
              <w:t>2</w:t>
            </w:r>
            <w:r w:rsidRPr="00043E24">
              <w:rPr>
                <w:sz w:val="24"/>
                <w:szCs w:val="24"/>
                <w:vertAlign w:val="superscript"/>
              </w:rPr>
              <w:t>nd</w:t>
            </w:r>
            <w:r>
              <w:rPr>
                <w:sz w:val="24"/>
                <w:szCs w:val="24"/>
              </w:rPr>
              <w:t xml:space="preserve"> 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9E2ADA" w:rsidP="00C22967">
      <w:pPr>
        <w:spacing w:before="240" w:after="120"/>
        <w:rPr>
          <w:sz w:val="24"/>
          <w:szCs w:val="24"/>
        </w:rPr>
      </w:pPr>
      <w:sdt>
        <w:sdtPr>
          <w:rPr>
            <w:sz w:val="24"/>
            <w:szCs w:val="24"/>
          </w:rPr>
          <w:id w:val="15629736"/>
          <w:lock w:val="contentLocked"/>
          <w:placeholder>
            <w:docPart w:val="00F6C41BD6DD4B81960604A2936E7D56"/>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03DB44ECD707484DBE2F1A2C9F280ED1"/>
          </w:placeholder>
          <w:date w:fullDate="2016-04-11T00:00:00Z">
            <w:dateFormat w:val="dd MMMM yyyy"/>
            <w:lid w:val="en-GB"/>
            <w:storeMappedDataAs w:val="dateTime"/>
            <w:calendar w:val="gregorian"/>
          </w:date>
        </w:sdtPr>
        <w:sdtEndPr/>
        <w:sdtContent>
          <w:r w:rsidR="00043E24">
            <w:rPr>
              <w:sz w:val="24"/>
              <w:szCs w:val="24"/>
            </w:rPr>
            <w:t>11 April 2016</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Pr="00503E49" w:rsidRDefault="009E2ADA" w:rsidP="00B0414B">
      <w:pPr>
        <w:rPr>
          <w:sz w:val="24"/>
          <w:szCs w:val="24"/>
        </w:rPr>
      </w:pPr>
      <w:sdt>
        <w:sdtPr>
          <w:rPr>
            <w:sz w:val="24"/>
            <w:szCs w:val="24"/>
          </w:rPr>
          <w:id w:val="15629744"/>
          <w:lock w:val="contentLocked"/>
          <w:placeholder>
            <w:docPart w:val="00F6C41BD6DD4B81960604A2936E7D56"/>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7DA37BAB6D844535BCFB10A8DBF86C6F"/>
          </w:placeholder>
        </w:sdtPr>
        <w:sdtEndPr/>
        <w:sdtContent>
          <w:proofErr w:type="spellStart"/>
          <w:r w:rsidR="00043E24">
            <w:rPr>
              <w:sz w:val="24"/>
              <w:szCs w:val="24"/>
            </w:rPr>
            <w:t>Mr.</w:t>
          </w:r>
          <w:proofErr w:type="spellEnd"/>
          <w:r w:rsidR="00043E24">
            <w:rPr>
              <w:sz w:val="24"/>
              <w:szCs w:val="24"/>
            </w:rPr>
            <w:t xml:space="preserve"> P. </w:t>
          </w:r>
          <w:proofErr w:type="spellStart"/>
          <w:r w:rsidR="00043E24">
            <w:rPr>
              <w:sz w:val="24"/>
              <w:szCs w:val="24"/>
            </w:rPr>
            <w:t>Boullé</w:t>
          </w:r>
          <w:proofErr w:type="spellEnd"/>
          <w:r w:rsidR="00043E24">
            <w:rPr>
              <w:sz w:val="24"/>
              <w:szCs w:val="24"/>
            </w:rPr>
            <w:t xml:space="preserve"> for Appellant</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7DA37BAB6D844535BCFB10A8DBF86C6F"/>
          </w:placeholder>
        </w:sdtPr>
        <w:sdtEndPr/>
        <w:sdtContent>
          <w:proofErr w:type="spellStart"/>
          <w:r w:rsidR="00043E24">
            <w:rPr>
              <w:sz w:val="24"/>
              <w:szCs w:val="24"/>
            </w:rPr>
            <w:t>Ms.</w:t>
          </w:r>
          <w:proofErr w:type="spellEnd"/>
          <w:r w:rsidR="00043E24">
            <w:rPr>
              <w:sz w:val="24"/>
              <w:szCs w:val="24"/>
            </w:rPr>
            <w:t xml:space="preserve"> A. Madeline for Respondents</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rsidR="00E6492F" w:rsidRDefault="009E2ADA" w:rsidP="006578C2">
      <w:pPr>
        <w:spacing w:before="120" w:after="240"/>
        <w:rPr>
          <w:sz w:val="24"/>
          <w:szCs w:val="24"/>
        </w:rPr>
      </w:pPr>
      <w:sdt>
        <w:sdtPr>
          <w:rPr>
            <w:sz w:val="24"/>
            <w:szCs w:val="24"/>
          </w:rPr>
          <w:id w:val="15629748"/>
          <w:lock w:val="contentLocked"/>
          <w:placeholder>
            <w:docPart w:val="00F6C41BD6DD4B81960604A2936E7D56"/>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5594D5BCFFF249A48178AB4836D7E83C"/>
          </w:placeholder>
          <w:date w:fullDate="2016-04-22T00:00:00Z">
            <w:dateFormat w:val="dd MMMM yyyy"/>
            <w:lid w:val="en-GB"/>
            <w:storeMappedDataAs w:val="dateTime"/>
            <w:calendar w:val="gregorian"/>
          </w:date>
        </w:sdtPr>
        <w:sdtEndPr/>
        <w:sdtContent>
          <w:r w:rsidR="00043E24">
            <w:rPr>
              <w:sz w:val="24"/>
              <w:szCs w:val="24"/>
            </w:rPr>
            <w:t>22 April 2016</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00F6C41BD6DD4B81960604A2936E7D56"/>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9E2ADA"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A866638CEC5845429A5405441D2D131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043E24">
            <w:rPr>
              <w:b/>
              <w:sz w:val="28"/>
              <w:szCs w:val="28"/>
            </w:rPr>
            <w:t>S. Domah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931D8E" w:rsidRPr="00931D8E" w:rsidRDefault="00931D8E" w:rsidP="00931D8E">
      <w:pPr>
        <w:widowControl/>
        <w:numPr>
          <w:ilvl w:val="0"/>
          <w:numId w:val="9"/>
        </w:numPr>
        <w:autoSpaceDE/>
        <w:autoSpaceDN/>
        <w:adjustRightInd/>
        <w:spacing w:line="360" w:lineRule="auto"/>
        <w:ind w:left="360" w:hanging="540"/>
        <w:jc w:val="both"/>
        <w:rPr>
          <w:sz w:val="24"/>
          <w:szCs w:val="24"/>
        </w:rPr>
      </w:pPr>
      <w:r w:rsidRPr="00931D8E">
        <w:rPr>
          <w:rFonts w:eastAsia="Times New Roman"/>
          <w:sz w:val="24"/>
          <w:szCs w:val="24"/>
        </w:rPr>
        <w:lastRenderedPageBreak/>
        <w:t xml:space="preserve">On 7 December 2011, this Court remitted a long-standing constitutional claim with a chequered history to the Constitutional Court for the purpose of determining the quantum of compensation to be paid to an owner divested of his landed property prior to 1993. Having heard the matter, the Constitutional Court made an award. As a matter of law, however, the then learned Chief Justice </w:t>
      </w:r>
      <w:proofErr w:type="spellStart"/>
      <w:r w:rsidRPr="00931D8E">
        <w:rPr>
          <w:rFonts w:eastAsia="Times New Roman"/>
          <w:sz w:val="24"/>
          <w:szCs w:val="24"/>
        </w:rPr>
        <w:t>Egonda-Ntende</w:t>
      </w:r>
      <w:proofErr w:type="spellEnd"/>
      <w:r w:rsidRPr="00931D8E">
        <w:rPr>
          <w:rFonts w:eastAsia="Times New Roman"/>
          <w:sz w:val="24"/>
          <w:szCs w:val="24"/>
        </w:rPr>
        <w:t xml:space="preserve">, with whom M. </w:t>
      </w:r>
      <w:proofErr w:type="spellStart"/>
      <w:r w:rsidRPr="00931D8E">
        <w:rPr>
          <w:rFonts w:eastAsia="Times New Roman"/>
          <w:sz w:val="24"/>
          <w:szCs w:val="24"/>
        </w:rPr>
        <w:t>Burhan</w:t>
      </w:r>
      <w:proofErr w:type="spellEnd"/>
      <w:r w:rsidRPr="00931D8E">
        <w:rPr>
          <w:rFonts w:eastAsia="Times New Roman"/>
          <w:sz w:val="24"/>
          <w:szCs w:val="24"/>
        </w:rPr>
        <w:t xml:space="preserve"> J. and G </w:t>
      </w:r>
      <w:proofErr w:type="spellStart"/>
      <w:r w:rsidRPr="00931D8E">
        <w:rPr>
          <w:rFonts w:eastAsia="Times New Roman"/>
          <w:sz w:val="24"/>
          <w:szCs w:val="24"/>
        </w:rPr>
        <w:t>Dodin</w:t>
      </w:r>
      <w:proofErr w:type="spellEnd"/>
      <w:r w:rsidRPr="00931D8E">
        <w:rPr>
          <w:rFonts w:eastAsia="Times New Roman"/>
          <w:sz w:val="24"/>
          <w:szCs w:val="24"/>
        </w:rPr>
        <w:t xml:space="preserve"> J. concurred, made the award on the basis that, as per the applicable law: i.e. section 14 of Schedule 7 of the Constitution of the Republic of Seychelles, the Court could only assess and give compensation which was payable as at the date referred to in the Constitution, which in this case is 1993. With a deduction of an amount paid, that amounted to SR4</w:t>
      </w:r>
      <w:proofErr w:type="gramStart"/>
      <w:r w:rsidRPr="00931D8E">
        <w:rPr>
          <w:rFonts w:eastAsia="Times New Roman"/>
          <w:sz w:val="24"/>
          <w:szCs w:val="24"/>
        </w:rPr>
        <w:t>,584,600.00</w:t>
      </w:r>
      <w:proofErr w:type="gramEnd"/>
      <w:r w:rsidRPr="00931D8E">
        <w:rPr>
          <w:rFonts w:eastAsia="Times New Roman"/>
          <w:sz w:val="24"/>
          <w:szCs w:val="24"/>
        </w:rPr>
        <w:t xml:space="preserve">. It was the contention of the appellant that the rate applicable should be the current market value of the properties </w:t>
      </w:r>
      <w:r w:rsidRPr="00931D8E">
        <w:rPr>
          <w:rFonts w:eastAsia="Times New Roman"/>
          <w:sz w:val="24"/>
          <w:szCs w:val="24"/>
        </w:rPr>
        <w:lastRenderedPageBreak/>
        <w:t xml:space="preserve">and not the 1993 rate. In the estimation of the appellant, that sum amounted </w:t>
      </w:r>
      <w:proofErr w:type="gramStart"/>
      <w:r w:rsidRPr="00931D8E">
        <w:rPr>
          <w:rFonts w:eastAsia="Times New Roman"/>
          <w:sz w:val="24"/>
          <w:szCs w:val="24"/>
        </w:rPr>
        <w:t>to  SR52,316,451.00</w:t>
      </w:r>
      <w:proofErr w:type="gramEnd"/>
      <w:r w:rsidRPr="00931D8E">
        <w:rPr>
          <w:rFonts w:eastAsia="Times New Roman"/>
          <w:sz w:val="24"/>
          <w:szCs w:val="24"/>
        </w:rPr>
        <w:t xml:space="preserve">. It is this burning issue which has come to us on appeal.   </w:t>
      </w:r>
    </w:p>
    <w:p w:rsidR="00931D8E" w:rsidRPr="00931D8E" w:rsidRDefault="00931D8E" w:rsidP="00931D8E">
      <w:pPr>
        <w:widowControl/>
        <w:autoSpaceDE/>
        <w:autoSpaceDN/>
        <w:adjustRightInd/>
        <w:spacing w:line="360" w:lineRule="auto"/>
        <w:ind w:left="360"/>
        <w:jc w:val="both"/>
        <w:rPr>
          <w:sz w:val="24"/>
          <w:szCs w:val="24"/>
        </w:rPr>
      </w:pPr>
    </w:p>
    <w:p w:rsidR="00931D8E" w:rsidRPr="00931D8E" w:rsidRDefault="00931D8E" w:rsidP="00931D8E">
      <w:pPr>
        <w:widowControl/>
        <w:numPr>
          <w:ilvl w:val="0"/>
          <w:numId w:val="9"/>
        </w:numPr>
        <w:autoSpaceDE/>
        <w:autoSpaceDN/>
        <w:adjustRightInd/>
        <w:spacing w:line="360" w:lineRule="auto"/>
        <w:ind w:left="360" w:hanging="540"/>
        <w:jc w:val="both"/>
        <w:rPr>
          <w:sz w:val="24"/>
          <w:szCs w:val="24"/>
        </w:rPr>
      </w:pPr>
      <w:r w:rsidRPr="00931D8E">
        <w:rPr>
          <w:sz w:val="24"/>
          <w:szCs w:val="24"/>
        </w:rPr>
        <w:t xml:space="preserve">The appellant has raised 4 grounds of Appeal. In the interest of simplification in a case which has already generated volumes upon volumes of typescripts, loads and loads of documents and involved various professionals, officers and experts at various stages in an application that started in 1993, we shall cull the gist of the grounds of appeal rather than reproduce them. Under Ground 1, it is the contention of the Appellant that the Constitutional Court misapplied the orders made by this Court in assessing the quantum, which should have been calculated on the current market value rather than value as at 1993. Under Ground 2, the argument is that the facts of this case do not attract the application of paragraph 14(1) of Schedule 7 of Part 3 of the Constitution which deals with claims whereas the present matter deals with compensation. Ground 3 challenges the valuation of the two experts and the Court’s appreciation of their evidence. Ground 4 challenges the conclusion of the Constitutional Court according to which it was not clear whether the transactions relating to the properties </w:t>
      </w:r>
      <w:r w:rsidRPr="00931D8E">
        <w:rPr>
          <w:i/>
          <w:sz w:val="24"/>
          <w:szCs w:val="24"/>
        </w:rPr>
        <w:t xml:space="preserve">in </w:t>
      </w:r>
      <w:proofErr w:type="spellStart"/>
      <w:r w:rsidRPr="00931D8E">
        <w:rPr>
          <w:i/>
          <w:sz w:val="24"/>
          <w:szCs w:val="24"/>
        </w:rPr>
        <w:t>lite</w:t>
      </w:r>
      <w:proofErr w:type="spellEnd"/>
      <w:r w:rsidRPr="00931D8E">
        <w:rPr>
          <w:sz w:val="24"/>
          <w:szCs w:val="24"/>
        </w:rPr>
        <w:t xml:space="preserve"> took place before or after the coming into force of the 1993 Constitution. </w:t>
      </w:r>
    </w:p>
    <w:p w:rsidR="00931D8E" w:rsidRPr="00931D8E" w:rsidRDefault="00931D8E" w:rsidP="00931D8E">
      <w:pPr>
        <w:widowControl/>
        <w:autoSpaceDE/>
        <w:autoSpaceDN/>
        <w:adjustRightInd/>
        <w:spacing w:line="360" w:lineRule="auto"/>
        <w:ind w:left="360"/>
        <w:jc w:val="both"/>
        <w:rPr>
          <w:sz w:val="24"/>
          <w:szCs w:val="24"/>
        </w:rPr>
      </w:pPr>
    </w:p>
    <w:p w:rsidR="00931D8E" w:rsidRPr="00931D8E" w:rsidRDefault="00931D8E" w:rsidP="00931D8E">
      <w:pPr>
        <w:widowControl/>
        <w:numPr>
          <w:ilvl w:val="0"/>
          <w:numId w:val="9"/>
        </w:numPr>
        <w:autoSpaceDE/>
        <w:autoSpaceDN/>
        <w:adjustRightInd/>
        <w:spacing w:line="360" w:lineRule="auto"/>
        <w:ind w:left="360" w:hanging="540"/>
        <w:jc w:val="both"/>
        <w:rPr>
          <w:sz w:val="24"/>
          <w:szCs w:val="24"/>
        </w:rPr>
      </w:pPr>
      <w:r w:rsidRPr="00931D8E">
        <w:rPr>
          <w:sz w:val="24"/>
          <w:szCs w:val="24"/>
        </w:rPr>
        <w:t xml:space="preserve">The respondents resisted the appeal and supported the judgment of the Constitutional Court in their Heads of Argument. Learned counsel, however, while submitting before us, supported the interpretation given by the Constitutional Court but sought in aid paragraph 14(3) which, according to her, could mitigate the harshness resulting from that interpretation.  In other words, her submission has been that a payment of interest could be envisaged, conceding that there were special circumstances to this case which warranted its invocation. Paragraph 14(3) provides for the payment, </w:t>
      </w:r>
      <w:r w:rsidRPr="00931D8E">
        <w:rPr>
          <w:i/>
          <w:sz w:val="24"/>
          <w:szCs w:val="24"/>
        </w:rPr>
        <w:t xml:space="preserve">“in special circumstances .... </w:t>
      </w:r>
      <w:proofErr w:type="gramStart"/>
      <w:r w:rsidRPr="00931D8E">
        <w:rPr>
          <w:i/>
          <w:sz w:val="24"/>
          <w:szCs w:val="24"/>
        </w:rPr>
        <w:t>of</w:t>
      </w:r>
      <w:proofErr w:type="gramEnd"/>
      <w:r w:rsidRPr="00931D8E">
        <w:rPr>
          <w:i/>
          <w:sz w:val="24"/>
          <w:szCs w:val="24"/>
        </w:rPr>
        <w:t xml:space="preserve"> such interest as may be just.”</w:t>
      </w:r>
      <w:r w:rsidRPr="00931D8E">
        <w:rPr>
          <w:sz w:val="24"/>
          <w:szCs w:val="24"/>
        </w:rPr>
        <w:t xml:space="preserve"> Asked what would be the rate on the 1993 market price, she stated that it could only be the 4% legal rate which is currently applied but she needed more time to know more. Asked whether such a solution was acceptable, learned counsel for the appellant declined to entertain that option. To him, his case was, purely and simply, one for full compensation at the current market rate and not the 1993 rate. </w:t>
      </w:r>
    </w:p>
    <w:p w:rsidR="00931D8E" w:rsidRPr="00931D8E" w:rsidRDefault="00931D8E" w:rsidP="00931D8E">
      <w:pPr>
        <w:widowControl/>
        <w:autoSpaceDE/>
        <w:autoSpaceDN/>
        <w:adjustRightInd/>
        <w:spacing w:line="360" w:lineRule="auto"/>
        <w:ind w:left="360"/>
        <w:jc w:val="both"/>
        <w:rPr>
          <w:sz w:val="24"/>
          <w:szCs w:val="24"/>
        </w:rPr>
      </w:pPr>
      <w:r w:rsidRPr="00931D8E">
        <w:rPr>
          <w:sz w:val="24"/>
          <w:szCs w:val="24"/>
        </w:rPr>
        <w:t xml:space="preserve">   </w:t>
      </w:r>
    </w:p>
    <w:p w:rsidR="00931D8E" w:rsidRPr="00931D8E" w:rsidRDefault="00931D8E" w:rsidP="00931D8E">
      <w:pPr>
        <w:widowControl/>
        <w:numPr>
          <w:ilvl w:val="0"/>
          <w:numId w:val="9"/>
        </w:numPr>
        <w:autoSpaceDE/>
        <w:autoSpaceDN/>
        <w:adjustRightInd/>
        <w:spacing w:line="360" w:lineRule="auto"/>
        <w:ind w:left="360" w:hanging="540"/>
        <w:jc w:val="both"/>
        <w:rPr>
          <w:sz w:val="24"/>
          <w:szCs w:val="24"/>
        </w:rPr>
      </w:pPr>
      <w:r w:rsidRPr="00931D8E">
        <w:rPr>
          <w:sz w:val="24"/>
          <w:szCs w:val="24"/>
        </w:rPr>
        <w:lastRenderedPageBreak/>
        <w:t xml:space="preserve">To decide the issue, we need to examine Schedule 7, Part III of the Constitution of the Republic of Seychelles before applying the law to the particular facts of this case. First as to the applicable law. </w:t>
      </w:r>
    </w:p>
    <w:p w:rsidR="00931D8E" w:rsidRPr="00931D8E" w:rsidRDefault="00931D8E" w:rsidP="00931D8E">
      <w:pPr>
        <w:widowControl/>
        <w:autoSpaceDE/>
        <w:autoSpaceDN/>
        <w:adjustRightInd/>
        <w:spacing w:line="360" w:lineRule="auto"/>
        <w:ind w:left="360"/>
        <w:jc w:val="both"/>
        <w:rPr>
          <w:sz w:val="24"/>
          <w:szCs w:val="24"/>
        </w:rPr>
      </w:pPr>
    </w:p>
    <w:p w:rsidR="00931D8E" w:rsidRPr="00931D8E" w:rsidRDefault="00931D8E" w:rsidP="00931D8E">
      <w:pPr>
        <w:widowControl/>
        <w:numPr>
          <w:ilvl w:val="0"/>
          <w:numId w:val="9"/>
        </w:numPr>
        <w:autoSpaceDE/>
        <w:autoSpaceDN/>
        <w:adjustRightInd/>
        <w:spacing w:line="360" w:lineRule="auto"/>
        <w:ind w:left="360" w:hanging="540"/>
        <w:jc w:val="both"/>
        <w:rPr>
          <w:sz w:val="24"/>
          <w:szCs w:val="24"/>
        </w:rPr>
      </w:pPr>
      <w:r w:rsidRPr="00931D8E">
        <w:rPr>
          <w:sz w:val="24"/>
          <w:szCs w:val="24"/>
        </w:rPr>
        <w:t>Part III reads:</w:t>
      </w:r>
    </w:p>
    <w:p w:rsidR="00931D8E" w:rsidRPr="00931D8E" w:rsidRDefault="00931D8E" w:rsidP="00931D8E">
      <w:pPr>
        <w:jc w:val="center"/>
        <w:rPr>
          <w:i/>
          <w:sz w:val="24"/>
          <w:szCs w:val="24"/>
        </w:rPr>
      </w:pPr>
      <w:r w:rsidRPr="00931D8E">
        <w:rPr>
          <w:i/>
          <w:sz w:val="24"/>
          <w:szCs w:val="24"/>
        </w:rPr>
        <w:t>“PART III</w:t>
      </w:r>
    </w:p>
    <w:p w:rsidR="00931D8E" w:rsidRPr="00931D8E" w:rsidRDefault="00931D8E" w:rsidP="00931D8E">
      <w:pPr>
        <w:pStyle w:val="ListParagraph"/>
        <w:jc w:val="center"/>
        <w:rPr>
          <w:i/>
          <w:sz w:val="24"/>
          <w:szCs w:val="24"/>
        </w:rPr>
      </w:pPr>
      <w:r w:rsidRPr="00931D8E">
        <w:rPr>
          <w:i/>
          <w:sz w:val="24"/>
          <w:szCs w:val="24"/>
        </w:rPr>
        <w:t>COMPENSATION FOR PAST LAND ACQUISITIONS</w:t>
      </w:r>
    </w:p>
    <w:p w:rsidR="00931D8E" w:rsidRPr="00931D8E" w:rsidRDefault="00931D8E" w:rsidP="00931D8E">
      <w:pPr>
        <w:widowControl/>
        <w:autoSpaceDE/>
        <w:autoSpaceDN/>
        <w:adjustRightInd/>
        <w:spacing w:line="360" w:lineRule="auto"/>
        <w:ind w:left="360" w:firstLine="360"/>
        <w:jc w:val="both"/>
        <w:rPr>
          <w:i/>
          <w:sz w:val="24"/>
          <w:szCs w:val="24"/>
        </w:rPr>
      </w:pPr>
    </w:p>
    <w:p w:rsidR="00931D8E" w:rsidRPr="00931D8E" w:rsidRDefault="00931D8E" w:rsidP="00931D8E">
      <w:pPr>
        <w:widowControl/>
        <w:autoSpaceDE/>
        <w:autoSpaceDN/>
        <w:adjustRightInd/>
        <w:spacing w:line="360" w:lineRule="auto"/>
        <w:ind w:left="1260"/>
        <w:jc w:val="both"/>
        <w:rPr>
          <w:i/>
          <w:sz w:val="24"/>
          <w:szCs w:val="24"/>
        </w:rPr>
      </w:pPr>
      <w:r w:rsidRPr="00931D8E">
        <w:rPr>
          <w:i/>
          <w:sz w:val="24"/>
          <w:szCs w:val="24"/>
        </w:rPr>
        <w:t xml:space="preserve">“14(1). The State undertakes to continue to consider all applications made during the period of twelve months from the date of the coming into force of this Constitution by a person whose land was compulsorily acquired under the Land Acquisition Act, 1977 during the period starting June, 1977 and ending on the date of coming into force of this Constitution and to negotiate in good faith with the person with a view to – </w:t>
      </w:r>
    </w:p>
    <w:p w:rsidR="00931D8E" w:rsidRPr="00931D8E" w:rsidRDefault="00931D8E" w:rsidP="00931D8E">
      <w:pPr>
        <w:pStyle w:val="ListParagraph"/>
        <w:widowControl/>
        <w:numPr>
          <w:ilvl w:val="1"/>
          <w:numId w:val="9"/>
        </w:numPr>
        <w:autoSpaceDE/>
        <w:autoSpaceDN/>
        <w:adjustRightInd/>
        <w:spacing w:line="360" w:lineRule="auto"/>
        <w:jc w:val="both"/>
        <w:rPr>
          <w:i/>
          <w:sz w:val="24"/>
          <w:szCs w:val="24"/>
        </w:rPr>
      </w:pPr>
      <w:r w:rsidRPr="00931D8E">
        <w:rPr>
          <w:i/>
          <w:sz w:val="24"/>
          <w:szCs w:val="24"/>
        </w:rPr>
        <w:t>where on the date of the receipt of the application the land has not been developed or there is no government plan to develop it, transferring back the land to the person;</w:t>
      </w:r>
    </w:p>
    <w:p w:rsidR="00931D8E" w:rsidRPr="00931D8E" w:rsidRDefault="00931D8E" w:rsidP="00931D8E">
      <w:pPr>
        <w:pStyle w:val="ListParagraph"/>
        <w:widowControl/>
        <w:numPr>
          <w:ilvl w:val="1"/>
          <w:numId w:val="9"/>
        </w:numPr>
        <w:autoSpaceDE/>
        <w:autoSpaceDN/>
        <w:adjustRightInd/>
        <w:spacing w:line="360" w:lineRule="auto"/>
        <w:jc w:val="both"/>
        <w:rPr>
          <w:i/>
          <w:sz w:val="24"/>
          <w:szCs w:val="24"/>
        </w:rPr>
      </w:pPr>
      <w:r w:rsidRPr="00931D8E">
        <w:rPr>
          <w:i/>
          <w:sz w:val="24"/>
          <w:szCs w:val="24"/>
        </w:rPr>
        <w:t xml:space="preserve">where there is a government plan to develop the land and the person from whom the land was acquired satisfies the government that the person will implement the plan or a similar plan, transferring back the land to the person; </w:t>
      </w:r>
    </w:p>
    <w:p w:rsidR="00931D8E" w:rsidRPr="00931D8E" w:rsidRDefault="00931D8E" w:rsidP="00931D8E">
      <w:pPr>
        <w:pStyle w:val="ListParagraph"/>
        <w:widowControl/>
        <w:numPr>
          <w:ilvl w:val="1"/>
          <w:numId w:val="9"/>
        </w:numPr>
        <w:autoSpaceDE/>
        <w:autoSpaceDN/>
        <w:adjustRightInd/>
        <w:spacing w:line="360" w:lineRule="auto"/>
        <w:jc w:val="both"/>
        <w:rPr>
          <w:i/>
          <w:sz w:val="24"/>
          <w:szCs w:val="24"/>
        </w:rPr>
      </w:pPr>
      <w:r w:rsidRPr="00931D8E">
        <w:rPr>
          <w:i/>
          <w:sz w:val="24"/>
          <w:szCs w:val="24"/>
        </w:rPr>
        <w:t xml:space="preserve">where the land cannot be transferred back under sub-sub-paragraphs (a) or sub-sub-paragraphs (b), -  </w:t>
      </w:r>
    </w:p>
    <w:p w:rsidR="00931D8E" w:rsidRPr="00931D8E" w:rsidRDefault="00931D8E" w:rsidP="00931D8E">
      <w:pPr>
        <w:pStyle w:val="ListParagraph"/>
        <w:widowControl/>
        <w:numPr>
          <w:ilvl w:val="2"/>
          <w:numId w:val="9"/>
        </w:numPr>
        <w:autoSpaceDE/>
        <w:autoSpaceDN/>
        <w:adjustRightInd/>
        <w:spacing w:line="360" w:lineRule="auto"/>
        <w:jc w:val="both"/>
        <w:rPr>
          <w:i/>
          <w:sz w:val="24"/>
          <w:szCs w:val="24"/>
        </w:rPr>
      </w:pPr>
      <w:r w:rsidRPr="00931D8E">
        <w:rPr>
          <w:i/>
          <w:sz w:val="24"/>
          <w:szCs w:val="24"/>
        </w:rPr>
        <w:t xml:space="preserve">as full compensation for the land acquired, transferring to the person another parcel of land of corresponding value to the land acquired; </w:t>
      </w:r>
    </w:p>
    <w:p w:rsidR="00931D8E" w:rsidRPr="00931D8E" w:rsidRDefault="00931D8E" w:rsidP="00931D8E">
      <w:pPr>
        <w:pStyle w:val="ListParagraph"/>
        <w:widowControl/>
        <w:numPr>
          <w:ilvl w:val="2"/>
          <w:numId w:val="9"/>
        </w:numPr>
        <w:autoSpaceDE/>
        <w:autoSpaceDN/>
        <w:adjustRightInd/>
        <w:spacing w:line="360" w:lineRule="auto"/>
        <w:jc w:val="both"/>
        <w:rPr>
          <w:i/>
          <w:sz w:val="24"/>
          <w:szCs w:val="24"/>
        </w:rPr>
      </w:pPr>
      <w:r w:rsidRPr="00931D8E">
        <w:rPr>
          <w:i/>
          <w:sz w:val="24"/>
          <w:szCs w:val="24"/>
        </w:rPr>
        <w:t xml:space="preserve">paying the person full monetary compensation for the land acquired; or </w:t>
      </w:r>
    </w:p>
    <w:p w:rsidR="00931D8E" w:rsidRPr="00931D8E" w:rsidRDefault="00931D8E" w:rsidP="00931D8E">
      <w:pPr>
        <w:pStyle w:val="ListParagraph"/>
        <w:widowControl/>
        <w:numPr>
          <w:ilvl w:val="2"/>
          <w:numId w:val="9"/>
        </w:numPr>
        <w:autoSpaceDE/>
        <w:autoSpaceDN/>
        <w:adjustRightInd/>
        <w:spacing w:line="360" w:lineRule="auto"/>
        <w:jc w:val="both"/>
        <w:rPr>
          <w:sz w:val="24"/>
          <w:szCs w:val="24"/>
        </w:rPr>
      </w:pPr>
      <w:proofErr w:type="gramStart"/>
      <w:r w:rsidRPr="00931D8E">
        <w:rPr>
          <w:i/>
          <w:sz w:val="24"/>
          <w:szCs w:val="24"/>
        </w:rPr>
        <w:t>as</w:t>
      </w:r>
      <w:proofErr w:type="gramEnd"/>
      <w:r w:rsidRPr="00931D8E">
        <w:rPr>
          <w:i/>
          <w:sz w:val="24"/>
          <w:szCs w:val="24"/>
        </w:rPr>
        <w:t xml:space="preserve"> full compensation for the land acquired, devising a scheme of compensation combining items (</w:t>
      </w:r>
      <w:proofErr w:type="spellStart"/>
      <w:r w:rsidRPr="00931D8E">
        <w:rPr>
          <w:i/>
          <w:sz w:val="24"/>
          <w:szCs w:val="24"/>
        </w:rPr>
        <w:t>i</w:t>
      </w:r>
      <w:proofErr w:type="spellEnd"/>
      <w:r w:rsidRPr="00931D8E">
        <w:rPr>
          <w:i/>
          <w:sz w:val="24"/>
          <w:szCs w:val="24"/>
        </w:rPr>
        <w:t>) and (ii) up to the value of the land acquired.</w:t>
      </w:r>
      <w:r w:rsidRPr="00931D8E">
        <w:rPr>
          <w:sz w:val="24"/>
          <w:szCs w:val="24"/>
        </w:rPr>
        <w:t xml:space="preserve">” </w:t>
      </w:r>
    </w:p>
    <w:p w:rsidR="00931D8E" w:rsidRPr="00931D8E" w:rsidRDefault="00931D8E" w:rsidP="00931D8E">
      <w:pPr>
        <w:pStyle w:val="ListParagraph"/>
        <w:rPr>
          <w:sz w:val="24"/>
          <w:szCs w:val="24"/>
        </w:rPr>
      </w:pPr>
    </w:p>
    <w:p w:rsidR="00931D8E" w:rsidRPr="00931D8E" w:rsidRDefault="00931D8E" w:rsidP="00931D8E">
      <w:pPr>
        <w:widowControl/>
        <w:numPr>
          <w:ilvl w:val="0"/>
          <w:numId w:val="9"/>
        </w:numPr>
        <w:autoSpaceDE/>
        <w:autoSpaceDN/>
        <w:adjustRightInd/>
        <w:spacing w:line="360" w:lineRule="auto"/>
        <w:ind w:left="360" w:hanging="540"/>
        <w:jc w:val="both"/>
        <w:rPr>
          <w:sz w:val="24"/>
          <w:szCs w:val="24"/>
        </w:rPr>
      </w:pPr>
      <w:r w:rsidRPr="00931D8E">
        <w:rPr>
          <w:sz w:val="24"/>
          <w:szCs w:val="24"/>
        </w:rPr>
        <w:lastRenderedPageBreak/>
        <w:t>As may be seen, two conditions apply for paragraph 14(1) to kick in so that the 1993 compensation would become payable. One is that, on the date of the receipt of the application, the land has been developed</w:t>
      </w:r>
      <w:r w:rsidRPr="00931D8E">
        <w:rPr>
          <w:i/>
          <w:sz w:val="24"/>
          <w:szCs w:val="24"/>
        </w:rPr>
        <w:t xml:space="preserve">. </w:t>
      </w:r>
      <w:r w:rsidRPr="00931D8E">
        <w:rPr>
          <w:sz w:val="24"/>
          <w:szCs w:val="24"/>
        </w:rPr>
        <w:t>The other is that on that date, there is already a government plan to develop it.  In the absence of those conditions, government is under a constitutional duty to transfer back the land to the person from whom the property was acquired. A duty to transfer would occur even where there is a government plan to develop the land but the person from whom the land was acquired satisfies government that he will implement the plan or a similar plan.</w:t>
      </w:r>
      <w:r w:rsidRPr="00931D8E">
        <w:rPr>
          <w:i/>
          <w:sz w:val="24"/>
          <w:szCs w:val="24"/>
        </w:rPr>
        <w:t xml:space="preserve"> </w:t>
      </w:r>
      <w:r w:rsidRPr="00931D8E">
        <w:rPr>
          <w:sz w:val="24"/>
          <w:szCs w:val="24"/>
        </w:rPr>
        <w:t>Now, where the land cannot be transferred because the case falls outside those situations, there arises a duty to give full compensation in cash or in kind: either transferring to the person another parcel of land of corresponding value to the land acquired or paying the person full monetary compensation for the land acquired; or devising a scheme of compensation combining items (</w:t>
      </w:r>
      <w:proofErr w:type="spellStart"/>
      <w:r w:rsidRPr="00931D8E">
        <w:rPr>
          <w:sz w:val="24"/>
          <w:szCs w:val="24"/>
        </w:rPr>
        <w:t>i</w:t>
      </w:r>
      <w:proofErr w:type="spellEnd"/>
      <w:r w:rsidRPr="00931D8E">
        <w:rPr>
          <w:sz w:val="24"/>
          <w:szCs w:val="24"/>
        </w:rPr>
        <w:t>) and (ii) up to the value of the land acquired.</w:t>
      </w:r>
      <w:r w:rsidRPr="00931D8E">
        <w:rPr>
          <w:i/>
          <w:sz w:val="24"/>
          <w:szCs w:val="24"/>
        </w:rPr>
        <w:t xml:space="preserve">. </w:t>
      </w:r>
    </w:p>
    <w:p w:rsidR="00931D8E" w:rsidRPr="00931D8E" w:rsidRDefault="00931D8E" w:rsidP="00931D8E">
      <w:pPr>
        <w:widowControl/>
        <w:autoSpaceDE/>
        <w:autoSpaceDN/>
        <w:adjustRightInd/>
        <w:spacing w:line="360" w:lineRule="auto"/>
        <w:ind w:left="360"/>
        <w:jc w:val="both"/>
        <w:rPr>
          <w:sz w:val="24"/>
          <w:szCs w:val="24"/>
        </w:rPr>
      </w:pPr>
    </w:p>
    <w:p w:rsidR="00931D8E" w:rsidRPr="00931D8E" w:rsidRDefault="00931D8E" w:rsidP="00931D8E">
      <w:pPr>
        <w:widowControl/>
        <w:numPr>
          <w:ilvl w:val="0"/>
          <w:numId w:val="9"/>
        </w:numPr>
        <w:autoSpaceDE/>
        <w:autoSpaceDN/>
        <w:adjustRightInd/>
        <w:spacing w:line="360" w:lineRule="auto"/>
        <w:ind w:left="360" w:hanging="540"/>
        <w:jc w:val="both"/>
        <w:rPr>
          <w:sz w:val="24"/>
          <w:szCs w:val="24"/>
        </w:rPr>
      </w:pPr>
      <w:r w:rsidRPr="00931D8E">
        <w:rPr>
          <w:sz w:val="24"/>
          <w:szCs w:val="24"/>
        </w:rPr>
        <w:t xml:space="preserve">Now for the facts. The properties </w:t>
      </w:r>
      <w:r w:rsidRPr="00931D8E">
        <w:rPr>
          <w:i/>
          <w:sz w:val="24"/>
          <w:szCs w:val="24"/>
        </w:rPr>
        <w:t xml:space="preserve">in </w:t>
      </w:r>
      <w:proofErr w:type="spellStart"/>
      <w:r w:rsidRPr="00931D8E">
        <w:rPr>
          <w:i/>
          <w:sz w:val="24"/>
          <w:szCs w:val="24"/>
        </w:rPr>
        <w:t>lite</w:t>
      </w:r>
      <w:proofErr w:type="spellEnd"/>
      <w:r w:rsidRPr="00931D8E">
        <w:rPr>
          <w:sz w:val="24"/>
          <w:szCs w:val="24"/>
        </w:rPr>
        <w:t xml:space="preserve"> are:  the unreturned </w:t>
      </w:r>
      <w:proofErr w:type="spellStart"/>
      <w:r w:rsidRPr="00931D8E">
        <w:rPr>
          <w:sz w:val="24"/>
          <w:szCs w:val="24"/>
        </w:rPr>
        <w:t>Praslin</w:t>
      </w:r>
      <w:proofErr w:type="spellEnd"/>
      <w:r w:rsidRPr="00931D8E">
        <w:rPr>
          <w:sz w:val="24"/>
          <w:szCs w:val="24"/>
        </w:rPr>
        <w:t xml:space="preserve"> parcels derived from PR13 and the unreturned parcels at Les </w:t>
      </w:r>
      <w:proofErr w:type="spellStart"/>
      <w:r w:rsidRPr="00931D8E">
        <w:rPr>
          <w:sz w:val="24"/>
          <w:szCs w:val="24"/>
        </w:rPr>
        <w:t>Mamelles</w:t>
      </w:r>
      <w:proofErr w:type="spellEnd"/>
      <w:r w:rsidRPr="00931D8E">
        <w:rPr>
          <w:sz w:val="24"/>
          <w:szCs w:val="24"/>
        </w:rPr>
        <w:t xml:space="preserve">: namely parcel V5320, parcel V7121, parcel V7122, parcel V11757 </w:t>
      </w:r>
      <w:proofErr w:type="gramStart"/>
      <w:r w:rsidRPr="00931D8E">
        <w:rPr>
          <w:sz w:val="24"/>
          <w:szCs w:val="24"/>
        </w:rPr>
        <w:t>and  V11756</w:t>
      </w:r>
      <w:proofErr w:type="gramEnd"/>
      <w:r w:rsidRPr="00931D8E">
        <w:rPr>
          <w:sz w:val="24"/>
          <w:szCs w:val="24"/>
        </w:rPr>
        <w:t xml:space="preserve">. Do these properties fall under the purview of the 1993 compensation regime? To answer this we have to ask the first question: </w:t>
      </w:r>
      <w:proofErr w:type="spellStart"/>
      <w:r w:rsidRPr="00931D8E">
        <w:rPr>
          <w:sz w:val="24"/>
          <w:szCs w:val="24"/>
        </w:rPr>
        <w:t>were</w:t>
      </w:r>
      <w:proofErr w:type="spellEnd"/>
      <w:r w:rsidRPr="00931D8E">
        <w:rPr>
          <w:sz w:val="24"/>
          <w:szCs w:val="24"/>
        </w:rPr>
        <w:t xml:space="preserve"> these properties developed before the coming into force of the Constitution. Clearly, on the facts they were not. Then we have to ask the next linked question: was there any government plans at the time of the application to develop them. Clearly, on the facts again, the answer is in the negative. The answer to those questions being in the negative, the properties should have been returned. Were they returned? They were not. What happened to the properties which were undeveloped and for which there were no plans for development and which were never returned. They were later sold to third parties. </w:t>
      </w:r>
    </w:p>
    <w:p w:rsidR="00931D8E" w:rsidRPr="00931D8E" w:rsidRDefault="00931D8E" w:rsidP="00931D8E">
      <w:pPr>
        <w:widowControl/>
        <w:autoSpaceDE/>
        <w:autoSpaceDN/>
        <w:adjustRightInd/>
        <w:spacing w:line="360" w:lineRule="auto"/>
        <w:ind w:left="360"/>
        <w:jc w:val="both"/>
        <w:rPr>
          <w:sz w:val="24"/>
          <w:szCs w:val="24"/>
        </w:rPr>
      </w:pPr>
    </w:p>
    <w:p w:rsidR="00931D8E" w:rsidRPr="00931D8E" w:rsidRDefault="00931D8E" w:rsidP="00931D8E">
      <w:pPr>
        <w:widowControl/>
        <w:numPr>
          <w:ilvl w:val="0"/>
          <w:numId w:val="9"/>
        </w:numPr>
        <w:autoSpaceDE/>
        <w:autoSpaceDN/>
        <w:adjustRightInd/>
        <w:spacing w:line="360" w:lineRule="auto"/>
        <w:ind w:left="360" w:hanging="540"/>
        <w:jc w:val="both"/>
        <w:rPr>
          <w:sz w:val="24"/>
          <w:szCs w:val="24"/>
        </w:rPr>
      </w:pPr>
      <w:r w:rsidRPr="00931D8E">
        <w:rPr>
          <w:sz w:val="24"/>
          <w:szCs w:val="24"/>
        </w:rPr>
        <w:t>On those facts, it cannot be said that the 1993 compensation regime applies to this case. As per paragraph 14(1</w:t>
      </w:r>
      <w:proofErr w:type="gramStart"/>
      <w:r w:rsidRPr="00931D8E">
        <w:rPr>
          <w:sz w:val="24"/>
          <w:szCs w:val="24"/>
        </w:rPr>
        <w:t>)(</w:t>
      </w:r>
      <w:proofErr w:type="gramEnd"/>
      <w:r w:rsidRPr="00931D8E">
        <w:rPr>
          <w:sz w:val="24"/>
          <w:szCs w:val="24"/>
        </w:rPr>
        <w:t xml:space="preserve">c)(ii), the Constitution imposes the duty on government “to pay the person full monetary compensation for the land acquired.” This is the long and the short of the issue in this case. </w:t>
      </w:r>
    </w:p>
    <w:p w:rsidR="00931D8E" w:rsidRPr="00931D8E" w:rsidRDefault="00931D8E" w:rsidP="00931D8E">
      <w:pPr>
        <w:pStyle w:val="ListParagraph"/>
        <w:rPr>
          <w:sz w:val="24"/>
          <w:szCs w:val="24"/>
        </w:rPr>
      </w:pPr>
    </w:p>
    <w:p w:rsidR="00931D8E" w:rsidRPr="00931D8E" w:rsidRDefault="00931D8E" w:rsidP="00931D8E">
      <w:pPr>
        <w:widowControl/>
        <w:numPr>
          <w:ilvl w:val="0"/>
          <w:numId w:val="9"/>
        </w:numPr>
        <w:autoSpaceDE/>
        <w:autoSpaceDN/>
        <w:adjustRightInd/>
        <w:spacing w:line="360" w:lineRule="auto"/>
        <w:ind w:left="360" w:hanging="540"/>
        <w:jc w:val="both"/>
        <w:rPr>
          <w:sz w:val="24"/>
          <w:szCs w:val="24"/>
        </w:rPr>
      </w:pPr>
      <w:r w:rsidRPr="00931D8E">
        <w:rPr>
          <w:sz w:val="24"/>
          <w:szCs w:val="24"/>
        </w:rPr>
        <w:lastRenderedPageBreak/>
        <w:t xml:space="preserve">True it is that paragraph 14(1) creates a special cause of action. But when it comes to the payment of compensation, far from derogating from the fundamental principle that full compensation should be paid, it reaffirms that principle so solidly enshrined in Article 20 of the Constitution. This takes us to that Article.  </w:t>
      </w:r>
    </w:p>
    <w:p w:rsidR="00931D8E" w:rsidRPr="00931D8E" w:rsidRDefault="00931D8E" w:rsidP="00931D8E">
      <w:pPr>
        <w:pStyle w:val="ListParagraph"/>
        <w:rPr>
          <w:sz w:val="24"/>
          <w:szCs w:val="24"/>
        </w:rPr>
      </w:pPr>
    </w:p>
    <w:p w:rsidR="00931D8E" w:rsidRPr="00931D8E" w:rsidRDefault="00931D8E" w:rsidP="00931D8E">
      <w:pPr>
        <w:widowControl/>
        <w:numPr>
          <w:ilvl w:val="0"/>
          <w:numId w:val="9"/>
        </w:numPr>
        <w:autoSpaceDE/>
        <w:autoSpaceDN/>
        <w:adjustRightInd/>
        <w:spacing w:line="360" w:lineRule="auto"/>
        <w:ind w:left="360" w:hanging="540"/>
        <w:jc w:val="both"/>
        <w:rPr>
          <w:sz w:val="24"/>
          <w:szCs w:val="24"/>
        </w:rPr>
      </w:pPr>
      <w:r w:rsidRPr="00931D8E">
        <w:rPr>
          <w:sz w:val="24"/>
          <w:szCs w:val="24"/>
        </w:rPr>
        <w:t xml:space="preserve">We should state that fine point, anxiously raised by learned counsel for the appellant, is not readily apparent to the unguarded. Indeed, there is more to paragraph 14(1) of Schedule 7 of Part 3 of the Constitution than meets the eye. Could the framers of the Constitution have created a regime in the Schedule to the Constitution which was in derogation of the Constitutional provisions regarding the fundamental rights and freedoms of the individual? Our answer must be in the negative. The 1993 compensation regime could only be a reaffirmation and an extension of those rights to pre-1993 events, in keeping with the right to property enshrined in Article 20 of the Constitution. Part III was a redeeming “tour de force” meant for the retroactive correction of past injustices along the newly introduced democratic principles. This is amply reflected in the choice of the title “Compensation for Past Land Acquisitions,” the content of the provisions and the specified implementation provisions. Designed to redress old wrongs, it cannot be used today to perpetuate those wrongs nor to create new wrongs. Why was the date 1993 introduced? Only to ensure that the compensation due was to be awarded on the basis of the current rate compensation. It was meant to dispel any doubt on whether the compensation for an application for past acquisitions should be made on the basis of the time of the acquisitions or the time of the application which was twelve months from the coming into force of the Constitution i.e. 1993.  It basically pre-empted and settled any dispute that, no matter what were the dates of the acquisitions under the Lands Acquisition Act 1977, the rate applicable should be as at 1993, thus consecrating the universal principle of current rate compensation. </w:t>
      </w:r>
    </w:p>
    <w:p w:rsidR="00931D8E" w:rsidRPr="00931D8E" w:rsidRDefault="00931D8E" w:rsidP="00931D8E">
      <w:pPr>
        <w:widowControl/>
        <w:autoSpaceDE/>
        <w:autoSpaceDN/>
        <w:adjustRightInd/>
        <w:spacing w:line="360" w:lineRule="auto"/>
        <w:jc w:val="both"/>
        <w:rPr>
          <w:sz w:val="24"/>
          <w:szCs w:val="24"/>
        </w:rPr>
      </w:pPr>
      <w:r w:rsidRPr="00931D8E">
        <w:rPr>
          <w:sz w:val="24"/>
          <w:szCs w:val="24"/>
        </w:rPr>
        <w:t xml:space="preserve"> </w:t>
      </w:r>
    </w:p>
    <w:p w:rsidR="00931D8E" w:rsidRPr="00931D8E" w:rsidRDefault="00931D8E" w:rsidP="00931D8E">
      <w:pPr>
        <w:widowControl/>
        <w:numPr>
          <w:ilvl w:val="0"/>
          <w:numId w:val="9"/>
        </w:numPr>
        <w:autoSpaceDE/>
        <w:autoSpaceDN/>
        <w:adjustRightInd/>
        <w:spacing w:line="360" w:lineRule="auto"/>
        <w:ind w:left="360" w:hanging="540"/>
        <w:jc w:val="both"/>
        <w:rPr>
          <w:sz w:val="24"/>
          <w:szCs w:val="24"/>
        </w:rPr>
      </w:pPr>
      <w:r w:rsidRPr="00931D8E">
        <w:rPr>
          <w:sz w:val="24"/>
          <w:szCs w:val="24"/>
        </w:rPr>
        <w:t xml:space="preserve">The Constitutional Court slipped into error when it decided, without alluding to the relevant facts and without giving any reasoned motivation, that “sub-paragraph (2) of paragraph 14 covers all eventualities arising under sub-paragraph 14(1). Had it addressed its mind to the only specified eventualities sub-paragraph 14(1) covered, it would have come to the conclusion </w:t>
      </w:r>
      <w:r w:rsidRPr="00931D8E">
        <w:rPr>
          <w:sz w:val="24"/>
          <w:szCs w:val="24"/>
        </w:rPr>
        <w:lastRenderedPageBreak/>
        <w:t>that the case of the appellant did not fall within any of the situations envisaged by that sub-paragraph.</w:t>
      </w:r>
    </w:p>
    <w:p w:rsidR="00931D8E" w:rsidRPr="00931D8E" w:rsidRDefault="00931D8E" w:rsidP="00931D8E">
      <w:pPr>
        <w:widowControl/>
        <w:autoSpaceDE/>
        <w:autoSpaceDN/>
        <w:adjustRightInd/>
        <w:spacing w:line="360" w:lineRule="auto"/>
        <w:jc w:val="both"/>
        <w:rPr>
          <w:sz w:val="24"/>
          <w:szCs w:val="24"/>
        </w:rPr>
      </w:pPr>
    </w:p>
    <w:p w:rsidR="00931D8E" w:rsidRPr="00931D8E" w:rsidRDefault="00931D8E" w:rsidP="00931D8E">
      <w:pPr>
        <w:widowControl/>
        <w:numPr>
          <w:ilvl w:val="0"/>
          <w:numId w:val="9"/>
        </w:numPr>
        <w:autoSpaceDE/>
        <w:autoSpaceDN/>
        <w:adjustRightInd/>
        <w:spacing w:line="360" w:lineRule="auto"/>
        <w:ind w:left="360" w:hanging="540"/>
        <w:jc w:val="both"/>
        <w:rPr>
          <w:sz w:val="24"/>
          <w:szCs w:val="24"/>
        </w:rPr>
      </w:pPr>
      <w:r w:rsidRPr="00931D8E">
        <w:rPr>
          <w:sz w:val="24"/>
          <w:szCs w:val="24"/>
        </w:rPr>
        <w:t xml:space="preserve">The properties </w:t>
      </w:r>
      <w:r w:rsidRPr="00931D8E">
        <w:rPr>
          <w:i/>
          <w:sz w:val="24"/>
          <w:szCs w:val="24"/>
        </w:rPr>
        <w:t xml:space="preserve">in </w:t>
      </w:r>
      <w:proofErr w:type="spellStart"/>
      <w:r w:rsidRPr="00931D8E">
        <w:rPr>
          <w:i/>
          <w:sz w:val="24"/>
          <w:szCs w:val="24"/>
        </w:rPr>
        <w:t>lite</w:t>
      </w:r>
      <w:proofErr w:type="spellEnd"/>
      <w:r w:rsidRPr="00931D8E">
        <w:rPr>
          <w:sz w:val="24"/>
          <w:szCs w:val="24"/>
        </w:rPr>
        <w:t xml:space="preserve"> were not returned to the previous owner. There were no developments on the properties on the date of the receipt of the application. There were no plans to develop them. Yet Government still held to the lands before they were transferred to third parties. Paragraph 14(1) (a) and (b) has no application. Accordingly, full compensation is payable under sub-paragraph 14 (1) sub-paragraph (c) (ii). This provision binds government, </w:t>
      </w:r>
      <w:r w:rsidRPr="00931D8E">
        <w:rPr>
          <w:i/>
          <w:sz w:val="24"/>
          <w:szCs w:val="24"/>
        </w:rPr>
        <w:t>“where the land cannot be transferred back under sub-sub-paragraphs (a) or sub-sub-paragraphs (b</w:t>
      </w:r>
      <w:proofErr w:type="gramStart"/>
      <w:r w:rsidRPr="00931D8E">
        <w:rPr>
          <w:i/>
          <w:sz w:val="24"/>
          <w:szCs w:val="24"/>
        </w:rPr>
        <w:t>), ...</w:t>
      </w:r>
      <w:proofErr w:type="gramEnd"/>
      <w:r w:rsidRPr="00931D8E">
        <w:rPr>
          <w:i/>
          <w:sz w:val="24"/>
          <w:szCs w:val="24"/>
        </w:rPr>
        <w:t xml:space="preserve"> paying the person full monetary compensation for the land acquired.” </w:t>
      </w:r>
    </w:p>
    <w:p w:rsidR="00931D8E" w:rsidRPr="00931D8E" w:rsidRDefault="00931D8E" w:rsidP="00931D8E">
      <w:pPr>
        <w:widowControl/>
        <w:autoSpaceDE/>
        <w:autoSpaceDN/>
        <w:adjustRightInd/>
        <w:spacing w:line="360" w:lineRule="auto"/>
        <w:ind w:left="900"/>
        <w:jc w:val="both"/>
        <w:rPr>
          <w:sz w:val="24"/>
          <w:szCs w:val="24"/>
        </w:rPr>
      </w:pPr>
    </w:p>
    <w:p w:rsidR="00931D8E" w:rsidRPr="00931D8E" w:rsidRDefault="00931D8E" w:rsidP="00931D8E">
      <w:pPr>
        <w:widowControl/>
        <w:numPr>
          <w:ilvl w:val="0"/>
          <w:numId w:val="9"/>
        </w:numPr>
        <w:autoSpaceDE/>
        <w:autoSpaceDN/>
        <w:adjustRightInd/>
        <w:spacing w:line="360" w:lineRule="auto"/>
        <w:ind w:left="360" w:hanging="540"/>
        <w:jc w:val="both"/>
        <w:rPr>
          <w:sz w:val="24"/>
          <w:szCs w:val="24"/>
        </w:rPr>
      </w:pPr>
      <w:r w:rsidRPr="00931D8E">
        <w:rPr>
          <w:sz w:val="24"/>
          <w:szCs w:val="24"/>
        </w:rPr>
        <w:t xml:space="preserve">It is to be noted that this part of the provision refers to full compensation and not compensation as at 1993. Accordingly, full compensation which means the </w:t>
      </w:r>
      <w:proofErr w:type="gramStart"/>
      <w:r w:rsidRPr="00931D8E">
        <w:rPr>
          <w:sz w:val="24"/>
          <w:szCs w:val="24"/>
        </w:rPr>
        <w:t>current  rate</w:t>
      </w:r>
      <w:proofErr w:type="gramEnd"/>
      <w:r w:rsidRPr="00931D8E">
        <w:rPr>
          <w:sz w:val="24"/>
          <w:szCs w:val="24"/>
        </w:rPr>
        <w:t xml:space="preserve"> should be paid. To decide otherwise would be to go against the substantive article 20 of the Constitution and the appellant will have a clear cause of action under that  Article: see </w:t>
      </w:r>
      <w:proofErr w:type="spellStart"/>
      <w:r w:rsidRPr="00931D8E">
        <w:rPr>
          <w:b/>
          <w:sz w:val="24"/>
          <w:szCs w:val="24"/>
        </w:rPr>
        <w:t>Chetty</w:t>
      </w:r>
      <w:proofErr w:type="spellEnd"/>
      <w:r w:rsidRPr="00931D8E">
        <w:rPr>
          <w:b/>
          <w:sz w:val="24"/>
          <w:szCs w:val="24"/>
        </w:rPr>
        <w:t xml:space="preserve"> v. Government of Seychelles SCA 4 of 1989; </w:t>
      </w:r>
      <w:proofErr w:type="spellStart"/>
      <w:r w:rsidRPr="00931D8E">
        <w:rPr>
          <w:b/>
          <w:sz w:val="24"/>
          <w:szCs w:val="24"/>
        </w:rPr>
        <w:t>Pillay</w:t>
      </w:r>
      <w:proofErr w:type="spellEnd"/>
      <w:r w:rsidRPr="00931D8E">
        <w:rPr>
          <w:b/>
          <w:sz w:val="24"/>
          <w:szCs w:val="24"/>
        </w:rPr>
        <w:t xml:space="preserve"> v Government of Seychelles Cons 7 of 1994; Port </w:t>
      </w:r>
      <w:proofErr w:type="spellStart"/>
      <w:r w:rsidRPr="00931D8E">
        <w:rPr>
          <w:b/>
          <w:sz w:val="24"/>
          <w:szCs w:val="24"/>
        </w:rPr>
        <w:t>Glaud</w:t>
      </w:r>
      <w:proofErr w:type="spellEnd"/>
      <w:r w:rsidRPr="00931D8E">
        <w:rPr>
          <w:b/>
          <w:sz w:val="24"/>
          <w:szCs w:val="24"/>
        </w:rPr>
        <w:t xml:space="preserve"> Development Co Ltd v Attorney-General </w:t>
      </w:r>
      <w:proofErr w:type="spellStart"/>
      <w:r w:rsidRPr="00931D8E">
        <w:rPr>
          <w:b/>
          <w:sz w:val="24"/>
          <w:szCs w:val="24"/>
        </w:rPr>
        <w:t>Civ</w:t>
      </w:r>
      <w:proofErr w:type="spellEnd"/>
      <w:r w:rsidRPr="00931D8E">
        <w:rPr>
          <w:b/>
          <w:sz w:val="24"/>
          <w:szCs w:val="24"/>
        </w:rPr>
        <w:t xml:space="preserve"> A 20 of 1994; </w:t>
      </w:r>
      <w:proofErr w:type="spellStart"/>
      <w:r w:rsidRPr="00931D8E">
        <w:rPr>
          <w:b/>
          <w:sz w:val="24"/>
          <w:szCs w:val="24"/>
        </w:rPr>
        <w:t>Bonte</w:t>
      </w:r>
      <w:proofErr w:type="spellEnd"/>
      <w:r w:rsidRPr="00931D8E">
        <w:rPr>
          <w:b/>
          <w:sz w:val="24"/>
          <w:szCs w:val="24"/>
        </w:rPr>
        <w:t xml:space="preserve"> v</w:t>
      </w:r>
      <w:r w:rsidRPr="00931D8E">
        <w:rPr>
          <w:sz w:val="24"/>
          <w:szCs w:val="24"/>
        </w:rPr>
        <w:t xml:space="preserve"> </w:t>
      </w:r>
      <w:r w:rsidRPr="00931D8E">
        <w:rPr>
          <w:b/>
          <w:sz w:val="24"/>
          <w:szCs w:val="24"/>
        </w:rPr>
        <w:t xml:space="preserve">Government of Seychelles </w:t>
      </w:r>
      <w:proofErr w:type="spellStart"/>
      <w:r w:rsidRPr="00931D8E">
        <w:rPr>
          <w:b/>
          <w:sz w:val="24"/>
          <w:szCs w:val="24"/>
        </w:rPr>
        <w:t>Civ</w:t>
      </w:r>
      <w:proofErr w:type="spellEnd"/>
      <w:r w:rsidRPr="00931D8E">
        <w:rPr>
          <w:b/>
          <w:sz w:val="24"/>
          <w:szCs w:val="24"/>
        </w:rPr>
        <w:t xml:space="preserve"> A 20 of 1996; Government of Seychelles v Shell Company of the Islands SCA 11 of 1998; Joseph </w:t>
      </w:r>
      <w:proofErr w:type="spellStart"/>
      <w:r w:rsidRPr="00931D8E">
        <w:rPr>
          <w:b/>
          <w:sz w:val="24"/>
          <w:szCs w:val="24"/>
        </w:rPr>
        <w:t>Marzocchi</w:t>
      </w:r>
      <w:proofErr w:type="spellEnd"/>
      <w:r w:rsidRPr="00931D8E">
        <w:rPr>
          <w:b/>
          <w:sz w:val="24"/>
          <w:szCs w:val="24"/>
        </w:rPr>
        <w:t xml:space="preserve"> &amp; </w:t>
      </w:r>
      <w:proofErr w:type="spellStart"/>
      <w:r w:rsidRPr="00931D8E">
        <w:rPr>
          <w:b/>
          <w:sz w:val="24"/>
          <w:szCs w:val="24"/>
        </w:rPr>
        <w:t>Anor</w:t>
      </w:r>
      <w:proofErr w:type="spellEnd"/>
      <w:r w:rsidRPr="00931D8E">
        <w:rPr>
          <w:b/>
          <w:sz w:val="24"/>
          <w:szCs w:val="24"/>
        </w:rPr>
        <w:t xml:space="preserve"> v Government of Seychelles &amp; </w:t>
      </w:r>
      <w:proofErr w:type="spellStart"/>
      <w:r w:rsidRPr="00931D8E">
        <w:rPr>
          <w:b/>
          <w:sz w:val="24"/>
          <w:szCs w:val="24"/>
        </w:rPr>
        <w:t>Anor</w:t>
      </w:r>
      <w:proofErr w:type="spellEnd"/>
      <w:r w:rsidRPr="00931D8E">
        <w:rPr>
          <w:b/>
          <w:sz w:val="24"/>
          <w:szCs w:val="24"/>
        </w:rPr>
        <w:t xml:space="preserve"> SCA 48 of 1999.</w:t>
      </w:r>
      <w:r w:rsidRPr="00931D8E">
        <w:rPr>
          <w:sz w:val="24"/>
          <w:szCs w:val="24"/>
        </w:rPr>
        <w:t xml:space="preserve"> </w:t>
      </w:r>
    </w:p>
    <w:p w:rsidR="00931D8E" w:rsidRPr="00931D8E" w:rsidRDefault="00931D8E" w:rsidP="00931D8E">
      <w:pPr>
        <w:widowControl/>
        <w:autoSpaceDE/>
        <w:autoSpaceDN/>
        <w:adjustRightInd/>
        <w:spacing w:line="360" w:lineRule="auto"/>
        <w:ind w:left="900"/>
        <w:jc w:val="both"/>
        <w:rPr>
          <w:sz w:val="24"/>
          <w:szCs w:val="24"/>
        </w:rPr>
      </w:pPr>
    </w:p>
    <w:p w:rsidR="00931D8E" w:rsidRPr="00931D8E" w:rsidRDefault="00931D8E" w:rsidP="00931D8E">
      <w:pPr>
        <w:widowControl/>
        <w:numPr>
          <w:ilvl w:val="0"/>
          <w:numId w:val="9"/>
        </w:numPr>
        <w:autoSpaceDE/>
        <w:autoSpaceDN/>
        <w:adjustRightInd/>
        <w:spacing w:line="360" w:lineRule="auto"/>
        <w:ind w:left="360" w:hanging="540"/>
        <w:jc w:val="both"/>
        <w:rPr>
          <w:b/>
          <w:bCs/>
          <w:color w:val="000000"/>
          <w:sz w:val="24"/>
          <w:szCs w:val="24"/>
        </w:rPr>
      </w:pPr>
      <w:r w:rsidRPr="00931D8E">
        <w:rPr>
          <w:sz w:val="24"/>
          <w:szCs w:val="24"/>
        </w:rPr>
        <w:t xml:space="preserve">Article 20 (1) enshrines the </w:t>
      </w:r>
      <w:r w:rsidRPr="00931D8E">
        <w:rPr>
          <w:bCs/>
          <w:color w:val="000000"/>
          <w:sz w:val="24"/>
          <w:szCs w:val="24"/>
        </w:rPr>
        <w:t xml:space="preserve">Right to property: </w:t>
      </w:r>
    </w:p>
    <w:p w:rsidR="00931D8E" w:rsidRPr="00931D8E" w:rsidRDefault="00931D8E" w:rsidP="00931D8E">
      <w:pPr>
        <w:pStyle w:val="estatutes-1-section"/>
        <w:shd w:val="clear" w:color="auto" w:fill="FFFFFF"/>
        <w:ind w:left="1440"/>
        <w:rPr>
          <w:i/>
          <w:color w:val="000000"/>
        </w:rPr>
      </w:pPr>
      <w:r w:rsidRPr="00931D8E">
        <w:rPr>
          <w:i/>
          <w:color w:val="000000"/>
          <w:lang w:val="en-GB"/>
        </w:rPr>
        <w:t>“26.       (1) Every person has a right to property and for the purpose of this article this right includes the right to acquire, own, peacefully enjoy and dispose of property either individually or in association with others.”</w:t>
      </w:r>
    </w:p>
    <w:p w:rsidR="00931D8E" w:rsidRPr="00931D8E" w:rsidRDefault="00931D8E" w:rsidP="00931D8E">
      <w:pPr>
        <w:widowControl/>
        <w:numPr>
          <w:ilvl w:val="0"/>
          <w:numId w:val="9"/>
        </w:numPr>
        <w:autoSpaceDE/>
        <w:autoSpaceDN/>
        <w:adjustRightInd/>
        <w:spacing w:line="360" w:lineRule="auto"/>
        <w:ind w:left="360" w:hanging="540"/>
        <w:jc w:val="both"/>
        <w:rPr>
          <w:sz w:val="24"/>
          <w:szCs w:val="24"/>
        </w:rPr>
      </w:pPr>
      <w:r w:rsidRPr="00931D8E">
        <w:rPr>
          <w:sz w:val="24"/>
          <w:szCs w:val="24"/>
        </w:rPr>
        <w:t xml:space="preserve"> Article 26 (3) reads as regards compensation:</w:t>
      </w:r>
    </w:p>
    <w:p w:rsidR="00931D8E" w:rsidRPr="00931D8E" w:rsidRDefault="00931D8E" w:rsidP="00931D8E">
      <w:pPr>
        <w:pStyle w:val="estatutes-2-subsection"/>
        <w:shd w:val="clear" w:color="auto" w:fill="FFFFFF"/>
        <w:ind w:left="2160"/>
        <w:rPr>
          <w:i/>
          <w:color w:val="000000"/>
        </w:rPr>
      </w:pPr>
      <w:r w:rsidRPr="00931D8E">
        <w:rPr>
          <w:i/>
          <w:color w:val="000000"/>
          <w:lang w:val="en-GB"/>
        </w:rPr>
        <w:t xml:space="preserve">“26. (3) </w:t>
      </w:r>
      <w:proofErr w:type="gramStart"/>
      <w:r w:rsidRPr="00931D8E">
        <w:rPr>
          <w:i/>
          <w:color w:val="000000"/>
          <w:lang w:val="en-GB"/>
        </w:rPr>
        <w:t>A</w:t>
      </w:r>
      <w:proofErr w:type="gramEnd"/>
      <w:r w:rsidRPr="00931D8E">
        <w:rPr>
          <w:i/>
          <w:color w:val="000000"/>
          <w:lang w:val="en-GB"/>
        </w:rPr>
        <w:t xml:space="preserve"> law shall not provide for the compulsory acquisition or taking of possession of any property by the State unless-</w:t>
      </w:r>
    </w:p>
    <w:p w:rsidR="00931D8E" w:rsidRPr="00931D8E" w:rsidRDefault="00931D8E" w:rsidP="00931D8E">
      <w:pPr>
        <w:pStyle w:val="estatutes-3-paragraph"/>
        <w:shd w:val="clear" w:color="auto" w:fill="FFFFFF"/>
        <w:ind w:left="1800" w:firstLine="360"/>
        <w:rPr>
          <w:i/>
          <w:color w:val="000000"/>
        </w:rPr>
      </w:pPr>
      <w:r w:rsidRPr="00931D8E">
        <w:rPr>
          <w:i/>
          <w:color w:val="000000"/>
          <w:lang w:val="en-GB"/>
        </w:rPr>
        <w:t>(a) ....;</w:t>
      </w:r>
    </w:p>
    <w:p w:rsidR="00931D8E" w:rsidRPr="00931D8E" w:rsidRDefault="00931D8E" w:rsidP="00931D8E">
      <w:pPr>
        <w:pStyle w:val="estatutes-3-paragraph"/>
        <w:shd w:val="clear" w:color="auto" w:fill="FFFFFF"/>
        <w:ind w:left="1800" w:firstLine="360"/>
        <w:rPr>
          <w:i/>
          <w:color w:val="000000"/>
        </w:rPr>
      </w:pPr>
      <w:r w:rsidRPr="00931D8E">
        <w:rPr>
          <w:i/>
          <w:color w:val="000000"/>
          <w:lang w:val="en-GB"/>
        </w:rPr>
        <w:t>(</w:t>
      </w:r>
      <w:proofErr w:type="gramStart"/>
      <w:r w:rsidRPr="00931D8E">
        <w:rPr>
          <w:i/>
          <w:color w:val="000000"/>
          <w:lang w:val="en-GB"/>
        </w:rPr>
        <w:t>b</w:t>
      </w:r>
      <w:proofErr w:type="gramEnd"/>
      <w:r w:rsidRPr="00931D8E">
        <w:rPr>
          <w:i/>
          <w:color w:val="000000"/>
          <w:lang w:val="en-GB"/>
        </w:rPr>
        <w:t>) ....;</w:t>
      </w:r>
    </w:p>
    <w:p w:rsidR="00931D8E" w:rsidRPr="00931D8E" w:rsidRDefault="00931D8E" w:rsidP="00931D8E">
      <w:pPr>
        <w:pStyle w:val="estatutes-3-paragraph"/>
        <w:shd w:val="clear" w:color="auto" w:fill="FFFFFF"/>
        <w:ind w:left="1800" w:firstLine="360"/>
        <w:rPr>
          <w:i/>
          <w:color w:val="000000"/>
        </w:rPr>
      </w:pPr>
      <w:r w:rsidRPr="00931D8E">
        <w:rPr>
          <w:i/>
          <w:color w:val="000000"/>
          <w:lang w:val="en-GB"/>
        </w:rPr>
        <w:lastRenderedPageBreak/>
        <w:t>(</w:t>
      </w:r>
      <w:proofErr w:type="gramStart"/>
      <w:r w:rsidRPr="00931D8E">
        <w:rPr>
          <w:i/>
          <w:color w:val="000000"/>
          <w:lang w:val="en-GB"/>
        </w:rPr>
        <w:t>c</w:t>
      </w:r>
      <w:proofErr w:type="gramEnd"/>
      <w:r w:rsidRPr="00931D8E">
        <w:rPr>
          <w:i/>
          <w:color w:val="000000"/>
          <w:lang w:val="en-GB"/>
        </w:rPr>
        <w:t>) ....;</w:t>
      </w:r>
    </w:p>
    <w:p w:rsidR="00931D8E" w:rsidRPr="00931D8E" w:rsidRDefault="00931D8E" w:rsidP="00931D8E">
      <w:pPr>
        <w:pStyle w:val="estatutes-3-paragraph"/>
        <w:shd w:val="clear" w:color="auto" w:fill="FFFFFF"/>
        <w:ind w:left="1800" w:firstLine="360"/>
        <w:rPr>
          <w:i/>
          <w:color w:val="000000"/>
        </w:rPr>
      </w:pPr>
      <w:r w:rsidRPr="00931D8E">
        <w:rPr>
          <w:i/>
          <w:color w:val="000000"/>
          <w:lang w:val="en-GB"/>
        </w:rPr>
        <w:t xml:space="preserve">(d) </w:t>
      </w:r>
      <w:proofErr w:type="gramStart"/>
      <w:r w:rsidRPr="00931D8E">
        <w:rPr>
          <w:i/>
          <w:color w:val="000000"/>
          <w:lang w:val="en-GB"/>
        </w:rPr>
        <w:t>the</w:t>
      </w:r>
      <w:proofErr w:type="gramEnd"/>
      <w:r w:rsidRPr="00931D8E">
        <w:rPr>
          <w:i/>
          <w:color w:val="000000"/>
          <w:lang w:val="en-GB"/>
        </w:rPr>
        <w:t xml:space="preserve"> State pays prompt and full compensation for the property.”</w:t>
      </w:r>
    </w:p>
    <w:p w:rsidR="00931D8E" w:rsidRPr="00931D8E" w:rsidRDefault="00931D8E" w:rsidP="00931D8E">
      <w:pPr>
        <w:widowControl/>
        <w:autoSpaceDE/>
        <w:autoSpaceDN/>
        <w:adjustRightInd/>
        <w:spacing w:line="360" w:lineRule="auto"/>
        <w:ind w:left="900"/>
        <w:jc w:val="both"/>
        <w:rPr>
          <w:sz w:val="24"/>
          <w:szCs w:val="24"/>
        </w:rPr>
      </w:pPr>
    </w:p>
    <w:p w:rsidR="00931D8E" w:rsidRPr="00931D8E" w:rsidRDefault="00931D8E" w:rsidP="00931D8E">
      <w:pPr>
        <w:widowControl/>
        <w:numPr>
          <w:ilvl w:val="0"/>
          <w:numId w:val="9"/>
        </w:numPr>
        <w:autoSpaceDE/>
        <w:autoSpaceDN/>
        <w:adjustRightInd/>
        <w:spacing w:line="360" w:lineRule="auto"/>
        <w:ind w:left="360" w:hanging="540"/>
        <w:jc w:val="both"/>
        <w:rPr>
          <w:sz w:val="24"/>
          <w:szCs w:val="24"/>
        </w:rPr>
      </w:pPr>
      <w:r w:rsidRPr="00931D8E">
        <w:rPr>
          <w:sz w:val="24"/>
          <w:szCs w:val="24"/>
        </w:rPr>
        <w:t xml:space="preserve">The drafters of the Constitution cannot have been amnesic of Article 20 when it came to Part III of Schedule 7 regarding the application of past acquisitions. In fact, they showed due regard to it when they not only created an action but also provided that the compensation for those pre-1993 injustices should be as per the market value as at 1993. A special regime meant to correct past injustice cannot be used to become a Charter for future injustices which a Constitutional Court interpretation of paragraph 14 would cause. </w:t>
      </w:r>
    </w:p>
    <w:p w:rsidR="00931D8E" w:rsidRPr="00931D8E" w:rsidRDefault="00931D8E" w:rsidP="00931D8E">
      <w:pPr>
        <w:widowControl/>
        <w:autoSpaceDE/>
        <w:autoSpaceDN/>
        <w:adjustRightInd/>
        <w:spacing w:line="360" w:lineRule="auto"/>
        <w:ind w:left="900"/>
        <w:jc w:val="both"/>
        <w:rPr>
          <w:sz w:val="24"/>
          <w:szCs w:val="24"/>
        </w:rPr>
      </w:pPr>
    </w:p>
    <w:p w:rsidR="00931D8E" w:rsidRPr="00931D8E" w:rsidRDefault="00931D8E" w:rsidP="00931D8E">
      <w:pPr>
        <w:widowControl/>
        <w:numPr>
          <w:ilvl w:val="0"/>
          <w:numId w:val="9"/>
        </w:numPr>
        <w:autoSpaceDE/>
        <w:autoSpaceDN/>
        <w:adjustRightInd/>
        <w:spacing w:line="360" w:lineRule="auto"/>
        <w:ind w:left="360" w:hanging="540"/>
        <w:jc w:val="both"/>
        <w:rPr>
          <w:sz w:val="24"/>
          <w:szCs w:val="24"/>
        </w:rPr>
      </w:pPr>
      <w:r w:rsidRPr="00931D8E">
        <w:rPr>
          <w:sz w:val="24"/>
          <w:szCs w:val="24"/>
        </w:rPr>
        <w:t xml:space="preserve">For the reasons given above, we allow the appeal. </w:t>
      </w:r>
    </w:p>
    <w:p w:rsidR="00931D8E" w:rsidRPr="00931D8E" w:rsidRDefault="00931D8E" w:rsidP="00931D8E">
      <w:pPr>
        <w:widowControl/>
        <w:autoSpaceDE/>
        <w:autoSpaceDN/>
        <w:adjustRightInd/>
        <w:spacing w:line="360" w:lineRule="auto"/>
        <w:jc w:val="both"/>
        <w:rPr>
          <w:rFonts w:eastAsia="Times New Roman"/>
          <w:sz w:val="24"/>
          <w:szCs w:val="24"/>
        </w:rPr>
      </w:pPr>
    </w:p>
    <w:p w:rsidR="009B3161" w:rsidRDefault="00931D8E" w:rsidP="00931D8E">
      <w:pPr>
        <w:widowControl/>
        <w:numPr>
          <w:ilvl w:val="0"/>
          <w:numId w:val="9"/>
        </w:numPr>
        <w:autoSpaceDE/>
        <w:autoSpaceDN/>
        <w:adjustRightInd/>
        <w:spacing w:line="360" w:lineRule="auto"/>
        <w:ind w:left="360" w:hanging="540"/>
        <w:jc w:val="both"/>
        <w:rPr>
          <w:sz w:val="24"/>
          <w:szCs w:val="24"/>
        </w:rPr>
      </w:pPr>
      <w:r w:rsidRPr="00931D8E">
        <w:rPr>
          <w:sz w:val="24"/>
          <w:szCs w:val="24"/>
        </w:rPr>
        <w:t>What remains now is the issue of settling the quantum. This may only be effected on the evidence available. Unfortunately for us, while the evidence ushered in by the appellant is for the current market value: i.e. SRs52</w:t>
      </w:r>
      <w:proofErr w:type="gramStart"/>
      <w:r w:rsidRPr="00931D8E">
        <w:rPr>
          <w:sz w:val="24"/>
          <w:szCs w:val="24"/>
        </w:rPr>
        <w:t>,316,451.00</w:t>
      </w:r>
      <w:proofErr w:type="gramEnd"/>
      <w:r w:rsidRPr="00931D8E">
        <w:rPr>
          <w:sz w:val="24"/>
          <w:szCs w:val="24"/>
        </w:rPr>
        <w:t>, that ushered in by the respondent is as at 1993: i.e. SRs4,584,600.00. To refer the case back to the Supreme Court would unduly protract the disposal of this case.</w:t>
      </w:r>
    </w:p>
    <w:p w:rsidR="009B3161" w:rsidRDefault="009B3161" w:rsidP="009B3161">
      <w:pPr>
        <w:pStyle w:val="ListParagraph"/>
        <w:rPr>
          <w:sz w:val="24"/>
          <w:szCs w:val="24"/>
        </w:rPr>
      </w:pPr>
    </w:p>
    <w:p w:rsidR="009B3161" w:rsidRDefault="009B3161" w:rsidP="00931D8E">
      <w:pPr>
        <w:widowControl/>
        <w:numPr>
          <w:ilvl w:val="0"/>
          <w:numId w:val="9"/>
        </w:numPr>
        <w:autoSpaceDE/>
        <w:autoSpaceDN/>
        <w:adjustRightInd/>
        <w:spacing w:line="360" w:lineRule="auto"/>
        <w:ind w:left="360" w:hanging="540"/>
        <w:jc w:val="both"/>
        <w:rPr>
          <w:sz w:val="24"/>
          <w:szCs w:val="24"/>
        </w:rPr>
      </w:pPr>
      <w:r>
        <w:rPr>
          <w:sz w:val="24"/>
          <w:szCs w:val="24"/>
        </w:rPr>
        <w:t>We should think the</w:t>
      </w:r>
      <w:r w:rsidR="00742376">
        <w:rPr>
          <w:sz w:val="24"/>
          <w:szCs w:val="24"/>
        </w:rPr>
        <w:t>r</w:t>
      </w:r>
      <w:bookmarkStart w:id="1" w:name="_GoBack"/>
      <w:bookmarkEnd w:id="1"/>
      <w:r>
        <w:rPr>
          <w:sz w:val="24"/>
          <w:szCs w:val="24"/>
        </w:rPr>
        <w:t xml:space="preserve">e have been complications regarding the choice of the system for the previously proposed determination of quantum: </w:t>
      </w:r>
      <w:r w:rsidR="00E45C65">
        <w:rPr>
          <w:sz w:val="24"/>
          <w:szCs w:val="24"/>
        </w:rPr>
        <w:t xml:space="preserve">i.e. </w:t>
      </w:r>
      <w:r w:rsidR="00E45C65">
        <w:rPr>
          <w:i/>
          <w:sz w:val="24"/>
          <w:szCs w:val="24"/>
        </w:rPr>
        <w:t xml:space="preserve">Ad Hoc </w:t>
      </w:r>
      <w:r>
        <w:rPr>
          <w:sz w:val="24"/>
          <w:szCs w:val="24"/>
        </w:rPr>
        <w:t>Administrative Tribunal, exchange of expert reports, mediation etc.</w:t>
      </w:r>
      <w:r w:rsidR="00E45C65">
        <w:rPr>
          <w:sz w:val="24"/>
          <w:szCs w:val="24"/>
        </w:rPr>
        <w:t xml:space="preserve">  Accordingly, we shall take it upon ourselves.</w:t>
      </w:r>
    </w:p>
    <w:p w:rsidR="009B3161" w:rsidRDefault="009B3161" w:rsidP="009B3161">
      <w:pPr>
        <w:pStyle w:val="ListParagraph"/>
        <w:rPr>
          <w:sz w:val="24"/>
          <w:szCs w:val="24"/>
        </w:rPr>
      </w:pPr>
    </w:p>
    <w:p w:rsidR="00931D8E" w:rsidRPr="00931D8E" w:rsidRDefault="00931D8E" w:rsidP="00931D8E">
      <w:pPr>
        <w:widowControl/>
        <w:numPr>
          <w:ilvl w:val="0"/>
          <w:numId w:val="9"/>
        </w:numPr>
        <w:autoSpaceDE/>
        <w:autoSpaceDN/>
        <w:adjustRightInd/>
        <w:spacing w:line="360" w:lineRule="auto"/>
        <w:ind w:left="360" w:hanging="540"/>
        <w:jc w:val="both"/>
        <w:rPr>
          <w:sz w:val="24"/>
          <w:szCs w:val="24"/>
        </w:rPr>
      </w:pPr>
      <w:r w:rsidRPr="00931D8E">
        <w:rPr>
          <w:sz w:val="24"/>
          <w:szCs w:val="24"/>
        </w:rPr>
        <w:t>We use our powers under the Rules of the Court of Appeal and invite a report from a panel of three experts on the matter. This panel</w:t>
      </w:r>
      <w:r w:rsidR="009B3161">
        <w:rPr>
          <w:sz w:val="24"/>
          <w:szCs w:val="24"/>
        </w:rPr>
        <w:t xml:space="preserve"> to</w:t>
      </w:r>
      <w:r w:rsidRPr="00931D8E">
        <w:rPr>
          <w:sz w:val="24"/>
          <w:szCs w:val="24"/>
        </w:rPr>
        <w:t xml:space="preserve"> comprise Ms Sabrina Zoe, for the Respondent, Mr Hubert Alton for the Appellant and another expert appointed by the Court: namely, Mr Daniel Blackburn.  </w:t>
      </w:r>
    </w:p>
    <w:p w:rsidR="00931D8E" w:rsidRPr="00931D8E" w:rsidRDefault="00931D8E" w:rsidP="00931D8E">
      <w:pPr>
        <w:pStyle w:val="ListParagraph"/>
        <w:rPr>
          <w:sz w:val="24"/>
          <w:szCs w:val="24"/>
        </w:rPr>
      </w:pPr>
    </w:p>
    <w:p w:rsidR="00931D8E" w:rsidRPr="00931D8E" w:rsidRDefault="00931D8E" w:rsidP="00931D8E">
      <w:pPr>
        <w:widowControl/>
        <w:numPr>
          <w:ilvl w:val="0"/>
          <w:numId w:val="9"/>
        </w:numPr>
        <w:autoSpaceDE/>
        <w:autoSpaceDN/>
        <w:adjustRightInd/>
        <w:spacing w:line="360" w:lineRule="auto"/>
        <w:ind w:left="360" w:hanging="540"/>
        <w:jc w:val="both"/>
        <w:rPr>
          <w:sz w:val="24"/>
          <w:szCs w:val="24"/>
        </w:rPr>
      </w:pPr>
      <w:r w:rsidRPr="00931D8E">
        <w:rPr>
          <w:sz w:val="24"/>
          <w:szCs w:val="24"/>
        </w:rPr>
        <w:t xml:space="preserve">This panel should strive to produce a joint report for the benefit of the court on the fair market value of the property as at the time of the claim. This report should reach us by </w:t>
      </w:r>
      <w:proofErr w:type="spellStart"/>
      <w:r w:rsidRPr="00931D8E">
        <w:rPr>
          <w:sz w:val="24"/>
          <w:szCs w:val="24"/>
        </w:rPr>
        <w:t>mid July</w:t>
      </w:r>
      <w:proofErr w:type="spellEnd"/>
      <w:r w:rsidRPr="00931D8E">
        <w:rPr>
          <w:sz w:val="24"/>
          <w:szCs w:val="24"/>
        </w:rPr>
        <w:t xml:space="preserve"> for disposal of this case in the August session. Any procedural issue arising </w:t>
      </w:r>
      <w:r w:rsidR="00E45C65">
        <w:rPr>
          <w:sz w:val="24"/>
          <w:szCs w:val="24"/>
        </w:rPr>
        <w:t xml:space="preserve">in the process </w:t>
      </w:r>
      <w:r w:rsidRPr="00931D8E">
        <w:rPr>
          <w:sz w:val="24"/>
          <w:szCs w:val="24"/>
        </w:rPr>
        <w:t>shall be resolved before the President of the Court of Appeal.</w:t>
      </w:r>
    </w:p>
    <w:p w:rsidR="0065533B" w:rsidRDefault="0065533B" w:rsidP="00931D8E">
      <w:pPr>
        <w:pStyle w:val="ListParagraph"/>
        <w:rPr>
          <w:sz w:val="24"/>
          <w:szCs w:val="24"/>
        </w:rPr>
      </w:pPr>
    </w:p>
    <w:p w:rsidR="0065533B" w:rsidRPr="00931D8E" w:rsidRDefault="0065533B" w:rsidP="00931D8E">
      <w:pPr>
        <w:pStyle w:val="ListParagraph"/>
        <w:rPr>
          <w:sz w:val="24"/>
          <w:szCs w:val="24"/>
        </w:rPr>
      </w:pPr>
    </w:p>
    <w:p w:rsidR="00931D8E" w:rsidRPr="00931D8E" w:rsidRDefault="00931D8E" w:rsidP="00931D8E">
      <w:pPr>
        <w:widowControl/>
        <w:numPr>
          <w:ilvl w:val="0"/>
          <w:numId w:val="9"/>
        </w:numPr>
        <w:autoSpaceDE/>
        <w:autoSpaceDN/>
        <w:adjustRightInd/>
        <w:spacing w:line="360" w:lineRule="auto"/>
        <w:ind w:left="360" w:hanging="540"/>
        <w:jc w:val="both"/>
        <w:rPr>
          <w:sz w:val="24"/>
          <w:szCs w:val="24"/>
        </w:rPr>
      </w:pPr>
      <w:r w:rsidRPr="00931D8E">
        <w:rPr>
          <w:sz w:val="24"/>
          <w:szCs w:val="24"/>
        </w:rPr>
        <w:t xml:space="preserve">The appeal is allowed and case is sent back to the Registry for follow up on the disposal as indicated above.   </w:t>
      </w:r>
    </w:p>
    <w:p w:rsidR="00931D8E" w:rsidRDefault="00931D8E" w:rsidP="00931D8E">
      <w:pPr>
        <w:widowControl/>
        <w:autoSpaceDE/>
        <w:autoSpaceDN/>
        <w:adjustRightInd/>
        <w:spacing w:line="360" w:lineRule="auto"/>
        <w:ind w:left="900"/>
        <w:jc w:val="both"/>
        <w:rPr>
          <w:rFonts w:ascii="Arial" w:hAnsi="Arial" w:cs="Arial"/>
          <w:sz w:val="24"/>
          <w:szCs w:val="24"/>
        </w:rPr>
      </w:pPr>
    </w:p>
    <w:p w:rsidR="0065533B" w:rsidRDefault="0065533B" w:rsidP="00931D8E">
      <w:pPr>
        <w:widowControl/>
        <w:autoSpaceDE/>
        <w:autoSpaceDN/>
        <w:adjustRightInd/>
        <w:spacing w:line="360" w:lineRule="auto"/>
        <w:ind w:left="900"/>
        <w:jc w:val="both"/>
        <w:rPr>
          <w:rFonts w:ascii="Arial" w:hAnsi="Arial" w:cs="Arial"/>
          <w:sz w:val="24"/>
          <w:szCs w:val="24"/>
        </w:rPr>
      </w:pPr>
    </w:p>
    <w:p w:rsidR="007F7B35" w:rsidRDefault="007F7B35" w:rsidP="00931D8E">
      <w:pPr>
        <w:widowControl/>
        <w:autoSpaceDE/>
        <w:autoSpaceDN/>
        <w:adjustRightInd/>
        <w:spacing w:line="360" w:lineRule="auto"/>
        <w:ind w:left="900"/>
        <w:jc w:val="both"/>
        <w:rPr>
          <w:rFonts w:ascii="Arial" w:hAnsi="Arial" w:cs="Arial"/>
          <w:sz w:val="24"/>
          <w:szCs w:val="24"/>
        </w:rPr>
      </w:pPr>
    </w:p>
    <w:p w:rsidR="00931D8E" w:rsidRPr="00C62E9A" w:rsidRDefault="0065533B" w:rsidP="00931D8E">
      <w:pPr>
        <w:spacing w:before="120" w:line="480" w:lineRule="auto"/>
        <w:rPr>
          <w:rFonts w:ascii="Arial" w:hAnsi="Arial" w:cs="Arial"/>
          <w:b/>
          <w:sz w:val="22"/>
          <w:szCs w:val="22"/>
        </w:rPr>
      </w:pPr>
      <w:r>
        <w:rPr>
          <w:rFonts w:ascii="Arial" w:hAnsi="Arial" w:cs="Arial"/>
          <w:b/>
          <w:sz w:val="22"/>
          <w:szCs w:val="22"/>
        </w:rPr>
        <w:t xml:space="preserve"> </w:t>
      </w:r>
      <w:r w:rsidR="00931D8E" w:rsidRPr="00C62E9A">
        <w:rPr>
          <w:rFonts w:ascii="Arial" w:hAnsi="Arial" w:cs="Arial"/>
          <w:b/>
          <w:sz w:val="22"/>
          <w:szCs w:val="22"/>
        </w:rPr>
        <w:t>S. Domah (J.A)</w:t>
      </w:r>
    </w:p>
    <w:p w:rsidR="00931D8E" w:rsidRPr="00C62E9A" w:rsidRDefault="00931D8E" w:rsidP="00931D8E">
      <w:pPr>
        <w:spacing w:before="360" w:after="240" w:line="480" w:lineRule="auto"/>
        <w:rPr>
          <w:rFonts w:ascii="Arial" w:hAnsi="Arial" w:cs="Arial"/>
          <w:b/>
          <w:sz w:val="22"/>
          <w:szCs w:val="22"/>
        </w:rPr>
      </w:pPr>
      <w:r w:rsidRPr="00C62E9A">
        <w:rPr>
          <w:rFonts w:ascii="Arial" w:hAnsi="Arial" w:cs="Arial"/>
          <w:b/>
          <w:sz w:val="22"/>
          <w:szCs w:val="22"/>
        </w:rPr>
        <w:t>I concur</w:t>
      </w:r>
      <w:proofErr w:type="gramStart"/>
      <w:r w:rsidRPr="00C62E9A">
        <w:rPr>
          <w:rFonts w:ascii="Arial" w:hAnsi="Arial" w:cs="Arial"/>
          <w:b/>
          <w:sz w:val="22"/>
          <w:szCs w:val="22"/>
        </w:rPr>
        <w:t>:.</w:t>
      </w:r>
      <w:proofErr w:type="gramEnd"/>
      <w:r w:rsidRPr="00C62E9A">
        <w:rPr>
          <w:rFonts w:ascii="Arial" w:hAnsi="Arial" w:cs="Arial"/>
          <w:b/>
          <w:sz w:val="22"/>
          <w:szCs w:val="22"/>
        </w:rPr>
        <w:tab/>
      </w:r>
      <w:r w:rsidRPr="00C62E9A">
        <w:rPr>
          <w:rFonts w:ascii="Arial" w:hAnsi="Arial" w:cs="Arial"/>
          <w:b/>
          <w:sz w:val="22"/>
          <w:szCs w:val="22"/>
        </w:rPr>
        <w:tab/>
      </w:r>
      <w:r w:rsidRPr="00C62E9A">
        <w:rPr>
          <w:rFonts w:ascii="Arial" w:hAnsi="Arial" w:cs="Arial"/>
          <w:b/>
          <w:sz w:val="22"/>
          <w:szCs w:val="22"/>
        </w:rPr>
        <w:tab/>
        <w:t>………………….</w:t>
      </w:r>
      <w:r w:rsidRPr="00C62E9A">
        <w:rPr>
          <w:rFonts w:ascii="Arial" w:hAnsi="Arial" w:cs="Arial"/>
          <w:b/>
          <w:sz w:val="22"/>
          <w:szCs w:val="22"/>
        </w:rPr>
        <w:tab/>
      </w:r>
      <w:r w:rsidRPr="00C62E9A">
        <w:rPr>
          <w:rFonts w:ascii="Arial" w:hAnsi="Arial" w:cs="Arial"/>
          <w:b/>
          <w:sz w:val="22"/>
          <w:szCs w:val="22"/>
        </w:rPr>
        <w:tab/>
      </w:r>
      <w:r w:rsidRPr="00C62E9A">
        <w:rPr>
          <w:rFonts w:ascii="Arial" w:hAnsi="Arial" w:cs="Arial"/>
          <w:b/>
          <w:sz w:val="22"/>
          <w:szCs w:val="22"/>
        </w:rPr>
        <w:tab/>
        <w:t>A. Fernando (JA)</w:t>
      </w:r>
    </w:p>
    <w:p w:rsidR="00931D8E" w:rsidRPr="00C62E9A" w:rsidRDefault="00931D8E" w:rsidP="00931D8E">
      <w:pPr>
        <w:spacing w:before="360" w:after="240" w:line="480" w:lineRule="auto"/>
        <w:rPr>
          <w:rFonts w:ascii="Arial" w:hAnsi="Arial" w:cs="Arial"/>
          <w:b/>
          <w:sz w:val="22"/>
          <w:szCs w:val="22"/>
        </w:rPr>
      </w:pPr>
      <w:r w:rsidRPr="00C62E9A">
        <w:rPr>
          <w:rFonts w:ascii="Arial" w:hAnsi="Arial" w:cs="Arial"/>
          <w:b/>
          <w:sz w:val="22"/>
          <w:szCs w:val="22"/>
        </w:rPr>
        <w:t>I concur</w:t>
      </w:r>
      <w:proofErr w:type="gramStart"/>
      <w:r w:rsidRPr="00C62E9A">
        <w:rPr>
          <w:rFonts w:ascii="Arial" w:hAnsi="Arial" w:cs="Arial"/>
          <w:b/>
          <w:sz w:val="22"/>
          <w:szCs w:val="22"/>
        </w:rPr>
        <w:t>:.</w:t>
      </w:r>
      <w:proofErr w:type="gramEnd"/>
      <w:r w:rsidRPr="00C62E9A">
        <w:rPr>
          <w:rFonts w:ascii="Arial" w:hAnsi="Arial" w:cs="Arial"/>
          <w:b/>
          <w:sz w:val="22"/>
          <w:szCs w:val="22"/>
        </w:rPr>
        <w:tab/>
      </w:r>
      <w:r w:rsidRPr="00C62E9A">
        <w:rPr>
          <w:rFonts w:ascii="Arial" w:hAnsi="Arial" w:cs="Arial"/>
          <w:b/>
          <w:sz w:val="22"/>
          <w:szCs w:val="22"/>
        </w:rPr>
        <w:tab/>
      </w:r>
      <w:r w:rsidRPr="00C62E9A">
        <w:rPr>
          <w:rFonts w:ascii="Arial" w:hAnsi="Arial" w:cs="Arial"/>
          <w:b/>
          <w:sz w:val="22"/>
          <w:szCs w:val="22"/>
        </w:rPr>
        <w:tab/>
        <w:t>………………….</w:t>
      </w:r>
      <w:r w:rsidRPr="00C62E9A">
        <w:rPr>
          <w:rFonts w:ascii="Arial" w:hAnsi="Arial" w:cs="Arial"/>
          <w:b/>
          <w:sz w:val="22"/>
          <w:szCs w:val="22"/>
        </w:rPr>
        <w:tab/>
      </w:r>
      <w:r w:rsidRPr="00C62E9A">
        <w:rPr>
          <w:rFonts w:ascii="Arial" w:hAnsi="Arial" w:cs="Arial"/>
          <w:b/>
          <w:sz w:val="22"/>
          <w:szCs w:val="22"/>
        </w:rPr>
        <w:tab/>
      </w:r>
      <w:r w:rsidRPr="00C62E9A">
        <w:rPr>
          <w:rFonts w:ascii="Arial" w:hAnsi="Arial" w:cs="Arial"/>
          <w:b/>
          <w:sz w:val="22"/>
          <w:szCs w:val="22"/>
        </w:rPr>
        <w:tab/>
        <w:t>M. Twomey (JA)</w:t>
      </w:r>
    </w:p>
    <w:p w:rsidR="00931D8E" w:rsidRPr="00C62E9A" w:rsidRDefault="00931D8E" w:rsidP="00931D8E">
      <w:pPr>
        <w:pStyle w:val="ListParagraph"/>
        <w:widowControl/>
        <w:autoSpaceDE/>
        <w:autoSpaceDN/>
        <w:adjustRightInd/>
        <w:spacing w:after="240" w:line="360" w:lineRule="auto"/>
        <w:ind w:left="0"/>
        <w:contextualSpacing w:val="0"/>
        <w:rPr>
          <w:rFonts w:ascii="Arial" w:hAnsi="Arial" w:cs="Arial"/>
          <w:b/>
          <w:sz w:val="22"/>
          <w:szCs w:val="22"/>
        </w:rPr>
      </w:pPr>
      <w:r w:rsidRPr="00C62E9A">
        <w:rPr>
          <w:rFonts w:ascii="Arial" w:hAnsi="Arial" w:cs="Arial"/>
          <w:b/>
          <w:sz w:val="22"/>
          <w:szCs w:val="22"/>
        </w:rPr>
        <w:t xml:space="preserve">Signed, dated and delivered at </w:t>
      </w:r>
      <w:proofErr w:type="spellStart"/>
      <w:r w:rsidRPr="00C62E9A">
        <w:rPr>
          <w:rFonts w:ascii="Arial" w:hAnsi="Arial" w:cs="Arial"/>
          <w:b/>
          <w:sz w:val="22"/>
          <w:szCs w:val="22"/>
        </w:rPr>
        <w:t>Palais</w:t>
      </w:r>
      <w:proofErr w:type="spellEnd"/>
      <w:r w:rsidRPr="00C62E9A">
        <w:rPr>
          <w:rFonts w:ascii="Arial" w:hAnsi="Arial" w:cs="Arial"/>
          <w:b/>
          <w:sz w:val="22"/>
          <w:szCs w:val="22"/>
        </w:rPr>
        <w:t xml:space="preserve"> de Justice, Ile du Port on 22 April 2016</w:t>
      </w:r>
    </w:p>
    <w:p w:rsidR="00102EE1" w:rsidRDefault="00102EE1" w:rsidP="00931D8E">
      <w:pPr>
        <w:widowControl/>
        <w:autoSpaceDE/>
        <w:adjustRightInd/>
        <w:spacing w:line="360" w:lineRule="auto"/>
        <w:ind w:left="567" w:hanging="567"/>
        <w:jc w:val="both"/>
        <w:rPr>
          <w:b/>
          <w:sz w:val="24"/>
          <w:szCs w:val="24"/>
        </w:rPr>
      </w:pPr>
    </w:p>
    <w:sectPr w:rsidR="00102EE1" w:rsidSect="00931D8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ADA" w:rsidRDefault="009E2ADA" w:rsidP="00DB6D34">
      <w:r>
        <w:separator/>
      </w:r>
    </w:p>
  </w:endnote>
  <w:endnote w:type="continuationSeparator" w:id="0">
    <w:p w:rsidR="009E2ADA" w:rsidRDefault="009E2ADA"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838577"/>
      <w:docPartObj>
        <w:docPartGallery w:val="Page Numbers (Bottom of Page)"/>
        <w:docPartUnique/>
      </w:docPartObj>
    </w:sdtPr>
    <w:sdtEndPr>
      <w:rPr>
        <w:noProof/>
      </w:rPr>
    </w:sdtEndPr>
    <w:sdtContent>
      <w:p w:rsidR="00931D8E" w:rsidRDefault="00931D8E">
        <w:pPr>
          <w:pStyle w:val="Footer"/>
          <w:jc w:val="center"/>
        </w:pPr>
        <w:r>
          <w:fldChar w:fldCharType="begin"/>
        </w:r>
        <w:r>
          <w:instrText xml:space="preserve"> PAGE   \* MERGEFORMAT </w:instrText>
        </w:r>
        <w:r>
          <w:fldChar w:fldCharType="separate"/>
        </w:r>
        <w:r w:rsidR="00742376">
          <w:rPr>
            <w:noProof/>
          </w:rPr>
          <w:t>8</w:t>
        </w:r>
        <w:r>
          <w:rPr>
            <w:noProof/>
          </w:rPr>
          <w:fldChar w:fldCharType="end"/>
        </w:r>
      </w:p>
    </w:sdtContent>
  </w:sdt>
  <w:p w:rsidR="00931D8E" w:rsidRDefault="00931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ADA" w:rsidRDefault="009E2ADA" w:rsidP="00DB6D34">
      <w:r>
        <w:separator/>
      </w:r>
    </w:p>
  </w:footnote>
  <w:footnote w:type="continuationSeparator" w:id="0">
    <w:p w:rsidR="009E2ADA" w:rsidRDefault="009E2ADA"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79E60BA"/>
    <w:multiLevelType w:val="hybridMultilevel"/>
    <w:tmpl w:val="D5AC9F5A"/>
    <w:lvl w:ilvl="0" w:tplc="E06ABE86">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24"/>
    <w:rsid w:val="0000071D"/>
    <w:rsid w:val="000043B1"/>
    <w:rsid w:val="00005BEF"/>
    <w:rsid w:val="00017F12"/>
    <w:rsid w:val="0002497E"/>
    <w:rsid w:val="00030C81"/>
    <w:rsid w:val="00043E24"/>
    <w:rsid w:val="0006286D"/>
    <w:rsid w:val="0006489F"/>
    <w:rsid w:val="00075573"/>
    <w:rsid w:val="00091036"/>
    <w:rsid w:val="00097B9A"/>
    <w:rsid w:val="000A10B8"/>
    <w:rsid w:val="000B6101"/>
    <w:rsid w:val="000C5AB2"/>
    <w:rsid w:val="000D1DD3"/>
    <w:rsid w:val="000E39A5"/>
    <w:rsid w:val="000E62C2"/>
    <w:rsid w:val="000E7400"/>
    <w:rsid w:val="000F1C37"/>
    <w:rsid w:val="001008BC"/>
    <w:rsid w:val="00101D12"/>
    <w:rsid w:val="00102EE1"/>
    <w:rsid w:val="00117CBF"/>
    <w:rsid w:val="00126A10"/>
    <w:rsid w:val="001376AB"/>
    <w:rsid w:val="00144612"/>
    <w:rsid w:val="00153951"/>
    <w:rsid w:val="00161DE6"/>
    <w:rsid w:val="0016510C"/>
    <w:rsid w:val="00171F06"/>
    <w:rsid w:val="00180158"/>
    <w:rsid w:val="00185139"/>
    <w:rsid w:val="00186F92"/>
    <w:rsid w:val="00197E07"/>
    <w:rsid w:val="001B6E9A"/>
    <w:rsid w:val="001E3539"/>
    <w:rsid w:val="001E4ED8"/>
    <w:rsid w:val="001E576A"/>
    <w:rsid w:val="00201C0E"/>
    <w:rsid w:val="0020244B"/>
    <w:rsid w:val="00231C17"/>
    <w:rsid w:val="00236AAC"/>
    <w:rsid w:val="0024353F"/>
    <w:rsid w:val="00260567"/>
    <w:rsid w:val="0028244A"/>
    <w:rsid w:val="00290E14"/>
    <w:rsid w:val="002939B3"/>
    <w:rsid w:val="00297605"/>
    <w:rsid w:val="002A7376"/>
    <w:rsid w:val="002B2255"/>
    <w:rsid w:val="002C0CC4"/>
    <w:rsid w:val="002C4762"/>
    <w:rsid w:val="002C7560"/>
    <w:rsid w:val="002D06AA"/>
    <w:rsid w:val="002D67FC"/>
    <w:rsid w:val="002E6612"/>
    <w:rsid w:val="002E6963"/>
    <w:rsid w:val="002E70F9"/>
    <w:rsid w:val="002F3CDD"/>
    <w:rsid w:val="002F40A1"/>
    <w:rsid w:val="00301D88"/>
    <w:rsid w:val="00304E76"/>
    <w:rsid w:val="00315456"/>
    <w:rsid w:val="003647E7"/>
    <w:rsid w:val="00371045"/>
    <w:rsid w:val="0037270D"/>
    <w:rsid w:val="00377341"/>
    <w:rsid w:val="0038006D"/>
    <w:rsid w:val="003829CE"/>
    <w:rsid w:val="003838CC"/>
    <w:rsid w:val="003862CB"/>
    <w:rsid w:val="0038700C"/>
    <w:rsid w:val="003A059B"/>
    <w:rsid w:val="003B461C"/>
    <w:rsid w:val="003B4C19"/>
    <w:rsid w:val="003D58AA"/>
    <w:rsid w:val="003D7B97"/>
    <w:rsid w:val="003E2ABC"/>
    <w:rsid w:val="003F0F8D"/>
    <w:rsid w:val="004156B9"/>
    <w:rsid w:val="004217B9"/>
    <w:rsid w:val="00422293"/>
    <w:rsid w:val="00445BFA"/>
    <w:rsid w:val="00452BB6"/>
    <w:rsid w:val="0046133B"/>
    <w:rsid w:val="004639C0"/>
    <w:rsid w:val="004706DB"/>
    <w:rsid w:val="004873AB"/>
    <w:rsid w:val="004A2A8B"/>
    <w:rsid w:val="004B76F8"/>
    <w:rsid w:val="004C3D80"/>
    <w:rsid w:val="004F2B34"/>
    <w:rsid w:val="004F3823"/>
    <w:rsid w:val="004F409A"/>
    <w:rsid w:val="00503E49"/>
    <w:rsid w:val="0051033B"/>
    <w:rsid w:val="0051207A"/>
    <w:rsid w:val="005207C8"/>
    <w:rsid w:val="00530663"/>
    <w:rsid w:val="005460DE"/>
    <w:rsid w:val="00547C35"/>
    <w:rsid w:val="0055036F"/>
    <w:rsid w:val="00550D80"/>
    <w:rsid w:val="005514D6"/>
    <w:rsid w:val="00552704"/>
    <w:rsid w:val="00560A16"/>
    <w:rsid w:val="0056460A"/>
    <w:rsid w:val="00572AB3"/>
    <w:rsid w:val="00577080"/>
    <w:rsid w:val="005836AC"/>
    <w:rsid w:val="00583C6D"/>
    <w:rsid w:val="00584583"/>
    <w:rsid w:val="00594FAC"/>
    <w:rsid w:val="005F3AAB"/>
    <w:rsid w:val="005F5FB0"/>
    <w:rsid w:val="00606587"/>
    <w:rsid w:val="00606EEA"/>
    <w:rsid w:val="00616597"/>
    <w:rsid w:val="006174DB"/>
    <w:rsid w:val="006179EC"/>
    <w:rsid w:val="00621984"/>
    <w:rsid w:val="0064007C"/>
    <w:rsid w:val="0064023C"/>
    <w:rsid w:val="0065533B"/>
    <w:rsid w:val="006578C2"/>
    <w:rsid w:val="00665073"/>
    <w:rsid w:val="00666D33"/>
    <w:rsid w:val="00675D5C"/>
    <w:rsid w:val="00681C76"/>
    <w:rsid w:val="00692AAB"/>
    <w:rsid w:val="00693C70"/>
    <w:rsid w:val="006A2C88"/>
    <w:rsid w:val="006A58E4"/>
    <w:rsid w:val="006B33ED"/>
    <w:rsid w:val="006D0D9B"/>
    <w:rsid w:val="006D36C9"/>
    <w:rsid w:val="006D62D0"/>
    <w:rsid w:val="0071190B"/>
    <w:rsid w:val="007175A6"/>
    <w:rsid w:val="00742376"/>
    <w:rsid w:val="00744508"/>
    <w:rsid w:val="00760665"/>
    <w:rsid w:val="00763535"/>
    <w:rsid w:val="00766505"/>
    <w:rsid w:val="00770A98"/>
    <w:rsid w:val="007820CB"/>
    <w:rsid w:val="00782F7D"/>
    <w:rsid w:val="007A1F6B"/>
    <w:rsid w:val="007A47DC"/>
    <w:rsid w:val="007B10E8"/>
    <w:rsid w:val="007B6178"/>
    <w:rsid w:val="007C2809"/>
    <w:rsid w:val="007D1258"/>
    <w:rsid w:val="007D416E"/>
    <w:rsid w:val="007E5472"/>
    <w:rsid w:val="007F351F"/>
    <w:rsid w:val="007F7B35"/>
    <w:rsid w:val="0080050A"/>
    <w:rsid w:val="00807411"/>
    <w:rsid w:val="00814CF5"/>
    <w:rsid w:val="00816425"/>
    <w:rsid w:val="00821758"/>
    <w:rsid w:val="00823079"/>
    <w:rsid w:val="00823890"/>
    <w:rsid w:val="0083298A"/>
    <w:rsid w:val="00841387"/>
    <w:rsid w:val="00845DCB"/>
    <w:rsid w:val="008472B3"/>
    <w:rsid w:val="008478D6"/>
    <w:rsid w:val="00861993"/>
    <w:rsid w:val="00861F83"/>
    <w:rsid w:val="0087722C"/>
    <w:rsid w:val="008A5208"/>
    <w:rsid w:val="008A58A5"/>
    <w:rsid w:val="008C0FD6"/>
    <w:rsid w:val="008E1DB1"/>
    <w:rsid w:val="008E512C"/>
    <w:rsid w:val="008E7749"/>
    <w:rsid w:val="008E7F92"/>
    <w:rsid w:val="008F0C10"/>
    <w:rsid w:val="008F311B"/>
    <w:rsid w:val="008F38F7"/>
    <w:rsid w:val="00902D3C"/>
    <w:rsid w:val="00922CDD"/>
    <w:rsid w:val="00926D09"/>
    <w:rsid w:val="00931D8E"/>
    <w:rsid w:val="009336BA"/>
    <w:rsid w:val="00937FB4"/>
    <w:rsid w:val="0094087C"/>
    <w:rsid w:val="00951EC0"/>
    <w:rsid w:val="0096041D"/>
    <w:rsid w:val="00981287"/>
    <w:rsid w:val="00983045"/>
    <w:rsid w:val="0099672E"/>
    <w:rsid w:val="009B3161"/>
    <w:rsid w:val="009C5D65"/>
    <w:rsid w:val="009C676C"/>
    <w:rsid w:val="009C713C"/>
    <w:rsid w:val="009D04B1"/>
    <w:rsid w:val="009D15F5"/>
    <w:rsid w:val="009D3796"/>
    <w:rsid w:val="009E05E5"/>
    <w:rsid w:val="009E2ADA"/>
    <w:rsid w:val="009F1B68"/>
    <w:rsid w:val="009F4DC4"/>
    <w:rsid w:val="00A11166"/>
    <w:rsid w:val="00A14038"/>
    <w:rsid w:val="00A24FBF"/>
    <w:rsid w:val="00A3626F"/>
    <w:rsid w:val="00A36CEB"/>
    <w:rsid w:val="00A42850"/>
    <w:rsid w:val="00A53837"/>
    <w:rsid w:val="00A551C8"/>
    <w:rsid w:val="00A80E4E"/>
    <w:rsid w:val="00A819F5"/>
    <w:rsid w:val="00A936E2"/>
    <w:rsid w:val="00AB1DE9"/>
    <w:rsid w:val="00AB2D12"/>
    <w:rsid w:val="00AC3885"/>
    <w:rsid w:val="00AC4950"/>
    <w:rsid w:val="00AD03C3"/>
    <w:rsid w:val="00AD63F9"/>
    <w:rsid w:val="00AD75CD"/>
    <w:rsid w:val="00AE3237"/>
    <w:rsid w:val="00AF3661"/>
    <w:rsid w:val="00B0414B"/>
    <w:rsid w:val="00B05D6E"/>
    <w:rsid w:val="00B119B1"/>
    <w:rsid w:val="00B127EC"/>
    <w:rsid w:val="00B14612"/>
    <w:rsid w:val="00B23E73"/>
    <w:rsid w:val="00B26028"/>
    <w:rsid w:val="00B40898"/>
    <w:rsid w:val="00B4124C"/>
    <w:rsid w:val="00B444D1"/>
    <w:rsid w:val="00B4625E"/>
    <w:rsid w:val="00B5551A"/>
    <w:rsid w:val="00B605B4"/>
    <w:rsid w:val="00B66B63"/>
    <w:rsid w:val="00B75AE2"/>
    <w:rsid w:val="00B9148E"/>
    <w:rsid w:val="00B94805"/>
    <w:rsid w:val="00BA6027"/>
    <w:rsid w:val="00BC1D95"/>
    <w:rsid w:val="00BD03E6"/>
    <w:rsid w:val="00BD0BE9"/>
    <w:rsid w:val="00BD4287"/>
    <w:rsid w:val="00BD5359"/>
    <w:rsid w:val="00BD60D5"/>
    <w:rsid w:val="00BD7752"/>
    <w:rsid w:val="00BE1D00"/>
    <w:rsid w:val="00BE30D4"/>
    <w:rsid w:val="00BE33C8"/>
    <w:rsid w:val="00BE3628"/>
    <w:rsid w:val="00BE424C"/>
    <w:rsid w:val="00BE68A3"/>
    <w:rsid w:val="00BF5CC9"/>
    <w:rsid w:val="00C036A5"/>
    <w:rsid w:val="00C065A3"/>
    <w:rsid w:val="00C14327"/>
    <w:rsid w:val="00C145C1"/>
    <w:rsid w:val="00C22967"/>
    <w:rsid w:val="00C35333"/>
    <w:rsid w:val="00C55FDF"/>
    <w:rsid w:val="00C5739F"/>
    <w:rsid w:val="00C576E7"/>
    <w:rsid w:val="00C87FCA"/>
    <w:rsid w:val="00CA1B0C"/>
    <w:rsid w:val="00CA7795"/>
    <w:rsid w:val="00CA7F40"/>
    <w:rsid w:val="00CB3C7E"/>
    <w:rsid w:val="00CD0C18"/>
    <w:rsid w:val="00CE0CDA"/>
    <w:rsid w:val="00CE5888"/>
    <w:rsid w:val="00CF77E2"/>
    <w:rsid w:val="00D03314"/>
    <w:rsid w:val="00D06A0F"/>
    <w:rsid w:val="00D2057D"/>
    <w:rsid w:val="00D23B56"/>
    <w:rsid w:val="00D52A0E"/>
    <w:rsid w:val="00D82047"/>
    <w:rsid w:val="00DA292E"/>
    <w:rsid w:val="00DB6D34"/>
    <w:rsid w:val="00DC07AA"/>
    <w:rsid w:val="00DC4808"/>
    <w:rsid w:val="00DD4E02"/>
    <w:rsid w:val="00DE08C1"/>
    <w:rsid w:val="00DF0662"/>
    <w:rsid w:val="00DF2970"/>
    <w:rsid w:val="00DF303A"/>
    <w:rsid w:val="00E0467F"/>
    <w:rsid w:val="00E0505F"/>
    <w:rsid w:val="00E30B60"/>
    <w:rsid w:val="00E33F35"/>
    <w:rsid w:val="00E35862"/>
    <w:rsid w:val="00E36D4C"/>
    <w:rsid w:val="00E41E94"/>
    <w:rsid w:val="00E45C65"/>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4040A"/>
    <w:rsid w:val="00F573DA"/>
    <w:rsid w:val="00F7059D"/>
    <w:rsid w:val="00F74500"/>
    <w:rsid w:val="00F804CC"/>
    <w:rsid w:val="00F82A83"/>
    <w:rsid w:val="00F83B3D"/>
    <w:rsid w:val="00F9284D"/>
    <w:rsid w:val="00F96768"/>
    <w:rsid w:val="00FB0AFB"/>
    <w:rsid w:val="00FB2453"/>
    <w:rsid w:val="00FB39BA"/>
    <w:rsid w:val="00FB62FC"/>
    <w:rsid w:val="00FC0593"/>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B07F8-F43C-4B2D-879D-F11BEECD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rsid w:val="00DB6D34"/>
    <w:pPr>
      <w:tabs>
        <w:tab w:val="center" w:pos="4680"/>
        <w:tab w:val="right" w:pos="9360"/>
      </w:tabs>
    </w:pPr>
  </w:style>
  <w:style w:type="character" w:customStyle="1" w:styleId="FooterChar">
    <w:name w:val="Footer Char"/>
    <w:basedOn w:val="DefaultParagraphFont"/>
    <w:link w:val="Footer"/>
    <w:uiPriority w:val="99"/>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1-section">
    <w:name w:val="estatutes-1-section"/>
    <w:basedOn w:val="Normal"/>
    <w:rsid w:val="00043E24"/>
    <w:pPr>
      <w:widowControl/>
      <w:autoSpaceDE/>
      <w:autoSpaceDN/>
      <w:adjustRightInd/>
      <w:spacing w:before="100" w:beforeAutospacing="1" w:after="100" w:afterAutospacing="1"/>
    </w:pPr>
    <w:rPr>
      <w:rFonts w:eastAsia="Times New Roman"/>
      <w:sz w:val="24"/>
      <w:szCs w:val="24"/>
      <w:lang w:val="en-US"/>
    </w:rPr>
  </w:style>
  <w:style w:type="paragraph" w:customStyle="1" w:styleId="estatutes-2-subsection">
    <w:name w:val="estatutes-2-subsection"/>
    <w:basedOn w:val="Normal"/>
    <w:rsid w:val="00043E24"/>
    <w:pPr>
      <w:widowControl/>
      <w:autoSpaceDE/>
      <w:autoSpaceDN/>
      <w:adjustRightInd/>
      <w:spacing w:before="100" w:beforeAutospacing="1" w:after="100" w:afterAutospacing="1"/>
    </w:pPr>
    <w:rPr>
      <w:rFonts w:eastAsia="Times New Roman"/>
      <w:sz w:val="24"/>
      <w:szCs w:val="24"/>
      <w:lang w:val="en-US"/>
    </w:rPr>
  </w:style>
  <w:style w:type="paragraph" w:customStyle="1" w:styleId="estatutes-3-paragraph">
    <w:name w:val="estatutes-3-paragraph"/>
    <w:basedOn w:val="Normal"/>
    <w:rsid w:val="00043E24"/>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75678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63572F19DA41E19ED48E177367A830"/>
        <w:category>
          <w:name w:val="General"/>
          <w:gallery w:val="placeholder"/>
        </w:category>
        <w:types>
          <w:type w:val="bbPlcHdr"/>
        </w:types>
        <w:behaviors>
          <w:behavior w:val="content"/>
        </w:behaviors>
        <w:guid w:val="{0705D732-309F-4DEA-99BF-AA06F2BE95CD}"/>
      </w:docPartPr>
      <w:docPartBody>
        <w:p w:rsidR="009F7952" w:rsidRDefault="002E0E98">
          <w:pPr>
            <w:pStyle w:val="8563572F19DA41E19ED48E177367A830"/>
          </w:pPr>
          <w:r w:rsidRPr="002A0FDF">
            <w:rPr>
              <w:rStyle w:val="PlaceholderText"/>
            </w:rPr>
            <w:t>Click here to enter text.</w:t>
          </w:r>
        </w:p>
      </w:docPartBody>
    </w:docPart>
    <w:docPart>
      <w:docPartPr>
        <w:name w:val="5F87E0A9631A4E508F227AEAAA12A3BD"/>
        <w:category>
          <w:name w:val="General"/>
          <w:gallery w:val="placeholder"/>
        </w:category>
        <w:types>
          <w:type w:val="bbPlcHdr"/>
        </w:types>
        <w:behaviors>
          <w:behavior w:val="content"/>
        </w:behaviors>
        <w:guid w:val="{2096D006-C17D-44EB-85A4-5ADDCDE32BC1}"/>
      </w:docPartPr>
      <w:docPartBody>
        <w:p w:rsidR="009F7952" w:rsidRDefault="002E0E98">
          <w:pPr>
            <w:pStyle w:val="5F87E0A9631A4E508F227AEAAA12A3BD"/>
          </w:pPr>
          <w:r w:rsidRPr="002A0FDF">
            <w:rPr>
              <w:rStyle w:val="PlaceholderText"/>
            </w:rPr>
            <w:t>Choose a building block.</w:t>
          </w:r>
        </w:p>
      </w:docPartBody>
    </w:docPart>
    <w:docPart>
      <w:docPartPr>
        <w:name w:val="17F131336E5247D3901926485062E22E"/>
        <w:category>
          <w:name w:val="General"/>
          <w:gallery w:val="placeholder"/>
        </w:category>
        <w:types>
          <w:type w:val="bbPlcHdr"/>
        </w:types>
        <w:behaviors>
          <w:behavior w:val="content"/>
        </w:behaviors>
        <w:guid w:val="{9850A999-27DE-4BDE-8C64-1EC4881ACC07}"/>
      </w:docPartPr>
      <w:docPartBody>
        <w:p w:rsidR="009F7952" w:rsidRDefault="002E0E98">
          <w:pPr>
            <w:pStyle w:val="17F131336E5247D3901926485062E22E"/>
          </w:pPr>
          <w:r w:rsidRPr="006E09BE">
            <w:rPr>
              <w:rStyle w:val="PlaceholderText"/>
            </w:rPr>
            <w:t>Click here to enter text.</w:t>
          </w:r>
        </w:p>
      </w:docPartBody>
    </w:docPart>
    <w:docPart>
      <w:docPartPr>
        <w:name w:val="F3F85519F33A497494F6A48A980F05DC"/>
        <w:category>
          <w:name w:val="General"/>
          <w:gallery w:val="placeholder"/>
        </w:category>
        <w:types>
          <w:type w:val="bbPlcHdr"/>
        </w:types>
        <w:behaviors>
          <w:behavior w:val="content"/>
        </w:behaviors>
        <w:guid w:val="{4C92F4E6-E6DC-4956-8E85-A8CAC598475E}"/>
      </w:docPartPr>
      <w:docPartBody>
        <w:p w:rsidR="009F7952" w:rsidRDefault="002E0E98">
          <w:pPr>
            <w:pStyle w:val="F3F85519F33A497494F6A48A980F05DC"/>
          </w:pPr>
          <w:r w:rsidRPr="00E56144">
            <w:rPr>
              <w:rStyle w:val="PlaceholderText"/>
            </w:rPr>
            <w:t>.</w:t>
          </w:r>
        </w:p>
      </w:docPartBody>
    </w:docPart>
    <w:docPart>
      <w:docPartPr>
        <w:name w:val="A75C4B36F3CC4DE0A7DE2E1EA8CBFA73"/>
        <w:category>
          <w:name w:val="General"/>
          <w:gallery w:val="placeholder"/>
        </w:category>
        <w:types>
          <w:type w:val="bbPlcHdr"/>
        </w:types>
        <w:behaviors>
          <w:behavior w:val="content"/>
        </w:behaviors>
        <w:guid w:val="{5940E8A2-BE80-46F5-9DB3-27C3E64C6290}"/>
      </w:docPartPr>
      <w:docPartBody>
        <w:p w:rsidR="009F7952" w:rsidRDefault="002E0E98">
          <w:pPr>
            <w:pStyle w:val="A75C4B36F3CC4DE0A7DE2E1EA8CBFA73"/>
          </w:pPr>
          <w:r w:rsidRPr="00E56144">
            <w:rPr>
              <w:rStyle w:val="PlaceholderText"/>
            </w:rPr>
            <w:t>.</w:t>
          </w:r>
        </w:p>
      </w:docPartBody>
    </w:docPart>
    <w:docPart>
      <w:docPartPr>
        <w:name w:val="0B967201DB164D179763FF3E2D4AB78A"/>
        <w:category>
          <w:name w:val="General"/>
          <w:gallery w:val="placeholder"/>
        </w:category>
        <w:types>
          <w:type w:val="bbPlcHdr"/>
        </w:types>
        <w:behaviors>
          <w:behavior w:val="content"/>
        </w:behaviors>
        <w:guid w:val="{F5AB03B8-A563-4FC8-B792-1DA283A4D853}"/>
      </w:docPartPr>
      <w:docPartBody>
        <w:p w:rsidR="009F7952" w:rsidRDefault="002E0E98">
          <w:pPr>
            <w:pStyle w:val="0B967201DB164D179763FF3E2D4AB78A"/>
          </w:pPr>
          <w:r w:rsidRPr="00E56144">
            <w:rPr>
              <w:rStyle w:val="PlaceholderText"/>
            </w:rPr>
            <w:t>.</w:t>
          </w:r>
        </w:p>
      </w:docPartBody>
    </w:docPart>
    <w:docPart>
      <w:docPartPr>
        <w:name w:val="00F6C41BD6DD4B81960604A2936E7D56"/>
        <w:category>
          <w:name w:val="General"/>
          <w:gallery w:val="placeholder"/>
        </w:category>
        <w:types>
          <w:type w:val="bbPlcHdr"/>
        </w:types>
        <w:behaviors>
          <w:behavior w:val="content"/>
        </w:behaviors>
        <w:guid w:val="{64317AC5-B848-4BFF-A4DF-EFD913490982}"/>
      </w:docPartPr>
      <w:docPartBody>
        <w:p w:rsidR="009F7952" w:rsidRDefault="002E0E98">
          <w:pPr>
            <w:pStyle w:val="00F6C41BD6DD4B81960604A2936E7D56"/>
          </w:pPr>
          <w:r w:rsidRPr="00EE5BC4">
            <w:rPr>
              <w:rStyle w:val="PlaceholderText"/>
            </w:rPr>
            <w:t>Click here to enter text.</w:t>
          </w:r>
        </w:p>
      </w:docPartBody>
    </w:docPart>
    <w:docPart>
      <w:docPartPr>
        <w:name w:val="16868067550F40409EAEFA3DE65F3388"/>
        <w:category>
          <w:name w:val="General"/>
          <w:gallery w:val="placeholder"/>
        </w:category>
        <w:types>
          <w:type w:val="bbPlcHdr"/>
        </w:types>
        <w:behaviors>
          <w:behavior w:val="content"/>
        </w:behaviors>
        <w:guid w:val="{817EAD51-97DE-45B9-8FD4-51647732A754}"/>
      </w:docPartPr>
      <w:docPartBody>
        <w:p w:rsidR="009F7952" w:rsidRDefault="002E0E98">
          <w:pPr>
            <w:pStyle w:val="16868067550F40409EAEFA3DE65F3388"/>
          </w:pPr>
          <w:r w:rsidRPr="00EE5BC4">
            <w:rPr>
              <w:rStyle w:val="PlaceholderText"/>
            </w:rPr>
            <w:t>Click here to enter text.</w:t>
          </w:r>
        </w:p>
      </w:docPartBody>
    </w:docPart>
    <w:docPart>
      <w:docPartPr>
        <w:name w:val="5A60B27D9E9D48E7ACEC8F8483CA517A"/>
        <w:category>
          <w:name w:val="General"/>
          <w:gallery w:val="placeholder"/>
        </w:category>
        <w:types>
          <w:type w:val="bbPlcHdr"/>
        </w:types>
        <w:behaviors>
          <w:behavior w:val="content"/>
        </w:behaviors>
        <w:guid w:val="{1DF1BC8D-0D74-4271-9048-079F6FAD00DD}"/>
      </w:docPartPr>
      <w:docPartBody>
        <w:p w:rsidR="009F7952" w:rsidRDefault="002E0E98">
          <w:pPr>
            <w:pStyle w:val="5A60B27D9E9D48E7ACEC8F8483CA517A"/>
          </w:pPr>
          <w:r w:rsidRPr="00B26028">
            <w:rPr>
              <w:rStyle w:val="PlaceholderText"/>
            </w:rPr>
            <w:t>Click here to enter text.</w:t>
          </w:r>
        </w:p>
      </w:docPartBody>
    </w:docPart>
    <w:docPart>
      <w:docPartPr>
        <w:name w:val="03DB44ECD707484DBE2F1A2C9F280ED1"/>
        <w:category>
          <w:name w:val="General"/>
          <w:gallery w:val="placeholder"/>
        </w:category>
        <w:types>
          <w:type w:val="bbPlcHdr"/>
        </w:types>
        <w:behaviors>
          <w:behavior w:val="content"/>
        </w:behaviors>
        <w:guid w:val="{A7B469C0-901C-414B-9AFE-C74C47ACF3C0}"/>
      </w:docPartPr>
      <w:docPartBody>
        <w:p w:rsidR="009F7952" w:rsidRDefault="002E0E98">
          <w:pPr>
            <w:pStyle w:val="03DB44ECD707484DBE2F1A2C9F280ED1"/>
          </w:pPr>
          <w:r w:rsidRPr="00503E49">
            <w:rPr>
              <w:rStyle w:val="PlaceholderText"/>
            </w:rPr>
            <w:t>Click here to enter a date.</w:t>
          </w:r>
        </w:p>
      </w:docPartBody>
    </w:docPart>
    <w:docPart>
      <w:docPartPr>
        <w:name w:val="7DA37BAB6D844535BCFB10A8DBF86C6F"/>
        <w:category>
          <w:name w:val="General"/>
          <w:gallery w:val="placeholder"/>
        </w:category>
        <w:types>
          <w:type w:val="bbPlcHdr"/>
        </w:types>
        <w:behaviors>
          <w:behavior w:val="content"/>
        </w:behaviors>
        <w:guid w:val="{A28081BE-3BEA-4EA9-BF10-53F73FD5E4EC}"/>
      </w:docPartPr>
      <w:docPartBody>
        <w:p w:rsidR="009F7952" w:rsidRDefault="002E0E98">
          <w:pPr>
            <w:pStyle w:val="7DA37BAB6D844535BCFB10A8DBF86C6F"/>
          </w:pPr>
          <w:r w:rsidRPr="00503E49">
            <w:rPr>
              <w:rStyle w:val="PlaceholderText"/>
            </w:rPr>
            <w:t>Click here to enter text.</w:t>
          </w:r>
        </w:p>
      </w:docPartBody>
    </w:docPart>
    <w:docPart>
      <w:docPartPr>
        <w:name w:val="5594D5BCFFF249A48178AB4836D7E83C"/>
        <w:category>
          <w:name w:val="General"/>
          <w:gallery w:val="placeholder"/>
        </w:category>
        <w:types>
          <w:type w:val="bbPlcHdr"/>
        </w:types>
        <w:behaviors>
          <w:behavior w:val="content"/>
        </w:behaviors>
        <w:guid w:val="{CBA19DC2-E743-4465-BFD4-0853C84EFD4A}"/>
      </w:docPartPr>
      <w:docPartBody>
        <w:p w:rsidR="009F7952" w:rsidRDefault="002E0E98">
          <w:pPr>
            <w:pStyle w:val="5594D5BCFFF249A48178AB4836D7E83C"/>
          </w:pPr>
          <w:r w:rsidRPr="006E09BE">
            <w:rPr>
              <w:rStyle w:val="PlaceholderText"/>
            </w:rPr>
            <w:t>Click here to enter a date.</w:t>
          </w:r>
        </w:p>
      </w:docPartBody>
    </w:docPart>
    <w:docPart>
      <w:docPartPr>
        <w:name w:val="A866638CEC5845429A5405441D2D131F"/>
        <w:category>
          <w:name w:val="General"/>
          <w:gallery w:val="placeholder"/>
        </w:category>
        <w:types>
          <w:type w:val="bbPlcHdr"/>
        </w:types>
        <w:behaviors>
          <w:behavior w:val="content"/>
        </w:behaviors>
        <w:guid w:val="{2250D0E9-F5FC-44D8-A2EB-09D17BA33D1B}"/>
      </w:docPartPr>
      <w:docPartBody>
        <w:p w:rsidR="009F7952" w:rsidRDefault="002E0E98">
          <w:pPr>
            <w:pStyle w:val="A866638CEC5845429A5405441D2D131F"/>
          </w:pPr>
          <w:r w:rsidRPr="00E5614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C6"/>
    <w:rsid w:val="00002C90"/>
    <w:rsid w:val="002A1AC6"/>
    <w:rsid w:val="002E0E98"/>
    <w:rsid w:val="00380ACA"/>
    <w:rsid w:val="005A5D69"/>
    <w:rsid w:val="006E214D"/>
    <w:rsid w:val="009F7952"/>
    <w:rsid w:val="00A13D85"/>
    <w:rsid w:val="00B261FC"/>
    <w:rsid w:val="00B875D9"/>
    <w:rsid w:val="00C24536"/>
    <w:rsid w:val="00CD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AC6"/>
    <w:rPr>
      <w:color w:val="808080"/>
    </w:rPr>
  </w:style>
  <w:style w:type="paragraph" w:customStyle="1" w:styleId="8563572F19DA41E19ED48E177367A830">
    <w:name w:val="8563572F19DA41E19ED48E177367A830"/>
  </w:style>
  <w:style w:type="paragraph" w:customStyle="1" w:styleId="5F87E0A9631A4E508F227AEAAA12A3BD">
    <w:name w:val="5F87E0A9631A4E508F227AEAAA12A3BD"/>
  </w:style>
  <w:style w:type="paragraph" w:customStyle="1" w:styleId="17F131336E5247D3901926485062E22E">
    <w:name w:val="17F131336E5247D3901926485062E22E"/>
  </w:style>
  <w:style w:type="paragraph" w:customStyle="1" w:styleId="F3F85519F33A497494F6A48A980F05DC">
    <w:name w:val="F3F85519F33A497494F6A48A980F05DC"/>
  </w:style>
  <w:style w:type="paragraph" w:customStyle="1" w:styleId="A75C4B36F3CC4DE0A7DE2E1EA8CBFA73">
    <w:name w:val="A75C4B36F3CC4DE0A7DE2E1EA8CBFA73"/>
  </w:style>
  <w:style w:type="paragraph" w:customStyle="1" w:styleId="0B967201DB164D179763FF3E2D4AB78A">
    <w:name w:val="0B967201DB164D179763FF3E2D4AB78A"/>
  </w:style>
  <w:style w:type="paragraph" w:customStyle="1" w:styleId="155A0D097F4F41F29FDC525EF524BBFF">
    <w:name w:val="155A0D097F4F41F29FDC525EF524BBFF"/>
  </w:style>
  <w:style w:type="paragraph" w:customStyle="1" w:styleId="EB247AE86D8A430C9339A4931867EFCD">
    <w:name w:val="EB247AE86D8A430C9339A4931867EFCD"/>
  </w:style>
  <w:style w:type="paragraph" w:customStyle="1" w:styleId="00F6C41BD6DD4B81960604A2936E7D56">
    <w:name w:val="00F6C41BD6DD4B81960604A2936E7D56"/>
  </w:style>
  <w:style w:type="paragraph" w:customStyle="1" w:styleId="DD13A13B9CE641A8AFEC2D65FF26D031">
    <w:name w:val="DD13A13B9CE641A8AFEC2D65FF26D031"/>
  </w:style>
  <w:style w:type="paragraph" w:customStyle="1" w:styleId="EF8049F1D5484B5E939ADE85393A413C">
    <w:name w:val="EF8049F1D5484B5E939ADE85393A413C"/>
  </w:style>
  <w:style w:type="paragraph" w:customStyle="1" w:styleId="FD46B449D5DD4820B3736C838223ADF6">
    <w:name w:val="FD46B449D5DD4820B3736C838223ADF6"/>
  </w:style>
  <w:style w:type="paragraph" w:customStyle="1" w:styleId="764E23E274A84CAC9EDD08BAC5330D92">
    <w:name w:val="764E23E274A84CAC9EDD08BAC5330D92"/>
  </w:style>
  <w:style w:type="paragraph" w:customStyle="1" w:styleId="A32308C8CB3C4BA8B477272D33D9D125">
    <w:name w:val="A32308C8CB3C4BA8B477272D33D9D125"/>
  </w:style>
  <w:style w:type="paragraph" w:customStyle="1" w:styleId="B5D16EF766D64195AFF5A0A4FD610F80">
    <w:name w:val="B5D16EF766D64195AFF5A0A4FD610F80"/>
  </w:style>
  <w:style w:type="paragraph" w:customStyle="1" w:styleId="302D587828C4479CAA75B681C1CDDCED">
    <w:name w:val="302D587828C4479CAA75B681C1CDDCED"/>
  </w:style>
  <w:style w:type="paragraph" w:customStyle="1" w:styleId="8B9AFE9E1AFE4FEEA6EE58F9403892D9">
    <w:name w:val="8B9AFE9E1AFE4FEEA6EE58F9403892D9"/>
  </w:style>
  <w:style w:type="paragraph" w:customStyle="1" w:styleId="F9849B35A7B8472298F3C7BE01C35CA1">
    <w:name w:val="F9849B35A7B8472298F3C7BE01C35CA1"/>
  </w:style>
  <w:style w:type="paragraph" w:customStyle="1" w:styleId="FADAD5DA40924EEE9733DA8BC0B4F8E1">
    <w:name w:val="FADAD5DA40924EEE9733DA8BC0B4F8E1"/>
  </w:style>
  <w:style w:type="paragraph" w:customStyle="1" w:styleId="8BD80B8F93FD4A55B78E82069263AE88">
    <w:name w:val="8BD80B8F93FD4A55B78E82069263AE88"/>
  </w:style>
  <w:style w:type="paragraph" w:customStyle="1" w:styleId="16868067550F40409EAEFA3DE65F3388">
    <w:name w:val="16868067550F40409EAEFA3DE65F3388"/>
  </w:style>
  <w:style w:type="paragraph" w:customStyle="1" w:styleId="5A60B27D9E9D48E7ACEC8F8483CA517A">
    <w:name w:val="5A60B27D9E9D48E7ACEC8F8483CA517A"/>
  </w:style>
  <w:style w:type="paragraph" w:customStyle="1" w:styleId="6D75B93529744A1F95C855FD4A890A72">
    <w:name w:val="6D75B93529744A1F95C855FD4A890A72"/>
  </w:style>
  <w:style w:type="paragraph" w:customStyle="1" w:styleId="F0EE20DA9D494DFC92029D0560B4FC3F">
    <w:name w:val="F0EE20DA9D494DFC92029D0560B4FC3F"/>
  </w:style>
  <w:style w:type="paragraph" w:customStyle="1" w:styleId="D90F2DD3F378497B9408EDF9C8C7BF0C">
    <w:name w:val="D90F2DD3F378497B9408EDF9C8C7BF0C"/>
  </w:style>
  <w:style w:type="paragraph" w:customStyle="1" w:styleId="1D2B81AF5EB242C8A9E3D4FA6353FEB8">
    <w:name w:val="1D2B81AF5EB242C8A9E3D4FA6353FEB8"/>
  </w:style>
  <w:style w:type="paragraph" w:customStyle="1" w:styleId="E720A95857054DF1A1861CBEAA9E0A5E">
    <w:name w:val="E720A95857054DF1A1861CBEAA9E0A5E"/>
  </w:style>
  <w:style w:type="paragraph" w:customStyle="1" w:styleId="05498175C9084C1A8F7E34B762B7050F">
    <w:name w:val="05498175C9084C1A8F7E34B762B7050F"/>
  </w:style>
  <w:style w:type="paragraph" w:customStyle="1" w:styleId="45D280CC7AF843A3B816C5B7D0DA7E6D">
    <w:name w:val="45D280CC7AF843A3B816C5B7D0DA7E6D"/>
  </w:style>
  <w:style w:type="paragraph" w:customStyle="1" w:styleId="5579C032D4C343E39394CBD53C61154C">
    <w:name w:val="5579C032D4C343E39394CBD53C61154C"/>
  </w:style>
  <w:style w:type="paragraph" w:customStyle="1" w:styleId="15890B40FD2B439CAE2FD27C552D1F4B">
    <w:name w:val="15890B40FD2B439CAE2FD27C552D1F4B"/>
  </w:style>
  <w:style w:type="paragraph" w:customStyle="1" w:styleId="505E92D2555045D88685910D59CA8439">
    <w:name w:val="505E92D2555045D88685910D59CA8439"/>
  </w:style>
  <w:style w:type="paragraph" w:customStyle="1" w:styleId="03DB44ECD707484DBE2F1A2C9F280ED1">
    <w:name w:val="03DB44ECD707484DBE2F1A2C9F280ED1"/>
  </w:style>
  <w:style w:type="paragraph" w:customStyle="1" w:styleId="7DA37BAB6D844535BCFB10A8DBF86C6F">
    <w:name w:val="7DA37BAB6D844535BCFB10A8DBF86C6F"/>
  </w:style>
  <w:style w:type="paragraph" w:customStyle="1" w:styleId="5594D5BCFFF249A48178AB4836D7E83C">
    <w:name w:val="5594D5BCFFF249A48178AB4836D7E83C"/>
  </w:style>
  <w:style w:type="paragraph" w:customStyle="1" w:styleId="A866638CEC5845429A5405441D2D131F">
    <w:name w:val="A866638CEC5845429A5405441D2D131F"/>
  </w:style>
  <w:style w:type="paragraph" w:customStyle="1" w:styleId="4C1ED845186E4DA8802576179737C366">
    <w:name w:val="4C1ED845186E4DA8802576179737C366"/>
  </w:style>
  <w:style w:type="paragraph" w:customStyle="1" w:styleId="71DF912EAD5643069931031D2F330A1B">
    <w:name w:val="71DF912EAD5643069931031D2F330A1B"/>
  </w:style>
  <w:style w:type="paragraph" w:customStyle="1" w:styleId="2A043DD42BEF45CEB8002670DD9294A5">
    <w:name w:val="2A043DD42BEF45CEB8002670DD9294A5"/>
  </w:style>
  <w:style w:type="paragraph" w:customStyle="1" w:styleId="39B079C215A640A1AA3311482BBD17BB">
    <w:name w:val="39B079C215A640A1AA3311482BBD17BB"/>
  </w:style>
  <w:style w:type="paragraph" w:customStyle="1" w:styleId="D8024B9DD72B494BBA37EB3A012C0474">
    <w:name w:val="D8024B9DD72B494BBA37EB3A012C0474"/>
  </w:style>
  <w:style w:type="paragraph" w:customStyle="1" w:styleId="319977494E404193AFB774C71AD9E00F">
    <w:name w:val="319977494E404193AFB774C71AD9E00F"/>
  </w:style>
  <w:style w:type="paragraph" w:customStyle="1" w:styleId="EA0B5EBBC694417C8A2F4570D420DF56">
    <w:name w:val="EA0B5EBBC694417C8A2F4570D420DF56"/>
  </w:style>
  <w:style w:type="paragraph" w:customStyle="1" w:styleId="0C955D6E4CB34DCB98C311A9D01C6590">
    <w:name w:val="0C955D6E4CB34DCB98C311A9D01C6590"/>
  </w:style>
  <w:style w:type="paragraph" w:customStyle="1" w:styleId="580098AD7D2042B0B861E5537C1D9BCA">
    <w:name w:val="580098AD7D2042B0B861E5537C1D9BCA"/>
  </w:style>
  <w:style w:type="paragraph" w:customStyle="1" w:styleId="C253A7566F7F4ECF98B7740649E78B67">
    <w:name w:val="C253A7566F7F4ECF98B7740649E78B67"/>
  </w:style>
  <w:style w:type="paragraph" w:customStyle="1" w:styleId="88622C13C44847BB9CD2C3A58C7AD0C9">
    <w:name w:val="88622C13C44847BB9CD2C3A58C7AD0C9"/>
  </w:style>
  <w:style w:type="paragraph" w:customStyle="1" w:styleId="9406E8959CEB482E9AF735B5A9E53624">
    <w:name w:val="9406E8959CEB482E9AF735B5A9E53624"/>
  </w:style>
  <w:style w:type="paragraph" w:customStyle="1" w:styleId="EF15E5707C884BD286EF6BAA7FB2F761">
    <w:name w:val="EF15E5707C884BD286EF6BAA7FB2F761"/>
  </w:style>
  <w:style w:type="paragraph" w:customStyle="1" w:styleId="0E61AC6EF0DC416297FDCD2E2510B1AC">
    <w:name w:val="0E61AC6EF0DC416297FDCD2E2510B1AC"/>
  </w:style>
  <w:style w:type="paragraph" w:customStyle="1" w:styleId="FD0F86CDE4E746529237525ED739D234">
    <w:name w:val="FD0F86CDE4E746529237525ED739D234"/>
  </w:style>
  <w:style w:type="paragraph" w:customStyle="1" w:styleId="1762C49D9FCC45D58A4BCB8F966286EC">
    <w:name w:val="1762C49D9FCC45D58A4BCB8F966286EC"/>
  </w:style>
  <w:style w:type="paragraph" w:customStyle="1" w:styleId="0A27FEEB778B443986DEB2FFB1BA3D8F">
    <w:name w:val="0A27FEEB778B443986DEB2FFB1BA3D8F"/>
    <w:rsid w:val="002A1AC6"/>
  </w:style>
  <w:style w:type="paragraph" w:customStyle="1" w:styleId="5312E13D1AB54032BC2353DA081821A2">
    <w:name w:val="5312E13D1AB54032BC2353DA081821A2"/>
    <w:rsid w:val="002A1AC6"/>
  </w:style>
  <w:style w:type="paragraph" w:customStyle="1" w:styleId="44B2BFC7195D4D53B87227FB62E39B7D">
    <w:name w:val="44B2BFC7195D4D53B87227FB62E39B7D"/>
    <w:rsid w:val="002A1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6FB47-9370-4EF0-9ACA-3781B0AC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66</TotalTime>
  <Pages>8</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16</cp:revision>
  <cp:lastPrinted>2016-04-18T04:22:00Z</cp:lastPrinted>
  <dcterms:created xsi:type="dcterms:W3CDTF">2016-04-12T12:48:00Z</dcterms:created>
  <dcterms:modified xsi:type="dcterms:W3CDTF">2016-04-18T04:23:00Z</dcterms:modified>
</cp:coreProperties>
</file>