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b/>
          <w:sz w:val="28"/>
          <w:szCs w:val="28"/>
        </w:rPr>
        <w:id w:val="13542603"/>
        <w:placeholder>
          <w:docPart w:val="8A13A8313DA84608B118510EA926A67B"/>
        </w:placeholder>
      </w:sdtPr>
      <w:sdtEndPr/>
      <w:sdtContent>
        <w:p w:rsidR="00A551C8" w:rsidRDefault="006D0D9B" w:rsidP="00CA7795">
          <w:pPr>
            <w:jc w:val="center"/>
            <w:rPr>
              <w:b/>
              <w:sz w:val="28"/>
              <w:szCs w:val="28"/>
            </w:rPr>
          </w:pPr>
          <w:r w:rsidRPr="00606EEA">
            <w:rPr>
              <w:b/>
              <w:sz w:val="28"/>
              <w:szCs w:val="28"/>
            </w:rPr>
            <w:t>IN THE S</w:t>
          </w:r>
          <w:r>
            <w:rPr>
              <w:b/>
              <w:sz w:val="28"/>
              <w:szCs w:val="28"/>
            </w:rPr>
            <w:t>EYCHELLES</w:t>
          </w:r>
          <w:r w:rsidRPr="00606EEA">
            <w:rPr>
              <w:b/>
              <w:sz w:val="28"/>
              <w:szCs w:val="28"/>
            </w:rPr>
            <w:t xml:space="preserve"> COURT OF </w:t>
          </w:r>
          <w:r w:rsidR="00A819F5">
            <w:rPr>
              <w:b/>
              <w:sz w:val="28"/>
              <w:szCs w:val="28"/>
            </w:rPr>
            <w:t>APPEAL</w:t>
          </w:r>
        </w:p>
      </w:sdtContent>
    </w:sdt>
    <w:p w:rsidR="006D0D9B" w:rsidRDefault="006D0D9B" w:rsidP="00CA7795">
      <w:pPr>
        <w:jc w:val="center"/>
        <w:rPr>
          <w:b/>
          <w:sz w:val="28"/>
          <w:szCs w:val="28"/>
        </w:rPr>
      </w:pPr>
    </w:p>
    <w:sdt>
      <w:sdtPr>
        <w:rPr>
          <w:b/>
          <w:sz w:val="28"/>
          <w:szCs w:val="28"/>
        </w:rPr>
        <w:id w:val="13542613"/>
        <w:placeholder>
          <w:docPart w:val="4D9F5CADE84146EAAF8EAAF6B57C8342"/>
        </w:placeholder>
        <w:docPartList>
          <w:docPartGallery w:val="Quick Parts"/>
        </w:docPartList>
      </w:sdtPr>
      <w:sdtEndPr/>
      <w:sdtContent>
        <w:p w:rsidR="00102EE1" w:rsidRDefault="005023DB" w:rsidP="00CA7795">
          <w:pPr>
            <w:jc w:val="center"/>
            <w:rPr>
              <w:b/>
              <w:sz w:val="28"/>
              <w:szCs w:val="28"/>
            </w:rPr>
          </w:pPr>
          <w:sdt>
            <w:sdtPr>
              <w:rPr>
                <w:b/>
                <w:sz w:val="28"/>
                <w:szCs w:val="28"/>
              </w:rPr>
              <w:id w:val="13542618"/>
              <w:placeholder>
                <w:docPart w:val="A312933795664EBDB1733F9A479D6FB7"/>
              </w:placeholder>
              <w:text/>
            </w:sdtPr>
            <w:sdtEndPr/>
            <w:sdtContent>
              <w:r w:rsidR="003A059B">
                <w:rPr>
                  <w:b/>
                  <w:sz w:val="28"/>
                  <w:szCs w:val="28"/>
                </w:rPr>
                <w:t>[C</w:t>
              </w:r>
              <w:r w:rsidR="006D0D9B">
                <w:rPr>
                  <w:b/>
                  <w:sz w:val="28"/>
                  <w:szCs w:val="28"/>
                </w:rPr>
                <w:t>or</w:t>
              </w:r>
              <w:r w:rsidR="003A059B">
                <w:rPr>
                  <w:b/>
                  <w:sz w:val="28"/>
                  <w:szCs w:val="28"/>
                </w:rPr>
                <w:t>a</w:t>
              </w:r>
              <w:r w:rsidR="006D0D9B">
                <w:rPr>
                  <w:b/>
                  <w:sz w:val="28"/>
                  <w:szCs w:val="28"/>
                </w:rPr>
                <w:t>m:</w:t>
              </w:r>
            </w:sdtContent>
          </w:sdt>
          <w:r w:rsidR="00097B9A">
            <w:rPr>
              <w:b/>
              <w:sz w:val="28"/>
              <w:szCs w:val="28"/>
            </w:rPr>
            <w:tab/>
          </w:r>
          <w:sdt>
            <w:sdtPr>
              <w:rPr>
                <w:sz w:val="28"/>
                <w:szCs w:val="28"/>
              </w:rPr>
              <w:id w:val="14547387"/>
              <w:placeholder>
                <w:docPart w:val="B106505C70FC4D1988F5F258BDD1234D"/>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6A151B">
                <w:rPr>
                  <w:sz w:val="28"/>
                  <w:szCs w:val="28"/>
                </w:rPr>
                <w:t>S. Domah (J.A)</w:t>
              </w:r>
            </w:sdtContent>
          </w:sdt>
          <w:r w:rsidR="00097B9A">
            <w:rPr>
              <w:b/>
              <w:sz w:val="28"/>
              <w:szCs w:val="28"/>
            </w:rPr>
            <w:t xml:space="preserve"> </w:t>
          </w:r>
          <w:sdt>
            <w:sdtPr>
              <w:rPr>
                <w:sz w:val="28"/>
                <w:szCs w:val="28"/>
              </w:rPr>
              <w:id w:val="15629612"/>
              <w:placeholder>
                <w:docPart w:val="3C8B692E3049497C8B419AE5325FA469"/>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6A151B">
                <w:rPr>
                  <w:sz w:val="28"/>
                  <w:szCs w:val="28"/>
                </w:rPr>
                <w:t>, A. Fernando (J.A)</w:t>
              </w:r>
            </w:sdtContent>
          </w:sdt>
          <w:r w:rsidR="00097B9A">
            <w:rPr>
              <w:b/>
              <w:sz w:val="28"/>
              <w:szCs w:val="28"/>
            </w:rPr>
            <w:t xml:space="preserve"> </w:t>
          </w:r>
          <w:sdt>
            <w:sdtPr>
              <w:rPr>
                <w:sz w:val="28"/>
                <w:szCs w:val="28"/>
              </w:rPr>
              <w:id w:val="15629656"/>
              <w:placeholder>
                <w:docPart w:val="4D98CC5B82DD444791148D18823EEFD5"/>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6A151B">
                <w:rPr>
                  <w:sz w:val="28"/>
                  <w:szCs w:val="28"/>
                </w:rPr>
                <w:t xml:space="preserve">, </w:t>
              </w:r>
              <w:proofErr w:type="gramStart"/>
              <w:r w:rsidR="006A151B">
                <w:rPr>
                  <w:sz w:val="28"/>
                  <w:szCs w:val="28"/>
                </w:rPr>
                <w:t>M</w:t>
              </w:r>
              <w:proofErr w:type="gramEnd"/>
              <w:r w:rsidR="006A151B">
                <w:rPr>
                  <w:sz w:val="28"/>
                  <w:szCs w:val="28"/>
                </w:rPr>
                <w:t>. Twomey (J.A)</w:t>
              </w:r>
            </w:sdtContent>
          </w:sdt>
          <w:r w:rsidR="00097B9A">
            <w:rPr>
              <w:b/>
              <w:sz w:val="28"/>
              <w:szCs w:val="28"/>
            </w:rPr>
            <w:t xml:space="preserve"> </w:t>
          </w:r>
          <w:sdt>
            <w:sdtPr>
              <w:rPr>
                <w:sz w:val="28"/>
                <w:szCs w:val="28"/>
              </w:rPr>
              <w:id w:val="15629661"/>
              <w:placeholder>
                <w:docPart w:val="B23FEBD399654B2DA8F00AA085CB0027"/>
              </w:placeholder>
              <w:showingPlcHd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6A151B" w:rsidRPr="00E56144">
                <w:rPr>
                  <w:rStyle w:val="PlaceholderText"/>
                </w:rPr>
                <w:t>.</w:t>
              </w:r>
            </w:sdtContent>
          </w:sdt>
        </w:p>
      </w:sdtContent>
    </w:sdt>
    <w:p w:rsidR="00C55FDF" w:rsidRDefault="005023DB" w:rsidP="0006489F">
      <w:pPr>
        <w:spacing w:before="240"/>
        <w:jc w:val="center"/>
        <w:rPr>
          <w:b/>
          <w:sz w:val="28"/>
          <w:szCs w:val="28"/>
        </w:rPr>
      </w:pPr>
      <w:sdt>
        <w:sdtPr>
          <w:rPr>
            <w:b/>
            <w:sz w:val="28"/>
            <w:szCs w:val="28"/>
          </w:rPr>
          <w:id w:val="14547297"/>
          <w:lock w:val="contentLocked"/>
          <w:placeholder>
            <w:docPart w:val="8A13A8313DA84608B118510EA926A67B"/>
          </w:placeholder>
        </w:sdtPr>
        <w:sdtEndPr/>
        <w:sdtContent>
          <w:r w:rsidR="00EC613F">
            <w:rPr>
              <w:b/>
              <w:sz w:val="28"/>
              <w:szCs w:val="28"/>
            </w:rPr>
            <w:t>Civil</w:t>
          </w:r>
          <w:r w:rsidR="00654109">
            <w:rPr>
              <w:b/>
              <w:sz w:val="28"/>
              <w:szCs w:val="28"/>
            </w:rPr>
            <w:t xml:space="preserve"> </w:t>
          </w:r>
          <w:r w:rsidR="00583C6D">
            <w:rPr>
              <w:b/>
              <w:sz w:val="28"/>
              <w:szCs w:val="28"/>
            </w:rPr>
            <w:t>Appeal SCA</w:t>
          </w:r>
        </w:sdtContent>
      </w:sdt>
      <w:r w:rsidR="00885985">
        <w:rPr>
          <w:b/>
          <w:sz w:val="28"/>
          <w:szCs w:val="28"/>
        </w:rPr>
        <w:t xml:space="preserve"> </w:t>
      </w:r>
      <w:r w:rsidR="00EB75A4">
        <w:rPr>
          <w:b/>
          <w:sz w:val="28"/>
          <w:szCs w:val="28"/>
        </w:rPr>
        <w:t xml:space="preserve">CP </w:t>
      </w:r>
      <w:r w:rsidR="002A2C39">
        <w:rPr>
          <w:b/>
          <w:sz w:val="28"/>
          <w:szCs w:val="28"/>
        </w:rPr>
        <w:t>2</w:t>
      </w:r>
      <w:r w:rsidR="006A151B">
        <w:rPr>
          <w:b/>
          <w:sz w:val="28"/>
          <w:szCs w:val="28"/>
        </w:rPr>
        <w:t xml:space="preserve">, </w:t>
      </w:r>
      <w:r w:rsidR="00EB75A4">
        <w:rPr>
          <w:b/>
          <w:sz w:val="28"/>
          <w:szCs w:val="28"/>
        </w:rPr>
        <w:t xml:space="preserve">CP </w:t>
      </w:r>
      <w:r w:rsidR="006A151B">
        <w:rPr>
          <w:b/>
          <w:sz w:val="28"/>
          <w:szCs w:val="28"/>
        </w:rPr>
        <w:t xml:space="preserve">3, </w:t>
      </w:r>
      <w:r w:rsidR="00EB75A4">
        <w:rPr>
          <w:b/>
          <w:sz w:val="28"/>
          <w:szCs w:val="28"/>
        </w:rPr>
        <w:t xml:space="preserve">CP </w:t>
      </w:r>
      <w:r w:rsidR="006A151B">
        <w:rPr>
          <w:b/>
          <w:sz w:val="28"/>
          <w:szCs w:val="28"/>
        </w:rPr>
        <w:t>4</w:t>
      </w:r>
      <w:sdt>
        <w:sdtPr>
          <w:rPr>
            <w:b/>
            <w:sz w:val="28"/>
            <w:szCs w:val="28"/>
          </w:rPr>
          <w:id w:val="14547301"/>
          <w:lock w:val="sdtContentLocked"/>
          <w:placeholder>
            <w:docPart w:val="8A13A8313DA84608B118510EA926A67B"/>
          </w:placeholder>
        </w:sdtPr>
        <w:sdtEndPr/>
        <w:sdtContent>
          <w:r w:rsidR="00E86753">
            <w:rPr>
              <w:b/>
              <w:sz w:val="28"/>
              <w:szCs w:val="28"/>
            </w:rPr>
            <w:t>/20</w:t>
          </w:r>
        </w:sdtContent>
      </w:sdt>
      <w:r w:rsidR="006A151B">
        <w:rPr>
          <w:b/>
          <w:sz w:val="28"/>
          <w:szCs w:val="28"/>
        </w:rPr>
        <w:t>16</w:t>
      </w:r>
    </w:p>
    <w:p w:rsidR="00C55FDF" w:rsidRPr="00606EEA" w:rsidRDefault="00EB75A4" w:rsidP="00E57D4D">
      <w:pPr>
        <w:pBdr>
          <w:bottom w:val="single" w:sz="4" w:space="5" w:color="auto"/>
        </w:pBdr>
        <w:jc w:val="center"/>
        <w:rPr>
          <w:b/>
          <w:sz w:val="24"/>
          <w:szCs w:val="24"/>
        </w:rPr>
      </w:pPr>
      <w:r>
        <w:rPr>
          <w:b/>
          <w:sz w:val="24"/>
          <w:szCs w:val="24"/>
        </w:rPr>
        <w:t xml:space="preserve">Appeal from Constitutional Court Decision CP4/2012 </w:t>
      </w:r>
    </w:p>
    <w:tbl>
      <w:tblPr>
        <w:tblStyle w:val="TableGrid"/>
        <w:tblW w:w="0" w:type="auto"/>
        <w:tblLook w:val="04A0" w:firstRow="1" w:lastRow="0" w:firstColumn="1" w:lastColumn="0" w:noHBand="0" w:noVBand="1"/>
      </w:tblPr>
      <w:tblGrid>
        <w:gridCol w:w="4171"/>
        <w:gridCol w:w="883"/>
        <w:gridCol w:w="4168"/>
      </w:tblGrid>
      <w:tr w:rsidR="003A059B" w:rsidRPr="00B26028" w:rsidTr="008C35E4">
        <w:trPr>
          <w:trHeight w:val="1300"/>
        </w:trPr>
        <w:tc>
          <w:tcPr>
            <w:tcW w:w="4171" w:type="dxa"/>
            <w:tcBorders>
              <w:top w:val="nil"/>
              <w:left w:val="nil"/>
              <w:bottom w:val="nil"/>
              <w:right w:val="nil"/>
            </w:tcBorders>
          </w:tcPr>
          <w:p w:rsidR="003A059B" w:rsidRDefault="002A2C39" w:rsidP="002A2C39">
            <w:pPr>
              <w:spacing w:before="120" w:after="120"/>
              <w:rPr>
                <w:sz w:val="24"/>
                <w:szCs w:val="24"/>
              </w:rPr>
            </w:pPr>
            <w:r>
              <w:rPr>
                <w:sz w:val="24"/>
                <w:szCs w:val="24"/>
              </w:rPr>
              <w:t>Government of Seychelles</w:t>
            </w:r>
          </w:p>
          <w:p w:rsidR="002A2C39" w:rsidRDefault="002A2C39" w:rsidP="002A2C39">
            <w:pPr>
              <w:spacing w:before="120" w:after="120"/>
              <w:rPr>
                <w:sz w:val="24"/>
                <w:szCs w:val="24"/>
              </w:rPr>
            </w:pPr>
          </w:p>
          <w:p w:rsidR="002A2C39" w:rsidRPr="00B26028" w:rsidRDefault="006A151B" w:rsidP="008C35E4">
            <w:pPr>
              <w:spacing w:before="120" w:after="120"/>
              <w:ind w:right="-2672"/>
              <w:rPr>
                <w:sz w:val="24"/>
                <w:szCs w:val="24"/>
              </w:rPr>
            </w:pPr>
            <w:r>
              <w:rPr>
                <w:sz w:val="24"/>
                <w:szCs w:val="24"/>
              </w:rPr>
              <w:t xml:space="preserve">The Attorney General    </w:t>
            </w:r>
          </w:p>
        </w:tc>
        <w:tc>
          <w:tcPr>
            <w:tcW w:w="868" w:type="dxa"/>
            <w:tcBorders>
              <w:top w:val="nil"/>
              <w:left w:val="nil"/>
              <w:bottom w:val="nil"/>
              <w:right w:val="nil"/>
            </w:tcBorders>
          </w:tcPr>
          <w:p w:rsidR="003A059B" w:rsidRPr="00B26028" w:rsidRDefault="003A059B" w:rsidP="00B26028">
            <w:pPr>
              <w:spacing w:before="120" w:after="120"/>
              <w:rPr>
                <w:sz w:val="24"/>
                <w:szCs w:val="24"/>
              </w:rPr>
            </w:pPr>
          </w:p>
        </w:tc>
        <w:tc>
          <w:tcPr>
            <w:tcW w:w="4168" w:type="dxa"/>
            <w:tcBorders>
              <w:top w:val="nil"/>
              <w:left w:val="nil"/>
              <w:bottom w:val="nil"/>
              <w:right w:val="nil"/>
            </w:tcBorders>
          </w:tcPr>
          <w:p w:rsidR="002A2C39" w:rsidRDefault="002A2C39" w:rsidP="00975D08">
            <w:pPr>
              <w:spacing w:before="120" w:after="120"/>
              <w:ind w:left="2068"/>
              <w:jc w:val="center"/>
              <w:rPr>
                <w:sz w:val="24"/>
                <w:szCs w:val="24"/>
              </w:rPr>
            </w:pPr>
            <w:r w:rsidRPr="006A151B">
              <w:rPr>
                <w:sz w:val="24"/>
                <w:szCs w:val="24"/>
              </w:rPr>
              <w:t>1</w:t>
            </w:r>
            <w:r w:rsidRPr="006A151B">
              <w:rPr>
                <w:sz w:val="24"/>
                <w:szCs w:val="24"/>
                <w:vertAlign w:val="superscript"/>
              </w:rPr>
              <w:t>st</w:t>
            </w:r>
            <w:r w:rsidRPr="006A151B">
              <w:rPr>
                <w:sz w:val="24"/>
                <w:szCs w:val="24"/>
              </w:rPr>
              <w:t xml:space="preserve"> </w:t>
            </w:r>
            <w:r w:rsidR="005C679C">
              <w:rPr>
                <w:sz w:val="24"/>
                <w:szCs w:val="24"/>
              </w:rPr>
              <w:t>A</w:t>
            </w:r>
            <w:r w:rsidRPr="006A151B">
              <w:rPr>
                <w:sz w:val="24"/>
                <w:szCs w:val="24"/>
              </w:rPr>
              <w:t>ppellant</w:t>
            </w:r>
          </w:p>
          <w:p w:rsidR="00263CE8" w:rsidRPr="006A151B" w:rsidRDefault="00263CE8" w:rsidP="00263CE8">
            <w:pPr>
              <w:spacing w:before="120" w:after="120"/>
              <w:ind w:left="2308"/>
              <w:jc w:val="center"/>
              <w:rPr>
                <w:sz w:val="24"/>
                <w:szCs w:val="24"/>
              </w:rPr>
            </w:pPr>
          </w:p>
          <w:p w:rsidR="002A2C39" w:rsidRPr="00B97878" w:rsidRDefault="00263CE8" w:rsidP="00975D08">
            <w:pPr>
              <w:spacing w:before="120" w:after="120"/>
              <w:ind w:left="2068"/>
              <w:jc w:val="center"/>
              <w:rPr>
                <w:b/>
                <w:sz w:val="24"/>
                <w:szCs w:val="24"/>
              </w:rPr>
            </w:pPr>
            <w:r w:rsidRPr="006A151B">
              <w:rPr>
                <w:sz w:val="24"/>
                <w:szCs w:val="24"/>
              </w:rPr>
              <w:t>2</w:t>
            </w:r>
            <w:r w:rsidRPr="006A151B">
              <w:rPr>
                <w:sz w:val="24"/>
                <w:szCs w:val="24"/>
                <w:vertAlign w:val="superscript"/>
              </w:rPr>
              <w:t>nd</w:t>
            </w:r>
            <w:r w:rsidRPr="006A151B">
              <w:rPr>
                <w:sz w:val="24"/>
                <w:szCs w:val="24"/>
              </w:rPr>
              <w:t xml:space="preserve"> </w:t>
            </w:r>
            <w:r>
              <w:rPr>
                <w:sz w:val="24"/>
                <w:szCs w:val="24"/>
              </w:rPr>
              <w:t>A</w:t>
            </w:r>
            <w:r w:rsidRPr="006A151B">
              <w:rPr>
                <w:sz w:val="24"/>
                <w:szCs w:val="24"/>
              </w:rPr>
              <w:t>ppellant</w:t>
            </w:r>
          </w:p>
        </w:tc>
      </w:tr>
      <w:tr w:rsidR="003A059B" w:rsidTr="008C35E4">
        <w:trPr>
          <w:trHeight w:val="403"/>
        </w:trPr>
        <w:tc>
          <w:tcPr>
            <w:tcW w:w="4171" w:type="dxa"/>
            <w:tcBorders>
              <w:top w:val="nil"/>
              <w:left w:val="nil"/>
              <w:bottom w:val="nil"/>
              <w:right w:val="nil"/>
            </w:tcBorders>
          </w:tcPr>
          <w:p w:rsidR="003A059B" w:rsidRDefault="003A059B" w:rsidP="003A059B">
            <w:pPr>
              <w:spacing w:before="120"/>
              <w:jc w:val="center"/>
              <w:rPr>
                <w:sz w:val="24"/>
                <w:szCs w:val="24"/>
              </w:rPr>
            </w:pPr>
          </w:p>
        </w:tc>
        <w:tc>
          <w:tcPr>
            <w:tcW w:w="868" w:type="dxa"/>
            <w:tcBorders>
              <w:top w:val="nil"/>
              <w:left w:val="nil"/>
              <w:bottom w:val="nil"/>
              <w:right w:val="nil"/>
            </w:tcBorders>
          </w:tcPr>
          <w:sdt>
            <w:sdtPr>
              <w:rPr>
                <w:sz w:val="24"/>
                <w:szCs w:val="24"/>
              </w:rPr>
              <w:id w:val="15629672"/>
              <w:lock w:val="contentLocked"/>
              <w:placeholder>
                <w:docPart w:val="5B57C68B8A984FA79A6FE7C58C935983"/>
              </w:placeholder>
            </w:sdtPr>
            <w:sdtEndPr/>
            <w:sdtContent>
              <w:p w:rsidR="003A059B" w:rsidRDefault="003A059B" w:rsidP="003A059B">
                <w:pPr>
                  <w:spacing w:before="120"/>
                  <w:jc w:val="center"/>
                  <w:rPr>
                    <w:sz w:val="24"/>
                    <w:szCs w:val="24"/>
                  </w:rPr>
                </w:pPr>
                <w:r>
                  <w:rPr>
                    <w:sz w:val="24"/>
                    <w:szCs w:val="24"/>
                  </w:rPr>
                  <w:t>Versus</w:t>
                </w:r>
              </w:p>
            </w:sdtContent>
          </w:sdt>
        </w:tc>
        <w:tc>
          <w:tcPr>
            <w:tcW w:w="4168" w:type="dxa"/>
            <w:tcBorders>
              <w:top w:val="nil"/>
              <w:left w:val="nil"/>
              <w:bottom w:val="nil"/>
              <w:right w:val="nil"/>
            </w:tcBorders>
          </w:tcPr>
          <w:p w:rsidR="003A059B" w:rsidRPr="00B97878" w:rsidRDefault="003A059B" w:rsidP="00263CE8">
            <w:pPr>
              <w:ind w:left="2308"/>
              <w:jc w:val="right"/>
              <w:rPr>
                <w:b/>
                <w:sz w:val="24"/>
                <w:szCs w:val="24"/>
              </w:rPr>
            </w:pPr>
          </w:p>
        </w:tc>
      </w:tr>
      <w:tr w:rsidR="003A059B" w:rsidRPr="00B26028" w:rsidTr="008C35E4">
        <w:trPr>
          <w:trHeight w:val="1689"/>
        </w:trPr>
        <w:tc>
          <w:tcPr>
            <w:tcW w:w="4171" w:type="dxa"/>
            <w:tcBorders>
              <w:top w:val="nil"/>
              <w:left w:val="nil"/>
              <w:bottom w:val="nil"/>
              <w:right w:val="nil"/>
            </w:tcBorders>
          </w:tcPr>
          <w:sdt>
            <w:sdtPr>
              <w:rPr>
                <w:sz w:val="24"/>
                <w:szCs w:val="24"/>
              </w:rPr>
              <w:id w:val="8972153"/>
              <w:placeholder>
                <w:docPart w:val="D1A825BEE3FF4C488AF0A7BEAAFC2488"/>
              </w:placeholder>
            </w:sdtPr>
            <w:sdtEndPr/>
            <w:sdtContent>
              <w:p w:rsidR="006A151B" w:rsidRDefault="006A151B" w:rsidP="006A151B">
                <w:pPr>
                  <w:spacing w:before="120" w:after="120"/>
                  <w:rPr>
                    <w:sz w:val="24"/>
                    <w:szCs w:val="24"/>
                  </w:rPr>
                </w:pPr>
                <w:r>
                  <w:rPr>
                    <w:sz w:val="24"/>
                    <w:szCs w:val="24"/>
                  </w:rPr>
                  <w:t>Nelson Robert Poole</w:t>
                </w:r>
              </w:p>
              <w:p w:rsidR="008C35E4" w:rsidRDefault="008C35E4" w:rsidP="006A151B">
                <w:pPr>
                  <w:spacing w:before="120" w:after="120"/>
                  <w:rPr>
                    <w:sz w:val="24"/>
                    <w:szCs w:val="24"/>
                  </w:rPr>
                </w:pPr>
                <w:r>
                  <w:rPr>
                    <w:sz w:val="24"/>
                    <w:szCs w:val="24"/>
                  </w:rPr>
                  <w:t xml:space="preserve">Robert Marc </w:t>
                </w:r>
                <w:proofErr w:type="spellStart"/>
                <w:r>
                  <w:rPr>
                    <w:sz w:val="24"/>
                    <w:szCs w:val="24"/>
                  </w:rPr>
                  <w:t>Noddyn</w:t>
                </w:r>
                <w:proofErr w:type="spellEnd"/>
              </w:p>
              <w:p w:rsidR="008C35E4" w:rsidRDefault="008C35E4" w:rsidP="006A151B">
                <w:pPr>
                  <w:spacing w:before="120" w:after="120"/>
                  <w:rPr>
                    <w:sz w:val="24"/>
                    <w:szCs w:val="24"/>
                  </w:rPr>
                </w:pPr>
                <w:r>
                  <w:rPr>
                    <w:sz w:val="24"/>
                    <w:szCs w:val="24"/>
                  </w:rPr>
                  <w:t xml:space="preserve">Patrick </w:t>
                </w:r>
                <w:proofErr w:type="spellStart"/>
                <w:r>
                  <w:rPr>
                    <w:sz w:val="24"/>
                    <w:szCs w:val="24"/>
                  </w:rPr>
                  <w:t>Noddyn</w:t>
                </w:r>
                <w:proofErr w:type="spellEnd"/>
                <w:r>
                  <w:rPr>
                    <w:sz w:val="24"/>
                    <w:szCs w:val="24"/>
                  </w:rPr>
                  <w:t xml:space="preserve"> </w:t>
                </w:r>
              </w:p>
              <w:p w:rsidR="003A059B" w:rsidRPr="00B26028" w:rsidRDefault="008C35E4" w:rsidP="008C35E4">
                <w:pPr>
                  <w:spacing w:before="120" w:after="120"/>
                  <w:rPr>
                    <w:sz w:val="24"/>
                    <w:szCs w:val="24"/>
                  </w:rPr>
                </w:pPr>
                <w:proofErr w:type="spellStart"/>
                <w:r>
                  <w:rPr>
                    <w:sz w:val="24"/>
                    <w:szCs w:val="24"/>
                  </w:rPr>
                  <w:t>Reem</w:t>
                </w:r>
                <w:proofErr w:type="spellEnd"/>
                <w:r>
                  <w:rPr>
                    <w:sz w:val="24"/>
                    <w:szCs w:val="24"/>
                  </w:rPr>
                  <w:t xml:space="preserve"> Limited</w:t>
                </w:r>
              </w:p>
            </w:sdtContent>
          </w:sdt>
        </w:tc>
        <w:tc>
          <w:tcPr>
            <w:tcW w:w="868" w:type="dxa"/>
            <w:tcBorders>
              <w:top w:val="nil"/>
              <w:left w:val="nil"/>
              <w:bottom w:val="nil"/>
              <w:right w:val="nil"/>
            </w:tcBorders>
          </w:tcPr>
          <w:p w:rsidR="003A059B" w:rsidRPr="00B26028" w:rsidRDefault="003A059B" w:rsidP="00B26028">
            <w:pPr>
              <w:spacing w:before="120" w:after="120"/>
              <w:rPr>
                <w:sz w:val="24"/>
                <w:szCs w:val="24"/>
              </w:rPr>
            </w:pPr>
          </w:p>
        </w:tc>
        <w:tc>
          <w:tcPr>
            <w:tcW w:w="4168" w:type="dxa"/>
            <w:tcBorders>
              <w:top w:val="nil"/>
              <w:left w:val="nil"/>
              <w:bottom w:val="nil"/>
              <w:right w:val="nil"/>
            </w:tcBorders>
          </w:tcPr>
          <w:p w:rsidR="00B66B63" w:rsidRPr="000B7D90" w:rsidRDefault="00975D08" w:rsidP="00975D08">
            <w:pPr>
              <w:spacing w:before="120" w:after="120"/>
              <w:ind w:left="2308"/>
              <w:rPr>
                <w:sz w:val="24"/>
                <w:szCs w:val="24"/>
              </w:rPr>
            </w:pPr>
            <w:r>
              <w:rPr>
                <w:sz w:val="24"/>
                <w:szCs w:val="24"/>
              </w:rPr>
              <w:t>1</w:t>
            </w:r>
            <w:r w:rsidRPr="00975D08">
              <w:rPr>
                <w:sz w:val="24"/>
                <w:szCs w:val="24"/>
                <w:vertAlign w:val="superscript"/>
              </w:rPr>
              <w:t>st</w:t>
            </w:r>
            <w:r>
              <w:rPr>
                <w:sz w:val="24"/>
                <w:szCs w:val="24"/>
              </w:rPr>
              <w:t xml:space="preserve"> Respondent</w:t>
            </w:r>
          </w:p>
          <w:p w:rsidR="00B26028" w:rsidRPr="000B7D90" w:rsidRDefault="00975D08" w:rsidP="00975D08">
            <w:pPr>
              <w:spacing w:before="120" w:after="120"/>
              <w:ind w:left="2308"/>
              <w:rPr>
                <w:sz w:val="24"/>
                <w:szCs w:val="24"/>
              </w:rPr>
            </w:pPr>
            <w:r>
              <w:rPr>
                <w:sz w:val="24"/>
                <w:szCs w:val="24"/>
              </w:rPr>
              <w:t>2</w:t>
            </w:r>
            <w:r w:rsidRPr="00975D08">
              <w:rPr>
                <w:sz w:val="24"/>
                <w:szCs w:val="24"/>
                <w:vertAlign w:val="superscript"/>
              </w:rPr>
              <w:t>nd</w:t>
            </w:r>
            <w:r>
              <w:rPr>
                <w:sz w:val="24"/>
                <w:szCs w:val="24"/>
              </w:rPr>
              <w:t xml:space="preserve"> Respondent</w:t>
            </w:r>
          </w:p>
          <w:p w:rsidR="00B26028" w:rsidRPr="000B7D90" w:rsidRDefault="008C35E4" w:rsidP="00975D08">
            <w:pPr>
              <w:spacing w:before="120" w:after="120"/>
              <w:ind w:left="2068"/>
              <w:jc w:val="center"/>
              <w:rPr>
                <w:sz w:val="24"/>
                <w:szCs w:val="24"/>
              </w:rPr>
            </w:pPr>
            <w:r w:rsidRPr="000B7D90">
              <w:rPr>
                <w:sz w:val="24"/>
                <w:szCs w:val="24"/>
              </w:rPr>
              <w:t>3</w:t>
            </w:r>
            <w:r w:rsidRPr="000B7D90">
              <w:rPr>
                <w:sz w:val="24"/>
                <w:szCs w:val="24"/>
                <w:vertAlign w:val="superscript"/>
              </w:rPr>
              <w:t>rd</w:t>
            </w:r>
            <w:r w:rsidRPr="000B7D90">
              <w:rPr>
                <w:sz w:val="24"/>
                <w:szCs w:val="24"/>
              </w:rPr>
              <w:t xml:space="preserve"> Respondent</w:t>
            </w:r>
          </w:p>
          <w:p w:rsidR="008C35E4" w:rsidRPr="00B97878" w:rsidRDefault="008C35E4" w:rsidP="00975D08">
            <w:pPr>
              <w:spacing w:before="120" w:after="120"/>
              <w:ind w:left="2068"/>
              <w:jc w:val="center"/>
              <w:rPr>
                <w:b/>
                <w:sz w:val="24"/>
                <w:szCs w:val="24"/>
              </w:rPr>
            </w:pPr>
            <w:r w:rsidRPr="000B7D90">
              <w:rPr>
                <w:sz w:val="24"/>
                <w:szCs w:val="24"/>
              </w:rPr>
              <w:t>4</w:t>
            </w:r>
            <w:r w:rsidRPr="000B7D90">
              <w:rPr>
                <w:sz w:val="24"/>
                <w:szCs w:val="24"/>
                <w:vertAlign w:val="superscript"/>
              </w:rPr>
              <w:t>th</w:t>
            </w:r>
            <w:r w:rsidRPr="000B7D90">
              <w:rPr>
                <w:sz w:val="24"/>
                <w:szCs w:val="24"/>
              </w:rPr>
              <w:t xml:space="preserve"> Respondent</w:t>
            </w:r>
          </w:p>
        </w:tc>
      </w:tr>
      <w:tr w:rsidR="008C35E4" w:rsidRPr="00B26028" w:rsidTr="008C35E4">
        <w:trPr>
          <w:trHeight w:val="523"/>
        </w:trPr>
        <w:tc>
          <w:tcPr>
            <w:tcW w:w="4171" w:type="dxa"/>
            <w:tcBorders>
              <w:top w:val="nil"/>
              <w:left w:val="nil"/>
              <w:bottom w:val="nil"/>
              <w:right w:val="nil"/>
            </w:tcBorders>
          </w:tcPr>
          <w:p w:rsidR="008C35E4" w:rsidRDefault="008C35E4" w:rsidP="006A151B">
            <w:pPr>
              <w:spacing w:before="120" w:after="120"/>
              <w:rPr>
                <w:sz w:val="24"/>
                <w:szCs w:val="24"/>
              </w:rPr>
            </w:pPr>
          </w:p>
        </w:tc>
        <w:tc>
          <w:tcPr>
            <w:tcW w:w="868" w:type="dxa"/>
            <w:tcBorders>
              <w:top w:val="nil"/>
              <w:left w:val="nil"/>
              <w:bottom w:val="nil"/>
              <w:right w:val="nil"/>
            </w:tcBorders>
          </w:tcPr>
          <w:p w:rsidR="008C35E4" w:rsidRPr="00B26028" w:rsidRDefault="008C35E4" w:rsidP="00B26028">
            <w:pPr>
              <w:spacing w:before="120" w:after="120"/>
              <w:rPr>
                <w:sz w:val="24"/>
                <w:szCs w:val="24"/>
              </w:rPr>
            </w:pPr>
          </w:p>
        </w:tc>
        <w:tc>
          <w:tcPr>
            <w:tcW w:w="4168" w:type="dxa"/>
            <w:tcBorders>
              <w:top w:val="nil"/>
              <w:left w:val="nil"/>
              <w:bottom w:val="nil"/>
              <w:right w:val="nil"/>
            </w:tcBorders>
          </w:tcPr>
          <w:p w:rsidR="008C35E4" w:rsidRPr="006A151B" w:rsidRDefault="008C35E4" w:rsidP="00263CE8">
            <w:pPr>
              <w:spacing w:before="120" w:after="120"/>
              <w:ind w:left="2308"/>
              <w:jc w:val="right"/>
              <w:rPr>
                <w:b/>
                <w:sz w:val="24"/>
                <w:szCs w:val="24"/>
              </w:rPr>
            </w:pPr>
          </w:p>
        </w:tc>
      </w:tr>
      <w:tr w:rsidR="006A151B" w:rsidRPr="00B26028" w:rsidTr="008C35E4">
        <w:trPr>
          <w:trHeight w:val="508"/>
        </w:trPr>
        <w:tc>
          <w:tcPr>
            <w:tcW w:w="4171" w:type="dxa"/>
            <w:tcBorders>
              <w:top w:val="nil"/>
              <w:left w:val="nil"/>
              <w:bottom w:val="nil"/>
              <w:right w:val="nil"/>
            </w:tcBorders>
          </w:tcPr>
          <w:p w:rsidR="006A151B" w:rsidRDefault="006A151B" w:rsidP="006A151B">
            <w:pPr>
              <w:spacing w:before="120" w:after="120"/>
              <w:rPr>
                <w:sz w:val="24"/>
                <w:szCs w:val="24"/>
              </w:rPr>
            </w:pPr>
          </w:p>
        </w:tc>
        <w:tc>
          <w:tcPr>
            <w:tcW w:w="868" w:type="dxa"/>
            <w:tcBorders>
              <w:top w:val="nil"/>
              <w:left w:val="nil"/>
              <w:bottom w:val="nil"/>
              <w:right w:val="nil"/>
            </w:tcBorders>
          </w:tcPr>
          <w:p w:rsidR="006A151B" w:rsidRPr="00B26028" w:rsidRDefault="006A151B" w:rsidP="00B26028">
            <w:pPr>
              <w:spacing w:before="120" w:after="120"/>
              <w:rPr>
                <w:sz w:val="24"/>
                <w:szCs w:val="24"/>
              </w:rPr>
            </w:pPr>
          </w:p>
        </w:tc>
        <w:tc>
          <w:tcPr>
            <w:tcW w:w="4168" w:type="dxa"/>
            <w:tcBorders>
              <w:top w:val="nil"/>
              <w:left w:val="nil"/>
              <w:bottom w:val="nil"/>
              <w:right w:val="nil"/>
            </w:tcBorders>
          </w:tcPr>
          <w:p w:rsidR="006A151B" w:rsidRPr="006A151B" w:rsidRDefault="006A151B" w:rsidP="008B10A6">
            <w:pPr>
              <w:spacing w:before="120" w:after="120"/>
              <w:jc w:val="right"/>
              <w:rPr>
                <w:b/>
                <w:sz w:val="24"/>
                <w:szCs w:val="24"/>
              </w:rPr>
            </w:pPr>
          </w:p>
        </w:tc>
      </w:tr>
    </w:tbl>
    <w:p w:rsidR="00E0467F" w:rsidRPr="00E0467F" w:rsidRDefault="005023DB" w:rsidP="00C22967">
      <w:pPr>
        <w:spacing w:before="240" w:after="120"/>
        <w:rPr>
          <w:sz w:val="24"/>
          <w:szCs w:val="24"/>
        </w:rPr>
      </w:pPr>
      <w:sdt>
        <w:sdtPr>
          <w:rPr>
            <w:sz w:val="24"/>
            <w:szCs w:val="24"/>
          </w:rPr>
          <w:id w:val="15629736"/>
          <w:lock w:val="contentLocked"/>
          <w:placeholder>
            <w:docPart w:val="CAA11CE18DCB42F19AE99CB4A8230CA5"/>
          </w:placeholder>
        </w:sdtPr>
        <w:sdtEnd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F02E3B7BC56B463F978583FC51AADC7E"/>
          </w:placeholder>
          <w:date w:fullDate="2016-11-28T00:00:00Z">
            <w:dateFormat w:val="dd MMMM yyyy"/>
            <w:lid w:val="en-GB"/>
            <w:storeMappedDataAs w:val="dateTime"/>
            <w:calendar w:val="gregorian"/>
          </w:date>
        </w:sdtPr>
        <w:sdtEndPr/>
        <w:sdtContent>
          <w:r w:rsidR="000A6838">
            <w:rPr>
              <w:sz w:val="24"/>
              <w:szCs w:val="24"/>
            </w:rPr>
            <w:t>28 November 2016</w:t>
          </w:r>
        </w:sdtContent>
      </w:sdt>
      <w:r w:rsidR="00F66DCF">
        <w:rPr>
          <w:sz w:val="24"/>
          <w:szCs w:val="24"/>
        </w:rPr>
        <w:fldChar w:fldCharType="begin"/>
      </w:r>
      <w:r w:rsidR="003F0F8D">
        <w:rPr>
          <w:sz w:val="24"/>
          <w:szCs w:val="24"/>
        </w:rPr>
        <w:instrText xml:space="preserve">  </w:instrText>
      </w:r>
      <w:r w:rsidR="00F66DCF">
        <w:rPr>
          <w:sz w:val="24"/>
          <w:szCs w:val="24"/>
        </w:rPr>
        <w:fldChar w:fldCharType="end"/>
      </w:r>
    </w:p>
    <w:p w:rsidR="005F5FB0" w:rsidRDefault="005023DB" w:rsidP="00B0414B">
      <w:pPr>
        <w:rPr>
          <w:sz w:val="24"/>
          <w:szCs w:val="24"/>
        </w:rPr>
      </w:pPr>
      <w:sdt>
        <w:sdtPr>
          <w:rPr>
            <w:sz w:val="24"/>
            <w:szCs w:val="24"/>
          </w:rPr>
          <w:id w:val="15629744"/>
          <w:lock w:val="contentLocked"/>
          <w:placeholder>
            <w:docPart w:val="CAA11CE18DCB42F19AE99CB4A8230CA5"/>
          </w:placeholder>
        </w:sdtPr>
        <w:sdtEndPr/>
        <w:sdtContent>
          <w:r w:rsidR="0038006D">
            <w:rPr>
              <w:sz w:val="24"/>
              <w:szCs w:val="24"/>
            </w:rPr>
            <w:t>Counsel</w:t>
          </w:r>
          <w:r w:rsidR="0038006D" w:rsidRPr="00E0467F">
            <w:rPr>
              <w:sz w:val="24"/>
              <w:szCs w:val="24"/>
            </w:rPr>
            <w:t>:</w:t>
          </w:r>
        </w:sdtContent>
      </w:sdt>
      <w:r w:rsidR="00E0467F">
        <w:rPr>
          <w:sz w:val="24"/>
          <w:szCs w:val="24"/>
        </w:rPr>
        <w:tab/>
      </w:r>
      <w:sdt>
        <w:sdtPr>
          <w:rPr>
            <w:sz w:val="24"/>
            <w:szCs w:val="24"/>
          </w:rPr>
          <w:id w:val="8972156"/>
          <w:placeholder>
            <w:docPart w:val="82D7E5C3C158433B98DF8DD3B563F5E7"/>
          </w:placeholder>
        </w:sdtPr>
        <w:sdtEndPr/>
        <w:sdtContent>
          <w:r w:rsidR="002A2C39">
            <w:rPr>
              <w:sz w:val="24"/>
              <w:szCs w:val="24"/>
            </w:rPr>
            <w:t>Mr. Jayaraj for Government of Seychelles and the Attorney General</w:t>
          </w:r>
        </w:sdtContent>
      </w:sdt>
      <w:r w:rsidR="00F66DCF">
        <w:rPr>
          <w:sz w:val="24"/>
          <w:szCs w:val="24"/>
        </w:rPr>
        <w:fldChar w:fldCharType="begin"/>
      </w:r>
      <w:r w:rsidR="00F804CC">
        <w:rPr>
          <w:sz w:val="24"/>
          <w:szCs w:val="24"/>
        </w:rPr>
        <w:instrText xml:space="preserve"> ASK  "Enter Appellant Lawyer full name"  \* MERGEFORMAT </w:instrText>
      </w:r>
      <w:r w:rsidR="00F66DCF">
        <w:rPr>
          <w:sz w:val="24"/>
          <w:szCs w:val="24"/>
        </w:rPr>
        <w:fldChar w:fldCharType="end"/>
      </w:r>
      <w:r w:rsidR="00F66DCF">
        <w:rPr>
          <w:sz w:val="24"/>
          <w:szCs w:val="24"/>
        </w:rPr>
        <w:fldChar w:fldCharType="begin"/>
      </w:r>
      <w:r w:rsidR="003F0F8D">
        <w:rPr>
          <w:sz w:val="24"/>
          <w:szCs w:val="24"/>
        </w:rPr>
        <w:instrText xml:space="preserve">  </w:instrText>
      </w:r>
      <w:r w:rsidR="00F66DCF">
        <w:rPr>
          <w:sz w:val="24"/>
          <w:szCs w:val="24"/>
        </w:rPr>
        <w:fldChar w:fldCharType="end"/>
      </w:r>
      <w:r w:rsidR="00F804CC">
        <w:rPr>
          <w:b/>
          <w:sz w:val="24"/>
          <w:szCs w:val="24"/>
        </w:rPr>
        <w:t xml:space="preserve"> </w:t>
      </w:r>
    </w:p>
    <w:p w:rsidR="00201C0E" w:rsidRDefault="00201C0E" w:rsidP="00B0414B">
      <w:pPr>
        <w:rPr>
          <w:sz w:val="24"/>
          <w:szCs w:val="24"/>
        </w:rPr>
      </w:pPr>
    </w:p>
    <w:p w:rsidR="00201C0E" w:rsidRDefault="00201C0E" w:rsidP="00B0414B">
      <w:pPr>
        <w:rPr>
          <w:sz w:val="24"/>
          <w:szCs w:val="24"/>
        </w:rPr>
        <w:sectPr w:rsidR="00201C0E" w:rsidSect="00EF2051">
          <w:footerReference w:type="default" r:id="rId8"/>
          <w:type w:val="continuous"/>
          <w:pgSz w:w="12240" w:h="15840"/>
          <w:pgMar w:top="1440" w:right="1440" w:bottom="1440" w:left="1440" w:header="720" w:footer="720" w:gutter="0"/>
          <w:cols w:space="720"/>
          <w:docGrid w:linePitch="360"/>
        </w:sectPr>
      </w:pPr>
    </w:p>
    <w:p w:rsidR="002A2C39" w:rsidRDefault="009E05E5" w:rsidP="00A53837">
      <w:pPr>
        <w:rPr>
          <w:sz w:val="24"/>
          <w:szCs w:val="24"/>
        </w:rPr>
      </w:pPr>
      <w:r>
        <w:rPr>
          <w:sz w:val="24"/>
          <w:szCs w:val="24"/>
        </w:rPr>
        <w:lastRenderedPageBreak/>
        <w:tab/>
      </w:r>
      <w:r w:rsidR="0038006D">
        <w:rPr>
          <w:sz w:val="24"/>
          <w:szCs w:val="24"/>
        </w:rPr>
        <w:tab/>
      </w:r>
      <w:sdt>
        <w:sdtPr>
          <w:rPr>
            <w:sz w:val="24"/>
            <w:szCs w:val="24"/>
          </w:rPr>
          <w:id w:val="8972158"/>
          <w:placeholder>
            <w:docPart w:val="82D7E5C3C158433B98DF8DD3B563F5E7"/>
          </w:placeholder>
        </w:sdtPr>
        <w:sdtEndPr/>
        <w:sdtContent>
          <w:proofErr w:type="spellStart"/>
          <w:r w:rsidR="002A2C39">
            <w:rPr>
              <w:sz w:val="24"/>
              <w:szCs w:val="24"/>
            </w:rPr>
            <w:t>Phillippe</w:t>
          </w:r>
          <w:proofErr w:type="spellEnd"/>
          <w:r w:rsidR="002A2C39">
            <w:rPr>
              <w:sz w:val="24"/>
              <w:szCs w:val="24"/>
            </w:rPr>
            <w:t xml:space="preserve"> </w:t>
          </w:r>
          <w:proofErr w:type="spellStart"/>
          <w:r w:rsidR="002A2C39">
            <w:rPr>
              <w:sz w:val="24"/>
              <w:szCs w:val="24"/>
            </w:rPr>
            <w:t>Boulle</w:t>
          </w:r>
          <w:proofErr w:type="spellEnd"/>
          <w:r w:rsidR="002A2C39">
            <w:rPr>
              <w:sz w:val="24"/>
              <w:szCs w:val="24"/>
            </w:rPr>
            <w:t xml:space="preserve"> for 1</w:t>
          </w:r>
          <w:r w:rsidR="002A2C39" w:rsidRPr="002A2C39">
            <w:rPr>
              <w:sz w:val="24"/>
              <w:szCs w:val="24"/>
              <w:vertAlign w:val="superscript"/>
            </w:rPr>
            <w:t>st</w:t>
          </w:r>
          <w:r w:rsidR="002A2C39">
            <w:rPr>
              <w:sz w:val="24"/>
              <w:szCs w:val="24"/>
            </w:rPr>
            <w:t xml:space="preserve"> Respondent</w:t>
          </w:r>
        </w:sdtContent>
      </w:sdt>
      <w:r w:rsidR="00F66DCF" w:rsidRPr="00D776A0">
        <w:rPr>
          <w:sz w:val="24"/>
          <w:szCs w:val="24"/>
        </w:rPr>
        <w:fldChar w:fldCharType="begin"/>
      </w:r>
      <w:r w:rsidR="00F804CC" w:rsidRPr="00D776A0">
        <w:rPr>
          <w:sz w:val="24"/>
          <w:szCs w:val="24"/>
        </w:rPr>
        <w:instrText xml:space="preserve"> ASK  "Enter Respondent Lawyer Full Name"  \* MERGEFORMAT </w:instrText>
      </w:r>
      <w:r w:rsidR="00F66DCF" w:rsidRPr="00D776A0">
        <w:rPr>
          <w:sz w:val="24"/>
          <w:szCs w:val="24"/>
        </w:rPr>
        <w:fldChar w:fldCharType="end"/>
      </w:r>
      <w:r w:rsidR="00F66DCF" w:rsidRPr="00D776A0">
        <w:rPr>
          <w:sz w:val="24"/>
          <w:szCs w:val="24"/>
        </w:rPr>
        <w:fldChar w:fldCharType="begin"/>
      </w:r>
      <w:r w:rsidR="003F0F8D" w:rsidRPr="00D776A0">
        <w:rPr>
          <w:sz w:val="24"/>
          <w:szCs w:val="24"/>
        </w:rPr>
        <w:instrText xml:space="preserve">  </w:instrText>
      </w:r>
      <w:r w:rsidR="00F66DCF" w:rsidRPr="00D776A0">
        <w:rPr>
          <w:sz w:val="24"/>
          <w:szCs w:val="24"/>
        </w:rPr>
        <w:fldChar w:fldCharType="end"/>
      </w:r>
      <w:r w:rsidR="00FD51E7" w:rsidRPr="00D776A0">
        <w:rPr>
          <w:sz w:val="24"/>
          <w:szCs w:val="24"/>
        </w:rPr>
        <w:t xml:space="preserve"> </w:t>
      </w:r>
    </w:p>
    <w:p w:rsidR="008C35E4" w:rsidRDefault="008C35E4" w:rsidP="00A53837">
      <w:pPr>
        <w:rPr>
          <w:sz w:val="24"/>
          <w:szCs w:val="24"/>
        </w:rPr>
      </w:pPr>
    </w:p>
    <w:p w:rsidR="008C35E4" w:rsidRDefault="008C35E4" w:rsidP="00A53837">
      <w:pPr>
        <w:rPr>
          <w:sz w:val="24"/>
          <w:szCs w:val="24"/>
        </w:rPr>
      </w:pPr>
      <w:r>
        <w:rPr>
          <w:sz w:val="24"/>
          <w:szCs w:val="24"/>
        </w:rPr>
        <w:tab/>
      </w:r>
      <w:r>
        <w:rPr>
          <w:sz w:val="24"/>
          <w:szCs w:val="24"/>
        </w:rPr>
        <w:tab/>
      </w:r>
      <w:r w:rsidR="00684251">
        <w:rPr>
          <w:sz w:val="24"/>
          <w:szCs w:val="24"/>
        </w:rPr>
        <w:t xml:space="preserve">Frank Ally </w:t>
      </w:r>
      <w:r w:rsidR="002441EA">
        <w:rPr>
          <w:sz w:val="24"/>
          <w:szCs w:val="24"/>
        </w:rPr>
        <w:t xml:space="preserve">for </w:t>
      </w:r>
      <w:r w:rsidR="00684251">
        <w:rPr>
          <w:sz w:val="24"/>
          <w:szCs w:val="24"/>
        </w:rPr>
        <w:t>2</w:t>
      </w:r>
      <w:r w:rsidR="00684251" w:rsidRPr="00684251">
        <w:rPr>
          <w:sz w:val="24"/>
          <w:szCs w:val="24"/>
          <w:vertAlign w:val="superscript"/>
        </w:rPr>
        <w:t>nd</w:t>
      </w:r>
      <w:r w:rsidR="00684251">
        <w:rPr>
          <w:sz w:val="24"/>
          <w:szCs w:val="24"/>
        </w:rPr>
        <w:t xml:space="preserve"> and 3</w:t>
      </w:r>
      <w:r w:rsidR="00684251" w:rsidRPr="00684251">
        <w:rPr>
          <w:sz w:val="24"/>
          <w:szCs w:val="24"/>
          <w:vertAlign w:val="superscript"/>
        </w:rPr>
        <w:t>rd</w:t>
      </w:r>
      <w:r w:rsidR="00684251">
        <w:rPr>
          <w:sz w:val="24"/>
          <w:szCs w:val="24"/>
        </w:rPr>
        <w:t xml:space="preserve"> </w:t>
      </w:r>
      <w:r w:rsidR="00975D08">
        <w:rPr>
          <w:sz w:val="24"/>
          <w:szCs w:val="24"/>
        </w:rPr>
        <w:t>Respondents</w:t>
      </w:r>
      <w:r w:rsidR="002441EA">
        <w:rPr>
          <w:sz w:val="24"/>
          <w:szCs w:val="24"/>
        </w:rPr>
        <w:t xml:space="preserve"> </w:t>
      </w:r>
    </w:p>
    <w:p w:rsidR="002A2C39" w:rsidRDefault="002A2C39" w:rsidP="00A53837">
      <w:pPr>
        <w:rPr>
          <w:sz w:val="24"/>
          <w:szCs w:val="24"/>
        </w:rPr>
      </w:pPr>
    </w:p>
    <w:p w:rsidR="002A2C39" w:rsidRPr="00D776A0" w:rsidRDefault="002A2C39" w:rsidP="00A53837">
      <w:pPr>
        <w:rPr>
          <w:sz w:val="24"/>
          <w:szCs w:val="24"/>
        </w:rPr>
        <w:sectPr w:rsidR="002A2C39" w:rsidRPr="00D776A0" w:rsidSect="00EF2051">
          <w:type w:val="continuous"/>
          <w:pgSz w:w="12240" w:h="15840"/>
          <w:pgMar w:top="1440" w:right="1440" w:bottom="1440" w:left="1440" w:header="720" w:footer="720" w:gutter="0"/>
          <w:cols w:space="720"/>
          <w:docGrid w:linePitch="360"/>
        </w:sectPr>
      </w:pPr>
      <w:r>
        <w:rPr>
          <w:sz w:val="24"/>
          <w:szCs w:val="24"/>
        </w:rPr>
        <w:tab/>
      </w:r>
      <w:r>
        <w:rPr>
          <w:sz w:val="24"/>
          <w:szCs w:val="24"/>
        </w:rPr>
        <w:tab/>
      </w:r>
      <w:r w:rsidR="00684251">
        <w:rPr>
          <w:sz w:val="24"/>
          <w:szCs w:val="24"/>
        </w:rPr>
        <w:t xml:space="preserve">Basil Hoareau </w:t>
      </w:r>
      <w:r w:rsidR="006A151B">
        <w:rPr>
          <w:sz w:val="24"/>
          <w:szCs w:val="24"/>
        </w:rPr>
        <w:t>for</w:t>
      </w:r>
      <w:r>
        <w:rPr>
          <w:sz w:val="24"/>
          <w:szCs w:val="24"/>
        </w:rPr>
        <w:t xml:space="preserve"> </w:t>
      </w:r>
      <w:r w:rsidR="00684251">
        <w:rPr>
          <w:sz w:val="24"/>
          <w:szCs w:val="24"/>
        </w:rPr>
        <w:t>4</w:t>
      </w:r>
      <w:r w:rsidR="00684251" w:rsidRPr="00684251">
        <w:rPr>
          <w:sz w:val="24"/>
          <w:szCs w:val="24"/>
          <w:vertAlign w:val="superscript"/>
        </w:rPr>
        <w:t>th</w:t>
      </w:r>
      <w:r w:rsidR="00684251">
        <w:rPr>
          <w:sz w:val="24"/>
          <w:szCs w:val="24"/>
        </w:rPr>
        <w:t xml:space="preserve"> Respondent</w:t>
      </w:r>
      <w:r w:rsidR="008C35E4">
        <w:rPr>
          <w:sz w:val="24"/>
          <w:szCs w:val="24"/>
        </w:rPr>
        <w:t xml:space="preserve"> </w:t>
      </w:r>
    </w:p>
    <w:p w:rsidR="00E6492F" w:rsidRDefault="005023DB" w:rsidP="006578C2">
      <w:pPr>
        <w:spacing w:before="120" w:after="240"/>
        <w:rPr>
          <w:sz w:val="24"/>
          <w:szCs w:val="24"/>
        </w:rPr>
      </w:pPr>
      <w:sdt>
        <w:sdtPr>
          <w:rPr>
            <w:color w:val="808080"/>
            <w:sz w:val="24"/>
            <w:szCs w:val="24"/>
          </w:rPr>
          <w:id w:val="15629748"/>
          <w:lock w:val="contentLocked"/>
          <w:placeholder>
            <w:docPart w:val="CAA11CE18DCB42F19AE99CB4A8230CA5"/>
          </w:placeholder>
        </w:sdtPr>
        <w:sdtEndPr/>
        <w:sdtContent>
          <w:r w:rsidR="0038006D">
            <w:rPr>
              <w:sz w:val="24"/>
              <w:szCs w:val="24"/>
            </w:rPr>
            <w:t>Delivered</w:t>
          </w:r>
          <w:r w:rsidR="0038006D" w:rsidRPr="00E0467F">
            <w:rPr>
              <w:sz w:val="24"/>
              <w:szCs w:val="24"/>
            </w:rPr>
            <w:t>:</w:t>
          </w:r>
        </w:sdtContent>
      </w:sdt>
      <w:r w:rsidR="00E0467F">
        <w:rPr>
          <w:sz w:val="24"/>
          <w:szCs w:val="24"/>
        </w:rPr>
        <w:tab/>
      </w:r>
      <w:sdt>
        <w:sdtPr>
          <w:rPr>
            <w:sz w:val="24"/>
            <w:szCs w:val="24"/>
          </w:rPr>
          <w:id w:val="8972159"/>
          <w:placeholder>
            <w:docPart w:val="ADBEE8DF5527483B87F4A97D8A2D2213"/>
          </w:placeholder>
          <w:date w:fullDate="2016-12-09T00:00:00Z">
            <w:dateFormat w:val="dd MMMM yyyy"/>
            <w:lid w:val="en-GB"/>
            <w:storeMappedDataAs w:val="dateTime"/>
            <w:calendar w:val="gregorian"/>
          </w:date>
        </w:sdtPr>
        <w:sdtEndPr/>
        <w:sdtContent>
          <w:r w:rsidR="000A6838">
            <w:rPr>
              <w:sz w:val="24"/>
              <w:szCs w:val="24"/>
            </w:rPr>
            <w:t>09 December 2016</w:t>
          </w:r>
        </w:sdtContent>
      </w:sdt>
    </w:p>
    <w:p w:rsidR="00D06A0F" w:rsidRPr="00C87FCA" w:rsidRDefault="00D06A0F" w:rsidP="004F2B34">
      <w:pPr>
        <w:jc w:val="center"/>
        <w:rPr>
          <w:sz w:val="24"/>
          <w:szCs w:val="24"/>
          <w:highlight w:val="lightGray"/>
        </w:rPr>
      </w:pPr>
      <w:bookmarkStart w:id="0" w:name="Dropdown2"/>
    </w:p>
    <w:bookmarkEnd w:id="0" w:displacedByCustomXml="next"/>
    <w:sdt>
      <w:sdtPr>
        <w:rPr>
          <w:b/>
          <w:color w:val="808080"/>
          <w:sz w:val="24"/>
          <w:szCs w:val="24"/>
        </w:rPr>
        <w:id w:val="15629727"/>
        <w:lock w:val="contentLocked"/>
        <w:placeholder>
          <w:docPart w:val="CAA11CE18DCB42F19AE99CB4A8230CA5"/>
        </w:placeholder>
      </w:sdtPr>
      <w:sdtEndPr/>
      <w:sdtContent>
        <w:p w:rsidR="001008BC" w:rsidRDefault="0087722C" w:rsidP="00777199">
          <w:pPr>
            <w:jc w:val="center"/>
            <w:rPr>
              <w:b/>
              <w:sz w:val="24"/>
              <w:szCs w:val="24"/>
            </w:rPr>
          </w:pPr>
          <w:r>
            <w:rPr>
              <w:b/>
              <w:sz w:val="24"/>
              <w:szCs w:val="24"/>
            </w:rPr>
            <w:t>JUDGMENT</w:t>
          </w:r>
        </w:p>
      </w:sdtContent>
    </w:sdt>
    <w:p w:rsidR="001008BC" w:rsidRPr="001008BC" w:rsidRDefault="001008BC" w:rsidP="004F2B34">
      <w:pPr>
        <w:pStyle w:val="ListParagraph"/>
        <w:widowControl/>
        <w:autoSpaceDE/>
        <w:autoSpaceDN/>
        <w:adjustRightInd/>
        <w:spacing w:line="360" w:lineRule="auto"/>
        <w:ind w:left="0"/>
        <w:contextualSpacing w:val="0"/>
        <w:jc w:val="both"/>
        <w:rPr>
          <w:b/>
          <w:sz w:val="16"/>
          <w:szCs w:val="16"/>
        </w:rPr>
      </w:pPr>
    </w:p>
    <w:p w:rsidR="00C87FCA" w:rsidRPr="0087722C" w:rsidRDefault="005023DB" w:rsidP="00C87FCA">
      <w:pPr>
        <w:pStyle w:val="ListParagraph"/>
        <w:widowControl/>
        <w:autoSpaceDE/>
        <w:autoSpaceDN/>
        <w:adjustRightInd/>
        <w:spacing w:after="240" w:line="360" w:lineRule="auto"/>
        <w:ind w:left="0"/>
        <w:contextualSpacing w:val="0"/>
        <w:jc w:val="both"/>
        <w:rPr>
          <w:b/>
          <w:sz w:val="24"/>
          <w:szCs w:val="24"/>
        </w:rPr>
      </w:pPr>
      <w:sdt>
        <w:sdtPr>
          <w:rPr>
            <w:b/>
            <w:sz w:val="28"/>
            <w:szCs w:val="28"/>
          </w:rPr>
          <w:id w:val="15629733"/>
          <w:placeholder>
            <w:docPart w:val="8E590F9226B84CBDA7EF23736BD610E9"/>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2A2C39">
            <w:rPr>
              <w:b/>
              <w:sz w:val="28"/>
              <w:szCs w:val="28"/>
            </w:rPr>
            <w:t>M. Twomey (J.A)</w:t>
          </w:r>
        </w:sdtContent>
      </w:sdt>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sdt>
      <w:sdtPr>
        <w:id w:val="17274583"/>
        <w:placeholder>
          <w:docPart w:val="28F4C48CEE61435F884C7AB2F10D1AAB"/>
        </w:placeholder>
      </w:sdtPr>
      <w:sdtEndPr/>
      <w:sdtContent>
        <w:p w:rsidR="003D6490" w:rsidRDefault="003D6490" w:rsidP="00975D08">
          <w:pPr>
            <w:pStyle w:val="JudgmentText"/>
            <w:numPr>
              <w:ilvl w:val="0"/>
              <w:numId w:val="7"/>
            </w:numPr>
            <w:ind w:left="567" w:hanging="283"/>
          </w:pPr>
          <w:r>
            <w:t xml:space="preserve">This matter concerns three appeals: SCA2/2016, 3/2016 and 4/2016. The parties in all </w:t>
          </w:r>
          <w:r w:rsidR="00684251">
            <w:t xml:space="preserve">the </w:t>
          </w:r>
          <w:r>
            <w:t xml:space="preserve">matters are the same and therefore </w:t>
          </w:r>
          <w:r w:rsidR="00684251">
            <w:t>f</w:t>
          </w:r>
          <w:r>
            <w:t>or ease of reference the</w:t>
          </w:r>
          <w:r w:rsidR="00684251">
            <w:t>y</w:t>
          </w:r>
          <w:r>
            <w:t xml:space="preserve"> shall be referred to as follows: The Government of Seychelles as the 1</w:t>
          </w:r>
          <w:r w:rsidRPr="003D6490">
            <w:rPr>
              <w:vertAlign w:val="superscript"/>
            </w:rPr>
            <w:t>st</w:t>
          </w:r>
          <w:r>
            <w:t xml:space="preserve"> Appellant, the Attorney General as the 2</w:t>
          </w:r>
          <w:r w:rsidRPr="003D6490">
            <w:rPr>
              <w:vertAlign w:val="superscript"/>
            </w:rPr>
            <w:t>nd</w:t>
          </w:r>
          <w:r>
            <w:t xml:space="preserve"> </w:t>
          </w:r>
          <w:r w:rsidR="00684251">
            <w:lastRenderedPageBreak/>
            <w:t>A</w:t>
          </w:r>
          <w:r>
            <w:t>ppellant, Robert Nelson Poole as the 1</w:t>
          </w:r>
          <w:r w:rsidRPr="003D6490">
            <w:rPr>
              <w:vertAlign w:val="superscript"/>
            </w:rPr>
            <w:t>st</w:t>
          </w:r>
          <w:r>
            <w:t xml:space="preserve"> </w:t>
          </w:r>
          <w:r w:rsidR="00263CE8">
            <w:t>Respondent,</w:t>
          </w:r>
          <w:r>
            <w:t xml:space="preserve"> Robert Marc </w:t>
          </w:r>
          <w:proofErr w:type="spellStart"/>
          <w:r>
            <w:t>Noddyn</w:t>
          </w:r>
          <w:bookmarkStart w:id="1" w:name="_GoBack"/>
          <w:bookmarkEnd w:id="1"/>
          <w:proofErr w:type="spellEnd"/>
          <w:r>
            <w:t xml:space="preserve"> as the 2</w:t>
          </w:r>
          <w:r w:rsidRPr="003D6490">
            <w:rPr>
              <w:vertAlign w:val="superscript"/>
            </w:rPr>
            <w:t>nd</w:t>
          </w:r>
          <w:r>
            <w:t xml:space="preserve"> Respondent </w:t>
          </w:r>
          <w:r w:rsidR="00EB75A4">
            <w:t>and Patrick</w:t>
          </w:r>
          <w:r>
            <w:t xml:space="preserve"> </w:t>
          </w:r>
          <w:proofErr w:type="spellStart"/>
          <w:r>
            <w:t>Noddyn</w:t>
          </w:r>
          <w:proofErr w:type="spellEnd"/>
          <w:r>
            <w:t xml:space="preserve"> as the 3</w:t>
          </w:r>
          <w:r w:rsidRPr="003D6490">
            <w:rPr>
              <w:vertAlign w:val="superscript"/>
            </w:rPr>
            <w:t>rd</w:t>
          </w:r>
          <w:r>
            <w:t xml:space="preserve"> </w:t>
          </w:r>
          <w:r w:rsidR="00263CE8">
            <w:t>Respondent</w:t>
          </w:r>
          <w:r>
            <w:t xml:space="preserve"> and </w:t>
          </w:r>
          <w:proofErr w:type="spellStart"/>
          <w:r>
            <w:t>Reem</w:t>
          </w:r>
          <w:proofErr w:type="spellEnd"/>
          <w:r>
            <w:t xml:space="preserve"> Limited as 4</w:t>
          </w:r>
          <w:r w:rsidRPr="003D6490">
            <w:rPr>
              <w:vertAlign w:val="superscript"/>
            </w:rPr>
            <w:t>th</w:t>
          </w:r>
          <w:r>
            <w:t xml:space="preserve"> </w:t>
          </w:r>
          <w:r w:rsidR="00263CE8">
            <w:t>Respondent</w:t>
          </w:r>
          <w:r>
            <w:t xml:space="preserve">. </w:t>
          </w:r>
        </w:p>
        <w:p w:rsidR="00924A9E" w:rsidRDefault="002A2C39" w:rsidP="00975D08">
          <w:pPr>
            <w:pStyle w:val="JudgmentText"/>
            <w:numPr>
              <w:ilvl w:val="0"/>
              <w:numId w:val="7"/>
            </w:numPr>
            <w:ind w:left="567" w:hanging="283"/>
          </w:pPr>
          <w:r>
            <w:t xml:space="preserve">The </w:t>
          </w:r>
          <w:r w:rsidR="00924A9E">
            <w:t>1</w:t>
          </w:r>
          <w:r w:rsidR="00924A9E" w:rsidRPr="002A2C39">
            <w:rPr>
              <w:vertAlign w:val="superscript"/>
            </w:rPr>
            <w:t>st</w:t>
          </w:r>
          <w:r w:rsidR="00924A9E">
            <w:t xml:space="preserve"> Respondent</w:t>
          </w:r>
          <w:r>
            <w:t xml:space="preserve">, </w:t>
          </w:r>
          <w:r w:rsidR="00924A9E">
            <w:t>dissatisfied after the acquisition of his land, namely 415,219 square meters of land in 1983, began a protracted legal battle with the 1</w:t>
          </w:r>
          <w:r w:rsidR="00924A9E" w:rsidRPr="00924A9E">
            <w:rPr>
              <w:vertAlign w:val="superscript"/>
            </w:rPr>
            <w:t>st</w:t>
          </w:r>
          <w:r w:rsidR="00924A9E">
            <w:t xml:space="preserve"> </w:t>
          </w:r>
          <w:r w:rsidR="000B7D90">
            <w:t>Appellant</w:t>
          </w:r>
          <w:r w:rsidR="00924A9E">
            <w:t xml:space="preserve"> in October 1993 to have his land returned.</w:t>
          </w:r>
        </w:p>
        <w:p w:rsidR="00924A9E" w:rsidRDefault="00924A9E" w:rsidP="00975D08">
          <w:pPr>
            <w:pStyle w:val="JudgmentText"/>
            <w:numPr>
              <w:ilvl w:val="0"/>
              <w:numId w:val="7"/>
            </w:numPr>
            <w:ind w:left="567" w:hanging="283"/>
          </w:pPr>
          <w:r>
            <w:t>This was after a first court case instituted in 1985 for compensation under the Land Acquisition Act of 1977 in which he was awarded SR450, 845.</w:t>
          </w:r>
        </w:p>
        <w:p w:rsidR="00640F1B" w:rsidRDefault="00924A9E" w:rsidP="00975D08">
          <w:pPr>
            <w:pStyle w:val="JudgmentText"/>
            <w:numPr>
              <w:ilvl w:val="0"/>
              <w:numId w:val="7"/>
            </w:numPr>
            <w:ind w:left="567" w:hanging="283"/>
          </w:pPr>
          <w:r>
            <w:t>In 1993</w:t>
          </w:r>
          <w:r w:rsidR="00640F1B">
            <w:t>,</w:t>
          </w:r>
          <w:r w:rsidR="00263CE8">
            <w:t xml:space="preserve"> </w:t>
          </w:r>
          <w:r>
            <w:t xml:space="preserve">subsequent </w:t>
          </w:r>
          <w:r w:rsidR="00640F1B">
            <w:t>to the promulgation of the Constitution of the Third Republic of Seychelles and based on its transitional provisions relating to the continued obligation of the government to reconsider all cases of land acquisitions between June 1977 and the coming into force of the Constitution, the 1</w:t>
          </w:r>
          <w:r w:rsidR="00640F1B" w:rsidRPr="00640F1B">
            <w:rPr>
              <w:vertAlign w:val="superscript"/>
            </w:rPr>
            <w:t>st</w:t>
          </w:r>
          <w:r w:rsidR="00640F1B">
            <w:t xml:space="preserve"> Respondent applied to have his land returned to him. </w:t>
          </w:r>
        </w:p>
        <w:p w:rsidR="00640F1B" w:rsidRDefault="001857D2" w:rsidP="00975D08">
          <w:pPr>
            <w:pStyle w:val="JudgmentText"/>
            <w:numPr>
              <w:ilvl w:val="0"/>
              <w:numId w:val="7"/>
            </w:numPr>
            <w:ind w:left="567" w:hanging="283"/>
          </w:pPr>
          <w:r>
            <w:t>On</w:t>
          </w:r>
          <w:r w:rsidRPr="001857D2">
            <w:t xml:space="preserve"> 18 January 1996, he received a reply to the effect that the Government was unable to review the monetary compensation as the sum had already been determined by the Supreme Court. That 1996 letter made reference to the letter which had been sent to him on 16 February 1995. On 22 February 1996, therefore, the </w:t>
          </w:r>
          <w:r w:rsidR="000B7D90">
            <w:t>1</w:t>
          </w:r>
          <w:r w:rsidR="000B7D90" w:rsidRPr="000B7D90">
            <w:rPr>
              <w:vertAlign w:val="superscript"/>
            </w:rPr>
            <w:t>st</w:t>
          </w:r>
          <w:r w:rsidR="000B7D90">
            <w:t xml:space="preserve"> Appellant</w:t>
          </w:r>
          <w:r w:rsidRPr="001857D2">
            <w:t xml:space="preserve"> filed a petition for certiorari and mandamus for the Government to review the decision</w:t>
          </w:r>
          <w:r>
            <w:t xml:space="preserve">. </w:t>
          </w:r>
        </w:p>
        <w:p w:rsidR="001857D2" w:rsidRDefault="00640F1B" w:rsidP="00975D08">
          <w:pPr>
            <w:pStyle w:val="JudgmentText"/>
            <w:numPr>
              <w:ilvl w:val="0"/>
              <w:numId w:val="7"/>
            </w:numPr>
            <w:ind w:left="567" w:hanging="283"/>
          </w:pPr>
          <w:r>
            <w:t xml:space="preserve">Both the defences of </w:t>
          </w:r>
          <w:r w:rsidRPr="00640F1B">
            <w:rPr>
              <w:i/>
            </w:rPr>
            <w:t>res jud</w:t>
          </w:r>
          <w:r>
            <w:rPr>
              <w:i/>
            </w:rPr>
            <w:t>i</w:t>
          </w:r>
          <w:r w:rsidRPr="00640F1B">
            <w:rPr>
              <w:i/>
            </w:rPr>
            <w:t>cata</w:t>
          </w:r>
          <w:r>
            <w:t xml:space="preserve"> and time bar were raised by the 1</w:t>
          </w:r>
          <w:r w:rsidRPr="00640F1B">
            <w:rPr>
              <w:vertAlign w:val="superscript"/>
            </w:rPr>
            <w:t>st</w:t>
          </w:r>
          <w:r>
            <w:t xml:space="preserve"> Appellant. </w:t>
          </w:r>
          <w:r w:rsidR="001857D2">
            <w:t xml:space="preserve">The Court rejected the defence of </w:t>
          </w:r>
          <w:r w:rsidR="001857D2" w:rsidRPr="00BC304A">
            <w:rPr>
              <w:i/>
            </w:rPr>
            <w:t>res judicata</w:t>
          </w:r>
          <w:r w:rsidR="001857D2">
            <w:t xml:space="preserve"> but found in favour of the time bar</w:t>
          </w:r>
          <w:r w:rsidR="00BC304A">
            <w:t>,</w:t>
          </w:r>
          <w:r w:rsidR="001857D2">
            <w:t xml:space="preserve"> stating that the relevant date for calculating limitation </w:t>
          </w:r>
          <w:r w:rsidR="000B7D90">
            <w:t xml:space="preserve">of the suit </w:t>
          </w:r>
          <w:r w:rsidR="001857D2">
            <w:t xml:space="preserve">was 16 February </w:t>
          </w:r>
          <w:r w:rsidR="000B7D90">
            <w:t xml:space="preserve"> 1995 </w:t>
          </w:r>
          <w:r w:rsidR="001857D2">
            <w:t>when the</w:t>
          </w:r>
          <w:r w:rsidR="000B7D90">
            <w:t xml:space="preserve"> Appellant</w:t>
          </w:r>
          <w:r w:rsidR="001857D2">
            <w:t xml:space="preserve"> had turned down </w:t>
          </w:r>
          <w:r w:rsidR="000B7D90">
            <w:t>the 1</w:t>
          </w:r>
          <w:r w:rsidR="000B7D90" w:rsidRPr="000B7D90">
            <w:rPr>
              <w:vertAlign w:val="superscript"/>
            </w:rPr>
            <w:t>st</w:t>
          </w:r>
          <w:r w:rsidR="000B7D90">
            <w:t xml:space="preserve"> Respondent’s</w:t>
          </w:r>
          <w:r w:rsidR="001857D2">
            <w:t xml:space="preserve"> application and not 18 January 1996 when he </w:t>
          </w:r>
          <w:r w:rsidR="00BC304A">
            <w:t xml:space="preserve">was </w:t>
          </w:r>
          <w:r w:rsidR="001857D2">
            <w:t>turned down</w:t>
          </w:r>
          <w:r w:rsidR="000B7D90">
            <w:t xml:space="preserve"> a second time</w:t>
          </w:r>
          <w:r w:rsidR="001857D2">
            <w:t>.</w:t>
          </w:r>
        </w:p>
        <w:p w:rsidR="006A7264" w:rsidRDefault="001857D2" w:rsidP="00975D08">
          <w:pPr>
            <w:pStyle w:val="JudgmentText"/>
            <w:numPr>
              <w:ilvl w:val="0"/>
              <w:numId w:val="7"/>
            </w:numPr>
            <w:ind w:left="567" w:hanging="283"/>
          </w:pPr>
          <w:r>
            <w:t xml:space="preserve">In 2000, </w:t>
          </w:r>
          <w:r w:rsidR="000B7D90">
            <w:t>t</w:t>
          </w:r>
          <w:r>
            <w:t xml:space="preserve">he </w:t>
          </w:r>
          <w:r w:rsidR="000B7D90">
            <w:t>1</w:t>
          </w:r>
          <w:r w:rsidR="000B7D90" w:rsidRPr="000B7D90">
            <w:rPr>
              <w:vertAlign w:val="superscript"/>
            </w:rPr>
            <w:t>st</w:t>
          </w:r>
          <w:r w:rsidR="000B7D90">
            <w:t xml:space="preserve"> </w:t>
          </w:r>
          <w:r w:rsidR="00BC304A">
            <w:t>Respondent initiated</w:t>
          </w:r>
          <w:r>
            <w:t xml:space="preserve"> the present action praying for the return of his land and for </w:t>
          </w:r>
          <w:r w:rsidR="006A7264">
            <w:t xml:space="preserve">compensation </w:t>
          </w:r>
          <w:r w:rsidR="00BC304A">
            <w:t>in</w:t>
          </w:r>
          <w:r>
            <w:t xml:space="preserve"> </w:t>
          </w:r>
          <w:r w:rsidR="006A7264">
            <w:t>t</w:t>
          </w:r>
          <w:r>
            <w:t xml:space="preserve">he sum of </w:t>
          </w:r>
          <w:r w:rsidR="006A7264">
            <w:t>sixty</w:t>
          </w:r>
          <w:r>
            <w:t xml:space="preserve"> four million rupees for the </w:t>
          </w:r>
          <w:r w:rsidR="006A7264">
            <w:t>l</w:t>
          </w:r>
          <w:r>
            <w:t xml:space="preserve">ands which </w:t>
          </w:r>
          <w:r w:rsidR="006A7264">
            <w:t>could</w:t>
          </w:r>
          <w:r>
            <w:t xml:space="preserve"> </w:t>
          </w:r>
          <w:r w:rsidR="006A7264">
            <w:t>not</w:t>
          </w:r>
          <w:r>
            <w:t xml:space="preserve"> be returned. </w:t>
          </w:r>
          <w:r w:rsidR="006A7264">
            <w:t>The same two defences were raised</w:t>
          </w:r>
          <w:r w:rsidR="00BC304A">
            <w:t xml:space="preserve"> by the Appellants</w:t>
          </w:r>
          <w:r w:rsidR="006A7264">
            <w:t xml:space="preserve">: </w:t>
          </w:r>
          <w:r w:rsidR="006A7264" w:rsidRPr="000B7D90">
            <w:rPr>
              <w:i/>
            </w:rPr>
            <w:t>res judicata</w:t>
          </w:r>
          <w:r w:rsidR="006A7264">
            <w:t xml:space="preserve"> based on the original defence</w:t>
          </w:r>
          <w:r w:rsidR="000B7D90">
            <w:t xml:space="preserve"> and</w:t>
          </w:r>
          <w:r w:rsidR="006A7264">
            <w:t xml:space="preserve"> reinforced by events which had intervened and prescription based further on the time lag between the Constitutional Court decision of 1998 which the 1</w:t>
          </w:r>
          <w:r w:rsidR="006A7264" w:rsidRPr="006A7264">
            <w:rPr>
              <w:vertAlign w:val="superscript"/>
            </w:rPr>
            <w:t>st</w:t>
          </w:r>
          <w:r w:rsidR="006A7264">
            <w:t xml:space="preserve"> Respondent had not appealed and the seventeen year time lapse until the filing of the present </w:t>
          </w:r>
          <w:r w:rsidR="006A7264">
            <w:lastRenderedPageBreak/>
            <w:t>suit in the Constitutional Court. This was accepted by the Constitutional Court.  He appealed to this Court.</w:t>
          </w:r>
        </w:p>
        <w:p w:rsidR="00046CD0" w:rsidRDefault="000B7D90" w:rsidP="00975D08">
          <w:pPr>
            <w:pStyle w:val="JudgmentText"/>
            <w:numPr>
              <w:ilvl w:val="0"/>
              <w:numId w:val="7"/>
            </w:numPr>
            <w:ind w:left="567" w:hanging="283"/>
          </w:pPr>
          <w:r>
            <w:t xml:space="preserve">In </w:t>
          </w:r>
          <w:r w:rsidR="006A7264" w:rsidRPr="006A7264">
            <w:t>April 2015</w:t>
          </w:r>
          <w:r>
            <w:t>,</w:t>
          </w:r>
          <w:r w:rsidR="006A7264" w:rsidRPr="006A7264">
            <w:t xml:space="preserve"> this Court delivered a ruling allowing the appeal on </w:t>
          </w:r>
          <w:r w:rsidR="006A7264">
            <w:t xml:space="preserve">the </w:t>
          </w:r>
          <w:r w:rsidR="006A7264" w:rsidRPr="006A7264">
            <w:t>preliminary objections raised by the 1st Respondent</w:t>
          </w:r>
          <w:r w:rsidR="006A7264">
            <w:t xml:space="preserve">. We found </w:t>
          </w:r>
          <w:r w:rsidR="00046CD0">
            <w:t>t</w:t>
          </w:r>
          <w:r w:rsidR="006A7264">
            <w:t>hat that given the special and dedicated cause</w:t>
          </w:r>
          <w:r w:rsidR="006A7264" w:rsidRPr="006A7264">
            <w:t xml:space="preserve"> of action created by Article 14(1)</w:t>
          </w:r>
          <w:r w:rsidR="00046CD0">
            <w:t xml:space="preserve"> </w:t>
          </w:r>
          <w:r w:rsidR="006A7264" w:rsidRPr="006A7264">
            <w:t xml:space="preserve">(a) of the Constitution and the further wording that the State </w:t>
          </w:r>
          <w:r>
            <w:t>“</w:t>
          </w:r>
          <w:r w:rsidR="006A7264" w:rsidRPr="006A7264">
            <w:t>shall continue to consider applications</w:t>
          </w:r>
          <w:r>
            <w:t>”</w:t>
          </w:r>
          <w:r w:rsidR="006A7264" w:rsidRPr="006A7264">
            <w:t>, the State’s continuing obligation would not stop until the constitutional remedies of those applications ha</w:t>
          </w:r>
          <w:r w:rsidR="006A7264">
            <w:t>d</w:t>
          </w:r>
          <w:r w:rsidR="006A7264" w:rsidRPr="006A7264">
            <w:t xml:space="preserve"> been provided.</w:t>
          </w:r>
          <w:r w:rsidR="006A7264">
            <w:t xml:space="preserve"> </w:t>
          </w:r>
          <w:r w:rsidR="00046CD0">
            <w:t xml:space="preserve">The matter could not therefore be </w:t>
          </w:r>
          <w:r w:rsidR="00046CD0" w:rsidRPr="000B7D90">
            <w:rPr>
              <w:i/>
            </w:rPr>
            <w:t>res judicata</w:t>
          </w:r>
          <w:r w:rsidR="00046CD0">
            <w:t xml:space="preserve">. </w:t>
          </w:r>
        </w:p>
        <w:p w:rsidR="00046CD0" w:rsidRDefault="00046CD0" w:rsidP="00975D08">
          <w:pPr>
            <w:pStyle w:val="JudgmentText"/>
            <w:numPr>
              <w:ilvl w:val="0"/>
              <w:numId w:val="7"/>
            </w:numPr>
            <w:ind w:left="567" w:hanging="283"/>
          </w:pPr>
          <w:r>
            <w:t>On the issue of time bar we decided that since negotiations with the 1</w:t>
          </w:r>
          <w:r w:rsidRPr="00046CD0">
            <w:rPr>
              <w:vertAlign w:val="superscript"/>
            </w:rPr>
            <w:t>st</w:t>
          </w:r>
          <w:r>
            <w:t xml:space="preserve"> Respondent had not been terminated in good faith, negotiations had not been completed and he was still awaiting his remedy. The matter was therefore not prescribed and was ongoing. We sent the suit back to the Constitutional Court for consideration of the merits of the case. </w:t>
          </w:r>
        </w:p>
        <w:p w:rsidR="00AA6A3A" w:rsidRDefault="00E76201" w:rsidP="00E76201">
          <w:pPr>
            <w:pStyle w:val="JudgmentText"/>
            <w:numPr>
              <w:ilvl w:val="0"/>
              <w:numId w:val="0"/>
            </w:numPr>
            <w:ind w:left="720" w:hanging="720"/>
          </w:pPr>
          <w:r>
            <w:t>[10]</w:t>
          </w:r>
          <w:r>
            <w:tab/>
          </w:r>
          <w:r w:rsidR="000B7D90">
            <w:t xml:space="preserve">It is at this juncture that court procedures have gone awry and is now the subject of an appeal. </w:t>
          </w:r>
          <w:r w:rsidR="00711F3D">
            <w:t>The 1</w:t>
          </w:r>
          <w:r w:rsidR="00711F3D" w:rsidRPr="00711F3D">
            <w:rPr>
              <w:vertAlign w:val="superscript"/>
            </w:rPr>
            <w:t>st</w:t>
          </w:r>
          <w:r w:rsidR="00711F3D">
            <w:t xml:space="preserve"> Respondent amended his Petition before the Constitutional Court on 10</w:t>
          </w:r>
          <w:r w:rsidR="00711F3D" w:rsidRPr="00711F3D">
            <w:rPr>
              <w:vertAlign w:val="superscript"/>
            </w:rPr>
            <w:t>th</w:t>
          </w:r>
          <w:r w:rsidR="00711F3D">
            <w:t xml:space="preserve"> June 2016 adding the </w:t>
          </w:r>
          <w:r w:rsidR="00AA6A3A">
            <w:t>3</w:t>
          </w:r>
          <w:r w:rsidR="00AA6A3A" w:rsidRPr="00711F3D">
            <w:rPr>
              <w:vertAlign w:val="superscript"/>
            </w:rPr>
            <w:t>rd</w:t>
          </w:r>
          <w:r w:rsidR="00AA6A3A">
            <w:t>,</w:t>
          </w:r>
          <w:r w:rsidR="00711F3D">
            <w:t xml:space="preserve"> 4</w:t>
          </w:r>
          <w:r w:rsidR="00711F3D" w:rsidRPr="00711F3D">
            <w:rPr>
              <w:vertAlign w:val="superscript"/>
            </w:rPr>
            <w:t>th</w:t>
          </w:r>
          <w:r w:rsidR="00711F3D">
            <w:t xml:space="preserve"> </w:t>
          </w:r>
          <w:r w:rsidR="00AA6A3A">
            <w:t>and 5</w:t>
          </w:r>
          <w:r w:rsidR="00AA6A3A" w:rsidRPr="00AA6A3A">
            <w:rPr>
              <w:vertAlign w:val="superscript"/>
            </w:rPr>
            <w:t>th</w:t>
          </w:r>
          <w:r w:rsidR="00AA6A3A">
            <w:t xml:space="preserve"> </w:t>
          </w:r>
          <w:r w:rsidR="00711F3D">
            <w:t>Respondents</w:t>
          </w:r>
          <w:r w:rsidR="00AA6A3A">
            <w:t>.</w:t>
          </w:r>
          <w:r w:rsidR="00AA6A3A" w:rsidRPr="00AA6A3A">
            <w:t xml:space="preserve"> </w:t>
          </w:r>
          <w:r w:rsidR="00711F3D">
            <w:t xml:space="preserve">The </w:t>
          </w:r>
          <w:r w:rsidR="000B7D90">
            <w:t>C</w:t>
          </w:r>
          <w:r w:rsidR="00711F3D">
            <w:t xml:space="preserve">ourt ordered </w:t>
          </w:r>
          <w:r w:rsidR="00716BAD">
            <w:t>substituted</w:t>
          </w:r>
          <w:r w:rsidR="004423AA">
            <w:t xml:space="preserve"> service on the </w:t>
          </w:r>
          <w:r w:rsidR="00C9495A" w:rsidRPr="00C9495A">
            <w:t>2</w:t>
          </w:r>
          <w:r w:rsidR="00C9495A" w:rsidRPr="00C9495A">
            <w:rPr>
              <w:vertAlign w:val="superscript"/>
            </w:rPr>
            <w:t>nd</w:t>
          </w:r>
          <w:r w:rsidR="00C9495A">
            <w:t xml:space="preserve"> and</w:t>
          </w:r>
          <w:r w:rsidR="00AA6A3A">
            <w:t xml:space="preserve"> </w:t>
          </w:r>
          <w:r w:rsidR="00C9495A">
            <w:t>3</w:t>
          </w:r>
          <w:r w:rsidR="00C9495A" w:rsidRPr="00C9495A">
            <w:rPr>
              <w:vertAlign w:val="superscript"/>
            </w:rPr>
            <w:t>rd</w:t>
          </w:r>
          <w:r w:rsidR="00C9495A">
            <w:t xml:space="preserve"> </w:t>
          </w:r>
          <w:r w:rsidR="00AA6A3A">
            <w:t xml:space="preserve">Respondents, namely Robert and Patrick </w:t>
          </w:r>
          <w:proofErr w:type="spellStart"/>
          <w:r w:rsidR="00AA6A3A">
            <w:t>Noddyn</w:t>
          </w:r>
          <w:proofErr w:type="spellEnd"/>
          <w:r w:rsidR="00716BAD">
            <w:t>,</w:t>
          </w:r>
          <w:r w:rsidR="004423AA">
            <w:t xml:space="preserve"> by posting the notice</w:t>
          </w:r>
          <w:r w:rsidR="00C9495A">
            <w:t xml:space="preserve"> of the suit </w:t>
          </w:r>
          <w:r w:rsidR="00AA6A3A">
            <w:t xml:space="preserve">at their last known address and by affixing a further notice on the notice-board of the court house. </w:t>
          </w:r>
        </w:p>
        <w:p w:rsidR="00AA6A3A" w:rsidRDefault="00E76201" w:rsidP="00E76201">
          <w:pPr>
            <w:pStyle w:val="JudgmentText"/>
            <w:numPr>
              <w:ilvl w:val="0"/>
              <w:numId w:val="0"/>
            </w:numPr>
            <w:ind w:left="720" w:hanging="720"/>
          </w:pPr>
          <w:r>
            <w:t>[11]</w:t>
          </w:r>
          <w:r>
            <w:tab/>
          </w:r>
          <w:r w:rsidR="00AA6A3A">
            <w:t>In</w:t>
          </w:r>
          <w:r w:rsidR="004423AA">
            <w:t xml:space="preserve"> relation to the </w:t>
          </w:r>
          <w:r w:rsidR="00C9495A">
            <w:t>4</w:t>
          </w:r>
          <w:r w:rsidR="00BC304A">
            <w:t>t</w:t>
          </w:r>
          <w:r w:rsidR="004423AA" w:rsidRPr="004423AA">
            <w:rPr>
              <w:vertAlign w:val="superscript"/>
            </w:rPr>
            <w:t>h</w:t>
          </w:r>
          <w:r w:rsidR="004423AA">
            <w:t xml:space="preserve"> Respondent</w:t>
          </w:r>
          <w:r w:rsidR="00AA6A3A">
            <w:t>,</w:t>
          </w:r>
          <w:r w:rsidR="004423AA">
            <w:t xml:space="preserve"> </w:t>
          </w:r>
          <w:proofErr w:type="spellStart"/>
          <w:r w:rsidR="004423AA">
            <w:t>Reems</w:t>
          </w:r>
          <w:proofErr w:type="spellEnd"/>
          <w:r w:rsidR="004423AA">
            <w:t xml:space="preserve"> Limited, its director Gilbert </w:t>
          </w:r>
          <w:proofErr w:type="spellStart"/>
          <w:r w:rsidR="00482A75">
            <w:t>Rassool</w:t>
          </w:r>
          <w:proofErr w:type="spellEnd"/>
          <w:r w:rsidR="00482A75">
            <w:t xml:space="preserve"> </w:t>
          </w:r>
          <w:r w:rsidR="00C9495A">
            <w:t>was</w:t>
          </w:r>
          <w:r w:rsidR="004423AA">
            <w:t xml:space="preserve"> served but did not put up appearance</w:t>
          </w:r>
          <w:r w:rsidR="00C9495A">
            <w:t xml:space="preserve">. The </w:t>
          </w:r>
          <w:r w:rsidR="00AA6A3A">
            <w:t xml:space="preserve">court ruled that the matter insofar as it concerned the company would proceed ex-parte. </w:t>
          </w:r>
        </w:p>
        <w:p w:rsidR="00711F3D" w:rsidRDefault="00E76201" w:rsidP="00E76201">
          <w:pPr>
            <w:pStyle w:val="JudgmentText"/>
            <w:numPr>
              <w:ilvl w:val="0"/>
              <w:numId w:val="0"/>
            </w:numPr>
            <w:ind w:left="720" w:hanging="720"/>
          </w:pPr>
          <w:r>
            <w:t>[12]</w:t>
          </w:r>
          <w:r>
            <w:tab/>
          </w:r>
          <w:r w:rsidR="00AA6A3A">
            <w:t xml:space="preserve">On the date of hearing neither the </w:t>
          </w:r>
          <w:r w:rsidR="00C9495A">
            <w:t>2</w:t>
          </w:r>
          <w:r w:rsidR="00C9495A" w:rsidRPr="00C9495A">
            <w:rPr>
              <w:vertAlign w:val="superscript"/>
            </w:rPr>
            <w:t>nd</w:t>
          </w:r>
          <w:r w:rsidR="00C9495A">
            <w:t xml:space="preserve">, </w:t>
          </w:r>
          <w:r w:rsidR="00AA6A3A">
            <w:t>3</w:t>
          </w:r>
          <w:r w:rsidR="00AA6A3A" w:rsidRPr="00AA6A3A">
            <w:rPr>
              <w:vertAlign w:val="superscript"/>
            </w:rPr>
            <w:t>rd</w:t>
          </w:r>
          <w:r w:rsidR="00AA6A3A">
            <w:t xml:space="preserve"> or 4</w:t>
          </w:r>
          <w:r w:rsidR="00AA6A3A" w:rsidRPr="00AA6A3A">
            <w:rPr>
              <w:vertAlign w:val="superscript"/>
            </w:rPr>
            <w:t>th</w:t>
          </w:r>
          <w:r w:rsidR="00AA6A3A">
            <w:t xml:space="preserve"> Respondents were in attendance.</w:t>
          </w:r>
          <w:r w:rsidR="004423AA">
            <w:t xml:space="preserve"> </w:t>
          </w:r>
          <w:r w:rsidR="00711F3D">
            <w:t xml:space="preserve"> </w:t>
          </w:r>
        </w:p>
        <w:p w:rsidR="002A6A54" w:rsidRDefault="00E76201" w:rsidP="00E76201">
          <w:pPr>
            <w:pStyle w:val="JudgmentText"/>
            <w:numPr>
              <w:ilvl w:val="0"/>
              <w:numId w:val="0"/>
            </w:numPr>
            <w:ind w:left="720" w:hanging="720"/>
          </w:pPr>
          <w:r>
            <w:t>[13]</w:t>
          </w:r>
          <w:r>
            <w:tab/>
          </w:r>
          <w:r w:rsidR="00220BD8">
            <w:t xml:space="preserve">The Constitutional Court </w:t>
          </w:r>
          <w:r w:rsidR="00C9495A">
            <w:t>in its decision of</w:t>
          </w:r>
          <w:r w:rsidR="00AA6A3A">
            <w:t xml:space="preserve"> 17</w:t>
          </w:r>
          <w:r w:rsidR="00AA6A3A" w:rsidRPr="00AA6A3A">
            <w:rPr>
              <w:vertAlign w:val="superscript"/>
            </w:rPr>
            <w:t>th</w:t>
          </w:r>
          <w:r w:rsidR="00AA6A3A">
            <w:t xml:space="preserve"> May 2016 </w:t>
          </w:r>
          <w:r w:rsidR="00C9495A">
            <w:t xml:space="preserve">ordered </w:t>
          </w:r>
          <w:r w:rsidR="00AA6A3A">
            <w:t xml:space="preserve">that parcels </w:t>
          </w:r>
          <w:r w:rsidR="00AD095C">
            <w:t>T1855 and T3094 should be returned whole to the 1</w:t>
          </w:r>
          <w:r w:rsidR="00AD095C" w:rsidRPr="00AA6A3A">
            <w:rPr>
              <w:vertAlign w:val="superscript"/>
            </w:rPr>
            <w:t>st</w:t>
          </w:r>
          <w:r w:rsidR="00AD095C">
            <w:t xml:space="preserve"> Respondent; that after extraction of the existing bus shelter, Parcel T3107 should also be retu</w:t>
          </w:r>
          <w:r w:rsidR="00C9495A">
            <w:t>r</w:t>
          </w:r>
          <w:r w:rsidR="00AD095C">
            <w:t>ned as would parcel T3161 after extraction of the developed portions;</w:t>
          </w:r>
          <w:r w:rsidR="002A6A54">
            <w:t xml:space="preserve"> T2102 would not be returned but compensation would be paid based on a jo</w:t>
          </w:r>
          <w:r w:rsidR="005159DC">
            <w:t>i</w:t>
          </w:r>
          <w:r w:rsidR="002A6A54">
            <w:t xml:space="preserve">nt report by three experts namely Sabrina </w:t>
          </w:r>
          <w:proofErr w:type="spellStart"/>
          <w:r w:rsidR="002A6A54">
            <w:t>Zoé</w:t>
          </w:r>
          <w:proofErr w:type="spellEnd"/>
          <w:r w:rsidR="002A6A54">
            <w:t xml:space="preserve">, Hubert Alton and Daniel Blackburn. </w:t>
          </w:r>
        </w:p>
        <w:p w:rsidR="00F02F29" w:rsidRDefault="00E76201" w:rsidP="00E76201">
          <w:pPr>
            <w:pStyle w:val="JudgmentText"/>
            <w:numPr>
              <w:ilvl w:val="0"/>
              <w:numId w:val="0"/>
            </w:numPr>
            <w:ind w:left="720" w:hanging="720"/>
          </w:pPr>
          <w:r>
            <w:lastRenderedPageBreak/>
            <w:t>[14]</w:t>
          </w:r>
          <w:r>
            <w:tab/>
          </w:r>
          <w:r w:rsidR="005159DC">
            <w:t xml:space="preserve">From this decision the </w:t>
          </w:r>
          <w:r w:rsidR="006A00C5">
            <w:t>Appellants</w:t>
          </w:r>
          <w:r w:rsidR="005159DC">
            <w:t xml:space="preserve"> have appealed o</w:t>
          </w:r>
          <w:r w:rsidR="00711F3D">
            <w:t>n</w:t>
          </w:r>
          <w:r w:rsidR="005159DC">
            <w:t xml:space="preserve"> four grounds which may summarily be stated as fol</w:t>
          </w:r>
          <w:r w:rsidR="00F02F29">
            <w:t>l</w:t>
          </w:r>
          <w:r w:rsidR="005159DC">
            <w:t>ows</w:t>
          </w:r>
          <w:r w:rsidR="00F02F29">
            <w:t>:</w:t>
          </w:r>
        </w:p>
        <w:p w:rsidR="00F02F29" w:rsidRDefault="006F2133" w:rsidP="0003119E">
          <w:pPr>
            <w:pStyle w:val="JudgmentText"/>
            <w:numPr>
              <w:ilvl w:val="0"/>
              <w:numId w:val="0"/>
            </w:numPr>
            <w:ind w:left="1134" w:hanging="425"/>
          </w:pPr>
          <w:r>
            <w:t xml:space="preserve">1. </w:t>
          </w:r>
          <w:r w:rsidR="00975D08">
            <w:tab/>
          </w:r>
          <w:r w:rsidR="00F02F29">
            <w:t xml:space="preserve">The Constitutional Court erred in law and fact in ordering the return of Parcels T767 and </w:t>
          </w:r>
          <w:r w:rsidR="00F02F29">
            <w:br/>
            <w:t xml:space="preserve">T3094 when they were in the hands of third parties. Instead compensation for these parcels of land should have been ordered. </w:t>
          </w:r>
        </w:p>
        <w:p w:rsidR="00A246F4" w:rsidRDefault="006F2133" w:rsidP="0003119E">
          <w:pPr>
            <w:pStyle w:val="JudgmentText"/>
            <w:numPr>
              <w:ilvl w:val="0"/>
              <w:numId w:val="0"/>
            </w:numPr>
            <w:ind w:left="1134" w:hanging="425"/>
          </w:pPr>
          <w:r>
            <w:t xml:space="preserve">2. </w:t>
          </w:r>
          <w:r w:rsidR="00975D08">
            <w:tab/>
          </w:r>
          <w:r w:rsidR="00A246F4" w:rsidRPr="00A246F4">
            <w:t>The Constitutional Court erred in law and fact in ordering the return of Parcels</w:t>
          </w:r>
          <w:r w:rsidR="00A246F4">
            <w:t xml:space="preserve"> T3107 and T3095</w:t>
          </w:r>
          <w:r w:rsidR="00C9495A">
            <w:t xml:space="preserve"> </w:t>
          </w:r>
          <w:r w:rsidR="00A246F4">
            <w:t xml:space="preserve">since there are developmental plans for the parcels and they are used as </w:t>
          </w:r>
          <w:r w:rsidR="00C9495A">
            <w:t xml:space="preserve">a </w:t>
          </w:r>
          <w:r w:rsidR="00A246F4">
            <w:t>public amenity. Instead compensation should have been paid for these parcels.</w:t>
          </w:r>
        </w:p>
        <w:p w:rsidR="00A246F4" w:rsidRDefault="006F2133" w:rsidP="0003119E">
          <w:pPr>
            <w:pStyle w:val="JudgmentText"/>
            <w:numPr>
              <w:ilvl w:val="0"/>
              <w:numId w:val="0"/>
            </w:numPr>
            <w:ind w:left="1134" w:hanging="425"/>
          </w:pPr>
          <w:r>
            <w:t xml:space="preserve">3. </w:t>
          </w:r>
          <w:r w:rsidR="00975D08">
            <w:tab/>
          </w:r>
          <w:r w:rsidR="00A246F4" w:rsidRPr="00A246F4">
            <w:t>The Constitutional Court erred in law and fact in ordering the return of Parcels</w:t>
          </w:r>
          <w:r w:rsidR="00A246F4">
            <w:t xml:space="preserve"> erred in not accepting the value of the quantum of compensation valued by the 1</w:t>
          </w:r>
          <w:r w:rsidR="00A246F4" w:rsidRPr="00A246F4">
            <w:rPr>
              <w:vertAlign w:val="superscript"/>
            </w:rPr>
            <w:t>st</w:t>
          </w:r>
          <w:r w:rsidR="00A246F4">
            <w:t xml:space="preserve"> Appellant for the lands that cannot be transferred. </w:t>
          </w:r>
        </w:p>
        <w:p w:rsidR="006F2133" w:rsidRDefault="0003119E" w:rsidP="0003119E">
          <w:pPr>
            <w:pStyle w:val="JudgmentText"/>
            <w:numPr>
              <w:ilvl w:val="0"/>
              <w:numId w:val="0"/>
            </w:numPr>
            <w:ind w:left="720" w:hanging="720"/>
          </w:pPr>
          <w:r>
            <w:t>[15]</w:t>
          </w:r>
          <w:r>
            <w:tab/>
          </w:r>
          <w:r w:rsidR="00711F3D">
            <w:t>By a notice of appeal dated 23</w:t>
          </w:r>
          <w:r w:rsidR="00711F3D" w:rsidRPr="00711F3D">
            <w:rPr>
              <w:vertAlign w:val="superscript"/>
            </w:rPr>
            <w:t>rd</w:t>
          </w:r>
          <w:r w:rsidR="00711F3D">
            <w:t xml:space="preserve"> June 2016, </w:t>
          </w:r>
          <w:r w:rsidR="006F2133">
            <w:t xml:space="preserve">the </w:t>
          </w:r>
          <w:r w:rsidR="00716BAD">
            <w:t>4</w:t>
          </w:r>
          <w:r w:rsidR="006F2133" w:rsidRPr="006F2133">
            <w:rPr>
              <w:vertAlign w:val="superscript"/>
            </w:rPr>
            <w:t>th</w:t>
          </w:r>
          <w:r w:rsidR="006F2133">
            <w:t xml:space="preserve"> Respondent also appealed to this court on the following grounds as summarised below:</w:t>
          </w:r>
        </w:p>
        <w:p w:rsidR="006F2133" w:rsidRDefault="006F2133" w:rsidP="0003119E">
          <w:pPr>
            <w:pStyle w:val="JudgmentText"/>
            <w:numPr>
              <w:ilvl w:val="0"/>
              <w:numId w:val="0"/>
            </w:numPr>
            <w:ind w:left="1134" w:hanging="425"/>
          </w:pPr>
          <w:r>
            <w:t xml:space="preserve">1. </w:t>
          </w:r>
          <w:r w:rsidR="00975D08">
            <w:tab/>
          </w:r>
          <w:r>
            <w:t>The Constitutional Court erred in law in hearing the Petition in the absence of the Appellant and in holding that the appellant had been served with summons since the Appellant had not been served with summons as required by law.</w:t>
          </w:r>
        </w:p>
        <w:p w:rsidR="006F2133" w:rsidRDefault="006F2133" w:rsidP="0003119E">
          <w:pPr>
            <w:pStyle w:val="JudgmentText"/>
            <w:numPr>
              <w:ilvl w:val="0"/>
              <w:numId w:val="0"/>
            </w:numPr>
            <w:ind w:left="1134" w:hanging="425"/>
          </w:pPr>
          <w:r>
            <w:t xml:space="preserve">2. </w:t>
          </w:r>
          <w:r w:rsidR="00975D08">
            <w:tab/>
          </w:r>
          <w:r>
            <w:t>The Constitutional Court erred in law and on the evidence in failing to hold that as the Appellant was in possession of Parcel T3014 and was a bona fide purchaser of the said parcel for valuable consideration the transfer of Parcel T3014 to the appellant could not be cancelled under the provisions of section 89(2) of the Land Registration Act.</w:t>
          </w:r>
        </w:p>
        <w:p w:rsidR="006F2133" w:rsidRDefault="006F2133" w:rsidP="0003119E">
          <w:pPr>
            <w:pStyle w:val="JudgmentText"/>
            <w:numPr>
              <w:ilvl w:val="0"/>
              <w:numId w:val="0"/>
            </w:numPr>
            <w:ind w:left="1134" w:hanging="425"/>
          </w:pPr>
          <w:r>
            <w:t>3.</w:t>
          </w:r>
          <w:r w:rsidRPr="006F2133">
            <w:t xml:space="preserve"> </w:t>
          </w:r>
          <w:r w:rsidR="00975D08">
            <w:tab/>
          </w:r>
          <w:r w:rsidRPr="006F2133">
            <w:t>The Constitutional Court erred in law and on the evidence in failing to hold that</w:t>
          </w:r>
          <w:r>
            <w:t xml:space="preserve"> the obligations on the government to return any parcel of land in terms of </w:t>
          </w:r>
          <w:r w:rsidR="003D5788">
            <w:t xml:space="preserve">Part III of </w:t>
          </w:r>
          <w:r>
            <w:t xml:space="preserve">Schedule 7 </w:t>
          </w:r>
          <w:r w:rsidR="003D5788">
            <w:t xml:space="preserve">of </w:t>
          </w:r>
          <w:r w:rsidR="00BB4C82">
            <w:t>the Constitution</w:t>
          </w:r>
          <w:r>
            <w:t xml:space="preserve"> </w:t>
          </w:r>
          <w:r w:rsidR="00BB4C82">
            <w:t xml:space="preserve">did not apply to parcels not owned by the government at the time the petition was instituted. </w:t>
          </w:r>
        </w:p>
        <w:p w:rsidR="00BB4C82" w:rsidRDefault="0003119E" w:rsidP="0003119E">
          <w:pPr>
            <w:pStyle w:val="JudgmentText"/>
            <w:numPr>
              <w:ilvl w:val="0"/>
              <w:numId w:val="0"/>
            </w:numPr>
            <w:ind w:left="720" w:hanging="720"/>
          </w:pPr>
          <w:r>
            <w:t>[16]</w:t>
          </w:r>
          <w:r>
            <w:tab/>
          </w:r>
          <w:r w:rsidR="00BB4C82">
            <w:t xml:space="preserve">The </w:t>
          </w:r>
          <w:proofErr w:type="gramStart"/>
          <w:r w:rsidR="00C9495A">
            <w:t>2</w:t>
          </w:r>
          <w:r w:rsidR="00C9495A" w:rsidRPr="00C9495A">
            <w:rPr>
              <w:vertAlign w:val="superscript"/>
            </w:rPr>
            <w:t>nd</w:t>
          </w:r>
          <w:r w:rsidR="00C9495A">
            <w:t xml:space="preserve"> </w:t>
          </w:r>
          <w:r w:rsidR="00BB4C82">
            <w:t xml:space="preserve"> and</w:t>
          </w:r>
          <w:proofErr w:type="gramEnd"/>
          <w:r w:rsidR="00BB4C82">
            <w:t xml:space="preserve"> </w:t>
          </w:r>
          <w:r w:rsidR="00C9495A">
            <w:t>3</w:t>
          </w:r>
          <w:r w:rsidR="00C9495A" w:rsidRPr="00C9495A">
            <w:rPr>
              <w:vertAlign w:val="superscript"/>
            </w:rPr>
            <w:t>rd</w:t>
          </w:r>
          <w:r w:rsidR="00C9495A">
            <w:t xml:space="preserve"> </w:t>
          </w:r>
          <w:r w:rsidR="00BB4C82">
            <w:t xml:space="preserve"> Respondents also appealed the decision of the Court on 20</w:t>
          </w:r>
          <w:r w:rsidR="00BB4C82" w:rsidRPr="00BB4C82">
            <w:rPr>
              <w:vertAlign w:val="superscript"/>
            </w:rPr>
            <w:t>th</w:t>
          </w:r>
          <w:r w:rsidR="00BB4C82">
            <w:t xml:space="preserve"> July 2016 on the following summarised grounds:</w:t>
          </w:r>
        </w:p>
        <w:p w:rsidR="00BB4C82" w:rsidRDefault="00BB4C82" w:rsidP="0003119E">
          <w:pPr>
            <w:pStyle w:val="JudgmentText"/>
            <w:numPr>
              <w:ilvl w:val="0"/>
              <w:numId w:val="0"/>
            </w:numPr>
            <w:ind w:left="1134" w:hanging="425"/>
          </w:pPr>
          <w:r>
            <w:lastRenderedPageBreak/>
            <w:t xml:space="preserve">1. </w:t>
          </w:r>
          <w:r w:rsidR="00975D08">
            <w:tab/>
          </w:r>
          <w:r>
            <w:t xml:space="preserve">The Constitutional Court erred in law in </w:t>
          </w:r>
          <w:r w:rsidRPr="00BB4C82">
            <w:t>hearing the Petition in the absence of the Appellant</w:t>
          </w:r>
          <w:r>
            <w:t>s</w:t>
          </w:r>
          <w:r w:rsidRPr="00BB4C82">
            <w:t xml:space="preserve"> and in holding that the </w:t>
          </w:r>
          <w:r>
            <w:t>A</w:t>
          </w:r>
          <w:r w:rsidRPr="00BB4C82">
            <w:t>ppellant</w:t>
          </w:r>
          <w:r>
            <w:t>s</w:t>
          </w:r>
          <w:r w:rsidRPr="00BB4C82">
            <w:t xml:space="preserve"> had been served with summons since the Appellant</w:t>
          </w:r>
          <w:r>
            <w:t>s</w:t>
          </w:r>
          <w:r w:rsidRPr="00BB4C82">
            <w:t xml:space="preserve"> had not been served with summons as required by law</w:t>
          </w:r>
          <w:r>
            <w:t xml:space="preserve"> and since they were domiciled and resident outside Seychelles and </w:t>
          </w:r>
          <w:r w:rsidR="008C35E4">
            <w:t xml:space="preserve">substituted service outside the jurisdiction </w:t>
          </w:r>
          <w:r>
            <w:t xml:space="preserve">should have been ordered. </w:t>
          </w:r>
        </w:p>
        <w:p w:rsidR="008C35E4" w:rsidRDefault="008C35E4" w:rsidP="0003119E">
          <w:pPr>
            <w:pStyle w:val="JudgmentText"/>
            <w:numPr>
              <w:ilvl w:val="0"/>
              <w:numId w:val="0"/>
            </w:numPr>
            <w:ind w:left="1134" w:hanging="425"/>
          </w:pPr>
          <w:r>
            <w:t xml:space="preserve">2. </w:t>
          </w:r>
          <w:r w:rsidR="00975D08">
            <w:tab/>
          </w:r>
          <w:r w:rsidR="002441EA" w:rsidRPr="002441EA">
            <w:t>The Constitutional Court erred in law and on the evidence in failing to hold that as the Appellant</w:t>
          </w:r>
          <w:r w:rsidR="002441EA">
            <w:t>s</w:t>
          </w:r>
          <w:r w:rsidR="002441EA" w:rsidRPr="002441EA">
            <w:t xml:space="preserve"> w</w:t>
          </w:r>
          <w:r w:rsidR="002441EA">
            <w:t>ere</w:t>
          </w:r>
          <w:r w:rsidR="002441EA" w:rsidRPr="002441EA">
            <w:t xml:space="preserve"> in possession of Parcel T</w:t>
          </w:r>
          <w:r w:rsidR="002441EA">
            <w:t>767</w:t>
          </w:r>
          <w:r w:rsidR="002441EA" w:rsidRPr="002441EA">
            <w:t xml:space="preserve"> and w</w:t>
          </w:r>
          <w:r w:rsidR="002441EA">
            <w:t>ere</w:t>
          </w:r>
          <w:r w:rsidR="002441EA" w:rsidRPr="002441EA">
            <w:t xml:space="preserve"> a bona fide purchaser</w:t>
          </w:r>
          <w:r w:rsidR="002441EA">
            <w:t>s</w:t>
          </w:r>
          <w:r w:rsidR="002441EA" w:rsidRPr="002441EA">
            <w:t xml:space="preserve"> of the said parcel for valuable consideration</w:t>
          </w:r>
          <w:r w:rsidR="002441EA">
            <w:t>,</w:t>
          </w:r>
          <w:r w:rsidR="002441EA" w:rsidRPr="002441EA">
            <w:t xml:space="preserve"> the transfer of Parcel T</w:t>
          </w:r>
          <w:r w:rsidR="002441EA">
            <w:t>767</w:t>
          </w:r>
          <w:r w:rsidR="002441EA" w:rsidRPr="002441EA">
            <w:t xml:space="preserve"> to the </w:t>
          </w:r>
          <w:r w:rsidR="002441EA">
            <w:t>A</w:t>
          </w:r>
          <w:r w:rsidR="002441EA" w:rsidRPr="002441EA">
            <w:t>ppellant</w:t>
          </w:r>
          <w:r w:rsidR="002441EA">
            <w:t>s</w:t>
          </w:r>
          <w:r w:rsidR="002441EA" w:rsidRPr="002441EA">
            <w:t xml:space="preserve"> could not be cancelled under the provisions of section 89(2) of the Land Registration Act.</w:t>
          </w:r>
          <w:r w:rsidR="002441EA">
            <w:t xml:space="preserve"> And further in view of the fact that they had acquired such title for a period of over ten years. </w:t>
          </w:r>
        </w:p>
        <w:p w:rsidR="002441EA" w:rsidRDefault="002441EA" w:rsidP="0003119E">
          <w:pPr>
            <w:pStyle w:val="JudgmentText"/>
            <w:numPr>
              <w:ilvl w:val="0"/>
              <w:numId w:val="0"/>
            </w:numPr>
            <w:ind w:left="1134" w:hanging="425"/>
          </w:pPr>
          <w:r>
            <w:t xml:space="preserve">3. </w:t>
          </w:r>
          <w:r w:rsidR="00975D08">
            <w:tab/>
          </w:r>
          <w:r w:rsidRPr="002441EA">
            <w:t xml:space="preserve">The Constitutional Court erred in law and on the evidence in failing to hold that the obligations on the government to return any parcel of land in terms of </w:t>
          </w:r>
          <w:r w:rsidR="003D5788" w:rsidRPr="002441EA">
            <w:t xml:space="preserve">Part III </w:t>
          </w:r>
          <w:r w:rsidR="003D5788">
            <w:t xml:space="preserve">of </w:t>
          </w:r>
          <w:r w:rsidRPr="002441EA">
            <w:t>Schedule 7 of the Constitution, did not apply to parcels not owned by the government at the time the petition was instituted</w:t>
          </w:r>
        </w:p>
        <w:p w:rsidR="002441EA" w:rsidRDefault="002441EA" w:rsidP="0003119E">
          <w:pPr>
            <w:pStyle w:val="JudgmentText"/>
            <w:numPr>
              <w:ilvl w:val="0"/>
              <w:numId w:val="0"/>
            </w:numPr>
            <w:ind w:left="1134" w:hanging="567"/>
          </w:pPr>
          <w:r>
            <w:t xml:space="preserve">4. </w:t>
          </w:r>
          <w:r w:rsidR="00975D08">
            <w:tab/>
          </w:r>
          <w:r w:rsidR="005C5291" w:rsidRPr="005C5291">
            <w:t>The Constitutional Court erred in law and on the evidence in failing</w:t>
          </w:r>
          <w:r w:rsidR="005C5291">
            <w:t xml:space="preserve"> to appreciate that</w:t>
          </w:r>
          <w:r w:rsidR="00050005">
            <w:t xml:space="preserve"> </w:t>
          </w:r>
          <w:r w:rsidR="005C5291">
            <w:t>Parcel T767</w:t>
          </w:r>
          <w:r w:rsidR="00050005">
            <w:t xml:space="preserve"> had been in the 4and 5</w:t>
          </w:r>
          <w:r w:rsidR="00050005" w:rsidRPr="00050005">
            <w:rPr>
              <w:vertAlign w:val="superscript"/>
            </w:rPr>
            <w:t>th</w:t>
          </w:r>
          <w:r w:rsidR="00050005">
            <w:t xml:space="preserve"> Respondents predecessor in title prior to the coming into force of the Constitution and had been used as a family home</w:t>
          </w:r>
          <w:r w:rsidR="003D5788">
            <w:t xml:space="preserve"> and not therefore subject to the scheme of Part III of Schedule 7 of the Constitution</w:t>
          </w:r>
          <w:r w:rsidR="00050005">
            <w:t xml:space="preserve">. </w:t>
          </w:r>
        </w:p>
        <w:p w:rsidR="001B0569" w:rsidRDefault="0003119E" w:rsidP="0003119E">
          <w:pPr>
            <w:pStyle w:val="JudgmentText"/>
            <w:numPr>
              <w:ilvl w:val="0"/>
              <w:numId w:val="0"/>
            </w:numPr>
            <w:ind w:left="720" w:hanging="720"/>
          </w:pPr>
          <w:r>
            <w:t>[17]</w:t>
          </w:r>
          <w:r>
            <w:tab/>
          </w:r>
          <w:r w:rsidR="00C9495A">
            <w:t xml:space="preserve">It became obvious at the hearing of this appeal that the </w:t>
          </w:r>
          <w:r w:rsidR="001B0569">
            <w:t>merits</w:t>
          </w:r>
          <w:r w:rsidR="00C9495A">
            <w:t xml:space="preserve"> of the substantive appeal co</w:t>
          </w:r>
          <w:r w:rsidR="001B0569">
            <w:t>u</w:t>
          </w:r>
          <w:r w:rsidR="00C9495A">
            <w:t xml:space="preserve">ld not be addressed without the </w:t>
          </w:r>
          <w:r w:rsidR="001B0569">
            <w:t xml:space="preserve">alleged </w:t>
          </w:r>
          <w:r w:rsidR="00C9495A">
            <w:t>procedural irregula</w:t>
          </w:r>
          <w:r w:rsidR="001B0569">
            <w:t>rities</w:t>
          </w:r>
          <w:r w:rsidR="006A00C5">
            <w:t>, namely the issue of service on 2</w:t>
          </w:r>
          <w:r w:rsidR="006A00C5" w:rsidRPr="006A00C5">
            <w:rPr>
              <w:vertAlign w:val="superscript"/>
            </w:rPr>
            <w:t>nd</w:t>
          </w:r>
          <w:r w:rsidR="006A00C5">
            <w:t>, 3</w:t>
          </w:r>
          <w:r w:rsidR="006A00C5" w:rsidRPr="006A00C5">
            <w:rPr>
              <w:vertAlign w:val="superscript"/>
            </w:rPr>
            <w:t>rd</w:t>
          </w:r>
          <w:r w:rsidR="006A00C5">
            <w:t xml:space="preserve"> and 4</w:t>
          </w:r>
          <w:r w:rsidR="006A00C5" w:rsidRPr="006A00C5">
            <w:rPr>
              <w:vertAlign w:val="superscript"/>
            </w:rPr>
            <w:t>th</w:t>
          </w:r>
          <w:r w:rsidR="006A00C5">
            <w:t xml:space="preserve"> Respondents, </w:t>
          </w:r>
          <w:r w:rsidR="00BC304A">
            <w:t>being</w:t>
          </w:r>
          <w:r w:rsidR="00C9495A">
            <w:t xml:space="preserve"> </w:t>
          </w:r>
          <w:r w:rsidR="001B0569">
            <w:t xml:space="preserve">settled by this Court. We therefore heard submissions on this </w:t>
          </w:r>
          <w:r w:rsidR="006A00C5">
            <w:t>issue</w:t>
          </w:r>
          <w:r w:rsidR="001B0569">
            <w:t xml:space="preserve"> alone. </w:t>
          </w:r>
        </w:p>
        <w:p w:rsidR="00077597" w:rsidRDefault="0003119E" w:rsidP="0003119E">
          <w:pPr>
            <w:pStyle w:val="JudgmentText"/>
            <w:numPr>
              <w:ilvl w:val="0"/>
              <w:numId w:val="0"/>
            </w:numPr>
            <w:ind w:left="720" w:hanging="720"/>
          </w:pPr>
          <w:r>
            <w:t>[18]</w:t>
          </w:r>
          <w:r>
            <w:tab/>
          </w:r>
          <w:r w:rsidR="001B0569">
            <w:t>We will first deal with the issue of service on the 4</w:t>
          </w:r>
          <w:r w:rsidR="001B0569" w:rsidRPr="00A66117">
            <w:rPr>
              <w:vertAlign w:val="superscript"/>
            </w:rPr>
            <w:t>th</w:t>
          </w:r>
          <w:r w:rsidR="001B0569">
            <w:t xml:space="preserve"> Respondent. Mr. Boullé for the 1</w:t>
          </w:r>
          <w:r w:rsidR="001B0569" w:rsidRPr="00A66117">
            <w:rPr>
              <w:vertAlign w:val="superscript"/>
            </w:rPr>
            <w:t>st</w:t>
          </w:r>
          <w:r w:rsidR="001B0569">
            <w:t xml:space="preserve"> Respondent submitted that insofar as the 4</w:t>
          </w:r>
          <w:r w:rsidR="001B0569" w:rsidRPr="00A66117">
            <w:rPr>
              <w:vertAlign w:val="superscript"/>
            </w:rPr>
            <w:t>th</w:t>
          </w:r>
          <w:r w:rsidR="001B0569">
            <w:t xml:space="preserve"> Respondent was concerned</w:t>
          </w:r>
          <w:r w:rsidR="006A00C5">
            <w:t>,</w:t>
          </w:r>
          <w:r w:rsidR="001B0569">
            <w:t xml:space="preserve"> service was effected on its director, Mr. Gilbert Rassool. That</w:t>
          </w:r>
          <w:r w:rsidR="00201976">
            <w:t>,</w:t>
          </w:r>
          <w:r w:rsidR="001B0569">
            <w:t xml:space="preserve"> in</w:t>
          </w:r>
          <w:r w:rsidR="0031529B">
            <w:t xml:space="preserve"> </w:t>
          </w:r>
          <w:r w:rsidR="001B0569">
            <w:t>his view</w:t>
          </w:r>
          <w:r w:rsidR="00201976">
            <w:t>,</w:t>
          </w:r>
          <w:r w:rsidR="001B0569">
            <w:t xml:space="preserve"> was effective </w:t>
          </w:r>
          <w:r w:rsidR="0031529B">
            <w:t>service</w:t>
          </w:r>
          <w:r w:rsidR="001B0569">
            <w:t xml:space="preserve"> given the prov</w:t>
          </w:r>
          <w:r w:rsidR="0031529B">
            <w:t>i</w:t>
          </w:r>
          <w:r w:rsidR="001B0569">
            <w:t xml:space="preserve">sions of </w:t>
          </w:r>
          <w:r w:rsidR="00077597">
            <w:t>section 38 of the Companies Act which provides in relevant part</w:t>
          </w:r>
          <w:r w:rsidR="00BC304A">
            <w:t xml:space="preserve"> that</w:t>
          </w:r>
          <w:r w:rsidR="00077597">
            <w:t>:</w:t>
          </w:r>
        </w:p>
        <w:p w:rsidR="0031529B" w:rsidRPr="00077597" w:rsidRDefault="00077597" w:rsidP="0003119E">
          <w:pPr>
            <w:pStyle w:val="JudgmentText"/>
            <w:numPr>
              <w:ilvl w:val="0"/>
              <w:numId w:val="0"/>
            </w:numPr>
            <w:ind w:left="709"/>
            <w:rPr>
              <w:i/>
            </w:rPr>
          </w:pPr>
          <w:r w:rsidRPr="00077597">
            <w:rPr>
              <w:i/>
            </w:rPr>
            <w:lastRenderedPageBreak/>
            <w:t xml:space="preserve">“A company shall be considered as having notice of any matter if notice of it is given to, or received or obtained by, any director…” </w:t>
          </w:r>
        </w:p>
        <w:p w:rsidR="00A66117" w:rsidRDefault="0003119E" w:rsidP="0003119E">
          <w:pPr>
            <w:pStyle w:val="JudgmentText"/>
            <w:numPr>
              <w:ilvl w:val="0"/>
              <w:numId w:val="0"/>
            </w:numPr>
            <w:ind w:left="720" w:hanging="720"/>
          </w:pPr>
          <w:r>
            <w:t>[19]</w:t>
          </w:r>
          <w:r>
            <w:tab/>
          </w:r>
          <w:proofErr w:type="spellStart"/>
          <w:r w:rsidR="0031529B">
            <w:t>Mr.</w:t>
          </w:r>
          <w:proofErr w:type="spellEnd"/>
          <w:r w:rsidR="0031529B">
            <w:t xml:space="preserve"> Hoareau for the 4</w:t>
          </w:r>
          <w:r w:rsidR="0031529B" w:rsidRPr="0031529B">
            <w:rPr>
              <w:vertAlign w:val="superscript"/>
            </w:rPr>
            <w:t>th</w:t>
          </w:r>
          <w:r w:rsidR="0031529B">
            <w:t xml:space="preserve"> Respondent has submitted that service on a director of a company cannot be deemed effective service under the law of Seychelles. He referred to the appellation </w:t>
          </w:r>
          <w:r w:rsidR="00BC304A">
            <w:t xml:space="preserve">(heading) </w:t>
          </w:r>
          <w:r w:rsidR="0031529B">
            <w:t>of the case, specifically the amended petition of the 1</w:t>
          </w:r>
          <w:r w:rsidR="0031529B" w:rsidRPr="0031529B">
            <w:rPr>
              <w:vertAlign w:val="superscript"/>
            </w:rPr>
            <w:t>st</w:t>
          </w:r>
          <w:r w:rsidR="0031529B">
            <w:t xml:space="preserve"> Respondent, Robert Poole, in which the description of the 4</w:t>
          </w:r>
          <w:r w:rsidR="0031529B" w:rsidRPr="0031529B">
            <w:rPr>
              <w:vertAlign w:val="superscript"/>
            </w:rPr>
            <w:t>th</w:t>
          </w:r>
          <w:r w:rsidR="0031529B">
            <w:t xml:space="preserve"> Respondent is as follows: </w:t>
          </w:r>
          <w:proofErr w:type="spellStart"/>
          <w:r w:rsidR="0031529B" w:rsidRPr="00A66117">
            <w:rPr>
              <w:i/>
            </w:rPr>
            <w:t>Reem</w:t>
          </w:r>
          <w:proofErr w:type="spellEnd"/>
          <w:r w:rsidR="0031529B" w:rsidRPr="00A66117">
            <w:rPr>
              <w:i/>
            </w:rPr>
            <w:t xml:space="preserve"> Limited, a company incorporated in Seychelles represented by Gilbert Rassool, a director of the company</w:t>
          </w:r>
          <w:r w:rsidR="00A66117">
            <w:t>.</w:t>
          </w:r>
        </w:p>
        <w:p w:rsidR="00077597" w:rsidRPr="0003119E" w:rsidRDefault="0003119E" w:rsidP="0003119E">
          <w:pPr>
            <w:spacing w:line="360" w:lineRule="auto"/>
            <w:ind w:left="709" w:hanging="709"/>
            <w:rPr>
              <w:sz w:val="24"/>
              <w:szCs w:val="24"/>
            </w:rPr>
          </w:pPr>
          <w:r>
            <w:rPr>
              <w:sz w:val="24"/>
              <w:szCs w:val="24"/>
            </w:rPr>
            <w:t>[20]</w:t>
          </w:r>
          <w:r>
            <w:rPr>
              <w:sz w:val="24"/>
              <w:szCs w:val="24"/>
            </w:rPr>
            <w:tab/>
          </w:r>
          <w:r w:rsidR="00A66117" w:rsidRPr="0003119E">
            <w:rPr>
              <w:sz w:val="24"/>
              <w:szCs w:val="24"/>
            </w:rPr>
            <w:t>In his submission, this indicates that it is the 1</w:t>
          </w:r>
          <w:r w:rsidR="00A66117" w:rsidRPr="0003119E">
            <w:rPr>
              <w:sz w:val="24"/>
              <w:szCs w:val="24"/>
              <w:vertAlign w:val="superscript"/>
            </w:rPr>
            <w:t>st</w:t>
          </w:r>
          <w:r w:rsidR="00A66117" w:rsidRPr="0003119E">
            <w:rPr>
              <w:sz w:val="24"/>
              <w:szCs w:val="24"/>
            </w:rPr>
            <w:t xml:space="preserve"> Respondent who has effectively chosen who the 4</w:t>
          </w:r>
          <w:r w:rsidR="00A66117" w:rsidRPr="0003119E">
            <w:rPr>
              <w:sz w:val="24"/>
              <w:szCs w:val="24"/>
              <w:vertAlign w:val="superscript"/>
            </w:rPr>
            <w:t>th</w:t>
          </w:r>
          <w:r w:rsidR="00A66117" w:rsidRPr="0003119E">
            <w:rPr>
              <w:sz w:val="24"/>
              <w:szCs w:val="24"/>
            </w:rPr>
            <w:t xml:space="preserve"> Respondent should be represented by for the purpose of the court case. In his </w:t>
          </w:r>
          <w:r w:rsidR="00566C40" w:rsidRPr="0003119E">
            <w:rPr>
              <w:sz w:val="24"/>
              <w:szCs w:val="24"/>
            </w:rPr>
            <w:t>view this is not permitted by the Companies Act</w:t>
          </w:r>
          <w:r w:rsidR="00F00C6C" w:rsidRPr="0003119E">
            <w:rPr>
              <w:sz w:val="24"/>
              <w:szCs w:val="24"/>
            </w:rPr>
            <w:t>s</w:t>
          </w:r>
          <w:r w:rsidR="00566C40" w:rsidRPr="0003119E">
            <w:rPr>
              <w:sz w:val="24"/>
              <w:szCs w:val="24"/>
            </w:rPr>
            <w:t>. He relies on s</w:t>
          </w:r>
          <w:r w:rsidR="00F00C6C" w:rsidRPr="0003119E">
            <w:rPr>
              <w:sz w:val="24"/>
              <w:szCs w:val="24"/>
            </w:rPr>
            <w:t>ection</w:t>
          </w:r>
          <w:r w:rsidR="00A66117" w:rsidRPr="0003119E">
            <w:rPr>
              <w:sz w:val="24"/>
              <w:szCs w:val="24"/>
            </w:rPr>
            <w:t xml:space="preserve"> 34 </w:t>
          </w:r>
          <w:r w:rsidR="00F00C6C" w:rsidRPr="0003119E">
            <w:rPr>
              <w:sz w:val="24"/>
              <w:szCs w:val="24"/>
            </w:rPr>
            <w:t xml:space="preserve">of the Companies Act </w:t>
          </w:r>
          <w:r w:rsidR="00A66117" w:rsidRPr="0003119E">
            <w:rPr>
              <w:sz w:val="24"/>
              <w:szCs w:val="24"/>
            </w:rPr>
            <w:t xml:space="preserve">and rule 2 of the Third Schedule of the Companies Act </w:t>
          </w:r>
          <w:r w:rsidR="00566C40" w:rsidRPr="0003119E">
            <w:rPr>
              <w:sz w:val="24"/>
              <w:szCs w:val="24"/>
            </w:rPr>
            <w:t xml:space="preserve">which in his submission </w:t>
          </w:r>
          <w:r w:rsidR="00077597" w:rsidRPr="0003119E">
            <w:rPr>
              <w:sz w:val="24"/>
              <w:szCs w:val="24"/>
            </w:rPr>
            <w:t xml:space="preserve">are qualified by section </w:t>
          </w:r>
          <w:r w:rsidR="00F00C6C" w:rsidRPr="0003119E">
            <w:rPr>
              <w:sz w:val="24"/>
              <w:szCs w:val="24"/>
            </w:rPr>
            <w:t>34(3) of the Companies Act.</w:t>
          </w:r>
        </w:p>
        <w:p w:rsidR="00077597" w:rsidRPr="00077597" w:rsidRDefault="00077597" w:rsidP="00975D08">
          <w:pPr>
            <w:spacing w:line="360" w:lineRule="auto"/>
            <w:ind w:left="567" w:hanging="141"/>
            <w:rPr>
              <w:sz w:val="24"/>
              <w:szCs w:val="24"/>
            </w:rPr>
          </w:pPr>
        </w:p>
        <w:p w:rsidR="00A66117" w:rsidRPr="0003119E" w:rsidRDefault="0003119E" w:rsidP="0003119E">
          <w:pPr>
            <w:spacing w:line="360" w:lineRule="auto"/>
            <w:rPr>
              <w:sz w:val="24"/>
              <w:szCs w:val="24"/>
            </w:rPr>
          </w:pPr>
          <w:r>
            <w:rPr>
              <w:sz w:val="24"/>
              <w:szCs w:val="24"/>
            </w:rPr>
            <w:t>[21]</w:t>
          </w:r>
          <w:r>
            <w:rPr>
              <w:sz w:val="24"/>
              <w:szCs w:val="24"/>
            </w:rPr>
            <w:tab/>
          </w:r>
          <w:r w:rsidR="00077597" w:rsidRPr="0003119E">
            <w:rPr>
              <w:sz w:val="24"/>
              <w:szCs w:val="24"/>
            </w:rPr>
            <w:t xml:space="preserve">These sections provide </w:t>
          </w:r>
          <w:r w:rsidR="00A66117" w:rsidRPr="0003119E">
            <w:rPr>
              <w:sz w:val="24"/>
              <w:szCs w:val="24"/>
            </w:rPr>
            <w:t xml:space="preserve">in relevant part:  </w:t>
          </w:r>
        </w:p>
        <w:p w:rsidR="00944960" w:rsidRPr="0003119E" w:rsidRDefault="00944960" w:rsidP="00975D08">
          <w:pPr>
            <w:spacing w:line="360" w:lineRule="auto"/>
            <w:ind w:left="567" w:hanging="141"/>
            <w:rPr>
              <w:sz w:val="16"/>
              <w:szCs w:val="16"/>
            </w:rPr>
          </w:pPr>
        </w:p>
        <w:p w:rsidR="00944960" w:rsidRDefault="00077597" w:rsidP="0003119E">
          <w:pPr>
            <w:spacing w:line="360" w:lineRule="auto"/>
            <w:ind w:left="709"/>
            <w:rPr>
              <w:i/>
              <w:sz w:val="24"/>
              <w:szCs w:val="24"/>
            </w:rPr>
          </w:pPr>
          <w:r>
            <w:rPr>
              <w:i/>
              <w:sz w:val="24"/>
              <w:szCs w:val="24"/>
            </w:rPr>
            <w:t>“</w:t>
          </w:r>
          <w:r w:rsidR="00944960">
            <w:rPr>
              <w:i/>
              <w:sz w:val="24"/>
              <w:szCs w:val="24"/>
            </w:rPr>
            <w:t xml:space="preserve">34 (1) The directors of the company shall have power to do all acts on its behalf which are necessary for or incidental to the promotion and carrying on of its </w:t>
          </w:r>
          <w:r w:rsidR="00725087">
            <w:rPr>
              <w:i/>
              <w:sz w:val="24"/>
              <w:szCs w:val="24"/>
            </w:rPr>
            <w:t>business</w:t>
          </w:r>
          <w:r w:rsidR="00944960">
            <w:rPr>
              <w:i/>
              <w:sz w:val="24"/>
              <w:szCs w:val="24"/>
            </w:rPr>
            <w:t xml:space="preserve"> as s</w:t>
          </w:r>
          <w:r w:rsidR="00725087">
            <w:rPr>
              <w:i/>
              <w:sz w:val="24"/>
              <w:szCs w:val="24"/>
            </w:rPr>
            <w:t>t</w:t>
          </w:r>
          <w:r w:rsidR="00944960">
            <w:rPr>
              <w:i/>
              <w:sz w:val="24"/>
              <w:szCs w:val="24"/>
            </w:rPr>
            <w:t>ated in its memorandum…</w:t>
          </w:r>
        </w:p>
        <w:p w:rsidR="00F00C6C" w:rsidRPr="0003119E" w:rsidRDefault="00F00C6C" w:rsidP="0003119E">
          <w:pPr>
            <w:spacing w:line="360" w:lineRule="auto"/>
            <w:ind w:left="709"/>
            <w:rPr>
              <w:i/>
              <w:sz w:val="18"/>
              <w:szCs w:val="18"/>
            </w:rPr>
          </w:pPr>
        </w:p>
        <w:p w:rsidR="00944960" w:rsidRDefault="00944960" w:rsidP="0003119E">
          <w:pPr>
            <w:spacing w:line="360" w:lineRule="auto"/>
            <w:ind w:left="709"/>
            <w:rPr>
              <w:i/>
              <w:sz w:val="24"/>
              <w:szCs w:val="24"/>
            </w:rPr>
          </w:pPr>
          <w:r>
            <w:rPr>
              <w:i/>
              <w:sz w:val="24"/>
              <w:szCs w:val="24"/>
            </w:rPr>
            <w:t>Third Schedule</w:t>
          </w:r>
          <w:r w:rsidR="006A00C5">
            <w:rPr>
              <w:i/>
              <w:sz w:val="24"/>
              <w:szCs w:val="24"/>
            </w:rPr>
            <w:t>,</w:t>
          </w:r>
          <w:r>
            <w:rPr>
              <w:i/>
              <w:sz w:val="24"/>
              <w:szCs w:val="24"/>
            </w:rPr>
            <w:t xml:space="preserve"> Rule</w:t>
          </w:r>
          <w:r w:rsidR="00725087">
            <w:rPr>
              <w:i/>
              <w:sz w:val="24"/>
              <w:szCs w:val="24"/>
            </w:rPr>
            <w:t xml:space="preserve"> </w:t>
          </w:r>
          <w:r>
            <w:rPr>
              <w:i/>
              <w:sz w:val="24"/>
              <w:szCs w:val="24"/>
            </w:rPr>
            <w:t>2</w:t>
          </w:r>
          <w:r w:rsidR="006A00C5">
            <w:rPr>
              <w:i/>
              <w:sz w:val="24"/>
              <w:szCs w:val="24"/>
            </w:rPr>
            <w:t>:</w:t>
          </w:r>
          <w:r>
            <w:rPr>
              <w:i/>
              <w:sz w:val="24"/>
              <w:szCs w:val="24"/>
            </w:rPr>
            <w:t xml:space="preserve"> </w:t>
          </w:r>
          <w:r w:rsidR="00DD568D">
            <w:rPr>
              <w:i/>
              <w:sz w:val="24"/>
              <w:szCs w:val="24"/>
            </w:rPr>
            <w:t>Implied Powers of Directors…</w:t>
          </w:r>
          <w:r>
            <w:rPr>
              <w:i/>
              <w:sz w:val="24"/>
              <w:szCs w:val="24"/>
            </w:rPr>
            <w:t xml:space="preserve"> </w:t>
          </w:r>
          <w:r w:rsidR="00077597">
            <w:rPr>
              <w:i/>
              <w:sz w:val="24"/>
              <w:szCs w:val="24"/>
            </w:rPr>
            <w:t xml:space="preserve">To bring or defend in any proceedings in any court in the name or on </w:t>
          </w:r>
          <w:r w:rsidR="00F00C6C">
            <w:rPr>
              <w:i/>
              <w:sz w:val="24"/>
              <w:szCs w:val="24"/>
            </w:rPr>
            <w:t xml:space="preserve">behalf </w:t>
          </w:r>
          <w:r w:rsidR="00077597">
            <w:rPr>
              <w:i/>
              <w:sz w:val="24"/>
              <w:szCs w:val="24"/>
            </w:rPr>
            <w:t xml:space="preserve">of the </w:t>
          </w:r>
          <w:r w:rsidR="00F00C6C">
            <w:rPr>
              <w:i/>
              <w:sz w:val="24"/>
              <w:szCs w:val="24"/>
            </w:rPr>
            <w:t>company</w:t>
          </w:r>
          <w:r w:rsidR="00077597">
            <w:rPr>
              <w:i/>
              <w:sz w:val="24"/>
              <w:szCs w:val="24"/>
            </w:rPr>
            <w:t xml:space="preserve">, to intervene in the </w:t>
          </w:r>
          <w:r w:rsidR="00F00C6C">
            <w:rPr>
              <w:i/>
              <w:sz w:val="24"/>
              <w:szCs w:val="24"/>
            </w:rPr>
            <w:t>company’s</w:t>
          </w:r>
          <w:r w:rsidR="00077597">
            <w:rPr>
              <w:i/>
              <w:sz w:val="24"/>
              <w:szCs w:val="24"/>
            </w:rPr>
            <w:t xml:space="preserve"> n</w:t>
          </w:r>
          <w:r w:rsidR="00F00C6C">
            <w:rPr>
              <w:i/>
              <w:sz w:val="24"/>
              <w:szCs w:val="24"/>
            </w:rPr>
            <w:t>a</w:t>
          </w:r>
          <w:r w:rsidR="00077597">
            <w:rPr>
              <w:i/>
              <w:sz w:val="24"/>
              <w:szCs w:val="24"/>
            </w:rPr>
            <w:t>me or on its behalf in any proceedings brought by other persons…”</w:t>
          </w:r>
        </w:p>
        <w:p w:rsidR="00F00C6C" w:rsidRDefault="00F00C6C" w:rsidP="0003119E">
          <w:pPr>
            <w:spacing w:line="360" w:lineRule="auto"/>
            <w:ind w:left="709" w:hanging="141"/>
            <w:rPr>
              <w:i/>
              <w:sz w:val="24"/>
              <w:szCs w:val="24"/>
            </w:rPr>
          </w:pPr>
        </w:p>
        <w:p w:rsidR="00F00C6C" w:rsidRPr="00F00C6C" w:rsidRDefault="00F00C6C" w:rsidP="0003119E">
          <w:pPr>
            <w:spacing w:line="360" w:lineRule="auto"/>
            <w:ind w:left="709"/>
            <w:rPr>
              <w:i/>
              <w:sz w:val="24"/>
              <w:szCs w:val="24"/>
              <w:u w:val="single"/>
            </w:rPr>
          </w:pPr>
          <w:r>
            <w:rPr>
              <w:i/>
              <w:sz w:val="24"/>
              <w:szCs w:val="24"/>
            </w:rPr>
            <w:t xml:space="preserve">34 (3) Without prejudice to the generality of the foregoing, the directors of a company, </w:t>
          </w:r>
          <w:r w:rsidRPr="00F00C6C">
            <w:rPr>
              <w:i/>
              <w:sz w:val="24"/>
              <w:szCs w:val="24"/>
              <w:u w:val="single"/>
            </w:rPr>
            <w:t>each director of a proprietary company and each man</w:t>
          </w:r>
          <w:r w:rsidR="00312805">
            <w:rPr>
              <w:i/>
              <w:sz w:val="24"/>
              <w:szCs w:val="24"/>
              <w:u w:val="single"/>
            </w:rPr>
            <w:t>a</w:t>
          </w:r>
          <w:r w:rsidRPr="00F00C6C">
            <w:rPr>
              <w:i/>
              <w:sz w:val="24"/>
              <w:szCs w:val="24"/>
              <w:u w:val="single"/>
            </w:rPr>
            <w:t xml:space="preserve">ging director of </w:t>
          </w:r>
          <w:r>
            <w:rPr>
              <w:i/>
              <w:sz w:val="24"/>
              <w:szCs w:val="24"/>
              <w:u w:val="single"/>
            </w:rPr>
            <w:t>any other company shall… have power to do the acts specified in the Third Schedule…”(Emphasis ours)</w:t>
          </w:r>
        </w:p>
        <w:p w:rsidR="00F00C6C" w:rsidRPr="00944960" w:rsidRDefault="00F00C6C" w:rsidP="00975D08">
          <w:pPr>
            <w:spacing w:line="360" w:lineRule="auto"/>
            <w:ind w:left="567" w:hanging="141"/>
            <w:rPr>
              <w:i/>
              <w:sz w:val="24"/>
              <w:szCs w:val="24"/>
            </w:rPr>
          </w:pPr>
        </w:p>
        <w:p w:rsidR="00566C40" w:rsidRDefault="0003119E" w:rsidP="0003119E">
          <w:pPr>
            <w:pStyle w:val="JudgmentText"/>
            <w:numPr>
              <w:ilvl w:val="0"/>
              <w:numId w:val="0"/>
            </w:numPr>
            <w:ind w:left="720" w:hanging="720"/>
          </w:pPr>
          <w:r>
            <w:t>[22]</w:t>
          </w:r>
          <w:r>
            <w:tab/>
          </w:r>
          <w:r w:rsidR="00566C40">
            <w:t xml:space="preserve">It is </w:t>
          </w:r>
          <w:proofErr w:type="spellStart"/>
          <w:r w:rsidR="00566C40">
            <w:t>Mr.</w:t>
          </w:r>
          <w:proofErr w:type="spellEnd"/>
          <w:r w:rsidR="00566C40">
            <w:t xml:space="preserve"> Hoareau’s submission therefore</w:t>
          </w:r>
          <w:r w:rsidR="00312805">
            <w:t>,</w:t>
          </w:r>
          <w:r w:rsidR="00566C40">
            <w:t xml:space="preserve"> that in the case of </w:t>
          </w:r>
          <w:r w:rsidR="00312805">
            <w:t xml:space="preserve">a </w:t>
          </w:r>
          <w:r w:rsidR="00FA7FE9">
            <w:t>non-</w:t>
          </w:r>
          <w:r w:rsidR="00566C40">
            <w:t xml:space="preserve">proprietary company it is the managing director who can act on behalf of the company. Notwithstanding, he has </w:t>
          </w:r>
          <w:r w:rsidR="00566C40">
            <w:lastRenderedPageBreak/>
            <w:t>also argued that the proper place of service for a company is at its registered address. In this case, the 4</w:t>
          </w:r>
          <w:r w:rsidR="00566C40" w:rsidRPr="00566C40">
            <w:rPr>
              <w:vertAlign w:val="superscript"/>
            </w:rPr>
            <w:t>th</w:t>
          </w:r>
          <w:r w:rsidR="00566C40">
            <w:t xml:space="preserve"> Respondent, </w:t>
          </w:r>
          <w:proofErr w:type="spellStart"/>
          <w:r w:rsidR="00566C40">
            <w:t>Reem</w:t>
          </w:r>
          <w:proofErr w:type="spellEnd"/>
          <w:r w:rsidR="00566C40">
            <w:t xml:space="preserve"> Limited, is not a proprietary company and it was not proper to serve Mr. Rassool.</w:t>
          </w:r>
        </w:p>
        <w:p w:rsidR="00566C40" w:rsidRDefault="0003119E" w:rsidP="0003119E">
          <w:pPr>
            <w:pStyle w:val="JudgmentText"/>
            <w:numPr>
              <w:ilvl w:val="0"/>
              <w:numId w:val="0"/>
            </w:numPr>
            <w:ind w:left="720" w:hanging="720"/>
          </w:pPr>
          <w:r>
            <w:t>[23]</w:t>
          </w:r>
          <w:r>
            <w:tab/>
          </w:r>
          <w:r w:rsidR="00201976">
            <w:t>Neither the Companies Act nor t</w:t>
          </w:r>
          <w:r w:rsidR="00566C40">
            <w:t xml:space="preserve">he Seychelles Code of Civil Procedure specifically provide for service on companies. In </w:t>
          </w:r>
          <w:r w:rsidR="00312805">
            <w:t>the absence of such provisions,</w:t>
          </w:r>
          <w:r w:rsidR="00566C40">
            <w:t xml:space="preserve"> Mr. Hoareau has relied on the Rules of the Supreme Court of England (White Book) as is directed by </w:t>
          </w:r>
          <w:r w:rsidR="00FA7FE9">
            <w:t>section 17 of the Courts</w:t>
          </w:r>
          <w:r w:rsidR="00566C40">
            <w:t xml:space="preserve"> </w:t>
          </w:r>
          <w:r w:rsidR="00EB75A4">
            <w:t xml:space="preserve">Act. </w:t>
          </w:r>
          <w:r w:rsidR="00FA7FE9">
            <w:t>He st</w:t>
          </w:r>
          <w:r w:rsidR="00201976">
            <w:t>a</w:t>
          </w:r>
          <w:r w:rsidR="00FA7FE9">
            <w:t xml:space="preserve">tes that Order 65 Rule 3 of the </w:t>
          </w:r>
          <w:r w:rsidR="00201976">
            <w:t>W</w:t>
          </w:r>
          <w:r w:rsidR="00FA7FE9">
            <w:t>hite Book</w:t>
          </w:r>
          <w:r w:rsidR="006A4425">
            <w:t xml:space="preserve"> (1970 </w:t>
          </w:r>
          <w:proofErr w:type="spellStart"/>
          <w:r w:rsidR="006A4425">
            <w:t>edn</w:t>
          </w:r>
          <w:proofErr w:type="spellEnd"/>
          <w:r w:rsidR="006A4425">
            <w:t>)</w:t>
          </w:r>
          <w:r w:rsidR="00FA7FE9">
            <w:t xml:space="preserve"> provides that every com</w:t>
          </w:r>
          <w:r w:rsidR="00201976">
            <w:t>p</w:t>
          </w:r>
          <w:r w:rsidR="00FA7FE9">
            <w:t xml:space="preserve">any having a registered office may be served with </w:t>
          </w:r>
          <w:r w:rsidR="00201976">
            <w:t>a</w:t>
          </w:r>
          <w:r w:rsidR="00FA7FE9">
            <w:t xml:space="preserve">ny document by leaving it at or sending it by post to the registered office of </w:t>
          </w:r>
          <w:r w:rsidR="00201976">
            <w:t xml:space="preserve">the company. </w:t>
          </w:r>
        </w:p>
        <w:p w:rsidR="00201976" w:rsidRDefault="0003119E" w:rsidP="0003119E">
          <w:pPr>
            <w:pStyle w:val="JudgmentText"/>
            <w:numPr>
              <w:ilvl w:val="0"/>
              <w:numId w:val="0"/>
            </w:numPr>
            <w:ind w:left="720" w:hanging="720"/>
          </w:pPr>
          <w:r>
            <w:t>[24]</w:t>
          </w:r>
          <w:r>
            <w:tab/>
          </w:r>
          <w:r w:rsidR="00201976">
            <w:t xml:space="preserve">He has further referred the </w:t>
          </w:r>
          <w:r w:rsidR="00312805">
            <w:t>C</w:t>
          </w:r>
          <w:r w:rsidR="00201976">
            <w:t xml:space="preserve">ourt to section 55(1) (d) of the Interpretation and General Provisions Act which provides in relevant part: </w:t>
          </w:r>
        </w:p>
        <w:p w:rsidR="00201976" w:rsidRDefault="00201976" w:rsidP="0003119E">
          <w:pPr>
            <w:pStyle w:val="JudgmentText"/>
            <w:numPr>
              <w:ilvl w:val="0"/>
              <w:numId w:val="0"/>
            </w:numPr>
            <w:ind w:left="709"/>
            <w:rPr>
              <w:i/>
            </w:rPr>
          </w:pPr>
          <w:r>
            <w:rPr>
              <w:i/>
            </w:rPr>
            <w:t xml:space="preserve">“(1) </w:t>
          </w:r>
          <w:proofErr w:type="gramStart"/>
          <w:r>
            <w:rPr>
              <w:i/>
            </w:rPr>
            <w:t>A</w:t>
          </w:r>
          <w:proofErr w:type="gramEnd"/>
          <w:r>
            <w:rPr>
              <w:i/>
            </w:rPr>
            <w:t xml:space="preserve"> document or notice required or permitted to be served on …</w:t>
          </w:r>
        </w:p>
        <w:p w:rsidR="00201976" w:rsidRPr="00201976" w:rsidRDefault="00201976" w:rsidP="0003119E">
          <w:pPr>
            <w:pStyle w:val="JudgmentText"/>
            <w:numPr>
              <w:ilvl w:val="0"/>
              <w:numId w:val="0"/>
            </w:numPr>
            <w:ind w:left="709"/>
            <w:rPr>
              <w:i/>
            </w:rPr>
          </w:pPr>
          <w:r>
            <w:rPr>
              <w:i/>
            </w:rPr>
            <w:t xml:space="preserve">(d) in the case of a body corporate, </w:t>
          </w:r>
          <w:r w:rsidRPr="00201976">
            <w:rPr>
              <w:i/>
            </w:rPr>
            <w:t>by leaving it at or sending it by post to the registered or principal office of the body corporate</w:t>
          </w:r>
          <w:r>
            <w:rPr>
              <w:i/>
            </w:rPr>
            <w:t>..”</w:t>
          </w:r>
        </w:p>
        <w:p w:rsidR="00312805" w:rsidRDefault="0003119E" w:rsidP="0003119E">
          <w:pPr>
            <w:pStyle w:val="JudgmentText"/>
            <w:numPr>
              <w:ilvl w:val="0"/>
              <w:numId w:val="0"/>
            </w:numPr>
            <w:ind w:left="720" w:hanging="720"/>
          </w:pPr>
          <w:r>
            <w:t>[25]</w:t>
          </w:r>
          <w:r>
            <w:tab/>
          </w:r>
          <w:r w:rsidR="00312805">
            <w:t xml:space="preserve">Given the provisions of section 55 </w:t>
          </w:r>
          <w:r w:rsidR="00BC304A">
            <w:t xml:space="preserve">of the Act, </w:t>
          </w:r>
          <w:r w:rsidR="00312805">
            <w:t xml:space="preserve">we are </w:t>
          </w:r>
          <w:r w:rsidR="00BC304A">
            <w:t>o</w:t>
          </w:r>
          <w:r w:rsidR="00312805">
            <w:t xml:space="preserve">f the view that there was no need to resort to the laws of England. </w:t>
          </w:r>
          <w:r w:rsidR="00BC304A">
            <w:t>Further, w</w:t>
          </w:r>
          <w:r w:rsidR="00201976">
            <w:t xml:space="preserve">e are not persuaded by Mr. Boullé’s submission in which </w:t>
          </w:r>
          <w:r w:rsidR="00BC304A">
            <w:t xml:space="preserve">he </w:t>
          </w:r>
          <w:r w:rsidR="00201976">
            <w:t xml:space="preserve">has relied on section 38 of the Companies Act (supra). </w:t>
          </w:r>
          <w:r w:rsidR="00944960">
            <w:t>Rule 5 (b) of the Companies (Supreme Court Proceedings) Rules 1972</w:t>
          </w:r>
          <w:r w:rsidR="00201976">
            <w:t xml:space="preserve"> provides that</w:t>
          </w:r>
          <w:r w:rsidR="00944960">
            <w:t xml:space="preserve"> in petitions made pursuant to the Companies Act, the Court may by order give directions</w:t>
          </w:r>
          <w:r w:rsidR="00312805">
            <w:t>:</w:t>
          </w:r>
          <w:r w:rsidR="00944960">
            <w:t xml:space="preserve"> </w:t>
          </w:r>
        </w:p>
        <w:p w:rsidR="00312805" w:rsidRDefault="00725087" w:rsidP="0003119E">
          <w:pPr>
            <w:pStyle w:val="JudgmentText"/>
            <w:numPr>
              <w:ilvl w:val="0"/>
              <w:numId w:val="0"/>
            </w:numPr>
            <w:ind w:left="709"/>
            <w:rPr>
              <w:i/>
            </w:rPr>
          </w:pPr>
          <w:r w:rsidRPr="00312805">
            <w:rPr>
              <w:i/>
            </w:rPr>
            <w:t>“</w:t>
          </w:r>
          <w:proofErr w:type="gramStart"/>
          <w:r w:rsidRPr="00312805">
            <w:rPr>
              <w:i/>
            </w:rPr>
            <w:t>as</w:t>
          </w:r>
          <w:proofErr w:type="gramEnd"/>
          <w:r w:rsidR="00944960" w:rsidRPr="00312805">
            <w:rPr>
              <w:i/>
            </w:rPr>
            <w:t xml:space="preserve"> to the manner i</w:t>
          </w:r>
          <w:r w:rsidRPr="00312805">
            <w:rPr>
              <w:i/>
            </w:rPr>
            <w:t>n which</w:t>
          </w:r>
          <w:r w:rsidR="00944960" w:rsidRPr="00312805">
            <w:rPr>
              <w:i/>
            </w:rPr>
            <w:t xml:space="preserve"> service shall be effect</w:t>
          </w:r>
          <w:r w:rsidRPr="00312805">
            <w:rPr>
              <w:i/>
            </w:rPr>
            <w:t xml:space="preserve">ed </w:t>
          </w:r>
          <w:r w:rsidR="00944960" w:rsidRPr="00312805">
            <w:rPr>
              <w:i/>
            </w:rPr>
            <w:t xml:space="preserve">on any party, including service by </w:t>
          </w:r>
          <w:r w:rsidRPr="00312805">
            <w:rPr>
              <w:i/>
            </w:rPr>
            <w:t xml:space="preserve">newspaper advertisement.” </w:t>
          </w:r>
        </w:p>
        <w:p w:rsidR="00725087" w:rsidRPr="00312805" w:rsidRDefault="00725087" w:rsidP="0003119E">
          <w:pPr>
            <w:pStyle w:val="JudgmentText"/>
            <w:numPr>
              <w:ilvl w:val="0"/>
              <w:numId w:val="0"/>
            </w:numPr>
            <w:ind w:left="709"/>
          </w:pPr>
          <w:r w:rsidRPr="00312805">
            <w:t xml:space="preserve">Rule 5 also makes a distinction between summons and notices. </w:t>
          </w:r>
        </w:p>
        <w:p w:rsidR="00725087" w:rsidRDefault="0003119E" w:rsidP="0003119E">
          <w:pPr>
            <w:pStyle w:val="JudgmentText"/>
            <w:numPr>
              <w:ilvl w:val="0"/>
              <w:numId w:val="0"/>
            </w:numPr>
            <w:ind w:left="720" w:hanging="720"/>
          </w:pPr>
          <w:r>
            <w:t>[26]</w:t>
          </w:r>
          <w:r>
            <w:tab/>
          </w:r>
          <w:r w:rsidR="00725087">
            <w:t xml:space="preserve">There is a world of difference between a notice under the </w:t>
          </w:r>
          <w:r w:rsidR="00201976">
            <w:t>C</w:t>
          </w:r>
          <w:r w:rsidR="00725087">
            <w:t>ompanies Act and a court summons. Notices in terms of the Companies Act refer to notices of meeting</w:t>
          </w:r>
          <w:r w:rsidR="00312805">
            <w:t>s</w:t>
          </w:r>
          <w:r w:rsidR="00725087">
            <w:t>, resolutions and incidental company matters.</w:t>
          </w:r>
          <w:r w:rsidR="00DD568D">
            <w:t xml:space="preserve"> A court summons</w:t>
          </w:r>
          <w:r w:rsidR="00077597">
            <w:t xml:space="preserve"> is a</w:t>
          </w:r>
          <w:r w:rsidR="00077597" w:rsidRPr="00077597">
            <w:t xml:space="preserve"> legal process command</w:t>
          </w:r>
          <w:r w:rsidR="00077597">
            <w:t>ing</w:t>
          </w:r>
          <w:r w:rsidR="00077597" w:rsidRPr="00077597">
            <w:t xml:space="preserve"> the defendant to appear before the court on a specific day and to answer </w:t>
          </w:r>
          <w:r w:rsidR="00077597">
            <w:t>specific</w:t>
          </w:r>
          <w:r w:rsidR="00077597" w:rsidRPr="00077597">
            <w:t xml:space="preserve"> complaint</w:t>
          </w:r>
          <w:r w:rsidR="00077597">
            <w:t>s</w:t>
          </w:r>
          <w:r w:rsidR="00077597" w:rsidRPr="00077597">
            <w:t xml:space="preserve"> made by the plaintiff.</w:t>
          </w:r>
          <w:r w:rsidR="00201976">
            <w:t xml:space="preserve"> </w:t>
          </w:r>
        </w:p>
        <w:p w:rsidR="00DD568D" w:rsidRDefault="0003119E" w:rsidP="0003119E">
          <w:pPr>
            <w:pStyle w:val="JudgmentText"/>
            <w:numPr>
              <w:ilvl w:val="0"/>
              <w:numId w:val="0"/>
            </w:numPr>
            <w:ind w:left="720" w:hanging="720"/>
          </w:pPr>
          <w:r>
            <w:lastRenderedPageBreak/>
            <w:t>[27]</w:t>
          </w:r>
          <w:r>
            <w:tab/>
          </w:r>
          <w:r w:rsidR="00DD568D">
            <w:t xml:space="preserve">It is </w:t>
          </w:r>
          <w:r w:rsidR="00077597">
            <w:t xml:space="preserve">also </w:t>
          </w:r>
          <w:r w:rsidR="00DD568D">
            <w:t xml:space="preserve">trite that parties who </w:t>
          </w:r>
          <w:r w:rsidR="00725087">
            <w:t>are affected by a</w:t>
          </w:r>
          <w:r w:rsidR="00DD568D">
            <w:t>n application to a court be given a chance to make representations.</w:t>
          </w:r>
          <w:r w:rsidR="00077597">
            <w:t xml:space="preserve"> </w:t>
          </w:r>
          <w:r w:rsidR="006644C4">
            <w:t xml:space="preserve">Courts are not permitted to lock litigants out of the court process. </w:t>
          </w:r>
          <w:r w:rsidR="00DD568D">
            <w:t>The Seychelles Code of Civil Procedure provides extensively for summonses to be issued. These provision</w:t>
          </w:r>
          <w:r w:rsidR="006F5D6A">
            <w:t>s</w:t>
          </w:r>
          <w:r w:rsidR="00DD568D">
            <w:t xml:space="preserve"> are mandatory as is illustrated in section 30 of the Act, vide: </w:t>
          </w:r>
        </w:p>
        <w:p w:rsidR="006A4425" w:rsidRDefault="006F5D6A" w:rsidP="0003119E">
          <w:pPr>
            <w:pStyle w:val="JudgmentText"/>
            <w:numPr>
              <w:ilvl w:val="0"/>
              <w:numId w:val="0"/>
            </w:numPr>
            <w:ind w:left="709"/>
          </w:pPr>
          <w:r>
            <w:rPr>
              <w:i/>
            </w:rPr>
            <w:t>“</w:t>
          </w:r>
          <w:r w:rsidR="00DD568D" w:rsidRPr="00DD568D">
            <w:rPr>
              <w:i/>
            </w:rPr>
            <w:t xml:space="preserve">When the plaint has been entered…the Registrar </w:t>
          </w:r>
          <w:r w:rsidR="00DD568D" w:rsidRPr="00DD568D">
            <w:rPr>
              <w:i/>
              <w:u w:val="single"/>
            </w:rPr>
            <w:t>shall</w:t>
          </w:r>
          <w:r w:rsidR="00DD568D" w:rsidRPr="00DD568D">
            <w:rPr>
              <w:i/>
            </w:rPr>
            <w:t xml:space="preserve"> issue a summons…to each defendant</w:t>
          </w:r>
          <w:r w:rsidR="00DD568D">
            <w:rPr>
              <w:i/>
            </w:rPr>
            <w:t>.</w:t>
          </w:r>
          <w:r>
            <w:rPr>
              <w:i/>
            </w:rPr>
            <w:t>”</w:t>
          </w:r>
          <w:r w:rsidR="00DD568D">
            <w:rPr>
              <w:i/>
            </w:rPr>
            <w:t xml:space="preserve"> (Emphasis ours) </w:t>
          </w:r>
        </w:p>
        <w:p w:rsidR="006A4425" w:rsidRDefault="0003119E" w:rsidP="0003119E">
          <w:pPr>
            <w:pStyle w:val="JudgmentText"/>
            <w:numPr>
              <w:ilvl w:val="0"/>
              <w:numId w:val="0"/>
            </w:numPr>
            <w:ind w:left="720" w:hanging="720"/>
          </w:pPr>
          <w:r>
            <w:t>[28]</w:t>
          </w:r>
          <w:r>
            <w:tab/>
          </w:r>
          <w:r w:rsidR="006A4425">
            <w:t>Moreover</w:t>
          </w:r>
          <w:r w:rsidR="006F5D6A">
            <w:t>,</w:t>
          </w:r>
          <w:r w:rsidR="006A4425">
            <w:t xml:space="preserve"> the same mandatory language is used in the Constitutional Court (Application, Contravention, Enforcement or Interpretation of the Constitution) Rules which provides at Rule 8:</w:t>
          </w:r>
        </w:p>
        <w:p w:rsidR="006A4425" w:rsidRDefault="006F5D6A" w:rsidP="0003119E">
          <w:pPr>
            <w:pStyle w:val="JudgmentText"/>
            <w:numPr>
              <w:ilvl w:val="0"/>
              <w:numId w:val="0"/>
            </w:numPr>
            <w:ind w:left="709"/>
          </w:pPr>
          <w:r>
            <w:rPr>
              <w:i/>
            </w:rPr>
            <w:t>“</w:t>
          </w:r>
          <w:r w:rsidR="006A4425" w:rsidRPr="006A4425">
            <w:rPr>
              <w:i/>
            </w:rPr>
            <w:t xml:space="preserve">After the petitioner has complied with the Rules, the Registrar </w:t>
          </w:r>
          <w:r w:rsidR="006A4425" w:rsidRPr="001161CE">
            <w:rPr>
              <w:i/>
              <w:u w:val="single"/>
            </w:rPr>
            <w:t>shall</w:t>
          </w:r>
          <w:r w:rsidR="006A4425" w:rsidRPr="006A4425">
            <w:rPr>
              <w:i/>
            </w:rPr>
            <w:t xml:space="preserve"> issue notice on the respondents fixing a date and time for their appearance</w:t>
          </w:r>
          <w:r w:rsidR="006A4425" w:rsidRPr="006A4425">
            <w:t>.</w:t>
          </w:r>
          <w:r>
            <w:t>”</w:t>
          </w:r>
          <w:r w:rsidR="006A4425">
            <w:t xml:space="preserve"> </w:t>
          </w:r>
        </w:p>
        <w:p w:rsidR="006A4425" w:rsidRDefault="006A4425" w:rsidP="0003119E">
          <w:pPr>
            <w:pStyle w:val="JudgmentText"/>
            <w:numPr>
              <w:ilvl w:val="0"/>
              <w:numId w:val="0"/>
            </w:numPr>
            <w:ind w:left="709"/>
          </w:pPr>
          <w:r>
            <w:t>All these provisions uphold the constitutional right to a fair hearing and compliance with the rules of natural justice. In this suit</w:t>
          </w:r>
          <w:r w:rsidR="001161CE">
            <w:t>,</w:t>
          </w:r>
          <w:r>
            <w:t xml:space="preserve"> the observance of </w:t>
          </w:r>
          <w:r w:rsidR="001161CE">
            <w:t xml:space="preserve">rights and </w:t>
          </w:r>
          <w:r>
            <w:t>rules is even more required given the potential expropriation of the person affected by a decision of the court who may wish to vindicate his constitutional right to property. More so when the 1</w:t>
          </w:r>
          <w:r w:rsidRPr="006A4425">
            <w:rPr>
              <w:vertAlign w:val="superscript"/>
            </w:rPr>
            <w:t>st</w:t>
          </w:r>
          <w:r>
            <w:t xml:space="preserve"> Respondent was himself expropriated. </w:t>
          </w:r>
        </w:p>
        <w:p w:rsidR="00B51614" w:rsidRDefault="0003119E" w:rsidP="0003119E">
          <w:pPr>
            <w:pStyle w:val="JudgmentText"/>
            <w:numPr>
              <w:ilvl w:val="0"/>
              <w:numId w:val="0"/>
            </w:numPr>
            <w:ind w:left="720" w:hanging="720"/>
          </w:pPr>
          <w:r>
            <w:t>[29]</w:t>
          </w:r>
          <w:r>
            <w:tab/>
          </w:r>
          <w:r w:rsidR="006A4425">
            <w:t>In regard to the 2</w:t>
          </w:r>
          <w:r w:rsidR="006A4425" w:rsidRPr="006A4425">
            <w:rPr>
              <w:vertAlign w:val="superscript"/>
            </w:rPr>
            <w:t>nd</w:t>
          </w:r>
          <w:r w:rsidR="006A4425">
            <w:t xml:space="preserve"> and 3</w:t>
          </w:r>
          <w:r w:rsidR="006A4425" w:rsidRPr="006A4425">
            <w:rPr>
              <w:vertAlign w:val="superscript"/>
            </w:rPr>
            <w:t>rd</w:t>
          </w:r>
          <w:r w:rsidR="006A4425">
            <w:t xml:space="preserve"> Respondents, it has been submitted on their </w:t>
          </w:r>
          <w:r w:rsidR="001161CE">
            <w:t>behalf by</w:t>
          </w:r>
          <w:r w:rsidR="006A4425">
            <w:t xml:space="preserve"> Mr. Ally</w:t>
          </w:r>
          <w:r w:rsidR="002B62AA">
            <w:t>,</w:t>
          </w:r>
          <w:r w:rsidR="006A4425">
            <w:t xml:space="preserve"> that as heirs of the </w:t>
          </w:r>
          <w:r w:rsidR="002B62AA">
            <w:t>original</w:t>
          </w:r>
          <w:r w:rsidR="006A4425">
            <w:t xml:space="preserve"> owner of the land in question</w:t>
          </w:r>
          <w:r w:rsidR="002B62AA">
            <w:t xml:space="preserve"> and</w:t>
          </w:r>
          <w:r w:rsidR="001161CE">
            <w:t xml:space="preserve"> as</w:t>
          </w:r>
          <w:r w:rsidR="002B62AA">
            <w:t xml:space="preserve"> </w:t>
          </w:r>
          <w:r w:rsidR="001161CE">
            <w:t xml:space="preserve">the new co-owners of the property </w:t>
          </w:r>
          <w:r w:rsidR="006F5D6A">
            <w:t>concerned</w:t>
          </w:r>
          <w:r w:rsidR="001161CE">
            <w:t xml:space="preserve">, </w:t>
          </w:r>
          <w:r w:rsidR="002B62AA">
            <w:t xml:space="preserve">no service was ever effected on them. </w:t>
          </w:r>
        </w:p>
        <w:p w:rsidR="00B51614" w:rsidRDefault="0003119E" w:rsidP="0003119E">
          <w:pPr>
            <w:pStyle w:val="JudgmentText"/>
            <w:numPr>
              <w:ilvl w:val="0"/>
              <w:numId w:val="0"/>
            </w:numPr>
            <w:ind w:left="720" w:hanging="720"/>
          </w:pPr>
          <w:r>
            <w:t>[30]</w:t>
          </w:r>
          <w:r>
            <w:tab/>
          </w:r>
          <w:r w:rsidR="00B51614">
            <w:t xml:space="preserve">The court transcript shows that in the proceedings of 28th July 2015, Mr. </w:t>
          </w:r>
          <w:r w:rsidR="00B51614">
            <w:br/>
            <w:t>Boullé sought leave of the court</w:t>
          </w:r>
          <w:r w:rsidR="00AB67F0">
            <w:t xml:space="preserve"> </w:t>
          </w:r>
          <w:r w:rsidR="00B51614">
            <w:t xml:space="preserve">to have an advertisement in the paper by way of notice both in Seychelles and Belgium. The Constitutional Court stated that the procedure sought for was unknown in the Seychelles Code of Civil Procedure and instead advised him to either apply for the appointment </w:t>
          </w:r>
          <w:r w:rsidR="001161CE">
            <w:t>of the</w:t>
          </w:r>
          <w:r w:rsidR="00B51614">
            <w:t xml:space="preserve"> Curator of Vacant Estate to represent the absentees</w:t>
          </w:r>
          <w:r w:rsidR="001161CE">
            <w:t xml:space="preserve"> or to</w:t>
          </w:r>
          <w:r w:rsidR="00B51614">
            <w:t xml:space="preserve"> apply for substituted service by affixing the notice </w:t>
          </w:r>
          <w:r w:rsidR="001161CE">
            <w:t xml:space="preserve">of the suit </w:t>
          </w:r>
          <w:r w:rsidR="00B51614">
            <w:t xml:space="preserve">on a conspicuous place where the </w:t>
          </w:r>
          <w:r w:rsidR="001161CE">
            <w:t>R</w:t>
          </w:r>
          <w:r w:rsidR="00B51614">
            <w:t xml:space="preserve">espondents were last residing. Mr. Boullé decided to go with the second option. </w:t>
          </w:r>
        </w:p>
        <w:p w:rsidR="002B62AA" w:rsidRDefault="0003119E" w:rsidP="0003119E">
          <w:pPr>
            <w:pStyle w:val="JudgmentText"/>
            <w:numPr>
              <w:ilvl w:val="0"/>
              <w:numId w:val="0"/>
            </w:numPr>
            <w:ind w:left="720" w:hanging="720"/>
          </w:pPr>
          <w:r>
            <w:lastRenderedPageBreak/>
            <w:t>[31]</w:t>
          </w:r>
          <w:r>
            <w:tab/>
          </w:r>
          <w:r w:rsidR="001161CE">
            <w:t>It appears that this process was misconceived. It</w:t>
          </w:r>
          <w:r w:rsidR="002B62AA">
            <w:t xml:space="preserve"> was in clear breach of the provisions of the Seychelles Code of Civil Procedure which distinguishes between substituted service and service out of the jurisdiction. Section 48 of the said Act clearly provides that leave for service out of the jurisdiction is permitted when the person out of the jurisdiction is a necessary or proper party to a suit brought against some other person served within the juri</w:t>
          </w:r>
          <w:r w:rsidR="006C093B">
            <w:t>sdiction</w:t>
          </w:r>
          <w:r w:rsidR="002B62AA">
            <w:t xml:space="preserve">. </w:t>
          </w:r>
          <w:r w:rsidR="006C093B">
            <w:t>These rules were not observed.</w:t>
          </w:r>
        </w:p>
        <w:p w:rsidR="006C093B" w:rsidRDefault="0003119E" w:rsidP="0003119E">
          <w:pPr>
            <w:pStyle w:val="JudgmentText"/>
            <w:numPr>
              <w:ilvl w:val="0"/>
              <w:numId w:val="0"/>
            </w:numPr>
            <w:ind w:left="720" w:hanging="720"/>
          </w:pPr>
          <w:r>
            <w:t>[32]</w:t>
          </w:r>
          <w:r>
            <w:tab/>
          </w:r>
          <w:proofErr w:type="spellStart"/>
          <w:r w:rsidR="006C093B">
            <w:t>Mr.</w:t>
          </w:r>
          <w:proofErr w:type="spellEnd"/>
          <w:r w:rsidR="006C093B">
            <w:t xml:space="preserve"> Boullé has submitted that Counsel for the 2</w:t>
          </w:r>
          <w:r w:rsidR="006C093B" w:rsidRPr="006C093B">
            <w:rPr>
              <w:vertAlign w:val="superscript"/>
            </w:rPr>
            <w:t>nd</w:t>
          </w:r>
          <w:r w:rsidR="006C093B">
            <w:t xml:space="preserve"> and 3</w:t>
          </w:r>
          <w:r w:rsidR="006C093B" w:rsidRPr="006C093B">
            <w:rPr>
              <w:vertAlign w:val="superscript"/>
            </w:rPr>
            <w:t>rd</w:t>
          </w:r>
          <w:r w:rsidR="006C093B">
            <w:t xml:space="preserve"> Respondents was present at both the Constitutional Court hearing and at the </w:t>
          </w:r>
          <w:r w:rsidR="006F5D6A">
            <w:t xml:space="preserve">incidental </w:t>
          </w:r>
          <w:r w:rsidR="006C093B">
            <w:t xml:space="preserve">hearing in the Court of Appeal and should have made an application to set aside the judgment given </w:t>
          </w:r>
          <w:r w:rsidR="006C093B" w:rsidRPr="006C093B">
            <w:rPr>
              <w:i/>
            </w:rPr>
            <w:t>ex-parte</w:t>
          </w:r>
          <w:r w:rsidR="006C093B">
            <w:t xml:space="preserve"> under section 69 of the Seychelles code of Civil Procedure. </w:t>
          </w:r>
        </w:p>
        <w:p w:rsidR="001D769B" w:rsidRDefault="0003119E" w:rsidP="0003119E">
          <w:pPr>
            <w:pStyle w:val="JudgmentText"/>
            <w:numPr>
              <w:ilvl w:val="0"/>
              <w:numId w:val="0"/>
            </w:numPr>
            <w:ind w:left="720" w:hanging="720"/>
          </w:pPr>
          <w:r>
            <w:t>[33]</w:t>
          </w:r>
          <w:r>
            <w:tab/>
          </w:r>
          <w:r w:rsidR="006C093B">
            <w:t xml:space="preserve">We are not however convinced of this submission given the fact that the record of transcripts bears out that </w:t>
          </w:r>
          <w:r w:rsidR="001D769B">
            <w:t>the</w:t>
          </w:r>
          <w:r w:rsidR="006C093B">
            <w:t xml:space="preserve"> 2</w:t>
          </w:r>
          <w:r w:rsidR="006C093B" w:rsidRPr="006C093B">
            <w:rPr>
              <w:vertAlign w:val="superscript"/>
            </w:rPr>
            <w:t>nd</w:t>
          </w:r>
          <w:r w:rsidR="006C093B">
            <w:t xml:space="preserve"> and 3</w:t>
          </w:r>
          <w:r w:rsidR="006C093B" w:rsidRPr="006C093B">
            <w:rPr>
              <w:vertAlign w:val="superscript"/>
            </w:rPr>
            <w:t>rd</w:t>
          </w:r>
          <w:r w:rsidR="006C093B">
            <w:t xml:space="preserve"> Respondents did made such an application in both courts but were</w:t>
          </w:r>
          <w:r w:rsidR="00945B38">
            <w:t xml:space="preserve"> in a </w:t>
          </w:r>
          <w:proofErr w:type="spellStart"/>
          <w:proofErr w:type="gramStart"/>
          <w:r w:rsidR="00945B38" w:rsidRPr="005464CC">
            <w:rPr>
              <w:i/>
            </w:rPr>
            <w:t>kafkaesque</w:t>
          </w:r>
          <w:proofErr w:type="spellEnd"/>
          <w:proofErr w:type="gramEnd"/>
          <w:r w:rsidR="00945B38">
            <w:t xml:space="preserve"> circularity </w:t>
          </w:r>
          <w:r w:rsidR="006C093B">
            <w:t xml:space="preserve">referred </w:t>
          </w:r>
          <w:r w:rsidR="00B51614">
            <w:t>to</w:t>
          </w:r>
          <w:r w:rsidR="006C093B">
            <w:t xml:space="preserve"> each </w:t>
          </w:r>
          <w:r w:rsidR="00B51614">
            <w:t>court</w:t>
          </w:r>
          <w:r w:rsidR="006C093B">
            <w:t xml:space="preserve"> in turn</w:t>
          </w:r>
          <w:r w:rsidR="00945B38">
            <w:t xml:space="preserve"> only to be denied relief.</w:t>
          </w:r>
          <w:r w:rsidR="005464CC">
            <w:t xml:space="preserve"> We illustrate this process below if only to sound a warning to courts</w:t>
          </w:r>
          <w:r w:rsidR="00EB75A4">
            <w:t xml:space="preserve"> in such matters</w:t>
          </w:r>
          <w:r w:rsidR="005464CC">
            <w:t xml:space="preserve">. </w:t>
          </w:r>
          <w:r w:rsidR="001D769B">
            <w:t xml:space="preserve"> </w:t>
          </w:r>
        </w:p>
        <w:p w:rsidR="001D769B" w:rsidRDefault="0003119E" w:rsidP="0003119E">
          <w:pPr>
            <w:pStyle w:val="JudgmentText"/>
            <w:numPr>
              <w:ilvl w:val="0"/>
              <w:numId w:val="0"/>
            </w:numPr>
            <w:ind w:left="720" w:hanging="720"/>
          </w:pPr>
          <w:r>
            <w:t>[34]</w:t>
          </w:r>
          <w:r>
            <w:tab/>
          </w:r>
          <w:r w:rsidR="001D769B">
            <w:t xml:space="preserve">At the hearing </w:t>
          </w:r>
          <w:r w:rsidR="00EB75A4">
            <w:t xml:space="preserve">on 21st of July 2016 before the Court of Appeal </w:t>
          </w:r>
          <w:r w:rsidR="001D769B">
            <w:t xml:space="preserve">of </w:t>
          </w:r>
          <w:r w:rsidR="00EB75A4">
            <w:t>the</w:t>
          </w:r>
          <w:r w:rsidR="001D769B">
            <w:t xml:space="preserve"> motion to lead evidence on </w:t>
          </w:r>
          <w:r w:rsidR="00EB75A4">
            <w:t xml:space="preserve">appeal, </w:t>
          </w:r>
          <w:r w:rsidR="001D769B">
            <w:t xml:space="preserve"> th</w:t>
          </w:r>
          <w:r w:rsidR="005464CC">
            <w:t xml:space="preserve">e issue of service </w:t>
          </w:r>
          <w:r w:rsidR="001D769B">
            <w:t>was raised and Fernando JA, on 23</w:t>
          </w:r>
          <w:r w:rsidR="001D769B" w:rsidRPr="001D769B">
            <w:rPr>
              <w:vertAlign w:val="superscript"/>
            </w:rPr>
            <w:t>rd</w:t>
          </w:r>
          <w:r w:rsidR="001D769B">
            <w:t xml:space="preserve"> August 2016 stated that the Applicants</w:t>
          </w:r>
          <w:r w:rsidR="005464CC">
            <w:t>’</w:t>
          </w:r>
          <w:r w:rsidR="001D769B">
            <w:t xml:space="preserve"> remedy should have been </w:t>
          </w:r>
          <w:r w:rsidR="005464CC">
            <w:t>granted, if at all, by</w:t>
          </w:r>
          <w:r w:rsidR="001D769B">
            <w:t xml:space="preserve"> the Constitutional Court.</w:t>
          </w:r>
        </w:p>
        <w:p w:rsidR="001D769B" w:rsidRDefault="0003119E" w:rsidP="0003119E">
          <w:pPr>
            <w:pStyle w:val="JudgmentText"/>
            <w:numPr>
              <w:ilvl w:val="0"/>
              <w:numId w:val="0"/>
            </w:numPr>
            <w:ind w:left="720" w:hanging="720"/>
          </w:pPr>
          <w:r>
            <w:t>[35]</w:t>
          </w:r>
          <w:r>
            <w:tab/>
          </w:r>
          <w:r w:rsidR="001D769B">
            <w:t xml:space="preserve">The Respondents then made an application in the Constitutional Court to  set aside its judgment but the Court in its ruling of 4th of October 2016, </w:t>
          </w:r>
          <w:r w:rsidR="00945B38">
            <w:t>stated that it</w:t>
          </w:r>
          <w:r w:rsidR="001D769B">
            <w:t xml:space="preserve"> was </w:t>
          </w:r>
          <w:proofErr w:type="spellStart"/>
          <w:r w:rsidR="001D769B" w:rsidRPr="001D769B">
            <w:rPr>
              <w:i/>
            </w:rPr>
            <w:t>functus</w:t>
          </w:r>
          <w:proofErr w:type="spellEnd"/>
          <w:r w:rsidR="001D769B" w:rsidRPr="001D769B">
            <w:rPr>
              <w:i/>
            </w:rPr>
            <w:t xml:space="preserve"> officio</w:t>
          </w:r>
          <w:r w:rsidR="001D769B">
            <w:t xml:space="preserve"> and </w:t>
          </w:r>
          <w:r w:rsidR="00945B38">
            <w:t xml:space="preserve">the matter was </w:t>
          </w:r>
          <w:r w:rsidR="00945B38" w:rsidRPr="005464CC">
            <w:rPr>
              <w:i/>
            </w:rPr>
            <w:t>sub-</w:t>
          </w:r>
          <w:proofErr w:type="spellStart"/>
          <w:r w:rsidR="00945B38" w:rsidRPr="005464CC">
            <w:rPr>
              <w:i/>
            </w:rPr>
            <w:t>judice</w:t>
          </w:r>
          <w:proofErr w:type="spellEnd"/>
          <w:r w:rsidR="00945B38">
            <w:t xml:space="preserve"> as it was</w:t>
          </w:r>
          <w:r w:rsidR="001D769B">
            <w:t xml:space="preserve"> pending before the Court of Appeal</w:t>
          </w:r>
          <w:r w:rsidR="00945B38">
            <w:t>.</w:t>
          </w:r>
          <w:r w:rsidR="001D769B">
            <w:t xml:space="preserve"> </w:t>
          </w:r>
        </w:p>
        <w:p w:rsidR="006C093B" w:rsidRDefault="0003119E" w:rsidP="0003119E">
          <w:pPr>
            <w:pStyle w:val="JudgmentText"/>
            <w:numPr>
              <w:ilvl w:val="0"/>
              <w:numId w:val="0"/>
            </w:numPr>
            <w:ind w:left="720" w:hanging="720"/>
          </w:pPr>
          <w:r>
            <w:t>[36]</w:t>
          </w:r>
          <w:r>
            <w:tab/>
          </w:r>
          <w:r w:rsidR="005464CC">
            <w:t>Effectively the 2</w:t>
          </w:r>
          <w:r w:rsidR="005464CC" w:rsidRPr="005464CC">
            <w:rPr>
              <w:vertAlign w:val="superscript"/>
            </w:rPr>
            <w:t>nd</w:t>
          </w:r>
          <w:r w:rsidR="005464CC">
            <w:t xml:space="preserve"> and 3</w:t>
          </w:r>
          <w:r w:rsidR="005464CC" w:rsidRPr="005464CC">
            <w:rPr>
              <w:vertAlign w:val="superscript"/>
            </w:rPr>
            <w:t>rd</w:t>
          </w:r>
          <w:r w:rsidR="005464CC">
            <w:t xml:space="preserve"> Respondents were shut out. Counsel for 4</w:t>
          </w:r>
          <w:r w:rsidR="005464CC" w:rsidRPr="005464CC">
            <w:rPr>
              <w:vertAlign w:val="superscript"/>
            </w:rPr>
            <w:t>th</w:t>
          </w:r>
          <w:r w:rsidR="005464CC">
            <w:t xml:space="preserve"> Respondent who was present at these hearings stated that he did not make a separate application on the basis that as it had been refused for the 2</w:t>
          </w:r>
          <w:r w:rsidR="005464CC" w:rsidRPr="005464CC">
            <w:rPr>
              <w:vertAlign w:val="superscript"/>
            </w:rPr>
            <w:t>nd</w:t>
          </w:r>
          <w:r w:rsidR="005464CC">
            <w:t xml:space="preserve"> and 3</w:t>
          </w:r>
          <w:r w:rsidR="005464CC" w:rsidRPr="005464CC">
            <w:rPr>
              <w:vertAlign w:val="superscript"/>
            </w:rPr>
            <w:t>rd</w:t>
          </w:r>
          <w:r w:rsidR="005464CC">
            <w:t xml:space="preserve"> Respondent, there was no hope that his client would have been treated any different.  </w:t>
          </w:r>
        </w:p>
        <w:p w:rsidR="005464CC" w:rsidRDefault="0003119E" w:rsidP="0003119E">
          <w:pPr>
            <w:pStyle w:val="JudgmentText"/>
            <w:numPr>
              <w:ilvl w:val="0"/>
              <w:numId w:val="0"/>
            </w:numPr>
            <w:ind w:left="720" w:hanging="720"/>
          </w:pPr>
          <w:r>
            <w:t>[37]</w:t>
          </w:r>
          <w:r>
            <w:tab/>
          </w:r>
          <w:r w:rsidR="005464CC">
            <w:t xml:space="preserve">We are therefore satisfied that the procedural points raised by the </w:t>
          </w:r>
          <w:r w:rsidR="00263CE8">
            <w:t>2</w:t>
          </w:r>
          <w:r w:rsidR="00263CE8" w:rsidRPr="00263CE8">
            <w:rPr>
              <w:vertAlign w:val="superscript"/>
            </w:rPr>
            <w:t>nd</w:t>
          </w:r>
          <w:r w:rsidR="00263CE8">
            <w:t>,</w:t>
          </w:r>
          <w:r w:rsidR="005464CC">
            <w:t xml:space="preserve"> 3</w:t>
          </w:r>
          <w:r w:rsidR="005464CC" w:rsidRPr="005464CC">
            <w:rPr>
              <w:vertAlign w:val="superscript"/>
            </w:rPr>
            <w:t>rd</w:t>
          </w:r>
          <w:r w:rsidR="005464CC">
            <w:t xml:space="preserve"> and 4</w:t>
          </w:r>
          <w:r w:rsidR="005464CC" w:rsidRPr="005464CC">
            <w:rPr>
              <w:vertAlign w:val="superscript"/>
            </w:rPr>
            <w:t>th</w:t>
          </w:r>
          <w:r w:rsidR="005464CC">
            <w:t xml:space="preserve"> Respondents have merit. They were not served. They did not have notice of the hearing of </w:t>
          </w:r>
          <w:r w:rsidR="005464CC">
            <w:lastRenderedPageBreak/>
            <w:t>the Constitutional Court in which their interests were affected. The Court has ordered their expropriation from lands they own</w:t>
          </w:r>
          <w:r w:rsidR="00EB75A4">
            <w:t>ed</w:t>
          </w:r>
          <w:r w:rsidR="005464CC">
            <w:t xml:space="preserve"> and yet they were not heard.  </w:t>
          </w:r>
        </w:p>
        <w:p w:rsidR="005464CC" w:rsidRDefault="0003119E" w:rsidP="0003119E">
          <w:pPr>
            <w:pStyle w:val="JudgmentText"/>
            <w:numPr>
              <w:ilvl w:val="0"/>
              <w:numId w:val="0"/>
            </w:numPr>
            <w:ind w:left="720" w:hanging="720"/>
          </w:pPr>
          <w:r>
            <w:t>[38]</w:t>
          </w:r>
          <w:r>
            <w:tab/>
          </w:r>
          <w:r w:rsidR="005464CC">
            <w:t xml:space="preserve">We cannot therefore </w:t>
          </w:r>
          <w:r w:rsidR="00263CE8">
            <w:t xml:space="preserve">consider the substantive merits of this case without hearing the Respondents’ arguments in relation to the petition. We have in this regard considered sending this matter back to the Constitutional Court for rehearing. We are </w:t>
          </w:r>
          <w:r w:rsidR="00EB75A4">
            <w:t xml:space="preserve">however </w:t>
          </w:r>
          <w:r w:rsidR="00263CE8">
            <w:t>also sensitive to the fact that the 1</w:t>
          </w:r>
          <w:r w:rsidR="00263CE8" w:rsidRPr="00263CE8">
            <w:rPr>
              <w:vertAlign w:val="superscript"/>
            </w:rPr>
            <w:t>st</w:t>
          </w:r>
          <w:r w:rsidR="00263CE8">
            <w:t xml:space="preserve"> Respondent has waited over 30 years to get his land back or compensation for it.  We cannot cure an injustice by a further injustice. </w:t>
          </w:r>
        </w:p>
        <w:p w:rsidR="00530439" w:rsidRDefault="0003119E" w:rsidP="0003119E">
          <w:pPr>
            <w:pStyle w:val="JudgmentText"/>
            <w:numPr>
              <w:ilvl w:val="0"/>
              <w:numId w:val="0"/>
            </w:numPr>
            <w:ind w:left="720" w:hanging="720"/>
          </w:pPr>
          <w:r>
            <w:t>[39]</w:t>
          </w:r>
          <w:r>
            <w:tab/>
          </w:r>
          <w:r w:rsidR="00EB75A4">
            <w:t xml:space="preserve">In the </w:t>
          </w:r>
          <w:r w:rsidR="002F1A0C">
            <w:t>circumstances</w:t>
          </w:r>
          <w:r w:rsidR="00EB75A4">
            <w:t xml:space="preserve"> we are of the view th</w:t>
          </w:r>
          <w:r w:rsidR="002F1A0C">
            <w:t>a</w:t>
          </w:r>
          <w:r w:rsidR="00EB75A4">
            <w:t xml:space="preserve">t this </w:t>
          </w:r>
          <w:r w:rsidR="002F1A0C">
            <w:t xml:space="preserve">is </w:t>
          </w:r>
          <w:r w:rsidR="00EB75A4">
            <w:t>one</w:t>
          </w:r>
          <w:r w:rsidR="002F1A0C">
            <w:t xml:space="preserve"> </w:t>
          </w:r>
          <w:r w:rsidR="00EB75A4">
            <w:t>instance in</w:t>
          </w:r>
          <w:r w:rsidR="002F1A0C">
            <w:t xml:space="preserve"> w</w:t>
          </w:r>
          <w:r w:rsidR="00EB75A4">
            <w:t>hi</w:t>
          </w:r>
          <w:r w:rsidR="002F1A0C">
            <w:t>c</w:t>
          </w:r>
          <w:r w:rsidR="00EB75A4">
            <w:t>h th</w:t>
          </w:r>
          <w:r w:rsidR="00530439">
            <w:t>is Court</w:t>
          </w:r>
          <w:r w:rsidR="00EB75A4">
            <w:t xml:space="preserve"> can</w:t>
          </w:r>
          <w:r w:rsidR="002F1A0C">
            <w:t xml:space="preserve"> </w:t>
          </w:r>
          <w:r w:rsidR="00530439">
            <w:t>exercise</w:t>
          </w:r>
          <w:r w:rsidR="00EB75A4">
            <w:t xml:space="preserve"> its d</w:t>
          </w:r>
          <w:r w:rsidR="002F1A0C">
            <w:t xml:space="preserve">iscretion </w:t>
          </w:r>
          <w:r w:rsidR="00EB75A4">
            <w:t xml:space="preserve">in terms of </w:t>
          </w:r>
          <w:r w:rsidR="00530439">
            <w:t xml:space="preserve">Rule </w:t>
          </w:r>
          <w:r w:rsidR="00530439" w:rsidRPr="00530439">
            <w:t>31</w:t>
          </w:r>
          <w:r w:rsidR="00530439">
            <w:t xml:space="preserve"> of </w:t>
          </w:r>
          <w:r w:rsidR="00530439" w:rsidRPr="00530439">
            <w:t>Seychelles Court of Appeal Rules, 2005</w:t>
          </w:r>
          <w:r w:rsidR="00530439">
            <w:t xml:space="preserve"> which provides in relevant part: </w:t>
          </w:r>
        </w:p>
        <w:p w:rsidR="00263CE8" w:rsidRDefault="00530439" w:rsidP="0003119E">
          <w:pPr>
            <w:pStyle w:val="JudgmentText"/>
            <w:numPr>
              <w:ilvl w:val="0"/>
              <w:numId w:val="0"/>
            </w:numPr>
            <w:ind w:left="709"/>
          </w:pPr>
          <w:r w:rsidRPr="00530439">
            <w:rPr>
              <w:i/>
            </w:rPr>
            <w:t>Appeals to the Court shall be by way of re-hearing and the Court shall have all the powers of the Supreme Court together with full discretionary power to receive further evidence by oral examination in Court, by affidavit</w:t>
          </w:r>
          <w:r>
            <w:rPr>
              <w:i/>
            </w:rPr>
            <w:t>…</w:t>
          </w:r>
          <w:r w:rsidRPr="00530439">
            <w:t xml:space="preserve"> </w:t>
          </w:r>
        </w:p>
        <w:p w:rsidR="0006489F" w:rsidRPr="00D776A0" w:rsidRDefault="0003119E" w:rsidP="0003119E">
          <w:pPr>
            <w:pStyle w:val="JudgmentText"/>
            <w:numPr>
              <w:ilvl w:val="0"/>
              <w:numId w:val="0"/>
            </w:numPr>
            <w:ind w:left="720" w:hanging="720"/>
          </w:pPr>
          <w:r>
            <w:t>[40]</w:t>
          </w:r>
          <w:r>
            <w:tab/>
          </w:r>
          <w:r w:rsidR="00530439">
            <w:t>We therefore order that the 2</w:t>
          </w:r>
          <w:r w:rsidR="00530439" w:rsidRPr="00530439">
            <w:rPr>
              <w:vertAlign w:val="superscript"/>
            </w:rPr>
            <w:t>nd</w:t>
          </w:r>
          <w:r w:rsidR="00530439">
            <w:t>, 3</w:t>
          </w:r>
          <w:r w:rsidR="00530439" w:rsidRPr="00530439">
            <w:rPr>
              <w:vertAlign w:val="superscript"/>
            </w:rPr>
            <w:t>rd</w:t>
          </w:r>
          <w:r w:rsidR="00530439">
            <w:t xml:space="preserve"> and 4</w:t>
          </w:r>
          <w:r w:rsidR="00530439" w:rsidRPr="00530439">
            <w:rPr>
              <w:vertAlign w:val="superscript"/>
            </w:rPr>
            <w:t>th</w:t>
          </w:r>
          <w:r w:rsidR="00530439">
            <w:t xml:space="preserve"> Respondents be permitted to</w:t>
          </w:r>
          <w:r w:rsidR="006F5D6A">
            <w:t xml:space="preserve"> adduce evidence by </w:t>
          </w:r>
          <w:r w:rsidR="00530439">
            <w:t>fil</w:t>
          </w:r>
          <w:r w:rsidR="006F5D6A">
            <w:t>ing</w:t>
          </w:r>
          <w:r w:rsidR="00530439">
            <w:t xml:space="preserve"> affidavits in reply to the petition and submissions made by the 1</w:t>
          </w:r>
          <w:r w:rsidR="00530439" w:rsidRPr="00530439">
            <w:rPr>
              <w:vertAlign w:val="superscript"/>
            </w:rPr>
            <w:t>st</w:t>
          </w:r>
          <w:r w:rsidR="00530439">
            <w:t xml:space="preserve"> Respondent in the Constitutional Court. These affidavits have to be filed before this </w:t>
          </w:r>
          <w:r w:rsidR="0095155E">
            <w:t>C</w:t>
          </w:r>
          <w:r w:rsidR="00530439">
            <w:t>ourt on or before 9</w:t>
          </w:r>
          <w:r w:rsidR="00530439" w:rsidRPr="00530439">
            <w:rPr>
              <w:vertAlign w:val="superscript"/>
            </w:rPr>
            <w:t>th</w:t>
          </w:r>
          <w:r w:rsidR="00530439">
            <w:t xml:space="preserve"> of January 2016. These affidavits will be considered by this Court at the hearing of the appeal on the substantive issues at its next sitting. </w:t>
          </w:r>
        </w:p>
      </w:sdtContent>
    </w:sdt>
    <w:p w:rsidR="00EF2051" w:rsidRDefault="00F66DCF"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AD63F9" w:rsidRPr="00BD7752" w:rsidRDefault="005023DB" w:rsidP="00AD63F9">
      <w:pPr>
        <w:spacing w:before="120" w:line="480" w:lineRule="auto"/>
        <w:rPr>
          <w:b/>
          <w:sz w:val="24"/>
          <w:szCs w:val="24"/>
        </w:rPr>
      </w:pPr>
      <w:sdt>
        <w:sdtPr>
          <w:rPr>
            <w:b/>
            <w:sz w:val="28"/>
            <w:szCs w:val="28"/>
          </w:rPr>
          <w:id w:val="22920303"/>
          <w:placeholder>
            <w:docPart w:val="1B7C044D9D104260B393585727BE4D46"/>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530439">
            <w:rPr>
              <w:b/>
              <w:sz w:val="28"/>
              <w:szCs w:val="28"/>
            </w:rPr>
            <w:t>M. Twomey (J.A)</w:t>
          </w:r>
        </w:sdtContent>
      </w:sdt>
    </w:p>
    <w:sdt>
      <w:sdtPr>
        <w:rPr>
          <w:b/>
          <w:sz w:val="24"/>
          <w:szCs w:val="24"/>
        </w:rPr>
        <w:id w:val="4919265"/>
        <w:placeholder>
          <w:docPart w:val="CAFC69125B5B4E1CABC24666BF120BC1"/>
        </w:placeholder>
        <w:docPartList>
          <w:docPartGallery w:val="Quick Parts"/>
        </w:docPartList>
      </w:sdtPr>
      <w:sdtEndPr/>
      <w:sdtContent>
        <w:p w:rsidR="00AD63F9" w:rsidRPr="00681C76" w:rsidRDefault="005023DB" w:rsidP="00AD63F9">
          <w:pPr>
            <w:spacing w:before="360" w:after="240" w:line="480" w:lineRule="auto"/>
            <w:rPr>
              <w:b/>
              <w:sz w:val="24"/>
              <w:szCs w:val="24"/>
            </w:rPr>
          </w:pPr>
          <w:sdt>
            <w:sdtPr>
              <w:rPr>
                <w:b/>
                <w:sz w:val="24"/>
                <w:szCs w:val="24"/>
              </w:rPr>
              <w:id w:val="4919266"/>
              <w:lock w:val="contentLocked"/>
              <w:placeholder>
                <w:docPart w:val="9011B1F3628548A2AF8C855230A8D104"/>
              </w:placeholder>
              <w:text/>
            </w:sdtPr>
            <w:sdtEndPr/>
            <w:sdtContent>
              <w:r w:rsidR="00AD63F9" w:rsidRPr="00681C76">
                <w:rPr>
                  <w:b/>
                  <w:sz w:val="24"/>
                  <w:szCs w:val="24"/>
                </w:rPr>
                <w:t>I concur:.</w:t>
              </w:r>
            </w:sdtContent>
          </w:sdt>
          <w:r w:rsidR="00AD63F9" w:rsidRPr="00681C76">
            <w:rPr>
              <w:b/>
              <w:sz w:val="24"/>
              <w:szCs w:val="24"/>
            </w:rPr>
            <w:tab/>
          </w:r>
          <w:r w:rsidR="00AD63F9" w:rsidRPr="00681C76">
            <w:rPr>
              <w:b/>
              <w:sz w:val="24"/>
              <w:szCs w:val="24"/>
            </w:rPr>
            <w:tab/>
          </w:r>
          <w:r w:rsidR="00AD63F9" w:rsidRPr="00681C76">
            <w:rPr>
              <w:b/>
              <w:sz w:val="24"/>
              <w:szCs w:val="24"/>
            </w:rPr>
            <w:tab/>
            <w:t>………………….</w:t>
          </w:r>
          <w:r w:rsidR="00AD63F9" w:rsidRPr="00681C76">
            <w:rPr>
              <w:b/>
              <w:sz w:val="24"/>
              <w:szCs w:val="24"/>
            </w:rPr>
            <w:tab/>
          </w:r>
          <w:r w:rsidR="00AD63F9" w:rsidRPr="00681C76">
            <w:rPr>
              <w:b/>
              <w:sz w:val="24"/>
              <w:szCs w:val="24"/>
            </w:rPr>
            <w:tab/>
          </w:r>
          <w:r w:rsidR="00AD63F9" w:rsidRPr="00681C76">
            <w:rPr>
              <w:b/>
              <w:sz w:val="24"/>
              <w:szCs w:val="24"/>
            </w:rPr>
            <w:tab/>
          </w:r>
          <w:r w:rsidR="00AD63F9" w:rsidRPr="00681C76">
            <w:rPr>
              <w:b/>
              <w:sz w:val="24"/>
              <w:szCs w:val="24"/>
            </w:rPr>
            <w:tab/>
          </w:r>
          <w:sdt>
            <w:sdtPr>
              <w:rPr>
                <w:sz w:val="24"/>
                <w:szCs w:val="24"/>
              </w:rPr>
              <w:id w:val="4919267"/>
              <w:placeholder>
                <w:docPart w:val="65C5E00059C045A5AB82A26D09BC1872"/>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530439">
                <w:rPr>
                  <w:sz w:val="24"/>
                  <w:szCs w:val="24"/>
                </w:rPr>
                <w:t>S. Domah (J.A)</w:t>
              </w:r>
            </w:sdtContent>
          </w:sdt>
        </w:p>
      </w:sdtContent>
    </w:sdt>
    <w:sdt>
      <w:sdtPr>
        <w:rPr>
          <w:b/>
          <w:sz w:val="24"/>
          <w:szCs w:val="24"/>
        </w:rPr>
        <w:id w:val="4919458"/>
        <w:placeholder>
          <w:docPart w:val="0C9BBF8F000C4A34B07291A9365A51C4"/>
        </w:placeholder>
        <w:docPartList>
          <w:docPartGallery w:val="Quick Parts"/>
        </w:docPartList>
      </w:sdtPr>
      <w:sdtEndPr/>
      <w:sdtContent>
        <w:p w:rsidR="00AD63F9" w:rsidRPr="00681C76" w:rsidRDefault="005023DB" w:rsidP="00AD63F9">
          <w:pPr>
            <w:spacing w:before="360" w:after="240" w:line="480" w:lineRule="auto"/>
            <w:rPr>
              <w:b/>
              <w:sz w:val="24"/>
              <w:szCs w:val="24"/>
            </w:rPr>
          </w:pPr>
          <w:sdt>
            <w:sdtPr>
              <w:rPr>
                <w:b/>
                <w:sz w:val="24"/>
                <w:szCs w:val="24"/>
              </w:rPr>
              <w:id w:val="4919459"/>
              <w:lock w:val="contentLocked"/>
              <w:placeholder>
                <w:docPart w:val="99025331CF594F8AB9AE30DB86FFCE57"/>
              </w:placeholder>
              <w:text/>
            </w:sdtPr>
            <w:sdtEndPr/>
            <w:sdtContent>
              <w:r w:rsidR="00AD63F9" w:rsidRPr="00681C76">
                <w:rPr>
                  <w:b/>
                  <w:sz w:val="24"/>
                  <w:szCs w:val="24"/>
                </w:rPr>
                <w:t>I concur:.</w:t>
              </w:r>
            </w:sdtContent>
          </w:sdt>
          <w:r w:rsidR="00AD63F9" w:rsidRPr="00681C76">
            <w:rPr>
              <w:b/>
              <w:sz w:val="24"/>
              <w:szCs w:val="24"/>
            </w:rPr>
            <w:tab/>
          </w:r>
          <w:r w:rsidR="00AD63F9" w:rsidRPr="00681C76">
            <w:rPr>
              <w:b/>
              <w:sz w:val="24"/>
              <w:szCs w:val="24"/>
            </w:rPr>
            <w:tab/>
          </w:r>
          <w:r w:rsidR="00AD63F9" w:rsidRPr="00681C76">
            <w:rPr>
              <w:b/>
              <w:sz w:val="24"/>
              <w:szCs w:val="24"/>
            </w:rPr>
            <w:tab/>
            <w:t>………………….</w:t>
          </w:r>
          <w:r w:rsidR="00AD63F9" w:rsidRPr="00681C76">
            <w:rPr>
              <w:b/>
              <w:sz w:val="24"/>
              <w:szCs w:val="24"/>
            </w:rPr>
            <w:tab/>
          </w:r>
          <w:r w:rsidR="00AD63F9" w:rsidRPr="00681C76">
            <w:rPr>
              <w:b/>
              <w:sz w:val="24"/>
              <w:szCs w:val="24"/>
            </w:rPr>
            <w:tab/>
          </w:r>
          <w:r w:rsidR="00AD63F9" w:rsidRPr="00681C76">
            <w:rPr>
              <w:b/>
              <w:sz w:val="24"/>
              <w:szCs w:val="24"/>
            </w:rPr>
            <w:tab/>
          </w:r>
          <w:r w:rsidR="00AD63F9" w:rsidRPr="00681C76">
            <w:rPr>
              <w:b/>
              <w:sz w:val="24"/>
              <w:szCs w:val="24"/>
            </w:rPr>
            <w:tab/>
          </w:r>
          <w:sdt>
            <w:sdtPr>
              <w:rPr>
                <w:sz w:val="24"/>
                <w:szCs w:val="24"/>
              </w:rPr>
              <w:id w:val="4919460"/>
              <w:placeholder>
                <w:docPart w:val="3AC49395657A4F2391576B2274EBB1BF"/>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530439">
                <w:rPr>
                  <w:sz w:val="24"/>
                  <w:szCs w:val="24"/>
                </w:rPr>
                <w:t>A. Fernando (J.A)</w:t>
              </w:r>
            </w:sdtContent>
          </w:sdt>
        </w:p>
      </w:sdtContent>
    </w:sdt>
    <w:p w:rsidR="0087722C" w:rsidRDefault="0087722C" w:rsidP="007F351F">
      <w:pPr>
        <w:rPr>
          <w:b/>
          <w:sz w:val="28"/>
          <w:szCs w:val="28"/>
        </w:rPr>
      </w:pPr>
    </w:p>
    <w:p w:rsidR="00681C76" w:rsidRDefault="005023DB" w:rsidP="00681C76">
      <w:pPr>
        <w:pStyle w:val="ListParagraph"/>
        <w:widowControl/>
        <w:autoSpaceDE/>
        <w:autoSpaceDN/>
        <w:adjustRightInd/>
        <w:spacing w:after="240" w:line="360" w:lineRule="auto"/>
        <w:ind w:left="0"/>
        <w:contextualSpacing w:val="0"/>
        <w:rPr>
          <w:sz w:val="24"/>
          <w:szCs w:val="24"/>
        </w:rPr>
      </w:pPr>
      <w:sdt>
        <w:sdtPr>
          <w:rPr>
            <w:sz w:val="24"/>
            <w:szCs w:val="24"/>
          </w:rPr>
          <w:id w:val="8972175"/>
          <w:lock w:val="contentLocked"/>
          <w:placeholder>
            <w:docPart w:val="0CFAEBA75B434AAD88833837C6A0EDB4"/>
          </w:placeholder>
          <w:docPartList>
            <w:docPartGallery w:val="Quick Parts"/>
          </w:docPartList>
        </w:sdtPr>
        <w:sdtEndPr/>
        <w:sdtContent>
          <w:r w:rsidR="00681C76" w:rsidRPr="00782F7D">
            <w:rPr>
              <w:sz w:val="24"/>
              <w:szCs w:val="24"/>
            </w:rPr>
            <w:t>Signed, dated and delivered at</w:t>
          </w:r>
          <w:r w:rsidR="00681C76">
            <w:rPr>
              <w:sz w:val="24"/>
              <w:szCs w:val="24"/>
            </w:rPr>
            <w:t xml:space="preserve"> Palais de Justice,</w:t>
          </w:r>
          <w:r w:rsidR="00681C76" w:rsidRPr="00782F7D">
            <w:rPr>
              <w:sz w:val="24"/>
              <w:szCs w:val="24"/>
            </w:rPr>
            <w:t xml:space="preserve"> Ile du Port on</w:t>
          </w:r>
        </w:sdtContent>
      </w:sdt>
      <w:r w:rsidR="00681C76">
        <w:rPr>
          <w:sz w:val="24"/>
          <w:szCs w:val="24"/>
        </w:rPr>
        <w:t xml:space="preserve"> </w:t>
      </w:r>
      <w:sdt>
        <w:sdtPr>
          <w:rPr>
            <w:sz w:val="24"/>
            <w:szCs w:val="24"/>
          </w:rPr>
          <w:id w:val="8972185"/>
          <w:placeholder>
            <w:docPart w:val="40849C3E0E0F41448EE1A7D1F2F8013A"/>
          </w:placeholder>
          <w:date w:fullDate="2016-12-09T00:00:00Z">
            <w:dateFormat w:val="dd MMMM yyyy"/>
            <w:lid w:val="en-GB"/>
            <w:storeMappedDataAs w:val="dateTime"/>
            <w:calendar w:val="gregorian"/>
          </w:date>
        </w:sdtPr>
        <w:sdtEndPr/>
        <w:sdtContent>
          <w:r w:rsidR="00530439">
            <w:rPr>
              <w:sz w:val="24"/>
              <w:szCs w:val="24"/>
            </w:rPr>
            <w:t>09 December 2016</w:t>
          </w:r>
        </w:sdtContent>
      </w:sdt>
    </w:p>
    <w:sectPr w:rsidR="00681C76"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3DB" w:rsidRDefault="005023DB" w:rsidP="00DB6D34">
      <w:r>
        <w:separator/>
      </w:r>
    </w:p>
  </w:endnote>
  <w:endnote w:type="continuationSeparator" w:id="0">
    <w:p w:rsidR="005023DB" w:rsidRDefault="005023DB"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2AA" w:rsidRDefault="002B62AA">
    <w:pPr>
      <w:pStyle w:val="Footer"/>
      <w:jc w:val="center"/>
    </w:pPr>
    <w:r>
      <w:fldChar w:fldCharType="begin"/>
    </w:r>
    <w:r>
      <w:instrText xml:space="preserve"> PAGE   \* MERGEFORMAT </w:instrText>
    </w:r>
    <w:r>
      <w:fldChar w:fldCharType="separate"/>
    </w:r>
    <w:r w:rsidR="000A6838">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3DB" w:rsidRDefault="005023DB" w:rsidP="00DB6D34">
      <w:r>
        <w:separator/>
      </w:r>
    </w:p>
  </w:footnote>
  <w:footnote w:type="continuationSeparator" w:id="0">
    <w:p w:rsidR="005023DB" w:rsidRDefault="005023DB"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6526FE9"/>
    <w:multiLevelType w:val="hybridMultilevel"/>
    <w:tmpl w:val="5EEE2DFA"/>
    <w:lvl w:ilvl="0" w:tplc="2F9E28A2">
      <w:start w:val="1"/>
      <w:numFmt w:val="decimal"/>
      <w:lvlText w:val="[%1]"/>
      <w:lvlJc w:val="righ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5"/>
  </w:num>
  <w:num w:numId="3">
    <w:abstractNumId w:val="0"/>
  </w:num>
  <w:num w:numId="4">
    <w:abstractNumId w:val="2"/>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ocumentProtection w:edit="forms" w:enforcement="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881"/>
    <w:rsid w:val="0000071D"/>
    <w:rsid w:val="000043B1"/>
    <w:rsid w:val="00005BEF"/>
    <w:rsid w:val="00017F12"/>
    <w:rsid w:val="0002497E"/>
    <w:rsid w:val="00030C81"/>
    <w:rsid w:val="0003119E"/>
    <w:rsid w:val="00046CD0"/>
    <w:rsid w:val="00050005"/>
    <w:rsid w:val="0006489F"/>
    <w:rsid w:val="00075573"/>
    <w:rsid w:val="00077597"/>
    <w:rsid w:val="00091036"/>
    <w:rsid w:val="00097B9A"/>
    <w:rsid w:val="000A10B8"/>
    <w:rsid w:val="000A6838"/>
    <w:rsid w:val="000B7D90"/>
    <w:rsid w:val="000C5AB2"/>
    <w:rsid w:val="000D1DD3"/>
    <w:rsid w:val="000E39A5"/>
    <w:rsid w:val="000E62C2"/>
    <w:rsid w:val="000E7400"/>
    <w:rsid w:val="000F1C37"/>
    <w:rsid w:val="001008BC"/>
    <w:rsid w:val="00101D12"/>
    <w:rsid w:val="00102EE1"/>
    <w:rsid w:val="001161CE"/>
    <w:rsid w:val="00117CBF"/>
    <w:rsid w:val="00126A10"/>
    <w:rsid w:val="001376AB"/>
    <w:rsid w:val="00144612"/>
    <w:rsid w:val="0016510C"/>
    <w:rsid w:val="00166223"/>
    <w:rsid w:val="00171F06"/>
    <w:rsid w:val="00180158"/>
    <w:rsid w:val="00185139"/>
    <w:rsid w:val="001857D2"/>
    <w:rsid w:val="00186F92"/>
    <w:rsid w:val="00197E07"/>
    <w:rsid w:val="001B0569"/>
    <w:rsid w:val="001B2704"/>
    <w:rsid w:val="001B6E9A"/>
    <w:rsid w:val="001D769B"/>
    <w:rsid w:val="001E3539"/>
    <w:rsid w:val="001E4ED8"/>
    <w:rsid w:val="001E576A"/>
    <w:rsid w:val="001E5FB9"/>
    <w:rsid w:val="00201976"/>
    <w:rsid w:val="00201C0E"/>
    <w:rsid w:val="0020244B"/>
    <w:rsid w:val="00220BD8"/>
    <w:rsid w:val="00231C17"/>
    <w:rsid w:val="00236AAC"/>
    <w:rsid w:val="0024353F"/>
    <w:rsid w:val="002441EA"/>
    <w:rsid w:val="00260567"/>
    <w:rsid w:val="00263CE8"/>
    <w:rsid w:val="0028244A"/>
    <w:rsid w:val="00290E14"/>
    <w:rsid w:val="002939B3"/>
    <w:rsid w:val="002A2C39"/>
    <w:rsid w:val="002A6A54"/>
    <w:rsid w:val="002A7376"/>
    <w:rsid w:val="002B1072"/>
    <w:rsid w:val="002B2255"/>
    <w:rsid w:val="002B3191"/>
    <w:rsid w:val="002B62AA"/>
    <w:rsid w:val="002C0CC4"/>
    <w:rsid w:val="002C4762"/>
    <w:rsid w:val="002C7560"/>
    <w:rsid w:val="002D06AA"/>
    <w:rsid w:val="002D67FC"/>
    <w:rsid w:val="002E20A4"/>
    <w:rsid w:val="002E6612"/>
    <w:rsid w:val="002E6963"/>
    <w:rsid w:val="002F1A0C"/>
    <w:rsid w:val="002F3CDD"/>
    <w:rsid w:val="002F40A1"/>
    <w:rsid w:val="002F7253"/>
    <w:rsid w:val="00301D88"/>
    <w:rsid w:val="00304E76"/>
    <w:rsid w:val="00312805"/>
    <w:rsid w:val="0031529B"/>
    <w:rsid w:val="00315456"/>
    <w:rsid w:val="0032124B"/>
    <w:rsid w:val="003647E7"/>
    <w:rsid w:val="0037270D"/>
    <w:rsid w:val="00377341"/>
    <w:rsid w:val="0038006D"/>
    <w:rsid w:val="003829CE"/>
    <w:rsid w:val="003838CC"/>
    <w:rsid w:val="003862CB"/>
    <w:rsid w:val="0038700C"/>
    <w:rsid w:val="003A059B"/>
    <w:rsid w:val="003B461C"/>
    <w:rsid w:val="003B4C19"/>
    <w:rsid w:val="003D5788"/>
    <w:rsid w:val="003D58AA"/>
    <w:rsid w:val="003D6490"/>
    <w:rsid w:val="003D7B97"/>
    <w:rsid w:val="003E2ABC"/>
    <w:rsid w:val="003E4B3C"/>
    <w:rsid w:val="003F0F8D"/>
    <w:rsid w:val="00405340"/>
    <w:rsid w:val="004156B9"/>
    <w:rsid w:val="004217B9"/>
    <w:rsid w:val="00422293"/>
    <w:rsid w:val="004423AA"/>
    <w:rsid w:val="00445BFA"/>
    <w:rsid w:val="00452BB6"/>
    <w:rsid w:val="0046133B"/>
    <w:rsid w:val="004639C0"/>
    <w:rsid w:val="004706DB"/>
    <w:rsid w:val="00482A75"/>
    <w:rsid w:val="004873AB"/>
    <w:rsid w:val="004A2A8B"/>
    <w:rsid w:val="004B4110"/>
    <w:rsid w:val="004B76F8"/>
    <w:rsid w:val="004C0018"/>
    <w:rsid w:val="004C3D80"/>
    <w:rsid w:val="004F2B34"/>
    <w:rsid w:val="004F3823"/>
    <w:rsid w:val="004F409A"/>
    <w:rsid w:val="004F43E3"/>
    <w:rsid w:val="005023DB"/>
    <w:rsid w:val="0051033B"/>
    <w:rsid w:val="005159DC"/>
    <w:rsid w:val="005207C8"/>
    <w:rsid w:val="00530439"/>
    <w:rsid w:val="00530663"/>
    <w:rsid w:val="005460DE"/>
    <w:rsid w:val="005464CC"/>
    <w:rsid w:val="00547C35"/>
    <w:rsid w:val="0055036F"/>
    <w:rsid w:val="00550D80"/>
    <w:rsid w:val="005514D6"/>
    <w:rsid w:val="00551954"/>
    <w:rsid w:val="00552704"/>
    <w:rsid w:val="00560A16"/>
    <w:rsid w:val="0056460A"/>
    <w:rsid w:val="00566C40"/>
    <w:rsid w:val="00572AB3"/>
    <w:rsid w:val="005836AC"/>
    <w:rsid w:val="00583C6D"/>
    <w:rsid w:val="00584583"/>
    <w:rsid w:val="00594FAC"/>
    <w:rsid w:val="005C5291"/>
    <w:rsid w:val="005C679C"/>
    <w:rsid w:val="005F3AAB"/>
    <w:rsid w:val="005F5FB0"/>
    <w:rsid w:val="00606587"/>
    <w:rsid w:val="00606EEA"/>
    <w:rsid w:val="00616597"/>
    <w:rsid w:val="006174DB"/>
    <w:rsid w:val="006179EC"/>
    <w:rsid w:val="00621984"/>
    <w:rsid w:val="0064007C"/>
    <w:rsid w:val="0064023C"/>
    <w:rsid w:val="00640F1B"/>
    <w:rsid w:val="00654109"/>
    <w:rsid w:val="006578C2"/>
    <w:rsid w:val="006644C4"/>
    <w:rsid w:val="00666D33"/>
    <w:rsid w:val="00675D5C"/>
    <w:rsid w:val="00681C76"/>
    <w:rsid w:val="00684251"/>
    <w:rsid w:val="00692AAB"/>
    <w:rsid w:val="006A00C5"/>
    <w:rsid w:val="006A151B"/>
    <w:rsid w:val="006A2C88"/>
    <w:rsid w:val="006A4425"/>
    <w:rsid w:val="006A58E4"/>
    <w:rsid w:val="006A7264"/>
    <w:rsid w:val="006C093B"/>
    <w:rsid w:val="006D0D9B"/>
    <w:rsid w:val="006D36C9"/>
    <w:rsid w:val="006D62D0"/>
    <w:rsid w:val="006F2002"/>
    <w:rsid w:val="006F2133"/>
    <w:rsid w:val="006F5D6A"/>
    <w:rsid w:val="0071190B"/>
    <w:rsid w:val="00711F3D"/>
    <w:rsid w:val="00716BAD"/>
    <w:rsid w:val="007175A6"/>
    <w:rsid w:val="00725087"/>
    <w:rsid w:val="00744508"/>
    <w:rsid w:val="00760665"/>
    <w:rsid w:val="00763535"/>
    <w:rsid w:val="00766505"/>
    <w:rsid w:val="00775F9C"/>
    <w:rsid w:val="00777199"/>
    <w:rsid w:val="007820CB"/>
    <w:rsid w:val="00782F7D"/>
    <w:rsid w:val="00793208"/>
    <w:rsid w:val="007A47DC"/>
    <w:rsid w:val="007B10E8"/>
    <w:rsid w:val="007B6178"/>
    <w:rsid w:val="007C2809"/>
    <w:rsid w:val="007D1258"/>
    <w:rsid w:val="007D416E"/>
    <w:rsid w:val="007E5472"/>
    <w:rsid w:val="007F351F"/>
    <w:rsid w:val="007F70A8"/>
    <w:rsid w:val="0080050A"/>
    <w:rsid w:val="00807411"/>
    <w:rsid w:val="00814CF5"/>
    <w:rsid w:val="00816425"/>
    <w:rsid w:val="00821758"/>
    <w:rsid w:val="00823079"/>
    <w:rsid w:val="00823890"/>
    <w:rsid w:val="0083298A"/>
    <w:rsid w:val="00841387"/>
    <w:rsid w:val="00845DCB"/>
    <w:rsid w:val="008472B3"/>
    <w:rsid w:val="008478D6"/>
    <w:rsid w:val="00861993"/>
    <w:rsid w:val="00861F83"/>
    <w:rsid w:val="0087722C"/>
    <w:rsid w:val="00885985"/>
    <w:rsid w:val="008A5208"/>
    <w:rsid w:val="008A58A5"/>
    <w:rsid w:val="008B10A6"/>
    <w:rsid w:val="008C0FD6"/>
    <w:rsid w:val="008C35E4"/>
    <w:rsid w:val="008C7A09"/>
    <w:rsid w:val="008E1DB1"/>
    <w:rsid w:val="008E512C"/>
    <w:rsid w:val="008E7749"/>
    <w:rsid w:val="008E7F92"/>
    <w:rsid w:val="008F0C10"/>
    <w:rsid w:val="008F311B"/>
    <w:rsid w:val="008F38F7"/>
    <w:rsid w:val="00902D3C"/>
    <w:rsid w:val="00922CDD"/>
    <w:rsid w:val="00924A9E"/>
    <w:rsid w:val="00926D09"/>
    <w:rsid w:val="009336BA"/>
    <w:rsid w:val="00937FB4"/>
    <w:rsid w:val="0094087C"/>
    <w:rsid w:val="00944960"/>
    <w:rsid w:val="00945B38"/>
    <w:rsid w:val="00947881"/>
    <w:rsid w:val="0095155E"/>
    <w:rsid w:val="00951EC0"/>
    <w:rsid w:val="0096041D"/>
    <w:rsid w:val="00963A74"/>
    <w:rsid w:val="009733E6"/>
    <w:rsid w:val="00975D08"/>
    <w:rsid w:val="00981287"/>
    <w:rsid w:val="00983045"/>
    <w:rsid w:val="0099672E"/>
    <w:rsid w:val="009C5D65"/>
    <w:rsid w:val="009C676C"/>
    <w:rsid w:val="009C713C"/>
    <w:rsid w:val="009D04B1"/>
    <w:rsid w:val="009D0FF7"/>
    <w:rsid w:val="009D15F5"/>
    <w:rsid w:val="009D3796"/>
    <w:rsid w:val="009E05E5"/>
    <w:rsid w:val="009F1B68"/>
    <w:rsid w:val="009F4DC4"/>
    <w:rsid w:val="00A11166"/>
    <w:rsid w:val="00A14038"/>
    <w:rsid w:val="00A246F4"/>
    <w:rsid w:val="00A24FBF"/>
    <w:rsid w:val="00A3626F"/>
    <w:rsid w:val="00A36CEB"/>
    <w:rsid w:val="00A42850"/>
    <w:rsid w:val="00A53837"/>
    <w:rsid w:val="00A551C8"/>
    <w:rsid w:val="00A66117"/>
    <w:rsid w:val="00A80E4E"/>
    <w:rsid w:val="00A819F5"/>
    <w:rsid w:val="00A936E2"/>
    <w:rsid w:val="00AA6A3A"/>
    <w:rsid w:val="00AB1DE9"/>
    <w:rsid w:val="00AB2D12"/>
    <w:rsid w:val="00AB67F0"/>
    <w:rsid w:val="00AC3885"/>
    <w:rsid w:val="00AC4950"/>
    <w:rsid w:val="00AD03C3"/>
    <w:rsid w:val="00AD095C"/>
    <w:rsid w:val="00AD63F9"/>
    <w:rsid w:val="00AD75CD"/>
    <w:rsid w:val="00AE3237"/>
    <w:rsid w:val="00AF3661"/>
    <w:rsid w:val="00B0414B"/>
    <w:rsid w:val="00B05D6E"/>
    <w:rsid w:val="00B119B1"/>
    <w:rsid w:val="00B127EC"/>
    <w:rsid w:val="00B14612"/>
    <w:rsid w:val="00B23E73"/>
    <w:rsid w:val="00B26028"/>
    <w:rsid w:val="00B40898"/>
    <w:rsid w:val="00B4124C"/>
    <w:rsid w:val="00B444D1"/>
    <w:rsid w:val="00B4625E"/>
    <w:rsid w:val="00B51614"/>
    <w:rsid w:val="00B605B4"/>
    <w:rsid w:val="00B66B63"/>
    <w:rsid w:val="00B75AE2"/>
    <w:rsid w:val="00B9148E"/>
    <w:rsid w:val="00B94805"/>
    <w:rsid w:val="00B97878"/>
    <w:rsid w:val="00BA6027"/>
    <w:rsid w:val="00BB2457"/>
    <w:rsid w:val="00BB4C82"/>
    <w:rsid w:val="00BB7316"/>
    <w:rsid w:val="00BC1D95"/>
    <w:rsid w:val="00BC304A"/>
    <w:rsid w:val="00BD03E6"/>
    <w:rsid w:val="00BD0BE9"/>
    <w:rsid w:val="00BD4287"/>
    <w:rsid w:val="00BD5359"/>
    <w:rsid w:val="00BD60D5"/>
    <w:rsid w:val="00BD7752"/>
    <w:rsid w:val="00BE1D00"/>
    <w:rsid w:val="00BE30D4"/>
    <w:rsid w:val="00BE3628"/>
    <w:rsid w:val="00BE424C"/>
    <w:rsid w:val="00BF5CC9"/>
    <w:rsid w:val="00C036A5"/>
    <w:rsid w:val="00C065A3"/>
    <w:rsid w:val="00C14327"/>
    <w:rsid w:val="00C17A3D"/>
    <w:rsid w:val="00C22967"/>
    <w:rsid w:val="00C35333"/>
    <w:rsid w:val="00C375B8"/>
    <w:rsid w:val="00C55FDF"/>
    <w:rsid w:val="00C5739F"/>
    <w:rsid w:val="00C576E7"/>
    <w:rsid w:val="00C87FCA"/>
    <w:rsid w:val="00C9495A"/>
    <w:rsid w:val="00CA1B0C"/>
    <w:rsid w:val="00CA7795"/>
    <w:rsid w:val="00CA7F40"/>
    <w:rsid w:val="00CB3C7E"/>
    <w:rsid w:val="00CC64E4"/>
    <w:rsid w:val="00CD0C18"/>
    <w:rsid w:val="00CE0CDA"/>
    <w:rsid w:val="00CE5888"/>
    <w:rsid w:val="00CF77E2"/>
    <w:rsid w:val="00D03314"/>
    <w:rsid w:val="00D06A0F"/>
    <w:rsid w:val="00D2057D"/>
    <w:rsid w:val="00D23B56"/>
    <w:rsid w:val="00D776A0"/>
    <w:rsid w:val="00D82047"/>
    <w:rsid w:val="00DA171B"/>
    <w:rsid w:val="00DA292E"/>
    <w:rsid w:val="00DB6D34"/>
    <w:rsid w:val="00DC07AA"/>
    <w:rsid w:val="00DD4E02"/>
    <w:rsid w:val="00DD568D"/>
    <w:rsid w:val="00DE00A9"/>
    <w:rsid w:val="00DE08C1"/>
    <w:rsid w:val="00DF0662"/>
    <w:rsid w:val="00DF2970"/>
    <w:rsid w:val="00DF303A"/>
    <w:rsid w:val="00E0467F"/>
    <w:rsid w:val="00E0505F"/>
    <w:rsid w:val="00E30B60"/>
    <w:rsid w:val="00E33F35"/>
    <w:rsid w:val="00E35862"/>
    <w:rsid w:val="00E36D4C"/>
    <w:rsid w:val="00E41E94"/>
    <w:rsid w:val="00E5286D"/>
    <w:rsid w:val="00E55C69"/>
    <w:rsid w:val="00E57D4D"/>
    <w:rsid w:val="00E60B68"/>
    <w:rsid w:val="00E6492F"/>
    <w:rsid w:val="00E65691"/>
    <w:rsid w:val="00E7522F"/>
    <w:rsid w:val="00E7573E"/>
    <w:rsid w:val="00E76201"/>
    <w:rsid w:val="00E86753"/>
    <w:rsid w:val="00E91FA1"/>
    <w:rsid w:val="00E944E2"/>
    <w:rsid w:val="00E94E48"/>
    <w:rsid w:val="00EA6F17"/>
    <w:rsid w:val="00EB75A4"/>
    <w:rsid w:val="00EC12D0"/>
    <w:rsid w:val="00EC2355"/>
    <w:rsid w:val="00EC613F"/>
    <w:rsid w:val="00EC6290"/>
    <w:rsid w:val="00EE3CD1"/>
    <w:rsid w:val="00EF2051"/>
    <w:rsid w:val="00EF27AD"/>
    <w:rsid w:val="00EF3388"/>
    <w:rsid w:val="00EF3834"/>
    <w:rsid w:val="00F00A19"/>
    <w:rsid w:val="00F00C6C"/>
    <w:rsid w:val="00F02F29"/>
    <w:rsid w:val="00F03B36"/>
    <w:rsid w:val="00F23197"/>
    <w:rsid w:val="00F338B0"/>
    <w:rsid w:val="00F3686A"/>
    <w:rsid w:val="00F42802"/>
    <w:rsid w:val="00F573DA"/>
    <w:rsid w:val="00F66DCF"/>
    <w:rsid w:val="00F7059D"/>
    <w:rsid w:val="00F74500"/>
    <w:rsid w:val="00F804CC"/>
    <w:rsid w:val="00F82A83"/>
    <w:rsid w:val="00F83B3D"/>
    <w:rsid w:val="00F96768"/>
    <w:rsid w:val="00FA7FE9"/>
    <w:rsid w:val="00FB0AFB"/>
    <w:rsid w:val="00FB2453"/>
    <w:rsid w:val="00FB39BA"/>
    <w:rsid w:val="00FB62FC"/>
    <w:rsid w:val="00FC61E3"/>
    <w:rsid w:val="00FD5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94D2EB-2401-4AEE-A176-77D75F70A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Matti's%20cases%20and%20judgments\CA%20Judgment%20Templates\Civil%20&amp;%20Cross%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A13A8313DA84608B118510EA926A67B"/>
        <w:category>
          <w:name w:val="General"/>
          <w:gallery w:val="placeholder"/>
        </w:category>
        <w:types>
          <w:type w:val="bbPlcHdr"/>
        </w:types>
        <w:behaviors>
          <w:behavior w:val="content"/>
        </w:behaviors>
        <w:guid w:val="{3BBC1271-CE00-4BEC-963F-2BBA509510A5}"/>
      </w:docPartPr>
      <w:docPartBody>
        <w:p w:rsidR="00B10572" w:rsidRDefault="00402902">
          <w:pPr>
            <w:pStyle w:val="8A13A8313DA84608B118510EA926A67B"/>
          </w:pPr>
          <w:r w:rsidRPr="002A0FDF">
            <w:rPr>
              <w:rStyle w:val="PlaceholderText"/>
            </w:rPr>
            <w:t>Click here to enter text.</w:t>
          </w:r>
        </w:p>
      </w:docPartBody>
    </w:docPart>
    <w:docPart>
      <w:docPartPr>
        <w:name w:val="4D9F5CADE84146EAAF8EAAF6B57C8342"/>
        <w:category>
          <w:name w:val="General"/>
          <w:gallery w:val="placeholder"/>
        </w:category>
        <w:types>
          <w:type w:val="bbPlcHdr"/>
        </w:types>
        <w:behaviors>
          <w:behavior w:val="content"/>
        </w:behaviors>
        <w:guid w:val="{37FDA578-A119-4CAD-9A3B-218D038D1A38}"/>
      </w:docPartPr>
      <w:docPartBody>
        <w:p w:rsidR="00B10572" w:rsidRDefault="00402902">
          <w:pPr>
            <w:pStyle w:val="4D9F5CADE84146EAAF8EAAF6B57C8342"/>
          </w:pPr>
          <w:r w:rsidRPr="002A0FDF">
            <w:rPr>
              <w:rStyle w:val="PlaceholderText"/>
            </w:rPr>
            <w:t>Choose a building block.</w:t>
          </w:r>
        </w:p>
      </w:docPartBody>
    </w:docPart>
    <w:docPart>
      <w:docPartPr>
        <w:name w:val="A312933795664EBDB1733F9A479D6FB7"/>
        <w:category>
          <w:name w:val="General"/>
          <w:gallery w:val="placeholder"/>
        </w:category>
        <w:types>
          <w:type w:val="bbPlcHdr"/>
        </w:types>
        <w:behaviors>
          <w:behavior w:val="content"/>
        </w:behaviors>
        <w:guid w:val="{30620F55-9847-465F-B162-41D993D72F28}"/>
      </w:docPartPr>
      <w:docPartBody>
        <w:p w:rsidR="00B10572" w:rsidRDefault="00402902">
          <w:pPr>
            <w:pStyle w:val="A312933795664EBDB1733F9A479D6FB7"/>
          </w:pPr>
          <w:r w:rsidRPr="006E09BE">
            <w:rPr>
              <w:rStyle w:val="PlaceholderText"/>
            </w:rPr>
            <w:t>Click here to enter text.</w:t>
          </w:r>
        </w:p>
      </w:docPartBody>
    </w:docPart>
    <w:docPart>
      <w:docPartPr>
        <w:name w:val="B106505C70FC4D1988F5F258BDD1234D"/>
        <w:category>
          <w:name w:val="General"/>
          <w:gallery w:val="placeholder"/>
        </w:category>
        <w:types>
          <w:type w:val="bbPlcHdr"/>
        </w:types>
        <w:behaviors>
          <w:behavior w:val="content"/>
        </w:behaviors>
        <w:guid w:val="{6A15C740-67C6-4052-B441-888F4D0944E2}"/>
      </w:docPartPr>
      <w:docPartBody>
        <w:p w:rsidR="00B10572" w:rsidRDefault="00402902">
          <w:pPr>
            <w:pStyle w:val="B106505C70FC4D1988F5F258BDD1234D"/>
          </w:pPr>
          <w:r w:rsidRPr="00E56144">
            <w:rPr>
              <w:rStyle w:val="PlaceholderText"/>
            </w:rPr>
            <w:t>.</w:t>
          </w:r>
        </w:p>
      </w:docPartBody>
    </w:docPart>
    <w:docPart>
      <w:docPartPr>
        <w:name w:val="3C8B692E3049497C8B419AE5325FA469"/>
        <w:category>
          <w:name w:val="General"/>
          <w:gallery w:val="placeholder"/>
        </w:category>
        <w:types>
          <w:type w:val="bbPlcHdr"/>
        </w:types>
        <w:behaviors>
          <w:behavior w:val="content"/>
        </w:behaviors>
        <w:guid w:val="{3228B2BE-55A4-4261-8456-AF0263F00185}"/>
      </w:docPartPr>
      <w:docPartBody>
        <w:p w:rsidR="00B10572" w:rsidRDefault="00402902">
          <w:pPr>
            <w:pStyle w:val="3C8B692E3049497C8B419AE5325FA469"/>
          </w:pPr>
          <w:r w:rsidRPr="00E56144">
            <w:rPr>
              <w:rStyle w:val="PlaceholderText"/>
            </w:rPr>
            <w:t>.</w:t>
          </w:r>
        </w:p>
      </w:docPartBody>
    </w:docPart>
    <w:docPart>
      <w:docPartPr>
        <w:name w:val="4D98CC5B82DD444791148D18823EEFD5"/>
        <w:category>
          <w:name w:val="General"/>
          <w:gallery w:val="placeholder"/>
        </w:category>
        <w:types>
          <w:type w:val="bbPlcHdr"/>
        </w:types>
        <w:behaviors>
          <w:behavior w:val="content"/>
        </w:behaviors>
        <w:guid w:val="{1170A42E-6B1D-4B37-BB98-F519AA681AF8}"/>
      </w:docPartPr>
      <w:docPartBody>
        <w:p w:rsidR="00B10572" w:rsidRDefault="00402902">
          <w:pPr>
            <w:pStyle w:val="4D98CC5B82DD444791148D18823EEFD5"/>
          </w:pPr>
          <w:r w:rsidRPr="00E56144">
            <w:rPr>
              <w:rStyle w:val="PlaceholderText"/>
            </w:rPr>
            <w:t>.</w:t>
          </w:r>
        </w:p>
      </w:docPartBody>
    </w:docPart>
    <w:docPart>
      <w:docPartPr>
        <w:name w:val="B23FEBD399654B2DA8F00AA085CB0027"/>
        <w:category>
          <w:name w:val="General"/>
          <w:gallery w:val="placeholder"/>
        </w:category>
        <w:types>
          <w:type w:val="bbPlcHdr"/>
        </w:types>
        <w:behaviors>
          <w:behavior w:val="content"/>
        </w:behaviors>
        <w:guid w:val="{039E59A4-7D41-4FEE-92FF-650368744966}"/>
      </w:docPartPr>
      <w:docPartBody>
        <w:p w:rsidR="00B10572" w:rsidRDefault="00402902">
          <w:pPr>
            <w:pStyle w:val="B23FEBD399654B2DA8F00AA085CB0027"/>
          </w:pPr>
          <w:r w:rsidRPr="00E56144">
            <w:rPr>
              <w:rStyle w:val="PlaceholderText"/>
            </w:rPr>
            <w:t>.</w:t>
          </w:r>
        </w:p>
      </w:docPartBody>
    </w:docPart>
    <w:docPart>
      <w:docPartPr>
        <w:name w:val="CAA11CE18DCB42F19AE99CB4A8230CA5"/>
        <w:category>
          <w:name w:val="General"/>
          <w:gallery w:val="placeholder"/>
        </w:category>
        <w:types>
          <w:type w:val="bbPlcHdr"/>
        </w:types>
        <w:behaviors>
          <w:behavior w:val="content"/>
        </w:behaviors>
        <w:guid w:val="{684B8274-D143-49D2-9AB2-3F2B797230A8}"/>
      </w:docPartPr>
      <w:docPartBody>
        <w:p w:rsidR="00B10572" w:rsidRDefault="00402902">
          <w:pPr>
            <w:pStyle w:val="CAA11CE18DCB42F19AE99CB4A8230CA5"/>
          </w:pPr>
          <w:r w:rsidRPr="00EE5BC4">
            <w:rPr>
              <w:rStyle w:val="PlaceholderText"/>
            </w:rPr>
            <w:t>Click here to enter text.</w:t>
          </w:r>
        </w:p>
      </w:docPartBody>
    </w:docPart>
    <w:docPart>
      <w:docPartPr>
        <w:name w:val="5B57C68B8A984FA79A6FE7C58C935983"/>
        <w:category>
          <w:name w:val="General"/>
          <w:gallery w:val="placeholder"/>
        </w:category>
        <w:types>
          <w:type w:val="bbPlcHdr"/>
        </w:types>
        <w:behaviors>
          <w:behavior w:val="content"/>
        </w:behaviors>
        <w:guid w:val="{350BAB12-0C0A-488D-AE37-6B4B1BC99972}"/>
      </w:docPartPr>
      <w:docPartBody>
        <w:p w:rsidR="00B10572" w:rsidRDefault="00402902">
          <w:pPr>
            <w:pStyle w:val="5B57C68B8A984FA79A6FE7C58C935983"/>
          </w:pPr>
          <w:r w:rsidRPr="00EE5BC4">
            <w:rPr>
              <w:rStyle w:val="PlaceholderText"/>
            </w:rPr>
            <w:t>Click here to enter text.</w:t>
          </w:r>
        </w:p>
      </w:docPartBody>
    </w:docPart>
    <w:docPart>
      <w:docPartPr>
        <w:name w:val="D1A825BEE3FF4C488AF0A7BEAAFC2488"/>
        <w:category>
          <w:name w:val="General"/>
          <w:gallery w:val="placeholder"/>
        </w:category>
        <w:types>
          <w:type w:val="bbPlcHdr"/>
        </w:types>
        <w:behaviors>
          <w:behavior w:val="content"/>
        </w:behaviors>
        <w:guid w:val="{53B8C24E-6A3E-479D-AADC-9A883798A404}"/>
      </w:docPartPr>
      <w:docPartBody>
        <w:p w:rsidR="00B10572" w:rsidRDefault="00402902">
          <w:pPr>
            <w:pStyle w:val="D1A825BEE3FF4C488AF0A7BEAAFC2488"/>
          </w:pPr>
          <w:r w:rsidRPr="00B26028">
            <w:rPr>
              <w:rStyle w:val="PlaceholderText"/>
            </w:rPr>
            <w:t>Click here to enter text.</w:t>
          </w:r>
        </w:p>
      </w:docPartBody>
    </w:docPart>
    <w:docPart>
      <w:docPartPr>
        <w:name w:val="F02E3B7BC56B463F978583FC51AADC7E"/>
        <w:category>
          <w:name w:val="General"/>
          <w:gallery w:val="placeholder"/>
        </w:category>
        <w:types>
          <w:type w:val="bbPlcHdr"/>
        </w:types>
        <w:behaviors>
          <w:behavior w:val="content"/>
        </w:behaviors>
        <w:guid w:val="{DB9BD3D7-CE9D-4334-AC8A-04585BE32F1D}"/>
      </w:docPartPr>
      <w:docPartBody>
        <w:p w:rsidR="00B10572" w:rsidRDefault="00402902">
          <w:pPr>
            <w:pStyle w:val="F02E3B7BC56B463F978583FC51AADC7E"/>
          </w:pPr>
          <w:r w:rsidRPr="00D776A0">
            <w:rPr>
              <w:rStyle w:val="PlaceholderText"/>
            </w:rPr>
            <w:t>Click here to enter a date.</w:t>
          </w:r>
        </w:p>
      </w:docPartBody>
    </w:docPart>
    <w:docPart>
      <w:docPartPr>
        <w:name w:val="82D7E5C3C158433B98DF8DD3B563F5E7"/>
        <w:category>
          <w:name w:val="General"/>
          <w:gallery w:val="placeholder"/>
        </w:category>
        <w:types>
          <w:type w:val="bbPlcHdr"/>
        </w:types>
        <w:behaviors>
          <w:behavior w:val="content"/>
        </w:behaviors>
        <w:guid w:val="{6DEDE7CB-C191-4116-9D39-990F9DB67B31}"/>
      </w:docPartPr>
      <w:docPartBody>
        <w:p w:rsidR="00B10572" w:rsidRDefault="00402902">
          <w:pPr>
            <w:pStyle w:val="82D7E5C3C158433B98DF8DD3B563F5E7"/>
          </w:pPr>
          <w:r w:rsidRPr="00D776A0">
            <w:rPr>
              <w:rStyle w:val="PlaceholderText"/>
            </w:rPr>
            <w:t>Click here to enter text.</w:t>
          </w:r>
        </w:p>
      </w:docPartBody>
    </w:docPart>
    <w:docPart>
      <w:docPartPr>
        <w:name w:val="ADBEE8DF5527483B87F4A97D8A2D2213"/>
        <w:category>
          <w:name w:val="General"/>
          <w:gallery w:val="placeholder"/>
        </w:category>
        <w:types>
          <w:type w:val="bbPlcHdr"/>
        </w:types>
        <w:behaviors>
          <w:behavior w:val="content"/>
        </w:behaviors>
        <w:guid w:val="{16EB6004-69BB-4D98-8904-63AAA9B090DB}"/>
      </w:docPartPr>
      <w:docPartBody>
        <w:p w:rsidR="00B10572" w:rsidRDefault="00402902">
          <w:pPr>
            <w:pStyle w:val="ADBEE8DF5527483B87F4A97D8A2D2213"/>
          </w:pPr>
          <w:r w:rsidRPr="006E09BE">
            <w:rPr>
              <w:rStyle w:val="PlaceholderText"/>
            </w:rPr>
            <w:t>Click here to enter a date.</w:t>
          </w:r>
        </w:p>
      </w:docPartBody>
    </w:docPart>
    <w:docPart>
      <w:docPartPr>
        <w:name w:val="8E590F9226B84CBDA7EF23736BD610E9"/>
        <w:category>
          <w:name w:val="General"/>
          <w:gallery w:val="placeholder"/>
        </w:category>
        <w:types>
          <w:type w:val="bbPlcHdr"/>
        </w:types>
        <w:behaviors>
          <w:behavior w:val="content"/>
        </w:behaviors>
        <w:guid w:val="{C0C1A4AF-9E61-4DBD-BC95-413F15D09755}"/>
      </w:docPartPr>
      <w:docPartBody>
        <w:p w:rsidR="00B10572" w:rsidRDefault="00402902">
          <w:pPr>
            <w:pStyle w:val="8E590F9226B84CBDA7EF23736BD610E9"/>
          </w:pPr>
          <w:r w:rsidRPr="00E56144">
            <w:rPr>
              <w:rStyle w:val="PlaceholderText"/>
            </w:rPr>
            <w:t>.</w:t>
          </w:r>
        </w:p>
      </w:docPartBody>
    </w:docPart>
    <w:docPart>
      <w:docPartPr>
        <w:name w:val="28F4C48CEE61435F884C7AB2F10D1AAB"/>
        <w:category>
          <w:name w:val="General"/>
          <w:gallery w:val="placeholder"/>
        </w:category>
        <w:types>
          <w:type w:val="bbPlcHdr"/>
        </w:types>
        <w:behaviors>
          <w:behavior w:val="content"/>
        </w:behaviors>
        <w:guid w:val="{94AE1B7A-97CC-49B8-8DA2-BB329EB9133D}"/>
      </w:docPartPr>
      <w:docPartBody>
        <w:p w:rsidR="00B10572" w:rsidRDefault="00402902">
          <w:pPr>
            <w:pStyle w:val="28F4C48CEE61435F884C7AB2F10D1AAB"/>
          </w:pPr>
          <w:r w:rsidRPr="00D776A0">
            <w:rPr>
              <w:rStyle w:val="PlaceholderText"/>
            </w:rPr>
            <w:t xml:space="preserve">Click here to enter text. here to enter text here to enter text here to enter text here to e </w:t>
          </w:r>
        </w:p>
      </w:docPartBody>
    </w:docPart>
    <w:docPart>
      <w:docPartPr>
        <w:name w:val="1B7C044D9D104260B393585727BE4D46"/>
        <w:category>
          <w:name w:val="General"/>
          <w:gallery w:val="placeholder"/>
        </w:category>
        <w:types>
          <w:type w:val="bbPlcHdr"/>
        </w:types>
        <w:behaviors>
          <w:behavior w:val="content"/>
        </w:behaviors>
        <w:guid w:val="{165CA83E-E5AE-45D8-89B4-548C0DABF4DD}"/>
      </w:docPartPr>
      <w:docPartBody>
        <w:p w:rsidR="00B10572" w:rsidRDefault="00402902">
          <w:pPr>
            <w:pStyle w:val="1B7C044D9D104260B393585727BE4D46"/>
          </w:pPr>
          <w:r w:rsidRPr="00E56144">
            <w:rPr>
              <w:rStyle w:val="PlaceholderText"/>
            </w:rPr>
            <w:t>.</w:t>
          </w:r>
        </w:p>
      </w:docPartBody>
    </w:docPart>
    <w:docPart>
      <w:docPartPr>
        <w:name w:val="CAFC69125B5B4E1CABC24666BF120BC1"/>
        <w:category>
          <w:name w:val="General"/>
          <w:gallery w:val="placeholder"/>
        </w:category>
        <w:types>
          <w:type w:val="bbPlcHdr"/>
        </w:types>
        <w:behaviors>
          <w:behavior w:val="content"/>
        </w:behaviors>
        <w:guid w:val="{42E1DDE8-86BA-45F3-AC3F-27BC9146EF8E}"/>
      </w:docPartPr>
      <w:docPartBody>
        <w:p w:rsidR="00B10572" w:rsidRDefault="00402902">
          <w:pPr>
            <w:pStyle w:val="CAFC69125B5B4E1CABC24666BF120BC1"/>
          </w:pPr>
          <w:r w:rsidRPr="002A0FDF">
            <w:rPr>
              <w:rStyle w:val="PlaceholderText"/>
            </w:rPr>
            <w:t>Choose a building block.</w:t>
          </w:r>
        </w:p>
      </w:docPartBody>
    </w:docPart>
    <w:docPart>
      <w:docPartPr>
        <w:name w:val="9011B1F3628548A2AF8C855230A8D104"/>
        <w:category>
          <w:name w:val="General"/>
          <w:gallery w:val="placeholder"/>
        </w:category>
        <w:types>
          <w:type w:val="bbPlcHdr"/>
        </w:types>
        <w:behaviors>
          <w:behavior w:val="content"/>
        </w:behaviors>
        <w:guid w:val="{C6596419-5AAE-42E4-B304-55E90141C92E}"/>
      </w:docPartPr>
      <w:docPartBody>
        <w:p w:rsidR="00B10572" w:rsidRDefault="00402902">
          <w:pPr>
            <w:pStyle w:val="9011B1F3628548A2AF8C855230A8D104"/>
          </w:pPr>
          <w:r w:rsidRPr="006E09BE">
            <w:rPr>
              <w:rStyle w:val="PlaceholderText"/>
            </w:rPr>
            <w:t>Click here to enter text.</w:t>
          </w:r>
        </w:p>
      </w:docPartBody>
    </w:docPart>
    <w:docPart>
      <w:docPartPr>
        <w:name w:val="65C5E00059C045A5AB82A26D09BC1872"/>
        <w:category>
          <w:name w:val="General"/>
          <w:gallery w:val="placeholder"/>
        </w:category>
        <w:types>
          <w:type w:val="bbPlcHdr"/>
        </w:types>
        <w:behaviors>
          <w:behavior w:val="content"/>
        </w:behaviors>
        <w:guid w:val="{2045BFFA-C402-4035-9769-3C8471A1A807}"/>
      </w:docPartPr>
      <w:docPartBody>
        <w:p w:rsidR="00B10572" w:rsidRDefault="00402902">
          <w:pPr>
            <w:pStyle w:val="65C5E00059C045A5AB82A26D09BC1872"/>
          </w:pPr>
          <w:r w:rsidRPr="00E56144">
            <w:rPr>
              <w:rStyle w:val="PlaceholderText"/>
            </w:rPr>
            <w:t>.</w:t>
          </w:r>
        </w:p>
      </w:docPartBody>
    </w:docPart>
    <w:docPart>
      <w:docPartPr>
        <w:name w:val="0C9BBF8F000C4A34B07291A9365A51C4"/>
        <w:category>
          <w:name w:val="General"/>
          <w:gallery w:val="placeholder"/>
        </w:category>
        <w:types>
          <w:type w:val="bbPlcHdr"/>
        </w:types>
        <w:behaviors>
          <w:behavior w:val="content"/>
        </w:behaviors>
        <w:guid w:val="{77EF9CC9-E0C3-4D7B-B652-8E9100F5C862}"/>
      </w:docPartPr>
      <w:docPartBody>
        <w:p w:rsidR="00B10572" w:rsidRDefault="00402902">
          <w:pPr>
            <w:pStyle w:val="0C9BBF8F000C4A34B07291A9365A51C4"/>
          </w:pPr>
          <w:r w:rsidRPr="002A0FDF">
            <w:rPr>
              <w:rStyle w:val="PlaceholderText"/>
            </w:rPr>
            <w:t>Choose a building block.</w:t>
          </w:r>
        </w:p>
      </w:docPartBody>
    </w:docPart>
    <w:docPart>
      <w:docPartPr>
        <w:name w:val="99025331CF594F8AB9AE30DB86FFCE57"/>
        <w:category>
          <w:name w:val="General"/>
          <w:gallery w:val="placeholder"/>
        </w:category>
        <w:types>
          <w:type w:val="bbPlcHdr"/>
        </w:types>
        <w:behaviors>
          <w:behavior w:val="content"/>
        </w:behaviors>
        <w:guid w:val="{6B8C9206-B6C3-4081-8008-F22C5CDE8E0E}"/>
      </w:docPartPr>
      <w:docPartBody>
        <w:p w:rsidR="00B10572" w:rsidRDefault="00402902">
          <w:pPr>
            <w:pStyle w:val="99025331CF594F8AB9AE30DB86FFCE57"/>
          </w:pPr>
          <w:r w:rsidRPr="006E09BE">
            <w:rPr>
              <w:rStyle w:val="PlaceholderText"/>
            </w:rPr>
            <w:t>Click here to enter text.</w:t>
          </w:r>
        </w:p>
      </w:docPartBody>
    </w:docPart>
    <w:docPart>
      <w:docPartPr>
        <w:name w:val="3AC49395657A4F2391576B2274EBB1BF"/>
        <w:category>
          <w:name w:val="General"/>
          <w:gallery w:val="placeholder"/>
        </w:category>
        <w:types>
          <w:type w:val="bbPlcHdr"/>
        </w:types>
        <w:behaviors>
          <w:behavior w:val="content"/>
        </w:behaviors>
        <w:guid w:val="{BE9E459A-9F60-4534-85AF-81A06FFD64A6}"/>
      </w:docPartPr>
      <w:docPartBody>
        <w:p w:rsidR="00B10572" w:rsidRDefault="00402902">
          <w:pPr>
            <w:pStyle w:val="3AC49395657A4F2391576B2274EBB1BF"/>
          </w:pPr>
          <w:r w:rsidRPr="00E56144">
            <w:rPr>
              <w:rStyle w:val="PlaceholderText"/>
            </w:rPr>
            <w:t>.</w:t>
          </w:r>
        </w:p>
      </w:docPartBody>
    </w:docPart>
    <w:docPart>
      <w:docPartPr>
        <w:name w:val="0CFAEBA75B434AAD88833837C6A0EDB4"/>
        <w:category>
          <w:name w:val="General"/>
          <w:gallery w:val="placeholder"/>
        </w:category>
        <w:types>
          <w:type w:val="bbPlcHdr"/>
        </w:types>
        <w:behaviors>
          <w:behavior w:val="content"/>
        </w:behaviors>
        <w:guid w:val="{9E69DC99-7C8B-474E-82DD-88F94F211451}"/>
      </w:docPartPr>
      <w:docPartBody>
        <w:p w:rsidR="00B10572" w:rsidRDefault="00402902">
          <w:pPr>
            <w:pStyle w:val="0CFAEBA75B434AAD88833837C6A0EDB4"/>
          </w:pPr>
          <w:r w:rsidRPr="006E09BE">
            <w:rPr>
              <w:rStyle w:val="PlaceholderText"/>
            </w:rPr>
            <w:t>Choose a building block.</w:t>
          </w:r>
        </w:p>
      </w:docPartBody>
    </w:docPart>
    <w:docPart>
      <w:docPartPr>
        <w:name w:val="40849C3E0E0F41448EE1A7D1F2F8013A"/>
        <w:category>
          <w:name w:val="General"/>
          <w:gallery w:val="placeholder"/>
        </w:category>
        <w:types>
          <w:type w:val="bbPlcHdr"/>
        </w:types>
        <w:behaviors>
          <w:behavior w:val="content"/>
        </w:behaviors>
        <w:guid w:val="{F8AA8745-7D3C-47B2-96EB-86EAED93093A}"/>
      </w:docPartPr>
      <w:docPartBody>
        <w:p w:rsidR="00B10572" w:rsidRDefault="00402902">
          <w:pPr>
            <w:pStyle w:val="40849C3E0E0F41448EE1A7D1F2F8013A"/>
          </w:pPr>
          <w:r w:rsidRPr="00D776A0">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902"/>
    <w:rsid w:val="00280813"/>
    <w:rsid w:val="003335C3"/>
    <w:rsid w:val="00334C4A"/>
    <w:rsid w:val="003641DB"/>
    <w:rsid w:val="00402902"/>
    <w:rsid w:val="0073091E"/>
    <w:rsid w:val="00B10572"/>
    <w:rsid w:val="00B936DF"/>
    <w:rsid w:val="00EB15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A13A8313DA84608B118510EA926A67B">
    <w:name w:val="8A13A8313DA84608B118510EA926A67B"/>
  </w:style>
  <w:style w:type="paragraph" w:customStyle="1" w:styleId="4D9F5CADE84146EAAF8EAAF6B57C8342">
    <w:name w:val="4D9F5CADE84146EAAF8EAAF6B57C8342"/>
  </w:style>
  <w:style w:type="paragraph" w:customStyle="1" w:styleId="A312933795664EBDB1733F9A479D6FB7">
    <w:name w:val="A312933795664EBDB1733F9A479D6FB7"/>
  </w:style>
  <w:style w:type="paragraph" w:customStyle="1" w:styleId="B106505C70FC4D1988F5F258BDD1234D">
    <w:name w:val="B106505C70FC4D1988F5F258BDD1234D"/>
  </w:style>
  <w:style w:type="paragraph" w:customStyle="1" w:styleId="3C8B692E3049497C8B419AE5325FA469">
    <w:name w:val="3C8B692E3049497C8B419AE5325FA469"/>
  </w:style>
  <w:style w:type="paragraph" w:customStyle="1" w:styleId="4D98CC5B82DD444791148D18823EEFD5">
    <w:name w:val="4D98CC5B82DD444791148D18823EEFD5"/>
  </w:style>
  <w:style w:type="paragraph" w:customStyle="1" w:styleId="B23FEBD399654B2DA8F00AA085CB0027">
    <w:name w:val="B23FEBD399654B2DA8F00AA085CB0027"/>
  </w:style>
  <w:style w:type="paragraph" w:customStyle="1" w:styleId="7AD93C5F9379403A8C6AD925FD7E3B32">
    <w:name w:val="7AD93C5F9379403A8C6AD925FD7E3B32"/>
  </w:style>
  <w:style w:type="paragraph" w:customStyle="1" w:styleId="CAA11CE18DCB42F19AE99CB4A8230CA5">
    <w:name w:val="CAA11CE18DCB42F19AE99CB4A8230CA5"/>
  </w:style>
  <w:style w:type="paragraph" w:customStyle="1" w:styleId="864677133EAE441BBBE23309029127A8">
    <w:name w:val="864677133EAE441BBBE23309029127A8"/>
  </w:style>
  <w:style w:type="paragraph" w:customStyle="1" w:styleId="A9C0C2D02EC144E0B9236CA383004602">
    <w:name w:val="A9C0C2D02EC144E0B9236CA383004602"/>
  </w:style>
  <w:style w:type="paragraph" w:customStyle="1" w:styleId="792EE14DD72042F39A3E4C403423B53D">
    <w:name w:val="792EE14DD72042F39A3E4C403423B53D"/>
  </w:style>
  <w:style w:type="paragraph" w:customStyle="1" w:styleId="82280612D0C94BECA92164D77E18ED6D">
    <w:name w:val="82280612D0C94BECA92164D77E18ED6D"/>
  </w:style>
  <w:style w:type="paragraph" w:customStyle="1" w:styleId="C17948D318644AE08E338E4BA48BC1CB">
    <w:name w:val="C17948D318644AE08E338E4BA48BC1CB"/>
  </w:style>
  <w:style w:type="paragraph" w:customStyle="1" w:styleId="C6AFD32197D948C7A6EAC358AD544953">
    <w:name w:val="C6AFD32197D948C7A6EAC358AD544953"/>
  </w:style>
  <w:style w:type="paragraph" w:customStyle="1" w:styleId="5B57C68B8A984FA79A6FE7C58C935983">
    <w:name w:val="5B57C68B8A984FA79A6FE7C58C935983"/>
  </w:style>
  <w:style w:type="paragraph" w:customStyle="1" w:styleId="D1A825BEE3FF4C488AF0A7BEAAFC2488">
    <w:name w:val="D1A825BEE3FF4C488AF0A7BEAAFC2488"/>
  </w:style>
  <w:style w:type="paragraph" w:customStyle="1" w:styleId="F0E0F1C799654D71B93DD4FA312A0758">
    <w:name w:val="F0E0F1C799654D71B93DD4FA312A0758"/>
  </w:style>
  <w:style w:type="paragraph" w:customStyle="1" w:styleId="27557413EC674B8DA3D8A58A0DC7A5F3">
    <w:name w:val="27557413EC674B8DA3D8A58A0DC7A5F3"/>
  </w:style>
  <w:style w:type="paragraph" w:customStyle="1" w:styleId="925AFFE65BEF4833BE29517680D8D03A">
    <w:name w:val="925AFFE65BEF4833BE29517680D8D03A"/>
  </w:style>
  <w:style w:type="paragraph" w:customStyle="1" w:styleId="8748714BE8F9419282BA2115E5C84420">
    <w:name w:val="8748714BE8F9419282BA2115E5C84420"/>
  </w:style>
  <w:style w:type="paragraph" w:customStyle="1" w:styleId="0F018B254A3A435EAAFAF0836E2B01C9">
    <w:name w:val="0F018B254A3A435EAAFAF0836E2B01C9"/>
  </w:style>
  <w:style w:type="paragraph" w:customStyle="1" w:styleId="A061D44515C84544AB8B2AF07A3240D1">
    <w:name w:val="A061D44515C84544AB8B2AF07A3240D1"/>
  </w:style>
  <w:style w:type="paragraph" w:customStyle="1" w:styleId="26920DD167424F259ECD13ED32FC79C7">
    <w:name w:val="26920DD167424F259ECD13ED32FC79C7"/>
  </w:style>
  <w:style w:type="paragraph" w:customStyle="1" w:styleId="AC1F511EE9F34662B3B42130F4214565">
    <w:name w:val="AC1F511EE9F34662B3B42130F4214565"/>
  </w:style>
  <w:style w:type="paragraph" w:customStyle="1" w:styleId="1F97CF0FBE8946DAB81CBC4281F81E85">
    <w:name w:val="1F97CF0FBE8946DAB81CBC4281F81E85"/>
  </w:style>
  <w:style w:type="paragraph" w:customStyle="1" w:styleId="0E165971CEA344B2A613DDB3356680AF">
    <w:name w:val="0E165971CEA344B2A613DDB3356680AF"/>
  </w:style>
  <w:style w:type="paragraph" w:customStyle="1" w:styleId="E0C979A40B35424D8FC0D98CD621EA8D">
    <w:name w:val="E0C979A40B35424D8FC0D98CD621EA8D"/>
  </w:style>
  <w:style w:type="paragraph" w:customStyle="1" w:styleId="2F99C79B6F1149CEACE1B1E1542E2FAE">
    <w:name w:val="2F99C79B6F1149CEACE1B1E1542E2FAE"/>
  </w:style>
  <w:style w:type="paragraph" w:customStyle="1" w:styleId="817D27CD02CA4F2590C44479EC8CFEBF">
    <w:name w:val="817D27CD02CA4F2590C44479EC8CFEBF"/>
  </w:style>
  <w:style w:type="paragraph" w:customStyle="1" w:styleId="F02E3B7BC56B463F978583FC51AADC7E">
    <w:name w:val="F02E3B7BC56B463F978583FC51AADC7E"/>
  </w:style>
  <w:style w:type="paragraph" w:customStyle="1" w:styleId="82D7E5C3C158433B98DF8DD3B563F5E7">
    <w:name w:val="82D7E5C3C158433B98DF8DD3B563F5E7"/>
  </w:style>
  <w:style w:type="paragraph" w:customStyle="1" w:styleId="ADBEE8DF5527483B87F4A97D8A2D2213">
    <w:name w:val="ADBEE8DF5527483B87F4A97D8A2D2213"/>
  </w:style>
  <w:style w:type="paragraph" w:customStyle="1" w:styleId="8E590F9226B84CBDA7EF23736BD610E9">
    <w:name w:val="8E590F9226B84CBDA7EF23736BD610E9"/>
  </w:style>
  <w:style w:type="paragraph" w:customStyle="1" w:styleId="28F4C48CEE61435F884C7AB2F10D1AAB">
    <w:name w:val="28F4C48CEE61435F884C7AB2F10D1AAB"/>
  </w:style>
  <w:style w:type="paragraph" w:customStyle="1" w:styleId="1B7C044D9D104260B393585727BE4D46">
    <w:name w:val="1B7C044D9D104260B393585727BE4D46"/>
  </w:style>
  <w:style w:type="paragraph" w:customStyle="1" w:styleId="CAFC69125B5B4E1CABC24666BF120BC1">
    <w:name w:val="CAFC69125B5B4E1CABC24666BF120BC1"/>
  </w:style>
  <w:style w:type="paragraph" w:customStyle="1" w:styleId="9011B1F3628548A2AF8C855230A8D104">
    <w:name w:val="9011B1F3628548A2AF8C855230A8D104"/>
  </w:style>
  <w:style w:type="paragraph" w:customStyle="1" w:styleId="65C5E00059C045A5AB82A26D09BC1872">
    <w:name w:val="65C5E00059C045A5AB82A26D09BC1872"/>
  </w:style>
  <w:style w:type="paragraph" w:customStyle="1" w:styleId="0C9BBF8F000C4A34B07291A9365A51C4">
    <w:name w:val="0C9BBF8F000C4A34B07291A9365A51C4"/>
  </w:style>
  <w:style w:type="paragraph" w:customStyle="1" w:styleId="99025331CF594F8AB9AE30DB86FFCE57">
    <w:name w:val="99025331CF594F8AB9AE30DB86FFCE57"/>
  </w:style>
  <w:style w:type="paragraph" w:customStyle="1" w:styleId="3AC49395657A4F2391576B2274EBB1BF">
    <w:name w:val="3AC49395657A4F2391576B2274EBB1BF"/>
  </w:style>
  <w:style w:type="paragraph" w:customStyle="1" w:styleId="F9D37C4142EA41788ADE7BFA75129049">
    <w:name w:val="F9D37C4142EA41788ADE7BFA75129049"/>
  </w:style>
  <w:style w:type="paragraph" w:customStyle="1" w:styleId="D5E36804273E40BCADFBCA31121082FF">
    <w:name w:val="D5E36804273E40BCADFBCA31121082FF"/>
  </w:style>
  <w:style w:type="paragraph" w:customStyle="1" w:styleId="DC5C9D51AAB34134995F503D52668BF0">
    <w:name w:val="DC5C9D51AAB34134995F503D52668BF0"/>
  </w:style>
  <w:style w:type="paragraph" w:customStyle="1" w:styleId="9A3D1FACF02045EBA7A91985EF9B1490">
    <w:name w:val="9A3D1FACF02045EBA7A91985EF9B1490"/>
  </w:style>
  <w:style w:type="paragraph" w:customStyle="1" w:styleId="6E532345983048E3B0A27D82D0D69AC1">
    <w:name w:val="6E532345983048E3B0A27D82D0D69AC1"/>
  </w:style>
  <w:style w:type="paragraph" w:customStyle="1" w:styleId="162944DD4A4547EFA55E86F35470CDD6">
    <w:name w:val="162944DD4A4547EFA55E86F35470CDD6"/>
  </w:style>
  <w:style w:type="paragraph" w:customStyle="1" w:styleId="0CFAEBA75B434AAD88833837C6A0EDB4">
    <w:name w:val="0CFAEBA75B434AAD88833837C6A0EDB4"/>
  </w:style>
  <w:style w:type="paragraph" w:customStyle="1" w:styleId="40849C3E0E0F41448EE1A7D1F2F8013A">
    <w:name w:val="40849C3E0E0F41448EE1A7D1F2F801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23758-5098-4E60-A655-0B11C4DAC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 &amp; Cross Appeal Template</Template>
  <TotalTime>183</TotalTime>
  <Pages>1</Pages>
  <Words>2928</Words>
  <Characters>16695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Marie-Claire Julie</cp:lastModifiedBy>
  <cp:revision>14</cp:revision>
  <cp:lastPrinted>2016-12-13T11:36:00Z</cp:lastPrinted>
  <dcterms:created xsi:type="dcterms:W3CDTF">2016-12-07T04:15:00Z</dcterms:created>
  <dcterms:modified xsi:type="dcterms:W3CDTF">2016-12-13T11:37:00Z</dcterms:modified>
</cp:coreProperties>
</file>