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Text41"/>
    <w:p w:rsidR="008965A6" w:rsidRDefault="000C6A59" w:rsidP="008965A6">
      <w:pPr>
        <w:jc w:val="center"/>
        <w:rPr>
          <w:b/>
          <w:sz w:val="24"/>
          <w:szCs w:val="24"/>
        </w:rPr>
      </w:pPr>
      <w:r w:rsidRPr="0096251D">
        <w:rPr>
          <w:b/>
          <w:sz w:val="24"/>
          <w:szCs w:val="24"/>
        </w:rPr>
        <w:fldChar w:fldCharType="begin">
          <w:ffData>
            <w:name w:val="Text41"/>
            <w:enabled/>
            <w:calcOnExit w:val="0"/>
            <w:textInput>
              <w:default w:val="RESTRICTED PUBLICATION:"/>
              <w:format w:val="UPPERCASE"/>
            </w:textInput>
          </w:ffData>
        </w:fldChar>
      </w:r>
      <w:r w:rsidR="008965A6" w:rsidRPr="0096251D">
        <w:rPr>
          <w:b/>
          <w:sz w:val="24"/>
          <w:szCs w:val="24"/>
        </w:rPr>
        <w:instrText xml:space="preserve"> FORMTEXT </w:instrText>
      </w:r>
      <w:r w:rsidRPr="0096251D">
        <w:rPr>
          <w:b/>
          <w:sz w:val="24"/>
          <w:szCs w:val="24"/>
        </w:rPr>
      </w:r>
      <w:r w:rsidRPr="0096251D">
        <w:rPr>
          <w:b/>
          <w:sz w:val="24"/>
          <w:szCs w:val="24"/>
        </w:rPr>
        <w:fldChar w:fldCharType="separate"/>
      </w:r>
      <w:r w:rsidR="00054691">
        <w:rPr>
          <w:b/>
          <w:sz w:val="24"/>
          <w:szCs w:val="24"/>
        </w:rPr>
        <w:t> </w:t>
      </w:r>
      <w:r w:rsidR="00054691">
        <w:rPr>
          <w:b/>
          <w:sz w:val="24"/>
          <w:szCs w:val="24"/>
        </w:rPr>
        <w:t> </w:t>
      </w:r>
      <w:r w:rsidR="00054691">
        <w:rPr>
          <w:b/>
          <w:sz w:val="24"/>
          <w:szCs w:val="24"/>
        </w:rPr>
        <w:t> </w:t>
      </w:r>
      <w:r w:rsidR="00054691">
        <w:rPr>
          <w:b/>
          <w:sz w:val="24"/>
          <w:szCs w:val="24"/>
        </w:rPr>
        <w:t> </w:t>
      </w:r>
      <w:r w:rsidR="00054691">
        <w:rPr>
          <w:b/>
          <w:sz w:val="24"/>
          <w:szCs w:val="24"/>
        </w:rPr>
        <w:t> </w:t>
      </w:r>
      <w:r w:rsidRPr="0096251D">
        <w:rPr>
          <w:b/>
          <w:sz w:val="24"/>
          <w:szCs w:val="24"/>
        </w:rPr>
        <w:fldChar w:fldCharType="end"/>
      </w:r>
      <w:bookmarkEnd w:id="0"/>
    </w:p>
    <w:bookmarkStart w:id="1" w:name="Text42"/>
    <w:p w:rsidR="008965A6" w:rsidRPr="00B938BB" w:rsidRDefault="000C6A59" w:rsidP="008965A6">
      <w:pPr>
        <w:jc w:val="center"/>
        <w:rPr>
          <w:i/>
          <w:sz w:val="24"/>
          <w:szCs w:val="24"/>
        </w:rPr>
      </w:pPr>
      <w:r>
        <w:rPr>
          <w:i/>
          <w:sz w:val="24"/>
          <w:szCs w:val="24"/>
        </w:rPr>
        <w:fldChar w:fldCharType="begin">
          <w:ffData>
            <w:name w:val="Text42"/>
            <w:enabled/>
            <w:calcOnExit w:val="0"/>
            <w:textInput>
              <w:default w:val="[Names of parties/witnesses/places etc] in this [judgment/ruling] not to be published in any form without prior written authorisation of the Court"/>
            </w:textInput>
          </w:ffData>
        </w:fldChar>
      </w:r>
      <w:r w:rsidR="008965A6">
        <w:rPr>
          <w:i/>
          <w:sz w:val="24"/>
          <w:szCs w:val="24"/>
        </w:rPr>
        <w:instrText xml:space="preserve"> FORMTEXT </w:instrText>
      </w:r>
      <w:r>
        <w:rPr>
          <w:i/>
          <w:sz w:val="24"/>
          <w:szCs w:val="24"/>
        </w:rPr>
      </w:r>
      <w:r>
        <w:rPr>
          <w:i/>
          <w:sz w:val="24"/>
          <w:szCs w:val="24"/>
        </w:rPr>
        <w:fldChar w:fldCharType="separate"/>
      </w:r>
      <w:r w:rsidR="00054691">
        <w:rPr>
          <w:i/>
          <w:sz w:val="24"/>
          <w:szCs w:val="24"/>
        </w:rPr>
        <w:t> </w:t>
      </w:r>
      <w:r w:rsidR="00054691">
        <w:rPr>
          <w:i/>
          <w:sz w:val="24"/>
          <w:szCs w:val="24"/>
        </w:rPr>
        <w:t> </w:t>
      </w:r>
      <w:r w:rsidR="00054691">
        <w:rPr>
          <w:i/>
          <w:sz w:val="24"/>
          <w:szCs w:val="24"/>
        </w:rPr>
        <w:t> </w:t>
      </w:r>
      <w:r w:rsidR="00054691">
        <w:rPr>
          <w:i/>
          <w:sz w:val="24"/>
          <w:szCs w:val="24"/>
        </w:rPr>
        <w:t> </w:t>
      </w:r>
      <w:r w:rsidR="00054691">
        <w:rPr>
          <w:i/>
          <w:sz w:val="24"/>
          <w:szCs w:val="24"/>
        </w:rPr>
        <w:t> </w:t>
      </w:r>
      <w:r>
        <w:rPr>
          <w:i/>
          <w:sz w:val="24"/>
          <w:szCs w:val="24"/>
        </w:rPr>
        <w:fldChar w:fldCharType="end"/>
      </w:r>
      <w:bookmarkEnd w:id="1"/>
    </w:p>
    <w:p w:rsidR="008965A6" w:rsidRDefault="008965A6" w:rsidP="00CA7795">
      <w:pPr>
        <w:jc w:val="center"/>
        <w:rPr>
          <w:b/>
          <w:sz w:val="28"/>
          <w:szCs w:val="28"/>
        </w:rPr>
      </w:pPr>
    </w:p>
    <w:p w:rsidR="00AD75CD" w:rsidRPr="00606EEA" w:rsidRDefault="00C55FDF" w:rsidP="00CA7795">
      <w:pPr>
        <w:jc w:val="center"/>
        <w:rPr>
          <w:b/>
          <w:sz w:val="28"/>
          <w:szCs w:val="28"/>
        </w:rPr>
      </w:pPr>
      <w:r w:rsidRPr="00606EEA">
        <w:rPr>
          <w:b/>
          <w:sz w:val="28"/>
          <w:szCs w:val="28"/>
        </w:rPr>
        <w:t xml:space="preserve">IN THE </w:t>
      </w:r>
      <w:r w:rsidR="00965CF7">
        <w:rPr>
          <w:b/>
          <w:sz w:val="28"/>
          <w:szCs w:val="28"/>
        </w:rPr>
        <w:t>COURT OF APPEAL OF</w:t>
      </w:r>
      <w:r w:rsidRPr="00606EEA">
        <w:rPr>
          <w:b/>
          <w:sz w:val="28"/>
          <w:szCs w:val="28"/>
        </w:rPr>
        <w:t xml:space="preserve"> SEYCHELLES</w:t>
      </w:r>
    </w:p>
    <w:p w:rsidR="00965CF7" w:rsidRDefault="00965CF7" w:rsidP="0006489F">
      <w:pPr>
        <w:spacing w:before="240"/>
        <w:jc w:val="center"/>
        <w:rPr>
          <w:b/>
          <w:sz w:val="28"/>
          <w:szCs w:val="28"/>
        </w:rPr>
      </w:pPr>
      <w:r w:rsidRPr="00965CF7">
        <w:rPr>
          <w:b/>
          <w:sz w:val="28"/>
          <w:szCs w:val="28"/>
        </w:rPr>
        <w:t>[Coram:</w:t>
      </w:r>
      <w:r w:rsidRPr="00965CF7">
        <w:rPr>
          <w:b/>
          <w:sz w:val="28"/>
          <w:szCs w:val="28"/>
        </w:rPr>
        <w:tab/>
      </w:r>
      <w:r>
        <w:rPr>
          <w:b/>
          <w:sz w:val="28"/>
          <w:szCs w:val="28"/>
        </w:rPr>
        <w:t xml:space="preserve">A. Fernando, (J.A) </w:t>
      </w:r>
      <w:r w:rsidRPr="00965CF7">
        <w:rPr>
          <w:b/>
          <w:sz w:val="28"/>
          <w:szCs w:val="28"/>
        </w:rPr>
        <w:t>M. Twomey (J.A), J. Msoffe (J.A</w:t>
      </w:r>
      <w:r>
        <w:rPr>
          <w:b/>
          <w:sz w:val="28"/>
          <w:szCs w:val="28"/>
        </w:rPr>
        <w:t>).</w:t>
      </w:r>
    </w:p>
    <w:p w:rsidR="00C55FDF" w:rsidRPr="00B75AE2" w:rsidRDefault="00C55FDF" w:rsidP="0006489F">
      <w:pPr>
        <w:spacing w:before="240"/>
        <w:jc w:val="center"/>
        <w:rPr>
          <w:b/>
          <w:sz w:val="28"/>
          <w:szCs w:val="28"/>
        </w:rPr>
      </w:pPr>
      <w:r w:rsidRPr="00B75AE2">
        <w:rPr>
          <w:b/>
          <w:sz w:val="28"/>
          <w:szCs w:val="28"/>
        </w:rPr>
        <w:t>C</w:t>
      </w:r>
      <w:r w:rsidR="00B23E73" w:rsidRPr="00B75AE2">
        <w:rPr>
          <w:b/>
          <w:sz w:val="28"/>
          <w:szCs w:val="28"/>
        </w:rPr>
        <w:t xml:space="preserve">ivil </w:t>
      </w:r>
      <w:r w:rsidR="006410D5">
        <w:rPr>
          <w:b/>
          <w:sz w:val="28"/>
          <w:szCs w:val="28"/>
        </w:rPr>
        <w:t>Appeal:</w:t>
      </w:r>
      <w:r w:rsidR="00BF5CC9" w:rsidRPr="00B75AE2">
        <w:rPr>
          <w:b/>
          <w:sz w:val="28"/>
          <w:szCs w:val="28"/>
        </w:rPr>
        <w:t xml:space="preserve"> C</w:t>
      </w:r>
      <w:r w:rsidR="00A53837" w:rsidRPr="00B75AE2">
        <w:rPr>
          <w:b/>
          <w:sz w:val="28"/>
          <w:szCs w:val="28"/>
        </w:rPr>
        <w:t>A</w:t>
      </w:r>
      <w:r w:rsidRPr="00B75AE2">
        <w:rPr>
          <w:b/>
          <w:sz w:val="28"/>
          <w:szCs w:val="28"/>
        </w:rPr>
        <w:t xml:space="preserve"> </w:t>
      </w:r>
      <w:r w:rsidR="00410913">
        <w:rPr>
          <w:b/>
          <w:sz w:val="28"/>
          <w:szCs w:val="28"/>
        </w:rPr>
        <w:t>12</w:t>
      </w:r>
      <w:r w:rsidRPr="00B75AE2">
        <w:rPr>
          <w:b/>
          <w:sz w:val="28"/>
          <w:szCs w:val="28"/>
        </w:rPr>
        <w:t>/</w:t>
      </w:r>
      <w:r w:rsidR="00C87FCA" w:rsidRPr="00B75AE2">
        <w:rPr>
          <w:b/>
          <w:sz w:val="28"/>
          <w:szCs w:val="28"/>
        </w:rPr>
        <w:t>20</w:t>
      </w:r>
      <w:r w:rsidR="00410913">
        <w:rPr>
          <w:b/>
          <w:sz w:val="28"/>
          <w:szCs w:val="28"/>
        </w:rPr>
        <w:t>15</w:t>
      </w:r>
      <w:r w:rsidR="000C6A59" w:rsidRPr="00B75AE2">
        <w:rPr>
          <w:b/>
          <w:sz w:val="28"/>
          <w:szCs w:val="28"/>
        </w:rPr>
        <w:fldChar w:fldCharType="begin">
          <w:ffData>
            <w:name w:val="Text33"/>
            <w:enabled/>
            <w:calcOnExit w:val="0"/>
            <w:textInput/>
          </w:ffData>
        </w:fldChar>
      </w:r>
      <w:bookmarkStart w:id="2" w:name="Text33"/>
      <w:r w:rsidR="00C87FCA" w:rsidRPr="00B75AE2">
        <w:rPr>
          <w:b/>
          <w:sz w:val="28"/>
          <w:szCs w:val="28"/>
        </w:rPr>
        <w:instrText xml:space="preserve"> FORMTEXT </w:instrText>
      </w:r>
      <w:r w:rsidR="000C6A59" w:rsidRPr="00B75AE2">
        <w:rPr>
          <w:b/>
          <w:sz w:val="28"/>
          <w:szCs w:val="28"/>
        </w:rPr>
      </w:r>
      <w:r w:rsidR="000C6A59" w:rsidRPr="00B75AE2">
        <w:rPr>
          <w:b/>
          <w:sz w:val="28"/>
          <w:szCs w:val="28"/>
        </w:rPr>
        <w:fldChar w:fldCharType="separate"/>
      </w:r>
      <w:r w:rsidR="00C87FCA" w:rsidRPr="00B75AE2">
        <w:rPr>
          <w:b/>
          <w:noProof/>
          <w:sz w:val="28"/>
          <w:szCs w:val="28"/>
        </w:rPr>
        <w:t> </w:t>
      </w:r>
      <w:r w:rsidR="00C87FCA" w:rsidRPr="00B75AE2">
        <w:rPr>
          <w:b/>
          <w:noProof/>
          <w:sz w:val="28"/>
          <w:szCs w:val="28"/>
        </w:rPr>
        <w:t> </w:t>
      </w:r>
      <w:r w:rsidR="00C87FCA" w:rsidRPr="00B75AE2">
        <w:rPr>
          <w:b/>
          <w:noProof/>
          <w:sz w:val="28"/>
          <w:szCs w:val="28"/>
        </w:rPr>
        <w:t> </w:t>
      </w:r>
      <w:r w:rsidR="00C87FCA" w:rsidRPr="00B75AE2">
        <w:rPr>
          <w:b/>
          <w:noProof/>
          <w:sz w:val="28"/>
          <w:szCs w:val="28"/>
        </w:rPr>
        <w:t> </w:t>
      </w:r>
      <w:r w:rsidR="00C87FCA" w:rsidRPr="00B75AE2">
        <w:rPr>
          <w:b/>
          <w:noProof/>
          <w:sz w:val="28"/>
          <w:szCs w:val="28"/>
        </w:rPr>
        <w:t> </w:t>
      </w:r>
      <w:r w:rsidR="000C6A59" w:rsidRPr="00B75AE2">
        <w:rPr>
          <w:b/>
          <w:sz w:val="28"/>
          <w:szCs w:val="28"/>
        </w:rPr>
        <w:fldChar w:fldCharType="end"/>
      </w:r>
      <w:bookmarkEnd w:id="2"/>
    </w:p>
    <w:p w:rsidR="00A53837" w:rsidRPr="00606EEA" w:rsidRDefault="00965CF7" w:rsidP="00A53837">
      <w:pPr>
        <w:spacing w:before="120"/>
        <w:jc w:val="center"/>
        <w:rPr>
          <w:b/>
          <w:sz w:val="24"/>
          <w:szCs w:val="24"/>
        </w:rPr>
      </w:pPr>
      <w:r>
        <w:rPr>
          <w:b/>
          <w:sz w:val="24"/>
          <w:szCs w:val="24"/>
        </w:rPr>
        <w:t>(</w:t>
      </w:r>
      <w:r w:rsidR="00A53837" w:rsidRPr="0006489F">
        <w:rPr>
          <w:b/>
          <w:sz w:val="24"/>
          <w:szCs w:val="24"/>
        </w:rPr>
        <w:t>Appeal from</w:t>
      </w:r>
      <w:r w:rsidR="00A53837" w:rsidRPr="005207C8">
        <w:rPr>
          <w:b/>
          <w:sz w:val="28"/>
          <w:szCs w:val="28"/>
        </w:rPr>
        <w:t xml:space="preserve"> </w:t>
      </w:r>
      <w:r w:rsidR="00410913">
        <w:rPr>
          <w:b/>
          <w:sz w:val="24"/>
          <w:szCs w:val="24"/>
        </w:rPr>
        <w:t>Supreme Court Decision 24/14 out of Employment Tribunal Decision151/2013</w:t>
      </w:r>
      <w:r>
        <w:rPr>
          <w:b/>
          <w:sz w:val="24"/>
          <w:szCs w:val="24"/>
        </w:rPr>
        <w:t>)</w:t>
      </w:r>
      <w:r w:rsidR="000C6A59" w:rsidRPr="00B75AE2">
        <w:rPr>
          <w:b/>
          <w:sz w:val="24"/>
          <w:szCs w:val="24"/>
        </w:rPr>
        <w:fldChar w:fldCharType="begin"/>
      </w:r>
      <w:r w:rsidR="003F0F8D" w:rsidRPr="00B75AE2">
        <w:rPr>
          <w:b/>
          <w:sz w:val="24"/>
          <w:szCs w:val="24"/>
        </w:rPr>
        <w:instrText xml:space="preserve">  </w:instrText>
      </w:r>
      <w:r w:rsidR="000C6A59" w:rsidRPr="00B75AE2">
        <w:rPr>
          <w:b/>
          <w:sz w:val="24"/>
          <w:szCs w:val="24"/>
        </w:rPr>
        <w:fldChar w:fldCharType="end"/>
      </w:r>
      <w:r w:rsidR="000C6A59">
        <w:rPr>
          <w:b/>
          <w:sz w:val="24"/>
          <w:szCs w:val="24"/>
        </w:rPr>
        <w:fldChar w:fldCharType="begin">
          <w:ffData>
            <w:name w:val="Text32"/>
            <w:enabled/>
            <w:calcOnExit w:val="0"/>
            <w:textInput/>
          </w:ffData>
        </w:fldChar>
      </w:r>
      <w:bookmarkStart w:id="3" w:name="Text32"/>
      <w:r w:rsidR="00C87FCA">
        <w:rPr>
          <w:b/>
          <w:sz w:val="24"/>
          <w:szCs w:val="24"/>
        </w:rPr>
        <w:instrText xml:space="preserve"> FORMTEXT </w:instrText>
      </w:r>
      <w:r w:rsidR="000C6A59">
        <w:rPr>
          <w:b/>
          <w:sz w:val="24"/>
          <w:szCs w:val="24"/>
        </w:rPr>
      </w:r>
      <w:r w:rsidR="000C6A59">
        <w:rPr>
          <w:b/>
          <w:sz w:val="24"/>
          <w:szCs w:val="24"/>
        </w:rPr>
        <w:fldChar w:fldCharType="separate"/>
      </w:r>
      <w:r w:rsidR="00C87FCA">
        <w:rPr>
          <w:b/>
          <w:noProof/>
          <w:sz w:val="24"/>
          <w:szCs w:val="24"/>
        </w:rPr>
        <w:t> </w:t>
      </w:r>
      <w:r w:rsidR="00C87FCA">
        <w:rPr>
          <w:b/>
          <w:noProof/>
          <w:sz w:val="24"/>
          <w:szCs w:val="24"/>
        </w:rPr>
        <w:t> </w:t>
      </w:r>
      <w:r w:rsidR="00C87FCA">
        <w:rPr>
          <w:b/>
          <w:noProof/>
          <w:sz w:val="24"/>
          <w:szCs w:val="24"/>
        </w:rPr>
        <w:t> </w:t>
      </w:r>
      <w:r w:rsidR="00C87FCA">
        <w:rPr>
          <w:b/>
          <w:noProof/>
          <w:sz w:val="24"/>
          <w:szCs w:val="24"/>
        </w:rPr>
        <w:t> </w:t>
      </w:r>
      <w:r w:rsidR="00C87FCA">
        <w:rPr>
          <w:b/>
          <w:noProof/>
          <w:sz w:val="24"/>
          <w:szCs w:val="24"/>
        </w:rPr>
        <w:t> </w:t>
      </w:r>
      <w:r w:rsidR="000C6A59">
        <w:rPr>
          <w:b/>
          <w:sz w:val="24"/>
          <w:szCs w:val="24"/>
        </w:rPr>
        <w:fldChar w:fldCharType="end"/>
      </w:r>
      <w:bookmarkEnd w:id="3"/>
      <w:r w:rsidR="000C6A59">
        <w:rPr>
          <w:b/>
          <w:sz w:val="24"/>
          <w:szCs w:val="24"/>
          <w:highlight w:val="lightGray"/>
        </w:rPr>
        <w:fldChar w:fldCharType="begin"/>
      </w:r>
      <w:r w:rsidR="003F0F8D">
        <w:rPr>
          <w:b/>
          <w:sz w:val="24"/>
          <w:szCs w:val="24"/>
          <w:highlight w:val="lightGray"/>
        </w:rPr>
        <w:instrText xml:space="preserve">  </w:instrText>
      </w:r>
      <w:r w:rsidR="000C6A59">
        <w:rPr>
          <w:b/>
          <w:sz w:val="24"/>
          <w:szCs w:val="24"/>
          <w:highlight w:val="lightGray"/>
        </w:rPr>
        <w:fldChar w:fldCharType="end"/>
      </w:r>
    </w:p>
    <w:p w:rsidR="00DB6D34" w:rsidRPr="00606EEA" w:rsidRDefault="00FD51F3" w:rsidP="00000407">
      <w:pPr>
        <w:spacing w:before="240" w:after="160"/>
        <w:ind w:left="6480"/>
        <w:rPr>
          <w:b/>
          <w:sz w:val="24"/>
          <w:szCs w:val="24"/>
        </w:rPr>
      </w:pPr>
      <w:r>
        <w:rPr>
          <w:b/>
          <w:sz w:val="24"/>
          <w:szCs w:val="24"/>
        </w:rPr>
        <w:t xml:space="preserve">       </w:t>
      </w:r>
      <w:r w:rsidR="00DB6D34" w:rsidRPr="00606EEA">
        <w:rPr>
          <w:b/>
          <w:sz w:val="24"/>
          <w:szCs w:val="24"/>
        </w:rPr>
        <w:t>[201</w:t>
      </w:r>
      <w:r w:rsidR="000C6A59">
        <w:rPr>
          <w:b/>
          <w:sz w:val="24"/>
          <w:szCs w:val="24"/>
        </w:rPr>
        <w:fldChar w:fldCharType="begin">
          <w:ffData>
            <w:name w:val="Text4"/>
            <w:enabled/>
            <w:calcOnExit w:val="0"/>
            <w:textInput/>
          </w:ffData>
        </w:fldChar>
      </w:r>
      <w:bookmarkStart w:id="4" w:name="Text4"/>
      <w:r w:rsidR="006578C2">
        <w:rPr>
          <w:b/>
          <w:sz w:val="24"/>
          <w:szCs w:val="24"/>
        </w:rPr>
        <w:instrText xml:space="preserve"> FORMTEXT </w:instrText>
      </w:r>
      <w:r w:rsidR="000C6A59">
        <w:rPr>
          <w:b/>
          <w:sz w:val="24"/>
          <w:szCs w:val="24"/>
        </w:rPr>
      </w:r>
      <w:r w:rsidR="000C6A59">
        <w:rPr>
          <w:b/>
          <w:sz w:val="24"/>
          <w:szCs w:val="24"/>
        </w:rPr>
        <w:fldChar w:fldCharType="separate"/>
      </w:r>
      <w:r w:rsidR="006578C2">
        <w:rPr>
          <w:b/>
          <w:noProof/>
          <w:sz w:val="24"/>
          <w:szCs w:val="24"/>
        </w:rPr>
        <w:t> </w:t>
      </w:r>
      <w:r w:rsidR="006578C2">
        <w:rPr>
          <w:b/>
          <w:noProof/>
          <w:sz w:val="24"/>
          <w:szCs w:val="24"/>
        </w:rPr>
        <w:t> </w:t>
      </w:r>
      <w:r w:rsidR="006578C2">
        <w:rPr>
          <w:b/>
          <w:noProof/>
          <w:sz w:val="24"/>
          <w:szCs w:val="24"/>
        </w:rPr>
        <w:t> </w:t>
      </w:r>
      <w:r w:rsidR="006578C2">
        <w:rPr>
          <w:b/>
          <w:noProof/>
          <w:sz w:val="24"/>
          <w:szCs w:val="24"/>
        </w:rPr>
        <w:t> </w:t>
      </w:r>
      <w:r w:rsidR="006578C2">
        <w:rPr>
          <w:b/>
          <w:noProof/>
          <w:sz w:val="24"/>
          <w:szCs w:val="24"/>
        </w:rPr>
        <w:t> </w:t>
      </w:r>
      <w:r w:rsidR="000C6A59">
        <w:rPr>
          <w:b/>
          <w:sz w:val="24"/>
          <w:szCs w:val="24"/>
        </w:rPr>
        <w:fldChar w:fldCharType="end"/>
      </w:r>
      <w:bookmarkEnd w:id="4"/>
      <w:r w:rsidR="000C6A59">
        <w:rPr>
          <w:b/>
          <w:sz w:val="24"/>
          <w:szCs w:val="24"/>
        </w:rPr>
        <w:fldChar w:fldCharType="begin"/>
      </w:r>
      <w:r w:rsidR="003F0F8D">
        <w:rPr>
          <w:b/>
          <w:sz w:val="24"/>
          <w:szCs w:val="24"/>
        </w:rPr>
        <w:instrText xml:space="preserve">  </w:instrText>
      </w:r>
      <w:r w:rsidR="000C6A59">
        <w:rPr>
          <w:b/>
          <w:sz w:val="24"/>
          <w:szCs w:val="24"/>
        </w:rPr>
        <w:fldChar w:fldCharType="end"/>
      </w:r>
      <w:r w:rsidR="00DB6D34" w:rsidRPr="00606EEA">
        <w:rPr>
          <w:b/>
          <w:sz w:val="24"/>
          <w:szCs w:val="24"/>
        </w:rPr>
        <w:t>] SCSC</w:t>
      </w:r>
      <w:r w:rsidR="00000407">
        <w:rPr>
          <w:b/>
          <w:sz w:val="24"/>
          <w:szCs w:val="24"/>
        </w:rPr>
        <w:t xml:space="preserve"> </w:t>
      </w:r>
      <w:r w:rsidR="000C6A59">
        <w:rPr>
          <w:b/>
          <w:sz w:val="24"/>
          <w:szCs w:val="24"/>
        </w:rPr>
        <w:fldChar w:fldCharType="begin">
          <w:ffData>
            <w:name w:val="Text43"/>
            <w:enabled/>
            <w:calcOnExit w:val="0"/>
            <w:textInput/>
          </w:ffData>
        </w:fldChar>
      </w:r>
      <w:bookmarkStart w:id="5" w:name="Text43"/>
      <w:r>
        <w:rPr>
          <w:b/>
          <w:sz w:val="24"/>
          <w:szCs w:val="24"/>
        </w:rPr>
        <w:instrText xml:space="preserve"> FORMTEXT </w:instrText>
      </w:r>
      <w:r w:rsidR="000C6A59">
        <w:rPr>
          <w:b/>
          <w:sz w:val="24"/>
          <w:szCs w:val="24"/>
        </w:rPr>
      </w:r>
      <w:r w:rsidR="000C6A59">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sidR="000C6A59">
        <w:rPr>
          <w:b/>
          <w:sz w:val="24"/>
          <w:szCs w:val="24"/>
        </w:rPr>
        <w:fldChar w:fldCharType="end"/>
      </w:r>
      <w:bookmarkEnd w:id="5"/>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bookmarkStart w:id="6" w:name="Text20"/>
    <w:p w:rsidR="00FB2453" w:rsidRPr="00B119B1" w:rsidRDefault="000C6A59" w:rsidP="003862CB">
      <w:pPr>
        <w:jc w:val="center"/>
        <w:rPr>
          <w:b/>
          <w:sz w:val="24"/>
          <w:szCs w:val="24"/>
        </w:rPr>
      </w:pPr>
      <w:r w:rsidRPr="00B119B1">
        <w:rPr>
          <w:b/>
          <w:sz w:val="24"/>
          <w:szCs w:val="24"/>
        </w:rPr>
        <w:fldChar w:fldCharType="begin">
          <w:ffData>
            <w:name w:val="Text20"/>
            <w:enabled/>
            <w:calcOnExit w:val="0"/>
            <w:textInput>
              <w:format w:val="UPPERCASE"/>
            </w:textInput>
          </w:ffData>
        </w:fldChar>
      </w:r>
      <w:r w:rsidR="00FB2453" w:rsidRPr="00B119B1">
        <w:rPr>
          <w:b/>
          <w:sz w:val="24"/>
          <w:szCs w:val="24"/>
        </w:rPr>
        <w:instrText xml:space="preserve"> FORMTEXT </w:instrText>
      </w:r>
      <w:r w:rsidRPr="00B119B1">
        <w:rPr>
          <w:b/>
          <w:sz w:val="24"/>
          <w:szCs w:val="24"/>
        </w:rPr>
      </w:r>
      <w:r w:rsidRPr="00B119B1">
        <w:rPr>
          <w:b/>
          <w:sz w:val="24"/>
          <w:szCs w:val="24"/>
        </w:rPr>
        <w:fldChar w:fldCharType="separate"/>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Pr="00B119B1">
        <w:rPr>
          <w:b/>
          <w:sz w:val="24"/>
          <w:szCs w:val="24"/>
        </w:rPr>
        <w:fldChar w:fldCharType="end"/>
      </w:r>
      <w:bookmarkEnd w:id="6"/>
    </w:p>
    <w:p w:rsidR="004B22D0" w:rsidRDefault="00410913" w:rsidP="00410913">
      <w:pPr>
        <w:spacing w:after="240"/>
        <w:ind w:left="1440" w:firstLine="720"/>
        <w:rPr>
          <w:sz w:val="24"/>
          <w:szCs w:val="24"/>
        </w:rPr>
        <w:sectPr w:rsidR="004B22D0" w:rsidSect="00EF2051">
          <w:footerReference w:type="default" r:id="rId8"/>
          <w:type w:val="continuous"/>
          <w:pgSz w:w="12240" w:h="15840"/>
          <w:pgMar w:top="1440" w:right="1440" w:bottom="1440" w:left="1440" w:header="720" w:footer="720" w:gutter="0"/>
          <w:cols w:space="720"/>
          <w:docGrid w:linePitch="360"/>
        </w:sectPr>
      </w:pPr>
      <w:bookmarkStart w:id="7" w:name="Dropdown10"/>
      <w:r>
        <w:rPr>
          <w:sz w:val="24"/>
          <w:szCs w:val="24"/>
        </w:rPr>
        <w:t>Seychelles Credit Union</w:t>
      </w:r>
      <w:r>
        <w:rPr>
          <w:sz w:val="24"/>
          <w:szCs w:val="24"/>
        </w:rPr>
        <w:tab/>
      </w:r>
      <w:r>
        <w:rPr>
          <w:sz w:val="24"/>
          <w:szCs w:val="24"/>
        </w:rPr>
        <w:tab/>
      </w:r>
      <w:r>
        <w:rPr>
          <w:sz w:val="24"/>
          <w:szCs w:val="24"/>
        </w:rPr>
        <w:tab/>
      </w:r>
      <w:r w:rsidR="000C6A59">
        <w:rPr>
          <w:sz w:val="24"/>
          <w:szCs w:val="24"/>
        </w:rPr>
        <w:fldChar w:fldCharType="begin">
          <w:ffData>
            <w:name w:val="Dropdown10"/>
            <w:enabled/>
            <w:calcOnExit w:val="0"/>
            <w:ddList>
              <w:listEntry w:val="Appellant"/>
              <w:listEntry w:val="First Appellant"/>
            </w:ddList>
          </w:ffData>
        </w:fldChar>
      </w:r>
      <w:r w:rsidR="004B22D0">
        <w:rPr>
          <w:sz w:val="24"/>
          <w:szCs w:val="24"/>
        </w:rPr>
        <w:instrText xml:space="preserve"> FORMDROPDOWN </w:instrText>
      </w:r>
      <w:r w:rsidR="00B201A7">
        <w:rPr>
          <w:sz w:val="24"/>
          <w:szCs w:val="24"/>
        </w:rPr>
      </w:r>
      <w:r w:rsidR="00B201A7">
        <w:rPr>
          <w:sz w:val="24"/>
          <w:szCs w:val="24"/>
        </w:rPr>
        <w:fldChar w:fldCharType="separate"/>
      </w:r>
      <w:r w:rsidR="000C6A59">
        <w:rPr>
          <w:sz w:val="24"/>
          <w:szCs w:val="24"/>
        </w:rPr>
        <w:fldChar w:fldCharType="end"/>
      </w:r>
      <w:bookmarkEnd w:id="7"/>
    </w:p>
    <w:p w:rsidR="004C3D80" w:rsidRDefault="00FD51F3" w:rsidP="003862CB">
      <w:pPr>
        <w:jc w:val="center"/>
        <w:rPr>
          <w:b/>
          <w:sz w:val="24"/>
          <w:szCs w:val="24"/>
        </w:rPr>
      </w:pPr>
      <w:r>
        <w:rPr>
          <w:b/>
          <w:sz w:val="24"/>
          <w:szCs w:val="24"/>
        </w:rPr>
        <w:lastRenderedPageBreak/>
        <w:tab/>
      </w:r>
      <w:r>
        <w:rPr>
          <w:b/>
          <w:sz w:val="24"/>
          <w:szCs w:val="24"/>
        </w:rPr>
        <w:tab/>
      </w:r>
      <w:r>
        <w:rPr>
          <w:b/>
          <w:sz w:val="24"/>
          <w:szCs w:val="24"/>
        </w:rPr>
        <w:tab/>
      </w:r>
      <w:r>
        <w:rPr>
          <w:b/>
          <w:sz w:val="24"/>
          <w:szCs w:val="24"/>
        </w:rPr>
        <w:tab/>
      </w:r>
      <w:r>
        <w:rPr>
          <w:b/>
          <w:sz w:val="24"/>
          <w:szCs w:val="24"/>
        </w:rPr>
        <w:tab/>
      </w:r>
      <w:r>
        <w:rPr>
          <w:b/>
          <w:sz w:val="24"/>
          <w:szCs w:val="24"/>
        </w:rPr>
        <w:tab/>
      </w:r>
    </w:p>
    <w:p w:rsidR="004B22D0" w:rsidRDefault="004B22D0" w:rsidP="004B22D0">
      <w:pPr>
        <w:rPr>
          <w:sz w:val="24"/>
          <w:szCs w:val="24"/>
        </w:rPr>
        <w:sectPr w:rsidR="004B22D0" w:rsidSect="00EF2051">
          <w:type w:val="continuous"/>
          <w:pgSz w:w="12240" w:h="15840"/>
          <w:pgMar w:top="1440" w:right="1440" w:bottom="1440" w:left="1440" w:header="720" w:footer="720" w:gutter="0"/>
          <w:cols w:space="720"/>
          <w:formProt w:val="0"/>
          <w:docGrid w:linePitch="360"/>
        </w:sectPr>
      </w:pPr>
    </w:p>
    <w:p w:rsidR="00FB2453" w:rsidRDefault="00FB2453" w:rsidP="004B22D0">
      <w:pPr>
        <w:spacing w:before="120"/>
        <w:jc w:val="center"/>
        <w:rPr>
          <w:sz w:val="24"/>
          <w:szCs w:val="24"/>
        </w:rPr>
      </w:pPr>
      <w:r>
        <w:rPr>
          <w:sz w:val="24"/>
          <w:szCs w:val="24"/>
        </w:rPr>
        <w:lastRenderedPageBreak/>
        <w:t>versus</w:t>
      </w:r>
    </w:p>
    <w:p w:rsidR="00FB2453" w:rsidRDefault="00FB2453" w:rsidP="003862CB">
      <w:pPr>
        <w:jc w:val="center"/>
        <w:rPr>
          <w:sz w:val="24"/>
          <w:szCs w:val="24"/>
        </w:rPr>
      </w:pPr>
    </w:p>
    <w:bookmarkStart w:id="8" w:name="Text22"/>
    <w:p w:rsidR="00FB2453" w:rsidRPr="00B119B1" w:rsidRDefault="000C6A59" w:rsidP="003862CB">
      <w:pPr>
        <w:jc w:val="center"/>
        <w:rPr>
          <w:b/>
          <w:sz w:val="24"/>
          <w:szCs w:val="24"/>
        </w:rPr>
      </w:pPr>
      <w:r w:rsidRPr="00B119B1">
        <w:rPr>
          <w:b/>
          <w:sz w:val="24"/>
          <w:szCs w:val="24"/>
        </w:rPr>
        <w:fldChar w:fldCharType="begin">
          <w:ffData>
            <w:name w:val="Text22"/>
            <w:enabled/>
            <w:calcOnExit w:val="0"/>
            <w:textInput>
              <w:format w:val="UPPERCASE"/>
            </w:textInput>
          </w:ffData>
        </w:fldChar>
      </w:r>
      <w:r w:rsidR="00FB2453" w:rsidRPr="00B119B1">
        <w:rPr>
          <w:b/>
          <w:sz w:val="24"/>
          <w:szCs w:val="24"/>
        </w:rPr>
        <w:instrText xml:space="preserve"> FORMTEXT </w:instrText>
      </w:r>
      <w:r w:rsidRPr="00B119B1">
        <w:rPr>
          <w:b/>
          <w:sz w:val="24"/>
          <w:szCs w:val="24"/>
        </w:rPr>
      </w:r>
      <w:r w:rsidRPr="00B119B1">
        <w:rPr>
          <w:b/>
          <w:sz w:val="24"/>
          <w:szCs w:val="24"/>
        </w:rPr>
        <w:fldChar w:fldCharType="separate"/>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Pr="00B119B1">
        <w:rPr>
          <w:b/>
          <w:sz w:val="24"/>
          <w:szCs w:val="24"/>
        </w:rPr>
        <w:fldChar w:fldCharType="end"/>
      </w:r>
      <w:bookmarkEnd w:id="8"/>
    </w:p>
    <w:p w:rsidR="004B22D0" w:rsidRDefault="00410913" w:rsidP="00410913">
      <w:pPr>
        <w:spacing w:after="240"/>
        <w:ind w:firstLine="720"/>
        <w:rPr>
          <w:sz w:val="24"/>
          <w:szCs w:val="24"/>
        </w:rPr>
        <w:sectPr w:rsidR="004B22D0" w:rsidSect="00EF2051">
          <w:type w:val="continuous"/>
          <w:pgSz w:w="12240" w:h="15840"/>
          <w:pgMar w:top="1440" w:right="1440" w:bottom="1440" w:left="1440" w:header="720" w:footer="720" w:gutter="0"/>
          <w:cols w:space="720"/>
          <w:docGrid w:linePitch="360"/>
        </w:sectPr>
      </w:pPr>
      <w:bookmarkStart w:id="9" w:name="Dropdown11"/>
      <w:r>
        <w:rPr>
          <w:sz w:val="24"/>
          <w:szCs w:val="24"/>
        </w:rPr>
        <w:t xml:space="preserve">                         Emile Esparon</w:t>
      </w:r>
      <w:r>
        <w:rPr>
          <w:sz w:val="24"/>
          <w:szCs w:val="24"/>
        </w:rPr>
        <w:tab/>
      </w:r>
      <w:r>
        <w:rPr>
          <w:sz w:val="24"/>
          <w:szCs w:val="24"/>
        </w:rPr>
        <w:tab/>
      </w:r>
      <w:r>
        <w:rPr>
          <w:sz w:val="24"/>
          <w:szCs w:val="24"/>
        </w:rPr>
        <w:tab/>
      </w:r>
      <w:r>
        <w:rPr>
          <w:sz w:val="24"/>
          <w:szCs w:val="24"/>
        </w:rPr>
        <w:tab/>
      </w:r>
      <w:r w:rsidR="000C6A59">
        <w:rPr>
          <w:sz w:val="24"/>
          <w:szCs w:val="24"/>
        </w:rPr>
        <w:fldChar w:fldCharType="begin">
          <w:ffData>
            <w:name w:val="Dropdown11"/>
            <w:enabled/>
            <w:calcOnExit w:val="0"/>
            <w:ddList>
              <w:listEntry w:val="Respondent"/>
              <w:listEntry w:val="First Respondent"/>
            </w:ddList>
          </w:ffData>
        </w:fldChar>
      </w:r>
      <w:r w:rsidR="004B22D0">
        <w:rPr>
          <w:sz w:val="24"/>
          <w:szCs w:val="24"/>
        </w:rPr>
        <w:instrText xml:space="preserve"> FORMDROPDOWN </w:instrText>
      </w:r>
      <w:r w:rsidR="00B201A7">
        <w:rPr>
          <w:sz w:val="24"/>
          <w:szCs w:val="24"/>
        </w:rPr>
      </w:r>
      <w:r w:rsidR="00B201A7">
        <w:rPr>
          <w:sz w:val="24"/>
          <w:szCs w:val="24"/>
        </w:rPr>
        <w:fldChar w:fldCharType="separate"/>
      </w:r>
      <w:r w:rsidR="000C6A59">
        <w:rPr>
          <w:sz w:val="24"/>
          <w:szCs w:val="24"/>
        </w:rPr>
        <w:fldChar w:fldCharType="end"/>
      </w:r>
      <w:bookmarkEnd w:id="9"/>
    </w:p>
    <w:p w:rsidR="00B119B1" w:rsidRDefault="00B119B1" w:rsidP="00951EC0">
      <w:pPr>
        <w:jc w:val="center"/>
        <w:rPr>
          <w:sz w:val="24"/>
          <w:szCs w:val="24"/>
        </w:rPr>
        <w:sectPr w:rsidR="00B119B1" w:rsidSect="00EF2051">
          <w:type w:val="continuous"/>
          <w:pgSz w:w="12240" w:h="15840"/>
          <w:pgMar w:top="1440" w:right="1440" w:bottom="1440" w:left="1440" w:header="720" w:footer="720" w:gutter="0"/>
          <w:cols w:space="720"/>
          <w:formProt w:val="0"/>
          <w:docGrid w:linePitch="360"/>
        </w:sectPr>
      </w:pPr>
    </w:p>
    <w:p w:rsidR="00E0467F" w:rsidRPr="00F0209D" w:rsidRDefault="00E0467F" w:rsidP="00F0209D">
      <w:pPr>
        <w:pBdr>
          <w:bottom w:val="single" w:sz="4" w:space="2" w:color="auto"/>
        </w:pBdr>
        <w:jc w:val="center"/>
        <w:rPr>
          <w:sz w:val="12"/>
          <w:szCs w:val="12"/>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00410913">
        <w:rPr>
          <w:sz w:val="24"/>
          <w:szCs w:val="24"/>
        </w:rPr>
        <w:t xml:space="preserve">   </w:t>
      </w:r>
      <w:r w:rsidR="00410913">
        <w:rPr>
          <w:sz w:val="24"/>
          <w:szCs w:val="24"/>
        </w:rPr>
        <w:tab/>
        <w:t>4 August 2017</w:t>
      </w:r>
      <w:r w:rsidRPr="00E0467F">
        <w:rPr>
          <w:sz w:val="24"/>
          <w:szCs w:val="24"/>
        </w:rPr>
        <w:tab/>
      </w:r>
      <w:r w:rsidRPr="00E0467F">
        <w:rPr>
          <w:sz w:val="24"/>
          <w:szCs w:val="24"/>
        </w:rPr>
        <w:tab/>
      </w:r>
      <w:bookmarkStart w:id="10" w:name="Text34"/>
      <w:r w:rsidR="000C6A59">
        <w:rPr>
          <w:sz w:val="24"/>
          <w:szCs w:val="24"/>
        </w:rPr>
        <w:fldChar w:fldCharType="begin">
          <w:ffData>
            <w:name w:val="Text34"/>
            <w:enabled/>
            <w:calcOnExit w:val="0"/>
            <w:textInput/>
          </w:ffData>
        </w:fldChar>
      </w:r>
      <w:r w:rsidR="002A7376">
        <w:rPr>
          <w:sz w:val="24"/>
          <w:szCs w:val="24"/>
        </w:rPr>
        <w:instrText xml:space="preserve"> FORMTEXT </w:instrText>
      </w:r>
      <w:r w:rsidR="000C6A59">
        <w:rPr>
          <w:sz w:val="24"/>
          <w:szCs w:val="24"/>
        </w:rPr>
      </w:r>
      <w:r w:rsidR="000C6A59">
        <w:rPr>
          <w:sz w:val="24"/>
          <w:szCs w:val="24"/>
        </w:rPr>
        <w:fldChar w:fldCharType="separate"/>
      </w:r>
      <w:r w:rsidR="002A7376">
        <w:rPr>
          <w:noProof/>
          <w:sz w:val="24"/>
          <w:szCs w:val="24"/>
        </w:rPr>
        <w:t> </w:t>
      </w:r>
      <w:r w:rsidR="002A7376">
        <w:rPr>
          <w:noProof/>
          <w:sz w:val="24"/>
          <w:szCs w:val="24"/>
        </w:rPr>
        <w:t> </w:t>
      </w:r>
      <w:r w:rsidR="002A7376">
        <w:rPr>
          <w:noProof/>
          <w:sz w:val="24"/>
          <w:szCs w:val="24"/>
        </w:rPr>
        <w:t> </w:t>
      </w:r>
      <w:r w:rsidR="002A7376">
        <w:rPr>
          <w:noProof/>
          <w:sz w:val="24"/>
          <w:szCs w:val="24"/>
        </w:rPr>
        <w:t> </w:t>
      </w:r>
      <w:r w:rsidR="002A7376">
        <w:rPr>
          <w:noProof/>
          <w:sz w:val="24"/>
          <w:szCs w:val="24"/>
        </w:rPr>
        <w:t> </w:t>
      </w:r>
      <w:r w:rsidR="000C6A59">
        <w:rPr>
          <w:sz w:val="24"/>
          <w:szCs w:val="24"/>
        </w:rPr>
        <w:fldChar w:fldCharType="end"/>
      </w:r>
      <w:bookmarkEnd w:id="10"/>
      <w:r w:rsidR="000C6A59">
        <w:rPr>
          <w:sz w:val="24"/>
          <w:szCs w:val="24"/>
        </w:rPr>
        <w:fldChar w:fldCharType="begin"/>
      </w:r>
      <w:r w:rsidR="003F0F8D">
        <w:rPr>
          <w:sz w:val="24"/>
          <w:szCs w:val="24"/>
        </w:rPr>
        <w:instrText xml:space="preserve">  </w:instrText>
      </w:r>
      <w:r w:rsidR="000C6A59">
        <w:rPr>
          <w:sz w:val="24"/>
          <w:szCs w:val="24"/>
        </w:rPr>
        <w:fldChar w:fldCharType="end"/>
      </w:r>
    </w:p>
    <w:p w:rsidR="004B22D0" w:rsidRDefault="00E0467F" w:rsidP="009E05E5">
      <w:pPr>
        <w:rPr>
          <w:sz w:val="24"/>
          <w:szCs w:val="24"/>
        </w:rPr>
        <w:sectPr w:rsidR="004B22D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sidR="00410913">
        <w:rPr>
          <w:sz w:val="24"/>
          <w:szCs w:val="24"/>
        </w:rPr>
        <w:t xml:space="preserve"> </w:t>
      </w:r>
      <w:r w:rsidR="00410913">
        <w:rPr>
          <w:sz w:val="24"/>
          <w:szCs w:val="24"/>
        </w:rPr>
        <w:tab/>
        <w:t xml:space="preserve">Bernard Georges </w:t>
      </w:r>
      <w:r w:rsidR="000C6A59">
        <w:rPr>
          <w:sz w:val="24"/>
          <w:szCs w:val="24"/>
        </w:rPr>
        <w:fldChar w:fldCharType="begin"/>
      </w:r>
      <w:r w:rsidR="00F804CC">
        <w:rPr>
          <w:sz w:val="24"/>
          <w:szCs w:val="24"/>
        </w:rPr>
        <w:instrText xml:space="preserve"> ASK  "Enter Appellant Lawyer full name"  \* MERGEFORMAT </w:instrText>
      </w:r>
      <w:r w:rsidR="000C6A59">
        <w:rPr>
          <w:sz w:val="24"/>
          <w:szCs w:val="24"/>
        </w:rPr>
        <w:fldChar w:fldCharType="end"/>
      </w:r>
      <w:r w:rsidR="000C6A59">
        <w:rPr>
          <w:sz w:val="24"/>
          <w:szCs w:val="24"/>
        </w:rPr>
        <w:fldChar w:fldCharType="begin"/>
      </w:r>
      <w:r w:rsidR="003F0F8D">
        <w:rPr>
          <w:sz w:val="24"/>
          <w:szCs w:val="24"/>
        </w:rPr>
        <w:instrText xml:space="preserve">  </w:instrText>
      </w:r>
      <w:r w:rsidR="000C6A59">
        <w:rPr>
          <w:sz w:val="24"/>
          <w:szCs w:val="24"/>
        </w:rPr>
        <w:fldChar w:fldCharType="end"/>
      </w:r>
      <w:r w:rsidR="009E05E5">
        <w:rPr>
          <w:sz w:val="24"/>
          <w:szCs w:val="24"/>
        </w:rPr>
        <w:t xml:space="preserve">for </w:t>
      </w:r>
      <w:bookmarkStart w:id="11" w:name="Dropdown12"/>
      <w:r w:rsidR="000C6A59">
        <w:rPr>
          <w:sz w:val="24"/>
          <w:szCs w:val="24"/>
        </w:rPr>
        <w:fldChar w:fldCharType="begin">
          <w:ffData>
            <w:name w:val="Dropdown12"/>
            <w:enabled/>
            <w:calcOnExit w:val="0"/>
            <w:ddList>
              <w:listEntry w:val="appellant"/>
              <w:listEntry w:val="first appellant"/>
              <w:listEntry w:val="appellants"/>
            </w:ddList>
          </w:ffData>
        </w:fldChar>
      </w:r>
      <w:r w:rsidR="0014598E">
        <w:rPr>
          <w:sz w:val="24"/>
          <w:szCs w:val="24"/>
        </w:rPr>
        <w:instrText xml:space="preserve"> FORMDROPDOWN </w:instrText>
      </w:r>
      <w:r w:rsidR="00B201A7">
        <w:rPr>
          <w:sz w:val="24"/>
          <w:szCs w:val="24"/>
        </w:rPr>
      </w:r>
      <w:r w:rsidR="00B201A7">
        <w:rPr>
          <w:sz w:val="24"/>
          <w:szCs w:val="24"/>
        </w:rPr>
        <w:fldChar w:fldCharType="separate"/>
      </w:r>
      <w:r w:rsidR="000C6A59">
        <w:rPr>
          <w:sz w:val="24"/>
          <w:szCs w:val="24"/>
        </w:rPr>
        <w:fldChar w:fldCharType="end"/>
      </w:r>
      <w:bookmarkEnd w:id="11"/>
      <w:r w:rsidR="004B22D0">
        <w:rPr>
          <w:sz w:val="24"/>
          <w:szCs w:val="24"/>
        </w:rPr>
        <w:tab/>
      </w:r>
      <w:r w:rsidR="004B22D0">
        <w:rPr>
          <w:sz w:val="24"/>
          <w:szCs w:val="24"/>
        </w:rPr>
        <w:tab/>
      </w:r>
      <w:r w:rsidR="004B22D0">
        <w:rPr>
          <w:sz w:val="24"/>
          <w:szCs w:val="24"/>
        </w:rPr>
        <w:tab/>
      </w:r>
      <w:r w:rsidR="000C6A59">
        <w:rPr>
          <w:sz w:val="24"/>
          <w:szCs w:val="24"/>
        </w:rPr>
        <w:fldChar w:fldCharType="begin">
          <w:ffData>
            <w:name w:val="Text35"/>
            <w:enabled/>
            <w:calcOnExit w:val="0"/>
            <w:textInput/>
          </w:ffData>
        </w:fldChar>
      </w:r>
      <w:bookmarkStart w:id="12" w:name="Text35"/>
      <w:r w:rsidR="004B22D0">
        <w:rPr>
          <w:sz w:val="24"/>
          <w:szCs w:val="24"/>
        </w:rPr>
        <w:instrText xml:space="preserve"> FORMTEXT </w:instrText>
      </w:r>
      <w:r w:rsidR="000C6A59">
        <w:rPr>
          <w:sz w:val="24"/>
          <w:szCs w:val="24"/>
        </w:rPr>
      </w:r>
      <w:r w:rsidR="000C6A59">
        <w:rPr>
          <w:sz w:val="24"/>
          <w:szCs w:val="24"/>
        </w:rPr>
        <w:fldChar w:fldCharType="separate"/>
      </w:r>
      <w:r w:rsidR="004B22D0">
        <w:rPr>
          <w:noProof/>
          <w:sz w:val="24"/>
          <w:szCs w:val="24"/>
        </w:rPr>
        <w:t> </w:t>
      </w:r>
      <w:r w:rsidR="004B22D0">
        <w:rPr>
          <w:noProof/>
          <w:sz w:val="24"/>
          <w:szCs w:val="24"/>
        </w:rPr>
        <w:t> </w:t>
      </w:r>
      <w:r w:rsidR="004B22D0">
        <w:rPr>
          <w:noProof/>
          <w:sz w:val="24"/>
          <w:szCs w:val="24"/>
        </w:rPr>
        <w:t> </w:t>
      </w:r>
      <w:r w:rsidR="004B22D0">
        <w:rPr>
          <w:noProof/>
          <w:sz w:val="24"/>
          <w:szCs w:val="24"/>
        </w:rPr>
        <w:t> </w:t>
      </w:r>
      <w:r w:rsidR="004B22D0">
        <w:rPr>
          <w:noProof/>
          <w:sz w:val="24"/>
          <w:szCs w:val="24"/>
        </w:rPr>
        <w:t> </w:t>
      </w:r>
      <w:r w:rsidR="000C6A59">
        <w:rPr>
          <w:sz w:val="24"/>
          <w:szCs w:val="24"/>
        </w:rPr>
        <w:fldChar w:fldCharType="end"/>
      </w:r>
      <w:bookmarkEnd w:id="12"/>
    </w:p>
    <w:p w:rsidR="004B22D0" w:rsidRDefault="009E05E5" w:rsidP="00A53837">
      <w:pPr>
        <w:rPr>
          <w:sz w:val="24"/>
          <w:szCs w:val="24"/>
        </w:rPr>
        <w:sectPr w:rsidR="004B22D0" w:rsidSect="00EF2051">
          <w:type w:val="continuous"/>
          <w:pgSz w:w="12240" w:h="15840"/>
          <w:pgMar w:top="1440" w:right="1440" w:bottom="1440" w:left="1440" w:header="720" w:footer="720" w:gutter="0"/>
          <w:cols w:space="720"/>
          <w:docGrid w:linePitch="360"/>
        </w:sectPr>
      </w:pPr>
      <w:r>
        <w:rPr>
          <w:sz w:val="24"/>
          <w:szCs w:val="24"/>
        </w:rPr>
        <w:lastRenderedPageBreak/>
        <w:tab/>
      </w:r>
      <w:r w:rsidR="00410913">
        <w:rPr>
          <w:sz w:val="24"/>
          <w:szCs w:val="24"/>
        </w:rPr>
        <w:t xml:space="preserve">   </w:t>
      </w:r>
      <w:r w:rsidR="00410913">
        <w:rPr>
          <w:sz w:val="24"/>
          <w:szCs w:val="24"/>
        </w:rPr>
        <w:tab/>
        <w:t xml:space="preserve">Serge Rouillon </w:t>
      </w:r>
      <w:r w:rsidR="000C6A59">
        <w:rPr>
          <w:sz w:val="24"/>
          <w:szCs w:val="24"/>
        </w:rPr>
        <w:fldChar w:fldCharType="begin"/>
      </w:r>
      <w:r w:rsidR="00F804CC">
        <w:rPr>
          <w:sz w:val="24"/>
          <w:szCs w:val="24"/>
        </w:rPr>
        <w:instrText xml:space="preserve"> ASK  "Enter Respondent Lawyer Full Name"  \* MERGEFORMAT </w:instrText>
      </w:r>
      <w:r w:rsidR="000C6A59">
        <w:rPr>
          <w:sz w:val="24"/>
          <w:szCs w:val="24"/>
        </w:rPr>
        <w:fldChar w:fldCharType="end"/>
      </w:r>
      <w:r w:rsidR="000C6A59">
        <w:rPr>
          <w:sz w:val="24"/>
          <w:szCs w:val="24"/>
        </w:rPr>
        <w:fldChar w:fldCharType="begin"/>
      </w:r>
      <w:r w:rsidR="003F0F8D">
        <w:rPr>
          <w:sz w:val="24"/>
          <w:szCs w:val="24"/>
        </w:rPr>
        <w:instrText xml:space="preserve">  </w:instrText>
      </w:r>
      <w:r w:rsidR="000C6A59">
        <w:rPr>
          <w:sz w:val="24"/>
          <w:szCs w:val="24"/>
        </w:rPr>
        <w:fldChar w:fldCharType="end"/>
      </w:r>
      <w:r w:rsidR="003F0F8D">
        <w:rPr>
          <w:sz w:val="24"/>
          <w:szCs w:val="24"/>
        </w:rPr>
        <w:t xml:space="preserve"> </w:t>
      </w:r>
      <w:r>
        <w:rPr>
          <w:sz w:val="24"/>
          <w:szCs w:val="24"/>
        </w:rPr>
        <w:t xml:space="preserve">for </w:t>
      </w:r>
      <w:bookmarkStart w:id="13" w:name="Dropdown13"/>
      <w:r w:rsidR="000C6A59">
        <w:rPr>
          <w:sz w:val="24"/>
          <w:szCs w:val="24"/>
        </w:rPr>
        <w:fldChar w:fldCharType="begin">
          <w:ffData>
            <w:name w:val="Dropdown13"/>
            <w:enabled/>
            <w:calcOnExit w:val="0"/>
            <w:ddList>
              <w:listEntry w:val="respondent"/>
              <w:listEntry w:val="first respondent"/>
              <w:listEntry w:val="respondents"/>
            </w:ddList>
          </w:ffData>
        </w:fldChar>
      </w:r>
      <w:r w:rsidR="0014598E">
        <w:rPr>
          <w:sz w:val="24"/>
          <w:szCs w:val="24"/>
        </w:rPr>
        <w:instrText xml:space="preserve"> FORMDROPDOWN </w:instrText>
      </w:r>
      <w:r w:rsidR="00B201A7">
        <w:rPr>
          <w:sz w:val="24"/>
          <w:szCs w:val="24"/>
        </w:rPr>
      </w:r>
      <w:r w:rsidR="00B201A7">
        <w:rPr>
          <w:sz w:val="24"/>
          <w:szCs w:val="24"/>
        </w:rPr>
        <w:fldChar w:fldCharType="separate"/>
      </w:r>
      <w:r w:rsidR="000C6A59">
        <w:rPr>
          <w:sz w:val="24"/>
          <w:szCs w:val="24"/>
        </w:rPr>
        <w:fldChar w:fldCharType="end"/>
      </w:r>
      <w:bookmarkEnd w:id="13"/>
    </w:p>
    <w:p w:rsidR="004B22D0" w:rsidRDefault="004B22D0" w:rsidP="00A53837">
      <w:pPr>
        <w:rPr>
          <w:sz w:val="24"/>
          <w:szCs w:val="24"/>
        </w:rPr>
        <w:sectPr w:rsidR="004B22D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0C6A59">
        <w:rPr>
          <w:sz w:val="24"/>
          <w:szCs w:val="24"/>
        </w:rPr>
        <w:fldChar w:fldCharType="begin">
          <w:ffData>
            <w:name w:val="Text36"/>
            <w:enabled/>
            <w:calcOnExit w:val="0"/>
            <w:textInput/>
          </w:ffData>
        </w:fldChar>
      </w:r>
      <w:bookmarkStart w:id="14" w:name="Text36"/>
      <w:r>
        <w:rPr>
          <w:sz w:val="24"/>
          <w:szCs w:val="24"/>
        </w:rPr>
        <w:instrText xml:space="preserve"> FORMTEXT </w:instrText>
      </w:r>
      <w:r w:rsidR="000C6A59">
        <w:rPr>
          <w:sz w:val="24"/>
          <w:szCs w:val="24"/>
        </w:rPr>
      </w:r>
      <w:r w:rsidR="000C6A59">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0C6A59">
        <w:rPr>
          <w:sz w:val="24"/>
          <w:szCs w:val="24"/>
        </w:rPr>
        <w:fldChar w:fldCharType="end"/>
      </w:r>
      <w:bookmarkEnd w:id="14"/>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410913">
        <w:rPr>
          <w:sz w:val="24"/>
          <w:szCs w:val="24"/>
        </w:rPr>
        <w:t xml:space="preserve"> </w:t>
      </w:r>
      <w:r w:rsidR="00410913">
        <w:rPr>
          <w:sz w:val="24"/>
          <w:szCs w:val="24"/>
        </w:rPr>
        <w:tab/>
        <w:t xml:space="preserve">11 August 2017. </w:t>
      </w:r>
      <w:r w:rsidR="00E0467F">
        <w:rPr>
          <w:sz w:val="24"/>
          <w:szCs w:val="24"/>
        </w:rPr>
        <w:tab/>
      </w:r>
      <w:r w:rsidR="00E0467F">
        <w:rPr>
          <w:sz w:val="24"/>
          <w:szCs w:val="24"/>
        </w:rPr>
        <w:tab/>
      </w:r>
      <w:bookmarkStart w:id="15" w:name="Text26"/>
      <w:r w:rsidR="000C6A59">
        <w:rPr>
          <w:sz w:val="24"/>
          <w:szCs w:val="24"/>
        </w:rPr>
        <w:fldChar w:fldCharType="begin">
          <w:ffData>
            <w:name w:val="Text26"/>
            <w:enabled/>
            <w:calcOnExit w:val="0"/>
            <w:textInput>
              <w:type w:val="date"/>
              <w:format w:val="d MMMM yyyy"/>
            </w:textInput>
          </w:ffData>
        </w:fldChar>
      </w:r>
      <w:r w:rsidR="00E91FA1">
        <w:rPr>
          <w:sz w:val="24"/>
          <w:szCs w:val="24"/>
        </w:rPr>
        <w:instrText xml:space="preserve"> FORMTEXT </w:instrText>
      </w:r>
      <w:r w:rsidR="000C6A59">
        <w:rPr>
          <w:sz w:val="24"/>
          <w:szCs w:val="24"/>
        </w:rPr>
      </w:r>
      <w:r w:rsidR="000C6A59">
        <w:rPr>
          <w:sz w:val="24"/>
          <w:szCs w:val="24"/>
        </w:rPr>
        <w:fldChar w:fldCharType="separate"/>
      </w:r>
      <w:r w:rsidR="00E91FA1">
        <w:rPr>
          <w:noProof/>
          <w:sz w:val="24"/>
          <w:szCs w:val="24"/>
        </w:rPr>
        <w:t> </w:t>
      </w:r>
      <w:r w:rsidR="00E91FA1">
        <w:rPr>
          <w:noProof/>
          <w:sz w:val="24"/>
          <w:szCs w:val="24"/>
        </w:rPr>
        <w:t> </w:t>
      </w:r>
      <w:r w:rsidR="00E91FA1">
        <w:rPr>
          <w:noProof/>
          <w:sz w:val="24"/>
          <w:szCs w:val="24"/>
        </w:rPr>
        <w:t> </w:t>
      </w:r>
      <w:r w:rsidR="00E91FA1">
        <w:rPr>
          <w:noProof/>
          <w:sz w:val="24"/>
          <w:szCs w:val="24"/>
        </w:rPr>
        <w:t> </w:t>
      </w:r>
      <w:r w:rsidR="00E91FA1">
        <w:rPr>
          <w:noProof/>
          <w:sz w:val="24"/>
          <w:szCs w:val="24"/>
        </w:rPr>
        <w:t> </w:t>
      </w:r>
      <w:r w:rsidR="000C6A59">
        <w:rPr>
          <w:sz w:val="24"/>
          <w:szCs w:val="24"/>
        </w:rPr>
        <w:fldChar w:fldCharType="end"/>
      </w:r>
      <w:bookmarkEnd w:id="15"/>
    </w:p>
    <w:p w:rsidR="00D06A0F" w:rsidRPr="00C87FCA" w:rsidRDefault="00D06A0F" w:rsidP="00E57D4D">
      <w:pPr>
        <w:pBdr>
          <w:top w:val="dotted" w:sz="4" w:space="1" w:color="auto"/>
          <w:bottom w:val="dotted" w:sz="4" w:space="1" w:color="auto"/>
        </w:pBdr>
        <w:jc w:val="center"/>
        <w:rPr>
          <w:sz w:val="24"/>
          <w:szCs w:val="24"/>
          <w:highlight w:val="lightGray"/>
        </w:rPr>
      </w:pPr>
      <w:bookmarkStart w:id="16" w:name="Dropdown2"/>
    </w:p>
    <w:bookmarkStart w:id="17" w:name="Dropdown8"/>
    <w:bookmarkEnd w:id="16"/>
    <w:p w:rsidR="00C87FCA" w:rsidRDefault="000C6A59" w:rsidP="00C87FC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listEntry w:val="JUDGMENT"/>
              <w:listEntry w:val="RULING"/>
              <w:listEntry w:val="JUDGMENT BY CONSENT"/>
            </w:ddList>
          </w:ffData>
        </w:fldChar>
      </w:r>
      <w:r w:rsidR="003124CA">
        <w:rPr>
          <w:b/>
          <w:sz w:val="24"/>
          <w:szCs w:val="24"/>
        </w:rPr>
        <w:instrText xml:space="preserve"> FORMDROPDOWN </w:instrText>
      </w:r>
      <w:r w:rsidR="00B201A7">
        <w:rPr>
          <w:b/>
          <w:sz w:val="24"/>
          <w:szCs w:val="24"/>
        </w:rPr>
      </w:r>
      <w:r w:rsidR="00B201A7">
        <w:rPr>
          <w:b/>
          <w:sz w:val="24"/>
          <w:szCs w:val="24"/>
        </w:rPr>
        <w:fldChar w:fldCharType="separate"/>
      </w:r>
      <w:r>
        <w:rPr>
          <w:b/>
          <w:sz w:val="24"/>
          <w:szCs w:val="24"/>
        </w:rPr>
        <w:fldChar w:fldCharType="end"/>
      </w:r>
      <w:bookmarkEnd w:id="17"/>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p w:rsidR="00C87FCA" w:rsidRDefault="00054691" w:rsidP="00C87FCA">
      <w:pPr>
        <w:pStyle w:val="ListParagraph"/>
        <w:widowControl/>
        <w:autoSpaceDE/>
        <w:autoSpaceDN/>
        <w:adjustRightInd/>
        <w:spacing w:after="240" w:line="360" w:lineRule="auto"/>
        <w:ind w:left="0"/>
        <w:contextualSpacing w:val="0"/>
        <w:jc w:val="both"/>
        <w:rPr>
          <w:b/>
          <w:sz w:val="24"/>
          <w:szCs w:val="24"/>
        </w:rPr>
      </w:pPr>
      <w:r>
        <w:rPr>
          <w:b/>
          <w:sz w:val="24"/>
          <w:szCs w:val="24"/>
        </w:rPr>
        <w:t xml:space="preserve">M. TWOMEY, </w:t>
      </w:r>
      <w:r w:rsidR="00965CF7">
        <w:rPr>
          <w:b/>
          <w:sz w:val="24"/>
          <w:szCs w:val="24"/>
        </w:rPr>
        <w:t>J.A.</w:t>
      </w:r>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6038FF" w:rsidRDefault="00410913" w:rsidP="00464531">
      <w:pPr>
        <w:pStyle w:val="JudgmentText"/>
      </w:pPr>
      <w:r>
        <w:lastRenderedPageBreak/>
        <w:t>Between the 15 and 16 June 2013</w:t>
      </w:r>
      <w:r w:rsidR="00567E8E">
        <w:t xml:space="preserve"> a theft was carried out at the Seychelles Credit Union office in which over SR 1 million was taken. At the time of the incident</w:t>
      </w:r>
      <w:r w:rsidR="006410D5">
        <w:t>,</w:t>
      </w:r>
      <w:r w:rsidR="00567E8E">
        <w:t xml:space="preserve"> the Respondent was the Chief Executive Officer</w:t>
      </w:r>
      <w:r w:rsidR="006038FF">
        <w:t xml:space="preserve"> </w:t>
      </w:r>
      <w:r w:rsidR="006410D5">
        <w:t>and</w:t>
      </w:r>
      <w:r w:rsidR="006038FF">
        <w:t xml:space="preserve"> also the duty manager</w:t>
      </w:r>
      <w:r w:rsidR="005034F0">
        <w:t xml:space="preserve"> and </w:t>
      </w:r>
      <w:r w:rsidR="00567E8E">
        <w:t xml:space="preserve">Ms Jacqueline Hermitte the Bank Manageress </w:t>
      </w:r>
      <w:r w:rsidR="005034F0">
        <w:t>of the institution</w:t>
      </w:r>
      <w:r w:rsidR="006410D5">
        <w:t>.</w:t>
      </w:r>
      <w:r w:rsidR="00567E8E">
        <w:t xml:space="preserve"> </w:t>
      </w:r>
      <w:r w:rsidR="005034F0">
        <w:t xml:space="preserve">There was also a banking supervisor </w:t>
      </w:r>
      <w:r w:rsidR="00DB2CFA">
        <w:t>Farah Tirant</w:t>
      </w:r>
      <w:r w:rsidR="006410D5">
        <w:t xml:space="preserve"> </w:t>
      </w:r>
      <w:r w:rsidR="006410D5">
        <w:lastRenderedPageBreak/>
        <w:t xml:space="preserve">who </w:t>
      </w:r>
      <w:r w:rsidR="001000F7">
        <w:t xml:space="preserve">was </w:t>
      </w:r>
      <w:r w:rsidR="006410D5">
        <w:t>on leave</w:t>
      </w:r>
      <w:r w:rsidR="005034F0">
        <w:t xml:space="preserve">. </w:t>
      </w:r>
      <w:r w:rsidR="00D82DBB">
        <w:t>T</w:t>
      </w:r>
      <w:r w:rsidR="00567E8E">
        <w:t xml:space="preserve">wo </w:t>
      </w:r>
      <w:r w:rsidR="005034F0">
        <w:t xml:space="preserve">independent sets of </w:t>
      </w:r>
      <w:r w:rsidR="00567E8E">
        <w:t xml:space="preserve">keys to the vault were </w:t>
      </w:r>
      <w:r w:rsidR="006410D5">
        <w:t xml:space="preserve">normally </w:t>
      </w:r>
      <w:r w:rsidR="00567E8E">
        <w:t xml:space="preserve">kept by the two latter </w:t>
      </w:r>
      <w:r w:rsidR="006038FF">
        <w:t>people to ensure a dual control security scheme</w:t>
      </w:r>
      <w:r w:rsidR="00567E8E">
        <w:t xml:space="preserve">. </w:t>
      </w:r>
    </w:p>
    <w:p w:rsidR="006038FF" w:rsidRDefault="00567E8E" w:rsidP="006038FF">
      <w:pPr>
        <w:pStyle w:val="JudgmentText"/>
      </w:pPr>
      <w:r>
        <w:t>On the Saturday of the incident</w:t>
      </w:r>
      <w:r w:rsidR="006410D5">
        <w:t>,</w:t>
      </w:r>
      <w:r>
        <w:t xml:space="preserve"> present in the banking hall were </w:t>
      </w:r>
      <w:r w:rsidR="00D82DBB">
        <w:t xml:space="preserve">the Respondent, </w:t>
      </w:r>
      <w:r>
        <w:t>Ms. Hermitte</w:t>
      </w:r>
      <w:r w:rsidR="00D82DBB">
        <w:t>,</w:t>
      </w:r>
      <w:r>
        <w:t xml:space="preserve"> Mr.  Keddy Philoé</w:t>
      </w:r>
      <w:r w:rsidR="005034F0">
        <w:t xml:space="preserve"> the </w:t>
      </w:r>
      <w:r w:rsidR="00D82DBB">
        <w:t>IT</w:t>
      </w:r>
      <w:r>
        <w:t xml:space="preserve"> Officer</w:t>
      </w:r>
      <w:r w:rsidR="00D82DBB">
        <w:t xml:space="preserve"> and Mr. Jossy Moustache.</w:t>
      </w:r>
      <w:r>
        <w:t xml:space="preserve"> </w:t>
      </w:r>
      <w:r w:rsidR="006038FF">
        <w:t>It is alleged by Ms. Hermitte</w:t>
      </w:r>
      <w:r w:rsidR="006410D5">
        <w:t>,</w:t>
      </w:r>
      <w:r w:rsidR="006038FF">
        <w:t xml:space="preserve"> but contested by the Respondent</w:t>
      </w:r>
      <w:r w:rsidR="006410D5">
        <w:t>,</w:t>
      </w:r>
      <w:r w:rsidR="006038FF">
        <w:t xml:space="preserve"> that when he</w:t>
      </w:r>
      <w:r w:rsidR="00D82DBB">
        <w:t xml:space="preserve"> left before closing </w:t>
      </w:r>
      <w:r w:rsidR="005034F0">
        <w:t>time</w:t>
      </w:r>
      <w:r w:rsidR="006410D5">
        <w:t>,</w:t>
      </w:r>
      <w:r w:rsidR="00D82DBB">
        <w:t xml:space="preserve"> he handed over his </w:t>
      </w:r>
      <w:r w:rsidR="005034F0">
        <w:t xml:space="preserve">set of </w:t>
      </w:r>
      <w:r w:rsidR="00D82DBB">
        <w:t>key</w:t>
      </w:r>
      <w:r w:rsidR="005034F0">
        <w:t>s</w:t>
      </w:r>
      <w:r w:rsidR="00D82DBB">
        <w:t xml:space="preserve"> to the Ms. Hermitte.</w:t>
      </w:r>
      <w:r w:rsidR="006038FF">
        <w:t xml:space="preserve"> </w:t>
      </w:r>
      <w:r w:rsidR="006410D5">
        <w:t>The Respondent</w:t>
      </w:r>
      <w:r w:rsidR="00DB2CFA">
        <w:t xml:space="preserve"> testified that he did not have the keys with him at all during the </w:t>
      </w:r>
      <w:r w:rsidR="00F06B8D">
        <w:t>week or</w:t>
      </w:r>
      <w:r w:rsidR="00DB2CFA">
        <w:t xml:space="preserve"> the weekend when the theft happened. </w:t>
      </w:r>
    </w:p>
    <w:p w:rsidR="00F06B8D" w:rsidRDefault="005034F0" w:rsidP="00F06B8D">
      <w:pPr>
        <w:pStyle w:val="JudgmentText"/>
      </w:pPr>
      <w:r>
        <w:t xml:space="preserve">On </w:t>
      </w:r>
      <w:r w:rsidR="006038FF">
        <w:t>Sunday</w:t>
      </w:r>
      <w:r>
        <w:t xml:space="preserve"> </w:t>
      </w:r>
      <w:r w:rsidR="006410D5">
        <w:t xml:space="preserve">when the </w:t>
      </w:r>
      <w:r w:rsidR="006038FF">
        <w:t>bank</w:t>
      </w:r>
      <w:r w:rsidR="006410D5">
        <w:t xml:space="preserve"> was opened,</w:t>
      </w:r>
      <w:r w:rsidR="006038FF">
        <w:t xml:space="preserve"> </w:t>
      </w:r>
      <w:r>
        <w:t xml:space="preserve">Ms. Hermitte noticed that </w:t>
      </w:r>
      <w:r w:rsidR="006038FF">
        <w:t xml:space="preserve">the vault was opened and money missing. </w:t>
      </w:r>
      <w:r w:rsidR="00F06B8D">
        <w:t xml:space="preserve">The police investigation in the matter </w:t>
      </w:r>
      <w:r w:rsidR="006410D5">
        <w:t xml:space="preserve">was inconclusive and no one has ever been prosecuted for </w:t>
      </w:r>
      <w:r w:rsidR="00F06B8D">
        <w:t xml:space="preserve">the theft. </w:t>
      </w:r>
    </w:p>
    <w:p w:rsidR="006038FF" w:rsidRDefault="006038FF" w:rsidP="00464531">
      <w:pPr>
        <w:pStyle w:val="JudgmentText"/>
      </w:pPr>
      <w:r>
        <w:t xml:space="preserve">The Respondent testified that he started work with the </w:t>
      </w:r>
      <w:r w:rsidR="002F3333">
        <w:t xml:space="preserve">Credit </w:t>
      </w:r>
      <w:r>
        <w:t>Union in 1977 and moved u</w:t>
      </w:r>
      <w:r w:rsidR="00DB2CFA">
        <w:t>p</w:t>
      </w:r>
      <w:r>
        <w:t xml:space="preserve"> </w:t>
      </w:r>
      <w:r w:rsidR="00DB2CFA">
        <w:t>through</w:t>
      </w:r>
      <w:r>
        <w:t xml:space="preserve"> the ranks to be</w:t>
      </w:r>
      <w:r w:rsidR="00DB2CFA">
        <w:t>come</w:t>
      </w:r>
      <w:r>
        <w:t xml:space="preserve"> Office Man</w:t>
      </w:r>
      <w:r w:rsidR="00DB2CFA">
        <w:t>a</w:t>
      </w:r>
      <w:r>
        <w:t xml:space="preserve">ger. After a </w:t>
      </w:r>
      <w:r w:rsidR="00DB2CFA">
        <w:t>government</w:t>
      </w:r>
      <w:r>
        <w:t xml:space="preserve"> restructure in 2012</w:t>
      </w:r>
      <w:r w:rsidR="006410D5">
        <w:t>,</w:t>
      </w:r>
      <w:r>
        <w:t xml:space="preserve"> he was </w:t>
      </w:r>
      <w:r w:rsidR="00DB2CFA">
        <w:t>ap</w:t>
      </w:r>
      <w:r>
        <w:t xml:space="preserve">pointed </w:t>
      </w:r>
      <w:r w:rsidR="00DB2CFA">
        <w:t xml:space="preserve">the Banking and Administrative Executive and then elected as a Board member to the </w:t>
      </w:r>
      <w:r w:rsidR="002F3333">
        <w:t xml:space="preserve">Credit </w:t>
      </w:r>
      <w:r w:rsidR="00DB2CFA">
        <w:t xml:space="preserve">Union and </w:t>
      </w:r>
      <w:r w:rsidR="006410D5">
        <w:t>subsequently</w:t>
      </w:r>
      <w:r w:rsidR="00DB2CFA">
        <w:t xml:space="preserve"> CEO. </w:t>
      </w:r>
      <w:r>
        <w:t xml:space="preserve"> </w:t>
      </w:r>
    </w:p>
    <w:p w:rsidR="00DB2CFA" w:rsidRDefault="00DB2CFA" w:rsidP="00464531">
      <w:pPr>
        <w:pStyle w:val="JudgmentText"/>
      </w:pPr>
      <w:r>
        <w:t>As a result of the theft</w:t>
      </w:r>
      <w:r w:rsidR="006410D5">
        <w:t>,</w:t>
      </w:r>
      <w:r>
        <w:t xml:space="preserve"> his employment was terminated on the ground that there were serious breaches of tr</w:t>
      </w:r>
      <w:r w:rsidR="00F06B8D">
        <w:t>ust</w:t>
      </w:r>
      <w:r>
        <w:t xml:space="preserve">, of his fiduciary duties and </w:t>
      </w:r>
      <w:r w:rsidR="006410D5">
        <w:t xml:space="preserve">of </w:t>
      </w:r>
      <w:r>
        <w:t xml:space="preserve">his responsibility to the bank which had occasioned the loss of about SR1 million. </w:t>
      </w:r>
    </w:p>
    <w:p w:rsidR="0006489F" w:rsidRDefault="006410D5" w:rsidP="00464531">
      <w:pPr>
        <w:pStyle w:val="JudgmentText"/>
      </w:pPr>
      <w:r>
        <w:t>He</w:t>
      </w:r>
      <w:r w:rsidR="00410913">
        <w:t xml:space="preserve"> filed an application in the Employment Tribunal in which he claimed he had been unfair</w:t>
      </w:r>
      <w:r>
        <w:t>ly</w:t>
      </w:r>
      <w:r w:rsidR="00410913">
        <w:t xml:space="preserve"> dismissed and was owed one month salary in lieu of notice, 12 days annual leave and his salary from 31 July</w:t>
      </w:r>
      <w:r w:rsidR="00B618F9">
        <w:t xml:space="preserve"> </w:t>
      </w:r>
      <w:r w:rsidR="00410913">
        <w:t xml:space="preserve">2013 to 30 June 2015. </w:t>
      </w:r>
    </w:p>
    <w:p w:rsidR="00410913" w:rsidRDefault="00410913" w:rsidP="00464531">
      <w:pPr>
        <w:pStyle w:val="JudgmentText"/>
      </w:pPr>
      <w:r>
        <w:t xml:space="preserve">The </w:t>
      </w:r>
      <w:r w:rsidR="00DB2CFA">
        <w:t>Appellant</w:t>
      </w:r>
      <w:r>
        <w:t xml:space="preserve"> </w:t>
      </w:r>
      <w:r w:rsidR="00DB2CFA">
        <w:t>in</w:t>
      </w:r>
      <w:r>
        <w:t xml:space="preserve"> </w:t>
      </w:r>
      <w:r w:rsidR="00DB2CFA">
        <w:t>r</w:t>
      </w:r>
      <w:r>
        <w:t xml:space="preserve">eply submitted that </w:t>
      </w:r>
      <w:r w:rsidR="00DB2CFA">
        <w:t>t</w:t>
      </w:r>
      <w:r>
        <w:t xml:space="preserve">he </w:t>
      </w:r>
      <w:r w:rsidR="00DB2CFA">
        <w:t>termination</w:t>
      </w:r>
      <w:r>
        <w:t xml:space="preserve"> was </w:t>
      </w:r>
      <w:r w:rsidR="00DB2CFA">
        <w:t>justified on account of the whole circumstances of the case</w:t>
      </w:r>
      <w:r w:rsidR="00F06B8D">
        <w:t>.</w:t>
      </w:r>
      <w:r>
        <w:t xml:space="preserve"> </w:t>
      </w:r>
    </w:p>
    <w:p w:rsidR="00DB2CFA" w:rsidRDefault="00DB2CFA" w:rsidP="00464531">
      <w:pPr>
        <w:pStyle w:val="JudgmentText"/>
      </w:pPr>
      <w:r>
        <w:t xml:space="preserve">In its decision of 20 May 2014, the </w:t>
      </w:r>
      <w:r w:rsidR="00F06B8D">
        <w:t>Employment</w:t>
      </w:r>
      <w:r>
        <w:t xml:space="preserve"> Tribunal concluded</w:t>
      </w:r>
      <w:r w:rsidR="006410D5">
        <w:t xml:space="preserve">, </w:t>
      </w:r>
      <w:r>
        <w:t>pur</w:t>
      </w:r>
      <w:r w:rsidR="00F06B8D">
        <w:t>su</w:t>
      </w:r>
      <w:r>
        <w:t xml:space="preserve">ant to section 61 </w:t>
      </w:r>
      <w:r w:rsidR="00F06B8D">
        <w:t>(</w:t>
      </w:r>
      <w:r w:rsidR="002F3333">
        <w:t>2) (</w:t>
      </w:r>
      <w:r>
        <w:t xml:space="preserve">a) (i) of the </w:t>
      </w:r>
      <w:r w:rsidR="00F06B8D">
        <w:t>E</w:t>
      </w:r>
      <w:r>
        <w:t>m</w:t>
      </w:r>
      <w:r w:rsidR="00F06B8D">
        <w:t>p</w:t>
      </w:r>
      <w:r>
        <w:t>loyment Act 1995</w:t>
      </w:r>
      <w:r w:rsidR="00F06B8D">
        <w:t xml:space="preserve"> (hereinafter the Act)</w:t>
      </w:r>
      <w:r w:rsidR="006410D5">
        <w:t>,</w:t>
      </w:r>
      <w:r w:rsidR="002F3333">
        <w:t xml:space="preserve"> </w:t>
      </w:r>
      <w:r w:rsidR="00F06B8D">
        <w:t>that the Respondent’s termination was justified</w:t>
      </w:r>
      <w:r w:rsidR="002F3333">
        <w:t xml:space="preserve">, </w:t>
      </w:r>
      <w:r w:rsidR="00F06B8D">
        <w:t xml:space="preserve">namely in view of the fact that </w:t>
      </w:r>
      <w:r w:rsidR="002F3333">
        <w:t xml:space="preserve">he </w:t>
      </w:r>
      <w:r w:rsidR="00F06B8D">
        <w:t>committed a ser</w:t>
      </w:r>
      <w:r w:rsidR="002F3333">
        <w:t>i</w:t>
      </w:r>
      <w:r w:rsidR="00F06B8D">
        <w:t xml:space="preserve">ous wrongdoing by handing a set of keys to Ms. Hermitte in breach of the dual control system </w:t>
      </w:r>
      <w:r w:rsidR="00F06B8D">
        <w:lastRenderedPageBreak/>
        <w:t xml:space="preserve">and </w:t>
      </w:r>
      <w:r w:rsidR="002F3333">
        <w:t>that</w:t>
      </w:r>
      <w:r w:rsidR="00F06B8D">
        <w:t xml:space="preserve"> </w:t>
      </w:r>
      <w:r w:rsidR="006410D5">
        <w:t>t</w:t>
      </w:r>
      <w:r w:rsidR="00F06B8D">
        <w:t>h</w:t>
      </w:r>
      <w:r w:rsidR="002F3333">
        <w:t xml:space="preserve">is failure had </w:t>
      </w:r>
      <w:r w:rsidR="00F06B8D">
        <w:t>cau</w:t>
      </w:r>
      <w:r w:rsidR="002F3333">
        <w:t>s</w:t>
      </w:r>
      <w:r w:rsidR="00F06B8D">
        <w:t>e</w:t>
      </w:r>
      <w:r w:rsidR="002F3333">
        <w:t>d</w:t>
      </w:r>
      <w:r w:rsidR="00F06B8D">
        <w:t xml:space="preserve"> </w:t>
      </w:r>
      <w:r w:rsidR="002F3333">
        <w:t>s</w:t>
      </w:r>
      <w:r w:rsidR="00F06B8D">
        <w:t xml:space="preserve">erious prejudice to the </w:t>
      </w:r>
      <w:r w:rsidR="002F3333">
        <w:t>Appellant. The Appellant, it concluded, had committed a serious</w:t>
      </w:r>
      <w:r w:rsidR="00F06B8D">
        <w:t xml:space="preserve"> d</w:t>
      </w:r>
      <w:r w:rsidR="002F3333">
        <w:t>is</w:t>
      </w:r>
      <w:r w:rsidR="00F06B8D">
        <w:t>c</w:t>
      </w:r>
      <w:r w:rsidR="002F3333">
        <w:t>i</w:t>
      </w:r>
      <w:r w:rsidR="00F06B8D">
        <w:t>pl</w:t>
      </w:r>
      <w:r w:rsidR="002F3333">
        <w:t>i</w:t>
      </w:r>
      <w:r w:rsidR="00F06B8D">
        <w:t>nary offence under Part II</w:t>
      </w:r>
      <w:r w:rsidR="002F3333">
        <w:t xml:space="preserve"> </w:t>
      </w:r>
      <w:r w:rsidR="00F06B8D">
        <w:t xml:space="preserve">of </w:t>
      </w:r>
      <w:r w:rsidR="002F3333">
        <w:t xml:space="preserve">the </w:t>
      </w:r>
      <w:r w:rsidR="00F06B8D">
        <w:t xml:space="preserve">Act. </w:t>
      </w:r>
    </w:p>
    <w:p w:rsidR="004225FB" w:rsidRDefault="002F3333" w:rsidP="00464531">
      <w:pPr>
        <w:pStyle w:val="JudgmentText"/>
      </w:pPr>
      <w:r>
        <w:t>In his appeal before the Supreme Court</w:t>
      </w:r>
      <w:r w:rsidR="006410D5">
        <w:t>,</w:t>
      </w:r>
      <w:r>
        <w:t xml:space="preserve"> the Respondent submitted that the Tribunal erred in deciding that the termination of </w:t>
      </w:r>
      <w:r w:rsidR="006410D5">
        <w:t xml:space="preserve">his </w:t>
      </w:r>
      <w:r>
        <w:t xml:space="preserve">employment was an appropriate disciplinary measure given the fact that </w:t>
      </w:r>
      <w:r w:rsidR="006410D5">
        <w:t>he</w:t>
      </w:r>
      <w:r>
        <w:t xml:space="preserve"> was the longest serving employee of the Credit Union, that the loss of the money could not be attributed to him, or </w:t>
      </w:r>
      <w:r w:rsidR="006410D5">
        <w:t>in terms of</w:t>
      </w:r>
      <w:r>
        <w:t xml:space="preserve"> the complaint made against him, namely the lack of maintenance of a dual control scheme regarding keys to the </w:t>
      </w:r>
      <w:r w:rsidR="004225FB">
        <w:t>vault at</w:t>
      </w:r>
      <w:r>
        <w:t xml:space="preserve"> the Credit Union. </w:t>
      </w:r>
    </w:p>
    <w:p w:rsidR="002F3333" w:rsidRDefault="004225FB" w:rsidP="00464531">
      <w:pPr>
        <w:pStyle w:val="JudgmentText"/>
      </w:pPr>
      <w:r>
        <w:t>Further,</w:t>
      </w:r>
      <w:r w:rsidR="002F3333">
        <w:t xml:space="preserve"> he</w:t>
      </w:r>
      <w:r>
        <w:t xml:space="preserve"> </w:t>
      </w:r>
      <w:r w:rsidR="002F3333">
        <w:t>s</w:t>
      </w:r>
      <w:r>
        <w:t>ubm</w:t>
      </w:r>
      <w:r w:rsidR="002F3333">
        <w:t>itted</w:t>
      </w:r>
      <w:r>
        <w:t xml:space="preserve"> that</w:t>
      </w:r>
      <w:r w:rsidR="002F3333">
        <w:t xml:space="preserve"> the Tribunal was swayed by the </w:t>
      </w:r>
      <w:r>
        <w:t>amount</w:t>
      </w:r>
      <w:r w:rsidR="002F3333">
        <w:t xml:space="preserve"> of </w:t>
      </w:r>
      <w:r>
        <w:t>money</w:t>
      </w:r>
      <w:r w:rsidR="002F3333">
        <w:t xml:space="preserve"> lost</w:t>
      </w:r>
      <w:r>
        <w:t>. Yet there</w:t>
      </w:r>
      <w:r w:rsidR="002F3333">
        <w:t xml:space="preserve"> w</w:t>
      </w:r>
      <w:r>
        <w:t>a</w:t>
      </w:r>
      <w:r w:rsidR="002F3333">
        <w:t xml:space="preserve">s no link between the </w:t>
      </w:r>
      <w:r w:rsidR="006410D5">
        <w:t xml:space="preserve">loss of the money </w:t>
      </w:r>
      <w:r w:rsidR="002F3333">
        <w:t>an</w:t>
      </w:r>
      <w:r>
        <w:t>d</w:t>
      </w:r>
      <w:r w:rsidR="002F3333">
        <w:t xml:space="preserve"> </w:t>
      </w:r>
      <w:r w:rsidR="006410D5">
        <w:t>himself</w:t>
      </w:r>
      <w:r w:rsidR="002F3333">
        <w:t xml:space="preserve"> or evi</w:t>
      </w:r>
      <w:r>
        <w:t>den</w:t>
      </w:r>
      <w:r w:rsidR="002F3333">
        <w:t>ce that d</w:t>
      </w:r>
      <w:r>
        <w:t>e</w:t>
      </w:r>
      <w:r w:rsidR="002F3333">
        <w:t>sp</w:t>
      </w:r>
      <w:r>
        <w:t>i</w:t>
      </w:r>
      <w:r w:rsidR="002F3333">
        <w:t xml:space="preserve">te the dual control scheme </w:t>
      </w:r>
      <w:r>
        <w:t>being</w:t>
      </w:r>
      <w:r w:rsidR="002F3333">
        <w:t xml:space="preserve"> </w:t>
      </w:r>
      <w:r>
        <w:t>maintained</w:t>
      </w:r>
      <w:r w:rsidR="002F3333">
        <w:t xml:space="preserve"> the</w:t>
      </w:r>
      <w:r>
        <w:t xml:space="preserve"> </w:t>
      </w:r>
      <w:r w:rsidR="002F3333">
        <w:t>loss would have been prevented</w:t>
      </w:r>
      <w:r w:rsidR="006410D5">
        <w:t xml:space="preserve">. In any case </w:t>
      </w:r>
      <w:r w:rsidR="002F3333">
        <w:t>th</w:t>
      </w:r>
      <w:r>
        <w:t>e</w:t>
      </w:r>
      <w:r w:rsidR="002F3333">
        <w:t xml:space="preserve"> </w:t>
      </w:r>
      <w:r>
        <w:t xml:space="preserve">police </w:t>
      </w:r>
      <w:r w:rsidR="002F3333">
        <w:t xml:space="preserve">had not solved the </w:t>
      </w:r>
      <w:r w:rsidR="006410D5">
        <w:t>case</w:t>
      </w:r>
      <w:r>
        <w:t xml:space="preserve">. </w:t>
      </w:r>
    </w:p>
    <w:p w:rsidR="004225FB" w:rsidRDefault="004225FB" w:rsidP="00464531">
      <w:pPr>
        <w:pStyle w:val="JudgmentText"/>
      </w:pPr>
      <w:r>
        <w:t>The appella</w:t>
      </w:r>
      <w:r w:rsidR="006410D5">
        <w:t>te</w:t>
      </w:r>
      <w:r>
        <w:t xml:space="preserve"> court found that since the </w:t>
      </w:r>
      <w:r w:rsidR="001000F7">
        <w:t>Respondent’s</w:t>
      </w:r>
      <w:bookmarkStart w:id="18" w:name="_GoBack"/>
      <w:bookmarkEnd w:id="18"/>
      <w:r>
        <w:t xml:space="preserve"> employment was terminated for serious disciplinary reasons</w:t>
      </w:r>
      <w:r w:rsidR="006410D5">
        <w:t>,</w:t>
      </w:r>
      <w:r>
        <w:t xml:space="preserve"> section 23 of the Act came into play. In </w:t>
      </w:r>
      <w:r w:rsidR="006410D5">
        <w:t>its</w:t>
      </w:r>
      <w:r>
        <w:t xml:space="preserve"> </w:t>
      </w:r>
      <w:r w:rsidR="006410D5">
        <w:t>view,</w:t>
      </w:r>
      <w:r>
        <w:t xml:space="preserve"> the procedures under these provisions had not been engaged and the Respondent given no opportunity to explain the act or omission which constituted the alleged serious offence. </w:t>
      </w:r>
    </w:p>
    <w:p w:rsidR="006410D5" w:rsidRDefault="004225FB" w:rsidP="00D25785">
      <w:pPr>
        <w:pStyle w:val="JudgmentText"/>
      </w:pPr>
      <w:r>
        <w:t>Further, the procedural requirement to inform the Respondent in writing that the offence has been established had also not been complied with. Moreover, once the grievance procedure was initiated by</w:t>
      </w:r>
      <w:r w:rsidR="00AF414E">
        <w:t xml:space="preserve"> the Respondent</w:t>
      </w:r>
      <w:r w:rsidR="006410D5">
        <w:t>,</w:t>
      </w:r>
      <w:r w:rsidR="00AF414E">
        <w:t xml:space="preserve"> the burden of proving the disciplinary offence under section 53 (5) of the Act lay </w:t>
      </w:r>
      <w:r w:rsidR="006410D5">
        <w:t>with</w:t>
      </w:r>
      <w:r w:rsidR="00AF414E">
        <w:t xml:space="preserve"> the Appellant. It had not proven the causal connection between the failure to abide by the dual control scheme and the prejudice caused to the Appellant. Nor had the Scheme ever been accepted as a binding regulation on the Credit Union. </w:t>
      </w:r>
    </w:p>
    <w:p w:rsidR="004225FB" w:rsidRDefault="00AF414E" w:rsidP="00D25785">
      <w:pPr>
        <w:pStyle w:val="JudgmentText"/>
      </w:pPr>
      <w:r>
        <w:t xml:space="preserve">In the circumstances the appellate court found that the termination was not justified and the disciplinary measure meted out not commensurate with any offence committed by the Appellant. </w:t>
      </w:r>
      <w:r w:rsidR="004225FB">
        <w:t xml:space="preserve"> </w:t>
      </w:r>
      <w:r w:rsidR="006410D5">
        <w:t>It</w:t>
      </w:r>
      <w:r w:rsidR="00D25785">
        <w:t xml:space="preserve"> found therefore that the Respondent should be awarded </w:t>
      </w:r>
      <w:r w:rsidR="00D25785" w:rsidRPr="00D25785">
        <w:t xml:space="preserve">one month salary in lieu of notice, 12 days annual leave and </w:t>
      </w:r>
      <w:r w:rsidR="00D25785">
        <w:t xml:space="preserve">compensation at the rate of one day’s pay based </w:t>
      </w:r>
      <w:r w:rsidR="00D25785">
        <w:lastRenderedPageBreak/>
        <w:t xml:space="preserve">on </w:t>
      </w:r>
      <w:r w:rsidR="00D25785" w:rsidRPr="00D25785">
        <w:t xml:space="preserve">his </w:t>
      </w:r>
      <w:r w:rsidR="00D25785">
        <w:t xml:space="preserve">last </w:t>
      </w:r>
      <w:r w:rsidR="00D25785" w:rsidRPr="00D25785">
        <w:t xml:space="preserve">salary from </w:t>
      </w:r>
      <w:r w:rsidR="00D25785">
        <w:t xml:space="preserve">1 December 1977 to the date of the its judgment with interest and costs. </w:t>
      </w:r>
    </w:p>
    <w:p w:rsidR="00AF414E" w:rsidRDefault="00AF414E" w:rsidP="00464531">
      <w:pPr>
        <w:pStyle w:val="JudgmentText"/>
      </w:pPr>
      <w:r>
        <w:t>From this decision the Appellant has appealed on 13 grounds which we have no wish to repeat but summarise instead</w:t>
      </w:r>
      <w:r w:rsidR="00F06BCC">
        <w:t xml:space="preserve">. First, it is submitted that there is </w:t>
      </w:r>
      <w:r>
        <w:t>bias o</w:t>
      </w:r>
      <w:r w:rsidR="00F06BCC">
        <w:t xml:space="preserve">n the part of </w:t>
      </w:r>
      <w:r>
        <w:t xml:space="preserve">the appellate court in favour of the </w:t>
      </w:r>
      <w:r w:rsidR="00D25785">
        <w:t>Respondent</w:t>
      </w:r>
      <w:r w:rsidR="00F06BCC">
        <w:t>, secondly that there was</w:t>
      </w:r>
      <w:r w:rsidR="00D25785">
        <w:t xml:space="preserve"> insufficient evidence</w:t>
      </w:r>
      <w:r w:rsidR="00F06BCC">
        <w:t xml:space="preserve"> to find in favour of the Respondent</w:t>
      </w:r>
      <w:r>
        <w:t>,</w:t>
      </w:r>
      <w:r w:rsidR="0078510A">
        <w:t xml:space="preserve"> </w:t>
      </w:r>
      <w:r w:rsidR="00F06BCC">
        <w:t>thirdly, that the appellate court erred in not</w:t>
      </w:r>
      <w:r>
        <w:t xml:space="preserve"> appreciating the duties and responsibilities of </w:t>
      </w:r>
      <w:r w:rsidR="00F06BCC">
        <w:t xml:space="preserve">the </w:t>
      </w:r>
      <w:r>
        <w:t>CEO of a bank</w:t>
      </w:r>
      <w:r w:rsidR="00D25785">
        <w:t xml:space="preserve"> and </w:t>
      </w:r>
      <w:r w:rsidR="00F06BCC">
        <w:t>fourthly, that the court erred in awarding</w:t>
      </w:r>
      <w:r w:rsidR="00D25785">
        <w:t xml:space="preserve"> the wrong damages. </w:t>
      </w:r>
    </w:p>
    <w:p w:rsidR="00D25785" w:rsidRDefault="00D25785" w:rsidP="00464531">
      <w:pPr>
        <w:pStyle w:val="JudgmentText"/>
      </w:pPr>
      <w:r>
        <w:t xml:space="preserve">We are grateful to both Counsel for their thoroughly researched submissions. </w:t>
      </w:r>
    </w:p>
    <w:p w:rsidR="00F06BCC" w:rsidRDefault="00F06BCC" w:rsidP="00464531">
      <w:pPr>
        <w:pStyle w:val="JudgmentText"/>
      </w:pPr>
      <w:r>
        <w:t xml:space="preserve">We state from the outset that we are unable to discern any bias on the part of the appellate court. </w:t>
      </w:r>
      <w:r w:rsidR="00D25785">
        <w:t>On the ground of appeal</w:t>
      </w:r>
      <w:r>
        <w:t>,</w:t>
      </w:r>
      <w:r w:rsidR="00D25785">
        <w:t xml:space="preserve"> concerning the sufficiency of evidence we are not convinced that the learned appellate judge was wrong in his appreciation of the evidence before the Tribunal. </w:t>
      </w:r>
      <w:r w:rsidR="00D35CA4">
        <w:t xml:space="preserve">Section 55 of the Act requires proof of the disciplinary offence. </w:t>
      </w:r>
      <w:r w:rsidR="00D25785">
        <w:t xml:space="preserve">There was </w:t>
      </w:r>
      <w:r w:rsidR="00D35CA4">
        <w:t xml:space="preserve">neither a satisfactory conclusion to the internal enquiry nor </w:t>
      </w:r>
      <w:r w:rsidR="00D25785">
        <w:t xml:space="preserve">indeed </w:t>
      </w:r>
      <w:r w:rsidR="00D35CA4">
        <w:t>any</w:t>
      </w:r>
      <w:r w:rsidR="00D25785">
        <w:t xml:space="preserve"> </w:t>
      </w:r>
      <w:r>
        <w:t xml:space="preserve">fruitful </w:t>
      </w:r>
      <w:r w:rsidR="00D25785">
        <w:t xml:space="preserve">conclusion to the police investigation. </w:t>
      </w:r>
    </w:p>
    <w:p w:rsidR="00D25785" w:rsidRDefault="00D25785" w:rsidP="00464531">
      <w:pPr>
        <w:pStyle w:val="JudgmentText"/>
      </w:pPr>
      <w:r>
        <w:t xml:space="preserve">There was </w:t>
      </w:r>
      <w:r w:rsidR="00D35CA4">
        <w:t xml:space="preserve">above all </w:t>
      </w:r>
      <w:r>
        <w:t>no proof that the breach of the dual control s</w:t>
      </w:r>
      <w:r w:rsidR="00BF1FE5">
        <w:t>c</w:t>
      </w:r>
      <w:r>
        <w:t>h</w:t>
      </w:r>
      <w:r w:rsidR="00BF1FE5">
        <w:t>e</w:t>
      </w:r>
      <w:r>
        <w:t>me resulted in the theft</w:t>
      </w:r>
      <w:r w:rsidR="00D35CA4">
        <w:t xml:space="preserve"> or that there was </w:t>
      </w:r>
      <w:r w:rsidR="00F06BCC">
        <w:t xml:space="preserve">a </w:t>
      </w:r>
      <w:r w:rsidR="00D35CA4">
        <w:t>dereliction of duties on the part of the Respondent in leaving th</w:t>
      </w:r>
      <w:r w:rsidR="00F06BCC">
        <w:t>e</w:t>
      </w:r>
      <w:r w:rsidR="00D35CA4">
        <w:t xml:space="preserve"> bank at lunchtime </w:t>
      </w:r>
      <w:r w:rsidR="00F06BCC">
        <w:t xml:space="preserve">leaving </w:t>
      </w:r>
      <w:r w:rsidR="00D35CA4">
        <w:t xml:space="preserve">two subordinates in the banking hall. There is also no evidence as to what and how the Respondent breached any fiduciary duties owed to the Bank. </w:t>
      </w:r>
      <w:r w:rsidR="00BF1FE5">
        <w:t xml:space="preserve">The blame for the theft could not in the circumstances be laid at the door of the Respondent. </w:t>
      </w:r>
      <w:r>
        <w:t xml:space="preserve"> </w:t>
      </w:r>
    </w:p>
    <w:p w:rsidR="00B6713D" w:rsidRDefault="00D35CA4" w:rsidP="00464531">
      <w:pPr>
        <w:pStyle w:val="JudgmentText"/>
      </w:pPr>
      <w:r>
        <w:t>I</w:t>
      </w:r>
      <w:r w:rsidR="003B1D3B">
        <w:t>t</w:t>
      </w:r>
      <w:r>
        <w:t xml:space="preserve"> </w:t>
      </w:r>
      <w:r w:rsidR="003B1D3B">
        <w:t>must</w:t>
      </w:r>
      <w:r>
        <w:t xml:space="preserve"> also be noted that if the </w:t>
      </w:r>
      <w:r w:rsidR="003B1D3B">
        <w:t>contention</w:t>
      </w:r>
      <w:r>
        <w:t xml:space="preserve"> of the </w:t>
      </w:r>
      <w:r w:rsidR="003B1D3B">
        <w:t>Appellant</w:t>
      </w:r>
      <w:r>
        <w:t xml:space="preserve"> is</w:t>
      </w:r>
      <w:r w:rsidR="003B1D3B">
        <w:t xml:space="preserve"> that </w:t>
      </w:r>
      <w:r>
        <w:t xml:space="preserve">the </w:t>
      </w:r>
      <w:r w:rsidR="003B1D3B">
        <w:t>Respondent</w:t>
      </w:r>
      <w:r>
        <w:t xml:space="preserve"> had committed an act </w:t>
      </w:r>
      <w:r w:rsidR="003B1D3B">
        <w:t>t</w:t>
      </w:r>
      <w:r>
        <w:t xml:space="preserve">hat had seriously prejudiced the </w:t>
      </w:r>
      <w:r w:rsidR="003B1D3B">
        <w:t>Appellant</w:t>
      </w:r>
      <w:r>
        <w:t xml:space="preserve"> and </w:t>
      </w:r>
      <w:r w:rsidR="003B1D3B">
        <w:t>therefore</w:t>
      </w:r>
      <w:r>
        <w:t xml:space="preserve"> committed a s</w:t>
      </w:r>
      <w:r w:rsidR="003B1D3B">
        <w:t>erious disciplinary</w:t>
      </w:r>
      <w:r>
        <w:t xml:space="preserve"> offence</w:t>
      </w:r>
      <w:r w:rsidR="003B1D3B">
        <w:t xml:space="preserve"> (under Part II of Schedule 2 to the Act) </w:t>
      </w:r>
      <w:r>
        <w:t xml:space="preserve">it </w:t>
      </w:r>
      <w:r w:rsidR="003B1D3B">
        <w:t>was</w:t>
      </w:r>
      <w:r>
        <w:t xml:space="preserve"> </w:t>
      </w:r>
      <w:r w:rsidR="003B1D3B">
        <w:t>never</w:t>
      </w:r>
      <w:r>
        <w:t xml:space="preserve"> clarified </w:t>
      </w:r>
      <w:r w:rsidR="00F06BCC">
        <w:t xml:space="preserve">and substantiated by evidence </w:t>
      </w:r>
      <w:r>
        <w:t xml:space="preserve">as to which </w:t>
      </w:r>
      <w:r w:rsidR="003B1D3B">
        <w:t>of the 13 listed offences under the Act was committed by the Appellant. At the most</w:t>
      </w:r>
      <w:r w:rsidR="00F06BCC">
        <w:t>,</w:t>
      </w:r>
      <w:r w:rsidR="003B1D3B">
        <w:t xml:space="preserve"> the only evidence brought was that </w:t>
      </w:r>
      <w:r w:rsidR="00F06BCC">
        <w:t>t</w:t>
      </w:r>
      <w:r w:rsidR="003B1D3B">
        <w:t>he</w:t>
      </w:r>
      <w:r w:rsidR="00F06BCC">
        <w:t xml:space="preserve"> Respondent had</w:t>
      </w:r>
      <w:r w:rsidR="003B1D3B">
        <w:t xml:space="preserve"> failed to obey orders or failed to comply with rules or regulations but these </w:t>
      </w:r>
      <w:r w:rsidR="00F06BCC">
        <w:t xml:space="preserve">are not </w:t>
      </w:r>
      <w:r w:rsidR="003B1D3B">
        <w:t>offence</w:t>
      </w:r>
      <w:r w:rsidR="00F06BCC">
        <w:t>s</w:t>
      </w:r>
      <w:r w:rsidR="003B1D3B">
        <w:t xml:space="preserve"> warranting instant dismissal. </w:t>
      </w:r>
    </w:p>
    <w:p w:rsidR="00882EE1" w:rsidRDefault="00B6713D" w:rsidP="00464531">
      <w:pPr>
        <w:pStyle w:val="JudgmentText"/>
      </w:pPr>
      <w:r>
        <w:lastRenderedPageBreak/>
        <w:t xml:space="preserve">Insofar as </w:t>
      </w:r>
      <w:r w:rsidR="00F06BCC">
        <w:t xml:space="preserve">the Respondent’s </w:t>
      </w:r>
      <w:r>
        <w:t xml:space="preserve">fiduciary duties are concerned it is the Appellant’s submission that the relationship of trust and confidence </w:t>
      </w:r>
      <w:r w:rsidR="00F06BCC">
        <w:t>was</w:t>
      </w:r>
      <w:r>
        <w:t xml:space="preserve"> breached or that </w:t>
      </w:r>
      <w:r w:rsidR="00F06BCC">
        <w:t>t</w:t>
      </w:r>
      <w:r>
        <w:t>he</w:t>
      </w:r>
      <w:r w:rsidR="00F06BCC">
        <w:t xml:space="preserve"> Respondent</w:t>
      </w:r>
      <w:r>
        <w:t xml:space="preserve"> should </w:t>
      </w:r>
      <w:r w:rsidR="00F06BCC">
        <w:t>“</w:t>
      </w:r>
      <w:r>
        <w:t>reasonabl</w:t>
      </w:r>
      <w:r w:rsidR="00F06BCC">
        <w:t>y</w:t>
      </w:r>
      <w:r>
        <w:t xml:space="preserve"> have known that some hazardous condition or activity under his control could injure</w:t>
      </w:r>
      <w:r w:rsidR="00F06BCC">
        <w:t>”</w:t>
      </w:r>
      <w:r>
        <w:t xml:space="preserve"> the Appellant. </w:t>
      </w:r>
    </w:p>
    <w:p w:rsidR="00882EE1" w:rsidRDefault="00882EE1" w:rsidP="00464531">
      <w:pPr>
        <w:pStyle w:val="JudgmentText"/>
      </w:pPr>
      <w:r>
        <w:t xml:space="preserve">It has not been demonstrated how the trust or confidence in the parties’ relationship was breached. A theft happened. It has not been linked to any actions on the part of the Respondent save for the allegation that he should have ensured that two independent sets of keys to the bank vault was kept by separate persons at all times. It has not been proven that if this had happened the theft would not have occurred. </w:t>
      </w:r>
    </w:p>
    <w:p w:rsidR="00D35CA4" w:rsidRDefault="00B6713D" w:rsidP="00464531">
      <w:pPr>
        <w:pStyle w:val="JudgmentText"/>
      </w:pPr>
      <w:r>
        <w:t xml:space="preserve">We are </w:t>
      </w:r>
      <w:r w:rsidR="00882EE1">
        <w:t xml:space="preserve">therefore </w:t>
      </w:r>
      <w:r>
        <w:t>unable to find any support for th</w:t>
      </w:r>
      <w:r w:rsidR="00882EE1">
        <w:t>e</w:t>
      </w:r>
      <w:r>
        <w:t xml:space="preserve"> submission </w:t>
      </w:r>
      <w:r w:rsidR="00882EE1">
        <w:t xml:space="preserve">on this ground </w:t>
      </w:r>
      <w:r>
        <w:t>from the evidence adduced</w:t>
      </w:r>
      <w:r w:rsidR="00882EE1">
        <w:t xml:space="preserve"> and dismiss this ground of appeal</w:t>
      </w:r>
      <w:r>
        <w:t>.</w:t>
      </w:r>
    </w:p>
    <w:p w:rsidR="00B618F9" w:rsidRPr="00B618F9" w:rsidRDefault="00B6713D" w:rsidP="00B618F9">
      <w:pPr>
        <w:pStyle w:val="JudgmentText"/>
      </w:pPr>
      <w:r>
        <w:t>In regard to the damages awarded by the trial judge</w:t>
      </w:r>
      <w:r w:rsidR="00F06BCC">
        <w:t>,</w:t>
      </w:r>
      <w:r>
        <w:t xml:space="preserve"> the Appellant is on stronger ground. It is conceded by the Respondent that the award was </w:t>
      </w:r>
      <w:r w:rsidRPr="00B618F9">
        <w:rPr>
          <w:i/>
        </w:rPr>
        <w:t>ultra petita.</w:t>
      </w:r>
      <w:r>
        <w:t xml:space="preserve"> The Respondent had resigned his employment from the Appellant in 2012 at the time of the restructure of the Credit Union </w:t>
      </w:r>
      <w:r w:rsidR="00B618F9">
        <w:t xml:space="preserve">and </w:t>
      </w:r>
      <w:r>
        <w:t xml:space="preserve">had been paid all his legal dues from the time he started </w:t>
      </w:r>
      <w:r w:rsidR="00B618F9">
        <w:t>w</w:t>
      </w:r>
      <w:r>
        <w:t>ork t</w:t>
      </w:r>
      <w:r w:rsidR="00B618F9">
        <w:t>o</w:t>
      </w:r>
      <w:r>
        <w:t xml:space="preserve"> h</w:t>
      </w:r>
      <w:r w:rsidR="00B618F9">
        <w:t>i</w:t>
      </w:r>
      <w:r>
        <w:t xml:space="preserve">s </w:t>
      </w:r>
      <w:r w:rsidR="00B618F9">
        <w:t>resignation</w:t>
      </w:r>
      <w:r>
        <w:t xml:space="preserve">. </w:t>
      </w:r>
      <w:r w:rsidR="00B618F9">
        <w:t xml:space="preserve">He was </w:t>
      </w:r>
      <w:r w:rsidR="00F06BCC">
        <w:t xml:space="preserve">in the circumstances of the present case </w:t>
      </w:r>
      <w:r w:rsidR="00B618F9">
        <w:t>only due what he had claimed and was allowable under the Act namely:</w:t>
      </w:r>
      <w:r w:rsidR="00B618F9" w:rsidRPr="00B618F9">
        <w:t xml:space="preserve"> one month salary in lieu of notice, 12 days annual leave and his salary from 31 July 2013 to 30 June 2015. </w:t>
      </w:r>
      <w:r w:rsidR="00B618F9">
        <w:t>It is also not contested that the Respondent has already been paid SR55, 547.61 net of tax by the Appellant.</w:t>
      </w:r>
    </w:p>
    <w:p w:rsidR="00B6713D" w:rsidRDefault="00882EE1" w:rsidP="00464531">
      <w:pPr>
        <w:pStyle w:val="JudgmentText"/>
      </w:pPr>
      <w:r>
        <w:t>F</w:t>
      </w:r>
      <w:r w:rsidR="00B618F9">
        <w:t xml:space="preserve">or the avoidance of doubt </w:t>
      </w:r>
      <w:r>
        <w:t xml:space="preserve">we state that </w:t>
      </w:r>
      <w:r w:rsidR="00B618F9">
        <w:t>the sums payable are as follows: one month salary in lieu of notice amounting to SR 31, 856.29 less tax; 12.75 days annual leave amounting to SR 15, 653.08; salary f</w:t>
      </w:r>
      <w:r w:rsidR="0021508F">
        <w:t>r</w:t>
      </w:r>
      <w:r w:rsidR="00B618F9">
        <w:t>om 31 June 2013 to 30 June</w:t>
      </w:r>
      <w:r w:rsidR="0021508F">
        <w:t xml:space="preserve"> 2014 amounting to SR 724, 656.43 gross (SR780, 204.04 (SR31, 856.29 x 23 months) less SR 55, 547.61 already received.  </w:t>
      </w:r>
      <w:r w:rsidR="00B618F9">
        <w:t xml:space="preserve"> </w:t>
      </w:r>
    </w:p>
    <w:p w:rsidR="00882EE1" w:rsidRDefault="00882EE1" w:rsidP="00882EE1">
      <w:pPr>
        <w:pStyle w:val="JudgmentText"/>
        <w:numPr>
          <w:ilvl w:val="0"/>
          <w:numId w:val="0"/>
        </w:numPr>
        <w:ind w:left="720" w:hanging="720"/>
      </w:pPr>
    </w:p>
    <w:p w:rsidR="00882EE1" w:rsidRDefault="00882EE1" w:rsidP="00882EE1">
      <w:pPr>
        <w:pStyle w:val="JudgmentText"/>
        <w:numPr>
          <w:ilvl w:val="0"/>
          <w:numId w:val="0"/>
        </w:numPr>
        <w:ind w:left="720" w:hanging="720"/>
      </w:pPr>
    </w:p>
    <w:p w:rsidR="00882EE1" w:rsidRDefault="00882EE1" w:rsidP="00882EE1">
      <w:pPr>
        <w:pStyle w:val="JudgmentText"/>
        <w:numPr>
          <w:ilvl w:val="0"/>
          <w:numId w:val="0"/>
        </w:numPr>
        <w:ind w:left="720" w:hanging="720"/>
      </w:pPr>
    </w:p>
    <w:p w:rsidR="00882EE1" w:rsidRDefault="00882EE1" w:rsidP="00882EE1">
      <w:pPr>
        <w:pStyle w:val="JudgmentText"/>
        <w:numPr>
          <w:ilvl w:val="0"/>
          <w:numId w:val="0"/>
        </w:numPr>
        <w:ind w:left="720" w:hanging="720"/>
      </w:pPr>
    </w:p>
    <w:p w:rsidR="00B618F9" w:rsidRDefault="00B618F9" w:rsidP="00464531">
      <w:pPr>
        <w:pStyle w:val="JudgmentText"/>
      </w:pPr>
      <w:r>
        <w:lastRenderedPageBreak/>
        <w:t>In the circumstances</w:t>
      </w:r>
      <w:r w:rsidR="00882EE1">
        <w:t>,</w:t>
      </w:r>
      <w:r>
        <w:t xml:space="preserve"> </w:t>
      </w:r>
      <w:r w:rsidR="0021508F">
        <w:t>for the reasons given above this appeal is partly successful. W</w:t>
      </w:r>
      <w:r>
        <w:t>e find that the dism</w:t>
      </w:r>
      <w:r w:rsidR="0021508F">
        <w:t>iss</w:t>
      </w:r>
      <w:r>
        <w:t xml:space="preserve">al of the </w:t>
      </w:r>
      <w:r w:rsidR="0021508F">
        <w:t>Respondent</w:t>
      </w:r>
      <w:r>
        <w:t xml:space="preserve"> was not justified </w:t>
      </w:r>
      <w:r w:rsidR="0021508F">
        <w:t>but that the award of benefits wrongly computed</w:t>
      </w:r>
      <w:r w:rsidR="00882EE1">
        <w:t xml:space="preserve"> by the appellate court</w:t>
      </w:r>
      <w:r w:rsidR="0021508F">
        <w:t>. We substitute therefore the award as computed in the preceding paragraph which award</w:t>
      </w:r>
      <w:r>
        <w:t xml:space="preserve"> </w:t>
      </w:r>
      <w:r w:rsidR="0021508F">
        <w:t xml:space="preserve">should be paid after the deduction of due taxes. </w:t>
      </w:r>
    </w:p>
    <w:p w:rsidR="00965CF7" w:rsidRDefault="00965CF7" w:rsidP="00965CF7">
      <w:pPr>
        <w:pStyle w:val="JudgmentText"/>
        <w:numPr>
          <w:ilvl w:val="0"/>
          <w:numId w:val="0"/>
        </w:numPr>
        <w:ind w:left="720" w:hanging="720"/>
      </w:pPr>
    </w:p>
    <w:p w:rsidR="00965CF7" w:rsidRDefault="00965CF7" w:rsidP="00965CF7">
      <w:pPr>
        <w:pStyle w:val="JudgmentText"/>
        <w:numPr>
          <w:ilvl w:val="0"/>
          <w:numId w:val="0"/>
        </w:numPr>
        <w:ind w:left="720" w:hanging="720"/>
      </w:pPr>
    </w:p>
    <w:p w:rsidR="00965CF7" w:rsidRDefault="00965CF7" w:rsidP="00965CF7">
      <w:pPr>
        <w:pStyle w:val="ListParagraph"/>
        <w:widowControl/>
        <w:autoSpaceDE/>
        <w:autoSpaceDN/>
        <w:adjustRightInd/>
        <w:jc w:val="both"/>
        <w:rPr>
          <w:b/>
          <w:sz w:val="24"/>
          <w:szCs w:val="24"/>
        </w:rPr>
      </w:pPr>
      <w:r w:rsidRPr="00965CF7">
        <w:rPr>
          <w:b/>
          <w:sz w:val="24"/>
          <w:szCs w:val="24"/>
        </w:rPr>
        <w:t>M. Twomey (J.A)</w:t>
      </w:r>
    </w:p>
    <w:p w:rsidR="00965CF7" w:rsidRDefault="00965CF7" w:rsidP="00965CF7">
      <w:pPr>
        <w:pStyle w:val="ListParagraph"/>
        <w:widowControl/>
        <w:autoSpaceDE/>
        <w:autoSpaceDN/>
        <w:adjustRightInd/>
        <w:jc w:val="both"/>
        <w:rPr>
          <w:b/>
          <w:sz w:val="24"/>
          <w:szCs w:val="24"/>
        </w:rPr>
      </w:pPr>
    </w:p>
    <w:p w:rsidR="00965CF7" w:rsidRDefault="00965CF7" w:rsidP="00965CF7">
      <w:pPr>
        <w:pStyle w:val="ListParagraph"/>
        <w:widowControl/>
        <w:autoSpaceDE/>
        <w:autoSpaceDN/>
        <w:adjustRightInd/>
        <w:jc w:val="both"/>
        <w:rPr>
          <w:b/>
          <w:sz w:val="24"/>
          <w:szCs w:val="24"/>
        </w:rPr>
      </w:pPr>
    </w:p>
    <w:p w:rsidR="00965CF7" w:rsidRPr="00965CF7" w:rsidRDefault="00965CF7" w:rsidP="00965CF7">
      <w:pPr>
        <w:pStyle w:val="ListParagraph"/>
        <w:widowControl/>
        <w:autoSpaceDE/>
        <w:autoSpaceDN/>
        <w:adjustRightInd/>
        <w:jc w:val="both"/>
        <w:rPr>
          <w:b/>
          <w:sz w:val="24"/>
          <w:szCs w:val="24"/>
        </w:rPr>
      </w:pPr>
    </w:p>
    <w:p w:rsidR="00965CF7" w:rsidRDefault="00965CF7" w:rsidP="00965CF7">
      <w:pPr>
        <w:pStyle w:val="ListParagraph"/>
        <w:widowControl/>
        <w:autoSpaceDE/>
        <w:autoSpaceDN/>
        <w:adjustRightInd/>
        <w:jc w:val="both"/>
        <w:rPr>
          <w:sz w:val="24"/>
          <w:szCs w:val="24"/>
        </w:rPr>
      </w:pPr>
      <w:r w:rsidRPr="00965CF7">
        <w:rPr>
          <w:b/>
          <w:sz w:val="24"/>
          <w:szCs w:val="24"/>
        </w:rPr>
        <w:t>I concur:</w:t>
      </w:r>
      <w:r w:rsidRPr="00965CF7">
        <w:rPr>
          <w:b/>
          <w:sz w:val="24"/>
          <w:szCs w:val="24"/>
        </w:rPr>
        <w:tab/>
      </w:r>
      <w:r w:rsidRPr="00965CF7">
        <w:rPr>
          <w:b/>
          <w:sz w:val="24"/>
          <w:szCs w:val="24"/>
        </w:rPr>
        <w:tab/>
      </w:r>
      <w:r w:rsidRPr="00965CF7">
        <w:rPr>
          <w:b/>
          <w:sz w:val="24"/>
          <w:szCs w:val="24"/>
        </w:rPr>
        <w:tab/>
        <w:t>………………….</w:t>
      </w:r>
      <w:r w:rsidRPr="00965CF7">
        <w:rPr>
          <w:b/>
          <w:sz w:val="24"/>
          <w:szCs w:val="24"/>
        </w:rPr>
        <w:tab/>
      </w:r>
      <w:r w:rsidRPr="00965CF7">
        <w:rPr>
          <w:b/>
          <w:sz w:val="24"/>
          <w:szCs w:val="24"/>
        </w:rPr>
        <w:tab/>
      </w:r>
      <w:r w:rsidRPr="00965CF7">
        <w:rPr>
          <w:b/>
          <w:sz w:val="24"/>
          <w:szCs w:val="24"/>
        </w:rPr>
        <w:tab/>
      </w:r>
      <w:r w:rsidRPr="00965CF7">
        <w:rPr>
          <w:sz w:val="24"/>
          <w:szCs w:val="24"/>
        </w:rPr>
        <w:t>A. Fernando( J.A)</w:t>
      </w:r>
      <w:r>
        <w:rPr>
          <w:b/>
          <w:sz w:val="24"/>
          <w:szCs w:val="24"/>
        </w:rPr>
        <w:t xml:space="preserve"> </w:t>
      </w:r>
    </w:p>
    <w:p w:rsidR="00965CF7" w:rsidRDefault="00965CF7" w:rsidP="00965CF7">
      <w:pPr>
        <w:pStyle w:val="ListParagraph"/>
        <w:widowControl/>
        <w:autoSpaceDE/>
        <w:autoSpaceDN/>
        <w:adjustRightInd/>
        <w:jc w:val="both"/>
        <w:rPr>
          <w:b/>
          <w:sz w:val="24"/>
          <w:szCs w:val="24"/>
        </w:rPr>
      </w:pPr>
    </w:p>
    <w:p w:rsidR="00965CF7" w:rsidRDefault="00965CF7" w:rsidP="00965CF7">
      <w:pPr>
        <w:pStyle w:val="ListParagraph"/>
        <w:widowControl/>
        <w:autoSpaceDE/>
        <w:autoSpaceDN/>
        <w:adjustRightInd/>
        <w:jc w:val="both"/>
        <w:rPr>
          <w:b/>
          <w:sz w:val="24"/>
          <w:szCs w:val="24"/>
        </w:rPr>
      </w:pPr>
    </w:p>
    <w:p w:rsidR="00965CF7" w:rsidRPr="00965CF7" w:rsidRDefault="00965CF7" w:rsidP="00965CF7">
      <w:pPr>
        <w:pStyle w:val="ListParagraph"/>
        <w:widowControl/>
        <w:autoSpaceDE/>
        <w:autoSpaceDN/>
        <w:adjustRightInd/>
        <w:jc w:val="both"/>
        <w:rPr>
          <w:b/>
          <w:sz w:val="24"/>
          <w:szCs w:val="24"/>
        </w:rPr>
      </w:pPr>
    </w:p>
    <w:p w:rsidR="00965CF7" w:rsidRDefault="00965CF7" w:rsidP="00965CF7">
      <w:pPr>
        <w:pStyle w:val="ListParagraph"/>
        <w:widowControl/>
        <w:autoSpaceDE/>
        <w:autoSpaceDN/>
        <w:adjustRightInd/>
        <w:jc w:val="both"/>
        <w:rPr>
          <w:sz w:val="24"/>
          <w:szCs w:val="24"/>
        </w:rPr>
      </w:pPr>
      <w:r w:rsidRPr="00965CF7">
        <w:rPr>
          <w:b/>
          <w:sz w:val="24"/>
          <w:szCs w:val="24"/>
        </w:rPr>
        <w:t>I concur:</w:t>
      </w:r>
      <w:r w:rsidRPr="00965CF7">
        <w:rPr>
          <w:b/>
          <w:sz w:val="24"/>
          <w:szCs w:val="24"/>
        </w:rPr>
        <w:tab/>
      </w:r>
      <w:r w:rsidRPr="00965CF7">
        <w:rPr>
          <w:b/>
          <w:sz w:val="24"/>
          <w:szCs w:val="24"/>
        </w:rPr>
        <w:tab/>
      </w:r>
      <w:r w:rsidRPr="00965CF7">
        <w:rPr>
          <w:b/>
          <w:sz w:val="24"/>
          <w:szCs w:val="24"/>
        </w:rPr>
        <w:tab/>
        <w:t>………………….</w:t>
      </w:r>
      <w:r w:rsidRPr="00965CF7">
        <w:rPr>
          <w:b/>
          <w:sz w:val="24"/>
          <w:szCs w:val="24"/>
        </w:rPr>
        <w:tab/>
      </w:r>
      <w:r w:rsidRPr="00965CF7">
        <w:rPr>
          <w:b/>
          <w:sz w:val="24"/>
          <w:szCs w:val="24"/>
        </w:rPr>
        <w:tab/>
      </w:r>
      <w:r w:rsidRPr="00965CF7">
        <w:rPr>
          <w:b/>
          <w:sz w:val="24"/>
          <w:szCs w:val="24"/>
        </w:rPr>
        <w:tab/>
      </w:r>
      <w:r w:rsidRPr="00965CF7">
        <w:rPr>
          <w:sz w:val="24"/>
          <w:szCs w:val="24"/>
        </w:rPr>
        <w:t>J.</w:t>
      </w:r>
      <w:r>
        <w:rPr>
          <w:b/>
          <w:sz w:val="24"/>
          <w:szCs w:val="24"/>
        </w:rPr>
        <w:t xml:space="preserve"> </w:t>
      </w:r>
      <w:r w:rsidRPr="00965CF7">
        <w:rPr>
          <w:sz w:val="24"/>
          <w:szCs w:val="24"/>
        </w:rPr>
        <w:t>Msoffe (J.A)</w:t>
      </w:r>
    </w:p>
    <w:p w:rsidR="00965CF7" w:rsidRPr="00965CF7" w:rsidRDefault="00965CF7" w:rsidP="00965CF7">
      <w:pPr>
        <w:pStyle w:val="ListParagraph"/>
        <w:widowControl/>
        <w:autoSpaceDE/>
        <w:autoSpaceDN/>
        <w:adjustRightInd/>
        <w:jc w:val="both"/>
        <w:rPr>
          <w:sz w:val="24"/>
          <w:szCs w:val="24"/>
        </w:rPr>
      </w:pPr>
    </w:p>
    <w:p w:rsidR="00965CF7" w:rsidRPr="00965CF7" w:rsidRDefault="00965CF7" w:rsidP="00965CF7">
      <w:pPr>
        <w:pStyle w:val="ListParagraph"/>
        <w:widowControl/>
        <w:autoSpaceDE/>
        <w:autoSpaceDN/>
        <w:adjustRightInd/>
        <w:jc w:val="both"/>
        <w:rPr>
          <w:b/>
          <w:sz w:val="24"/>
          <w:szCs w:val="24"/>
        </w:rPr>
      </w:pPr>
    </w:p>
    <w:p w:rsidR="00965CF7" w:rsidRPr="00965CF7" w:rsidRDefault="00965CF7" w:rsidP="00965CF7">
      <w:pPr>
        <w:pStyle w:val="ListParagraph"/>
        <w:widowControl/>
        <w:autoSpaceDE/>
        <w:autoSpaceDN/>
        <w:adjustRightInd/>
        <w:jc w:val="both"/>
        <w:rPr>
          <w:b/>
          <w:sz w:val="24"/>
          <w:szCs w:val="24"/>
        </w:rPr>
      </w:pPr>
    </w:p>
    <w:p w:rsidR="00E33F35" w:rsidRPr="00965CF7" w:rsidRDefault="00965CF7" w:rsidP="00965CF7">
      <w:pPr>
        <w:pStyle w:val="ListParagraph"/>
        <w:widowControl/>
        <w:autoSpaceDE/>
        <w:autoSpaceDN/>
        <w:adjustRightInd/>
        <w:ind w:left="0" w:firstLine="720"/>
        <w:contextualSpacing w:val="0"/>
        <w:jc w:val="both"/>
        <w:rPr>
          <w:sz w:val="24"/>
          <w:szCs w:val="24"/>
        </w:rPr>
      </w:pPr>
      <w:r w:rsidRPr="00965CF7">
        <w:rPr>
          <w:sz w:val="24"/>
          <w:szCs w:val="24"/>
        </w:rPr>
        <w:t>Signed, dated and delivered at Palais de Justice, Ile du Port on 11 August 2017</w:t>
      </w:r>
      <w:r w:rsidR="0021508F" w:rsidRPr="00965CF7">
        <w:rPr>
          <w:sz w:val="24"/>
          <w:szCs w:val="24"/>
        </w:rPr>
        <w:tab/>
      </w:r>
      <w:r w:rsidR="0021508F" w:rsidRPr="00965CF7">
        <w:rPr>
          <w:sz w:val="24"/>
          <w:szCs w:val="24"/>
        </w:rPr>
        <w:tab/>
        <w:t xml:space="preserve"> </w:t>
      </w:r>
    </w:p>
    <w:sectPr w:rsidR="00E33F35" w:rsidRPr="00965CF7"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01A7" w:rsidRDefault="00B201A7" w:rsidP="00DB6D34">
      <w:r>
        <w:separator/>
      </w:r>
    </w:p>
  </w:endnote>
  <w:endnote w:type="continuationSeparator" w:id="0">
    <w:p w:rsidR="00B201A7" w:rsidRDefault="00B201A7"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785" w:rsidRDefault="00D25785">
    <w:pPr>
      <w:pStyle w:val="Footer"/>
      <w:jc w:val="center"/>
    </w:pPr>
    <w:r>
      <w:fldChar w:fldCharType="begin"/>
    </w:r>
    <w:r>
      <w:instrText xml:space="preserve"> PAGE   \* MERGEFORMAT </w:instrText>
    </w:r>
    <w:r>
      <w:fldChar w:fldCharType="separate"/>
    </w:r>
    <w:r w:rsidR="001000F7">
      <w:rPr>
        <w:noProof/>
      </w:rPr>
      <w:t>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01A7" w:rsidRDefault="00B201A7" w:rsidP="00DB6D34">
      <w:r>
        <w:separator/>
      </w:r>
    </w:p>
  </w:footnote>
  <w:footnote w:type="continuationSeparator" w:id="0">
    <w:p w:rsidR="00B201A7" w:rsidRDefault="00B201A7" w:rsidP="00DB6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E74820"/>
    <w:multiLevelType w:val="multilevel"/>
    <w:tmpl w:val="1CC89892"/>
    <w:numStyleLink w:val="Judgments"/>
  </w:abstractNum>
  <w:abstractNum w:abstractNumId="5">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144"/>
    <w:rsid w:val="00000407"/>
    <w:rsid w:val="00005BEF"/>
    <w:rsid w:val="00030C81"/>
    <w:rsid w:val="00054691"/>
    <w:rsid w:val="00062255"/>
    <w:rsid w:val="0006489F"/>
    <w:rsid w:val="00075573"/>
    <w:rsid w:val="00091036"/>
    <w:rsid w:val="000911E9"/>
    <w:rsid w:val="000A10B8"/>
    <w:rsid w:val="000B7E37"/>
    <w:rsid w:val="000C6A59"/>
    <w:rsid w:val="000D1DD3"/>
    <w:rsid w:val="000E39A5"/>
    <w:rsid w:val="000E7400"/>
    <w:rsid w:val="001000F7"/>
    <w:rsid w:val="001008BC"/>
    <w:rsid w:val="00101D12"/>
    <w:rsid w:val="0010732D"/>
    <w:rsid w:val="00117CBF"/>
    <w:rsid w:val="00126A10"/>
    <w:rsid w:val="001376AB"/>
    <w:rsid w:val="00144612"/>
    <w:rsid w:val="0014598E"/>
    <w:rsid w:val="0016510C"/>
    <w:rsid w:val="00180158"/>
    <w:rsid w:val="001E4ED8"/>
    <w:rsid w:val="001F0144"/>
    <w:rsid w:val="001F255E"/>
    <w:rsid w:val="0020244B"/>
    <w:rsid w:val="0021508F"/>
    <w:rsid w:val="00225016"/>
    <w:rsid w:val="00231C17"/>
    <w:rsid w:val="00236AAC"/>
    <w:rsid w:val="0024353F"/>
    <w:rsid w:val="00290E14"/>
    <w:rsid w:val="002A7376"/>
    <w:rsid w:val="002B2255"/>
    <w:rsid w:val="002C7560"/>
    <w:rsid w:val="002D06AA"/>
    <w:rsid w:val="002D67FC"/>
    <w:rsid w:val="002E6963"/>
    <w:rsid w:val="002F3333"/>
    <w:rsid w:val="002F40A1"/>
    <w:rsid w:val="00301D88"/>
    <w:rsid w:val="00304E76"/>
    <w:rsid w:val="00307099"/>
    <w:rsid w:val="003124CA"/>
    <w:rsid w:val="003647E7"/>
    <w:rsid w:val="00377341"/>
    <w:rsid w:val="003838CC"/>
    <w:rsid w:val="003862CB"/>
    <w:rsid w:val="0038700C"/>
    <w:rsid w:val="003B1D3B"/>
    <w:rsid w:val="003B461C"/>
    <w:rsid w:val="003B4C19"/>
    <w:rsid w:val="003C17AC"/>
    <w:rsid w:val="003D58AA"/>
    <w:rsid w:val="003D7B97"/>
    <w:rsid w:val="003E2ABC"/>
    <w:rsid w:val="003E404C"/>
    <w:rsid w:val="003F0F8D"/>
    <w:rsid w:val="00410913"/>
    <w:rsid w:val="004156B9"/>
    <w:rsid w:val="004225FB"/>
    <w:rsid w:val="0043660F"/>
    <w:rsid w:val="00445BFA"/>
    <w:rsid w:val="00452BB6"/>
    <w:rsid w:val="0046133B"/>
    <w:rsid w:val="00464531"/>
    <w:rsid w:val="004B22D0"/>
    <w:rsid w:val="004C3D80"/>
    <w:rsid w:val="004F3823"/>
    <w:rsid w:val="005034F0"/>
    <w:rsid w:val="005207C8"/>
    <w:rsid w:val="00530663"/>
    <w:rsid w:val="0055036F"/>
    <w:rsid w:val="005514D6"/>
    <w:rsid w:val="00552704"/>
    <w:rsid w:val="00567E8E"/>
    <w:rsid w:val="00572AB3"/>
    <w:rsid w:val="005836AC"/>
    <w:rsid w:val="00584583"/>
    <w:rsid w:val="00594FAC"/>
    <w:rsid w:val="005E6584"/>
    <w:rsid w:val="006038FF"/>
    <w:rsid w:val="00606587"/>
    <w:rsid w:val="00606EEA"/>
    <w:rsid w:val="0061371B"/>
    <w:rsid w:val="006174DB"/>
    <w:rsid w:val="00637194"/>
    <w:rsid w:val="0064023C"/>
    <w:rsid w:val="006410D5"/>
    <w:rsid w:val="006578C2"/>
    <w:rsid w:val="00666D33"/>
    <w:rsid w:val="006A58E4"/>
    <w:rsid w:val="006D36C9"/>
    <w:rsid w:val="007175A6"/>
    <w:rsid w:val="00741231"/>
    <w:rsid w:val="00744508"/>
    <w:rsid w:val="0077082A"/>
    <w:rsid w:val="0078510A"/>
    <w:rsid w:val="007A47DC"/>
    <w:rsid w:val="007B6178"/>
    <w:rsid w:val="007C2809"/>
    <w:rsid w:val="007C75D9"/>
    <w:rsid w:val="007D416E"/>
    <w:rsid w:val="00807411"/>
    <w:rsid w:val="00814147"/>
    <w:rsid w:val="00814CF5"/>
    <w:rsid w:val="00816425"/>
    <w:rsid w:val="00821758"/>
    <w:rsid w:val="00822D1A"/>
    <w:rsid w:val="00823079"/>
    <w:rsid w:val="0083298A"/>
    <w:rsid w:val="00841387"/>
    <w:rsid w:val="008472B3"/>
    <w:rsid w:val="008478D6"/>
    <w:rsid w:val="00882EE1"/>
    <w:rsid w:val="00883106"/>
    <w:rsid w:val="008965A6"/>
    <w:rsid w:val="008A2ABD"/>
    <w:rsid w:val="008A5208"/>
    <w:rsid w:val="008C0FD6"/>
    <w:rsid w:val="008C1315"/>
    <w:rsid w:val="008E103F"/>
    <w:rsid w:val="008E1DB1"/>
    <w:rsid w:val="008E512C"/>
    <w:rsid w:val="008E7613"/>
    <w:rsid w:val="008E7749"/>
    <w:rsid w:val="008E7F92"/>
    <w:rsid w:val="008F0C10"/>
    <w:rsid w:val="008F38F7"/>
    <w:rsid w:val="00902D3C"/>
    <w:rsid w:val="00926D09"/>
    <w:rsid w:val="009336BA"/>
    <w:rsid w:val="00937FB4"/>
    <w:rsid w:val="0094087C"/>
    <w:rsid w:val="00951EC0"/>
    <w:rsid w:val="0096041D"/>
    <w:rsid w:val="00965CF7"/>
    <w:rsid w:val="00981287"/>
    <w:rsid w:val="00983045"/>
    <w:rsid w:val="009E05E5"/>
    <w:rsid w:val="009F1B68"/>
    <w:rsid w:val="009F4DC4"/>
    <w:rsid w:val="00A11166"/>
    <w:rsid w:val="00A14038"/>
    <w:rsid w:val="00A147B6"/>
    <w:rsid w:val="00A42850"/>
    <w:rsid w:val="00A53837"/>
    <w:rsid w:val="00A6275A"/>
    <w:rsid w:val="00A65340"/>
    <w:rsid w:val="00A80E4E"/>
    <w:rsid w:val="00AC3885"/>
    <w:rsid w:val="00AD75CD"/>
    <w:rsid w:val="00AF414E"/>
    <w:rsid w:val="00B05D6E"/>
    <w:rsid w:val="00B119B1"/>
    <w:rsid w:val="00B14612"/>
    <w:rsid w:val="00B201A7"/>
    <w:rsid w:val="00B23E73"/>
    <w:rsid w:val="00B4124C"/>
    <w:rsid w:val="00B45AFC"/>
    <w:rsid w:val="00B4625E"/>
    <w:rsid w:val="00B618F9"/>
    <w:rsid w:val="00B6713D"/>
    <w:rsid w:val="00B75AE2"/>
    <w:rsid w:val="00B839EE"/>
    <w:rsid w:val="00B9148E"/>
    <w:rsid w:val="00B94805"/>
    <w:rsid w:val="00BA6027"/>
    <w:rsid w:val="00BC1D95"/>
    <w:rsid w:val="00BC349F"/>
    <w:rsid w:val="00BC73D2"/>
    <w:rsid w:val="00BD4287"/>
    <w:rsid w:val="00BD60D5"/>
    <w:rsid w:val="00BE1D00"/>
    <w:rsid w:val="00BE3628"/>
    <w:rsid w:val="00BE424C"/>
    <w:rsid w:val="00BF1FE5"/>
    <w:rsid w:val="00BF5CC9"/>
    <w:rsid w:val="00C036A5"/>
    <w:rsid w:val="00C065A3"/>
    <w:rsid w:val="00C1054D"/>
    <w:rsid w:val="00C14327"/>
    <w:rsid w:val="00C210A6"/>
    <w:rsid w:val="00C22967"/>
    <w:rsid w:val="00C27CB9"/>
    <w:rsid w:val="00C35333"/>
    <w:rsid w:val="00C55FDF"/>
    <w:rsid w:val="00C5739F"/>
    <w:rsid w:val="00C743B1"/>
    <w:rsid w:val="00C87FCA"/>
    <w:rsid w:val="00CA1B0C"/>
    <w:rsid w:val="00CA7795"/>
    <w:rsid w:val="00CA7F40"/>
    <w:rsid w:val="00CB3C7E"/>
    <w:rsid w:val="00D03314"/>
    <w:rsid w:val="00D06A0F"/>
    <w:rsid w:val="00D07BC0"/>
    <w:rsid w:val="00D24C89"/>
    <w:rsid w:val="00D25785"/>
    <w:rsid w:val="00D35CA4"/>
    <w:rsid w:val="00D375BB"/>
    <w:rsid w:val="00D82047"/>
    <w:rsid w:val="00D82DBB"/>
    <w:rsid w:val="00DB2CFA"/>
    <w:rsid w:val="00DB6D34"/>
    <w:rsid w:val="00DD4E02"/>
    <w:rsid w:val="00DE08C1"/>
    <w:rsid w:val="00DF2970"/>
    <w:rsid w:val="00DF303A"/>
    <w:rsid w:val="00E0467F"/>
    <w:rsid w:val="00E0505F"/>
    <w:rsid w:val="00E30B60"/>
    <w:rsid w:val="00E33F35"/>
    <w:rsid w:val="00E35862"/>
    <w:rsid w:val="00E41E94"/>
    <w:rsid w:val="00E55C69"/>
    <w:rsid w:val="00E57D4D"/>
    <w:rsid w:val="00E6492F"/>
    <w:rsid w:val="00E65691"/>
    <w:rsid w:val="00E91FA1"/>
    <w:rsid w:val="00E944E2"/>
    <w:rsid w:val="00EA6F17"/>
    <w:rsid w:val="00EC12D0"/>
    <w:rsid w:val="00EC2355"/>
    <w:rsid w:val="00EC6290"/>
    <w:rsid w:val="00EF2051"/>
    <w:rsid w:val="00F00A19"/>
    <w:rsid w:val="00F0209D"/>
    <w:rsid w:val="00F06B8D"/>
    <w:rsid w:val="00F06BCC"/>
    <w:rsid w:val="00F804CC"/>
    <w:rsid w:val="00F82A83"/>
    <w:rsid w:val="00FB0AFB"/>
    <w:rsid w:val="00FB2453"/>
    <w:rsid w:val="00FB39BA"/>
    <w:rsid w:val="00FC61E3"/>
    <w:rsid w:val="00FD5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BA4D35-2490-4E72-8C80-063F73D5A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rsid w:val="00464531"/>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unhideWhenUsed/>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464531"/>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unhideWhenUsed/>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464531"/>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unhideWhenUsed/>
    <w:rsid w:val="006D36C9"/>
    <w:pPr>
      <w:ind w:left="720"/>
      <w:contextualSpacing/>
    </w:pPr>
    <w:rPr>
      <w:rFonts w:eastAsia="Times New Roman"/>
    </w:rPr>
  </w:style>
  <w:style w:type="paragraph" w:styleId="Header">
    <w:name w:val="header"/>
    <w:basedOn w:val="Normal"/>
    <w:link w:val="HeaderChar"/>
    <w:uiPriority w:val="99"/>
    <w:unhideWhenUsed/>
    <w:rsid w:val="00DB6D34"/>
    <w:pPr>
      <w:tabs>
        <w:tab w:val="center" w:pos="4680"/>
        <w:tab w:val="right" w:pos="9360"/>
      </w:tabs>
    </w:pPr>
  </w:style>
  <w:style w:type="character" w:customStyle="1" w:styleId="HeaderChar">
    <w:name w:val="Header Char"/>
    <w:basedOn w:val="DefaultParagraphFont"/>
    <w:link w:val="Header"/>
    <w:uiPriority w:val="99"/>
    <w:rsid w:val="00DB6D34"/>
    <w:rPr>
      <w:rFonts w:ascii="Times New Roman" w:hAnsi="Times New Roman"/>
      <w:sz w:val="20"/>
      <w:szCs w:val="20"/>
      <w:lang w:val="en-US"/>
    </w:rPr>
  </w:style>
  <w:style w:type="paragraph" w:styleId="Footer">
    <w:name w:val="footer"/>
    <w:basedOn w:val="Normal"/>
    <w:link w:val="FooterChar"/>
    <w:uiPriority w:val="99"/>
    <w:unhideWhenUsed/>
    <w:rsid w:val="00DB6D34"/>
    <w:pPr>
      <w:tabs>
        <w:tab w:val="center" w:pos="4680"/>
        <w:tab w:val="right" w:pos="9360"/>
      </w:tabs>
    </w:pPr>
  </w:style>
  <w:style w:type="character" w:customStyle="1" w:styleId="FooterChar">
    <w:name w:val="Footer Char"/>
    <w:basedOn w:val="DefaultParagraphFont"/>
    <w:link w:val="Footer"/>
    <w:uiPriority w:val="99"/>
    <w:rsid w:val="00464531"/>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464531"/>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464531"/>
    <w:pPr>
      <w:spacing w:after="240"/>
      <w:ind w:left="1440" w:right="720"/>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CEAD0-F8FF-4EBD-84A4-3761E57F8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Pages>
  <Words>1506</Words>
  <Characters>8585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r.barbe</dc:creator>
  <cp:lastModifiedBy>Mathilda Twomey</cp:lastModifiedBy>
  <cp:revision>4</cp:revision>
  <cp:lastPrinted>2017-08-07T10:24:00Z</cp:lastPrinted>
  <dcterms:created xsi:type="dcterms:W3CDTF">2017-08-07T10:55:00Z</dcterms:created>
  <dcterms:modified xsi:type="dcterms:W3CDTF">2017-08-09T05:11:00Z</dcterms:modified>
</cp:coreProperties>
</file>