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E63A80F8C1A14EE6BB715C39ACDBDCE8"/>
        </w:placeholder>
      </w:sdtPr>
      <w:sdtEndPr/>
      <w:sdtContent>
        <w:p w:rsidR="00A551C8" w:rsidRDefault="006D0D9B" w:rsidP="005E6F45">
          <w:pPr>
            <w:ind w:left="284" w:hanging="284"/>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102EE1" w:rsidRDefault="005E6F45" w:rsidP="005E6F4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10"/>
        </w:tabs>
        <w:ind w:left="-284"/>
        <w:rPr>
          <w:b/>
          <w:sz w:val="28"/>
          <w:szCs w:val="28"/>
        </w:rPr>
      </w:pPr>
      <w:r>
        <w:rPr>
          <w:b/>
          <w:sz w:val="28"/>
          <w:szCs w:val="28"/>
        </w:rPr>
        <w:tab/>
      </w:r>
      <w:r>
        <w:rPr>
          <w:b/>
          <w:sz w:val="28"/>
          <w:szCs w:val="28"/>
        </w:rPr>
        <w:tab/>
      </w:r>
      <w:sdt>
        <w:sdtPr>
          <w:rPr>
            <w:b/>
            <w:sz w:val="28"/>
            <w:szCs w:val="28"/>
          </w:rPr>
          <w:id w:val="13542613"/>
          <w:placeholder>
            <w:docPart w:val="732DA1E33CA9459683DF15B7EF6AC9F6"/>
          </w:placeholder>
          <w:docPartList>
            <w:docPartGallery w:val="Quick Parts"/>
          </w:docPartList>
        </w:sdtPr>
        <w:sdtEndPr/>
        <w:sdtContent>
          <w:sdt>
            <w:sdtPr>
              <w:rPr>
                <w:b/>
                <w:sz w:val="28"/>
                <w:szCs w:val="28"/>
              </w:rPr>
              <w:id w:val="13542618"/>
              <w:placeholder>
                <w:docPart w:val="D639778F048D4E7C9B39A5F571BB2C5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CCF080288E94A56B1CBEA5266D147F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01887">
                <w:rPr>
                  <w:sz w:val="28"/>
                  <w:szCs w:val="28"/>
                </w:rPr>
                <w:t>M. Twomey (J.A)</w:t>
              </w:r>
            </w:sdtContent>
          </w:sdt>
          <w:r w:rsidR="00097B9A">
            <w:rPr>
              <w:b/>
              <w:sz w:val="28"/>
              <w:szCs w:val="28"/>
            </w:rPr>
            <w:t xml:space="preserve"> </w:t>
          </w:r>
          <w:sdt>
            <w:sdtPr>
              <w:rPr>
                <w:sz w:val="28"/>
                <w:szCs w:val="28"/>
              </w:rPr>
              <w:id w:val="15629612"/>
              <w:placeholder>
                <w:docPart w:val="86270599F54546F9B2B1E93BEAA1C4A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01887">
                <w:rPr>
                  <w:sz w:val="28"/>
                  <w:szCs w:val="28"/>
                </w:rPr>
                <w:t>Renaud JA</w:t>
              </w:r>
            </w:sdtContent>
          </w:sdt>
          <w:r w:rsidR="00097B9A">
            <w:rPr>
              <w:b/>
              <w:sz w:val="28"/>
              <w:szCs w:val="28"/>
            </w:rPr>
            <w:t xml:space="preserve"> </w:t>
          </w:r>
          <w:sdt>
            <w:sdtPr>
              <w:rPr>
                <w:sz w:val="28"/>
                <w:szCs w:val="28"/>
              </w:rPr>
              <w:id w:val="15629656"/>
              <w:placeholder>
                <w:docPart w:val="6AF17AB0B0B643BC9B4DDD3C75D94A6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01887">
                <w:rPr>
                  <w:sz w:val="28"/>
                  <w:szCs w:val="28"/>
                </w:rPr>
                <w:t>Robinson JA</w:t>
              </w:r>
            </w:sdtContent>
          </w:sdt>
          <w:r w:rsidR="00097B9A">
            <w:rPr>
              <w:b/>
              <w:sz w:val="28"/>
              <w:szCs w:val="28"/>
            </w:rPr>
            <w:t xml:space="preserve"> </w:t>
          </w:r>
        </w:sdtContent>
      </w:sdt>
      <w:r>
        <w:rPr>
          <w:b/>
          <w:sz w:val="28"/>
          <w:szCs w:val="28"/>
        </w:rPr>
        <w:tab/>
      </w:r>
    </w:p>
    <w:p w:rsidR="005E6F45" w:rsidRDefault="005E6F45" w:rsidP="005E6F4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10"/>
        </w:tabs>
        <w:rPr>
          <w:b/>
          <w:sz w:val="28"/>
          <w:szCs w:val="28"/>
        </w:rPr>
      </w:pPr>
    </w:p>
    <w:p w:rsidR="00C55FDF" w:rsidRDefault="000F372C" w:rsidP="0006489F">
      <w:pPr>
        <w:spacing w:before="240"/>
        <w:jc w:val="center"/>
        <w:rPr>
          <w:b/>
          <w:sz w:val="28"/>
          <w:szCs w:val="28"/>
        </w:rPr>
      </w:pPr>
      <w:sdt>
        <w:sdtPr>
          <w:rPr>
            <w:b/>
            <w:sz w:val="28"/>
            <w:szCs w:val="28"/>
          </w:rPr>
          <w:id w:val="14547297"/>
          <w:lock w:val="contentLocked"/>
          <w:placeholder>
            <w:docPart w:val="E63A80F8C1A14EE6BB715C39ACDBDCE8"/>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01887">
        <w:rPr>
          <w:b/>
          <w:sz w:val="28"/>
          <w:szCs w:val="28"/>
        </w:rPr>
        <w:t>26</w:t>
      </w:r>
      <w:sdt>
        <w:sdtPr>
          <w:rPr>
            <w:b/>
            <w:sz w:val="28"/>
            <w:szCs w:val="28"/>
          </w:rPr>
          <w:id w:val="14547301"/>
          <w:lock w:val="sdtContentLocked"/>
          <w:placeholder>
            <w:docPart w:val="E63A80F8C1A14EE6BB715C39ACDBDCE8"/>
          </w:placeholder>
        </w:sdtPr>
        <w:sdtEndPr/>
        <w:sdtContent>
          <w:r w:rsidR="00E86753">
            <w:rPr>
              <w:b/>
              <w:sz w:val="28"/>
              <w:szCs w:val="28"/>
            </w:rPr>
            <w:t>/20</w:t>
          </w:r>
        </w:sdtContent>
      </w:sdt>
      <w:r w:rsidR="00801887">
        <w:rPr>
          <w:b/>
          <w:sz w:val="28"/>
          <w:szCs w:val="28"/>
        </w:rPr>
        <w:t>15</w:t>
      </w:r>
    </w:p>
    <w:p w:rsidR="00DB6D34" w:rsidRDefault="000F372C" w:rsidP="00616597">
      <w:pPr>
        <w:spacing w:before="120"/>
        <w:jc w:val="center"/>
        <w:rPr>
          <w:b/>
          <w:sz w:val="28"/>
          <w:szCs w:val="28"/>
        </w:rPr>
      </w:pPr>
      <w:sdt>
        <w:sdtPr>
          <w:rPr>
            <w:b/>
            <w:sz w:val="28"/>
            <w:szCs w:val="28"/>
          </w:rPr>
          <w:id w:val="15629594"/>
          <w:lock w:val="contentLocked"/>
          <w:placeholder>
            <w:docPart w:val="435B2DCD64F44C75ADA3B02D66EFD33F"/>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801887">
        <w:rPr>
          <w:b/>
          <w:sz w:val="28"/>
          <w:szCs w:val="28"/>
        </w:rPr>
        <w:t>183/2010</w:t>
      </w:r>
    </w:p>
    <w:p w:rsidR="005E6F45" w:rsidRPr="00606EEA" w:rsidRDefault="005E6F45" w:rsidP="00616597">
      <w:pPr>
        <w:spacing w:before="120"/>
        <w:jc w:val="center"/>
        <w:rPr>
          <w:b/>
          <w:sz w:val="24"/>
          <w:szCs w:val="24"/>
        </w:rPr>
      </w:pPr>
    </w:p>
    <w:p w:rsidR="00C55FDF" w:rsidRPr="00606EEA" w:rsidRDefault="00C55FDF" w:rsidP="005E6F45">
      <w:pPr>
        <w:pBdr>
          <w:bottom w:val="single" w:sz="4" w:space="7" w:color="auto"/>
        </w:pBdr>
        <w:jc w:val="center"/>
        <w:rPr>
          <w:b/>
          <w:sz w:val="24"/>
          <w:szCs w:val="24"/>
        </w:rPr>
      </w:pPr>
    </w:p>
    <w:tbl>
      <w:tblPr>
        <w:tblStyle w:val="TableGrid"/>
        <w:tblW w:w="0" w:type="auto"/>
        <w:tblLook w:val="04A0" w:firstRow="1" w:lastRow="0" w:firstColumn="1" w:lastColumn="0" w:noHBand="0" w:noVBand="1"/>
      </w:tblPr>
      <w:tblGrid>
        <w:gridCol w:w="4068"/>
        <w:gridCol w:w="883"/>
        <w:gridCol w:w="4409"/>
      </w:tblGrid>
      <w:tr w:rsidR="003A059B" w:rsidRPr="00B26028" w:rsidTr="00B66B63">
        <w:tc>
          <w:tcPr>
            <w:tcW w:w="4428" w:type="dxa"/>
            <w:tcBorders>
              <w:top w:val="nil"/>
              <w:left w:val="nil"/>
              <w:bottom w:val="nil"/>
              <w:right w:val="nil"/>
            </w:tcBorders>
          </w:tcPr>
          <w:p w:rsidR="003A059B" w:rsidRPr="00801887" w:rsidRDefault="00801887" w:rsidP="00801887">
            <w:pPr>
              <w:pStyle w:val="ListParagraph"/>
              <w:numPr>
                <w:ilvl w:val="0"/>
                <w:numId w:val="8"/>
              </w:numPr>
              <w:spacing w:before="120" w:after="120"/>
              <w:rPr>
                <w:sz w:val="24"/>
                <w:szCs w:val="24"/>
              </w:rPr>
            </w:pPr>
            <w:r w:rsidRPr="00801887">
              <w:rPr>
                <w:sz w:val="24"/>
                <w:szCs w:val="24"/>
              </w:rPr>
              <w:t>Commissioner of Police</w:t>
            </w:r>
          </w:p>
          <w:p w:rsidR="00801887" w:rsidRPr="00801887" w:rsidRDefault="00801887" w:rsidP="00801887">
            <w:pPr>
              <w:pStyle w:val="ListParagraph"/>
              <w:numPr>
                <w:ilvl w:val="0"/>
                <w:numId w:val="8"/>
              </w:numPr>
              <w:spacing w:before="120" w:after="120"/>
              <w:rPr>
                <w:sz w:val="24"/>
                <w:szCs w:val="24"/>
              </w:rPr>
            </w:pPr>
            <w:r w:rsidRPr="00801887">
              <w:rPr>
                <w:sz w:val="24"/>
                <w:szCs w:val="24"/>
              </w:rPr>
              <w:t>Henry Forte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801887" w:rsidP="00801887">
            <w:pPr>
              <w:spacing w:before="120" w:after="120"/>
              <w:ind w:left="1541"/>
              <w:rPr>
                <w:sz w:val="24"/>
                <w:szCs w:val="24"/>
              </w:rPr>
            </w:pPr>
            <w:r>
              <w:rPr>
                <w:sz w:val="24"/>
                <w:szCs w:val="24"/>
              </w:rPr>
              <w:t xml:space="preserve">                        Appellants</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6C909EEF21E9448EB6A22BF21F06952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801887" w:rsidRDefault="000F372C" w:rsidP="00801887">
            <w:pPr>
              <w:pStyle w:val="ListParagraph"/>
              <w:numPr>
                <w:ilvl w:val="0"/>
                <w:numId w:val="9"/>
              </w:numPr>
              <w:spacing w:before="120" w:after="120"/>
              <w:rPr>
                <w:sz w:val="24"/>
                <w:szCs w:val="24"/>
              </w:rPr>
            </w:pPr>
            <w:sdt>
              <w:sdtPr>
                <w:id w:val="8972153"/>
                <w:placeholder>
                  <w:docPart w:val="94F7B014156D46F8B248C97467DC63A7"/>
                </w:placeholder>
              </w:sdtPr>
              <w:sdtEndPr/>
              <w:sdtContent>
                <w:r w:rsidR="00801887" w:rsidRPr="00801887">
                  <w:rPr>
                    <w:sz w:val="24"/>
                    <w:szCs w:val="24"/>
                  </w:rPr>
                  <w:t>Antonio Sullivan</w:t>
                </w:r>
              </w:sdtContent>
            </w:sdt>
          </w:p>
          <w:p w:rsidR="00801887" w:rsidRPr="00801887" w:rsidRDefault="00801887" w:rsidP="00801887">
            <w:pPr>
              <w:pStyle w:val="ListParagraph"/>
              <w:numPr>
                <w:ilvl w:val="0"/>
                <w:numId w:val="9"/>
              </w:numPr>
              <w:spacing w:before="120" w:after="120"/>
              <w:rPr>
                <w:sz w:val="24"/>
                <w:szCs w:val="24"/>
              </w:rPr>
            </w:pPr>
            <w:r w:rsidRPr="00801887">
              <w:rPr>
                <w:sz w:val="24"/>
                <w:szCs w:val="24"/>
              </w:rPr>
              <w:t>Jack Ah-Time</w:t>
            </w:r>
          </w:p>
          <w:p w:rsidR="00801887" w:rsidRPr="00801887" w:rsidRDefault="00801887" w:rsidP="00801887">
            <w:pPr>
              <w:pStyle w:val="ListParagraph"/>
              <w:numPr>
                <w:ilvl w:val="0"/>
                <w:numId w:val="9"/>
              </w:numPr>
              <w:spacing w:before="120" w:after="120"/>
              <w:rPr>
                <w:sz w:val="24"/>
                <w:szCs w:val="24"/>
              </w:rPr>
            </w:pPr>
            <w:r w:rsidRPr="00801887">
              <w:rPr>
                <w:sz w:val="24"/>
                <w:szCs w:val="24"/>
              </w:rPr>
              <w:t>Michel Alcindor</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801887" w:rsidP="00801887">
            <w:pPr>
              <w:spacing w:before="120" w:after="120"/>
              <w:ind w:left="2874"/>
              <w:jc w:val="center"/>
              <w:rPr>
                <w:sz w:val="24"/>
                <w:szCs w:val="24"/>
              </w:rPr>
            </w:pPr>
            <w:r>
              <w:rPr>
                <w:sz w:val="24"/>
                <w:szCs w:val="24"/>
              </w:rPr>
              <w:t>Respondents</w:t>
            </w:r>
          </w:p>
        </w:tc>
      </w:tr>
    </w:tbl>
    <w:p w:rsidR="00B119B1" w:rsidRPr="001024D2" w:rsidRDefault="001024D2" w:rsidP="001024D2">
      <w:pPr>
        <w:tabs>
          <w:tab w:val="left" w:pos="945"/>
          <w:tab w:val="center" w:pos="4680"/>
        </w:tabs>
        <w:rPr>
          <w:sz w:val="8"/>
          <w:szCs w:val="8"/>
        </w:rPr>
        <w:sectPr w:rsidR="00B119B1" w:rsidRPr="001024D2" w:rsidSect="00B66B63">
          <w:footerReference w:type="default" r:id="rId8"/>
          <w:type w:val="continuous"/>
          <w:pgSz w:w="12240" w:h="15840"/>
          <w:pgMar w:top="1440" w:right="1440" w:bottom="1440" w:left="1440" w:header="720" w:footer="720" w:gutter="0"/>
          <w:cols w:space="720"/>
          <w:formProt w:val="0"/>
          <w:docGrid w:linePitch="360"/>
        </w:sectPr>
      </w:pPr>
      <w:r>
        <w:rPr>
          <w:sz w:val="24"/>
          <w:szCs w:val="24"/>
        </w:rPr>
        <w:tab/>
      </w:r>
    </w:p>
    <w:p w:rsidR="00E0467F" w:rsidRPr="00B605B4" w:rsidRDefault="00E0467F" w:rsidP="00E57D4D">
      <w:pPr>
        <w:pBdr>
          <w:bottom w:val="single" w:sz="4" w:space="1" w:color="auto"/>
        </w:pBdr>
        <w:jc w:val="center"/>
        <w:rPr>
          <w:sz w:val="12"/>
          <w:szCs w:val="12"/>
        </w:rPr>
      </w:pPr>
    </w:p>
    <w:p w:rsidR="00E0467F" w:rsidRPr="00503E49" w:rsidRDefault="000F372C" w:rsidP="00C22967">
      <w:pPr>
        <w:spacing w:before="240" w:after="120"/>
        <w:rPr>
          <w:sz w:val="24"/>
          <w:szCs w:val="24"/>
        </w:rPr>
      </w:pPr>
      <w:sdt>
        <w:sdtPr>
          <w:rPr>
            <w:sz w:val="24"/>
            <w:szCs w:val="24"/>
          </w:rPr>
          <w:id w:val="15629736"/>
          <w:lock w:val="contentLocked"/>
          <w:placeholder>
            <w:docPart w:val="435B2DCD64F44C75ADA3B02D66EFD33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BED2FD21FD54B55A18DE8117F0EC9FD"/>
          </w:placeholder>
          <w:date w:fullDate="2018-05-04T00:00:00Z">
            <w:dateFormat w:val="dd MMMM yyyy"/>
            <w:lid w:val="en-GB"/>
            <w:storeMappedDataAs w:val="dateTime"/>
            <w:calendar w:val="gregorian"/>
          </w:date>
        </w:sdtPr>
        <w:sdtEndPr/>
        <w:sdtContent>
          <w:r w:rsidR="00801887">
            <w:rPr>
              <w:sz w:val="24"/>
              <w:szCs w:val="24"/>
            </w:rPr>
            <w:t>04 May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201C0E" w:rsidRPr="00503E49" w:rsidRDefault="000F372C" w:rsidP="00B0414B">
      <w:pPr>
        <w:rPr>
          <w:sz w:val="24"/>
          <w:szCs w:val="24"/>
        </w:rPr>
      </w:pPr>
      <w:sdt>
        <w:sdtPr>
          <w:rPr>
            <w:sz w:val="24"/>
            <w:szCs w:val="24"/>
          </w:rPr>
          <w:id w:val="15629744"/>
          <w:lock w:val="contentLocked"/>
          <w:placeholder>
            <w:docPart w:val="435B2DCD64F44C75ADA3B02D66EFD33F"/>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777A57A07CC34DDE8A174326A639A6E1"/>
          </w:placeholder>
        </w:sdtPr>
        <w:sdtEndPr/>
        <w:sdtContent>
          <w:proofErr w:type="spellStart"/>
          <w:r w:rsidR="00801887">
            <w:rPr>
              <w:sz w:val="24"/>
              <w:szCs w:val="24"/>
            </w:rPr>
            <w:t>Mr.</w:t>
          </w:r>
          <w:proofErr w:type="spellEnd"/>
          <w:r w:rsidR="00801887">
            <w:rPr>
              <w:sz w:val="24"/>
              <w:szCs w:val="24"/>
            </w:rPr>
            <w:t xml:space="preserve"> </w:t>
          </w:r>
          <w:proofErr w:type="spellStart"/>
          <w:r w:rsidR="00801887">
            <w:rPr>
              <w:sz w:val="24"/>
              <w:szCs w:val="24"/>
            </w:rPr>
            <w:t>Hermanth</w:t>
          </w:r>
          <w:proofErr w:type="spellEnd"/>
          <w:r w:rsidR="00801887">
            <w:rPr>
              <w:sz w:val="24"/>
              <w:szCs w:val="24"/>
            </w:rPr>
            <w:t xml:space="preserve"> Kumar for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801887" w:rsidRDefault="00801887" w:rsidP="00B0414B">
      <w:pPr>
        <w:rPr>
          <w:sz w:val="24"/>
          <w:szCs w:val="24"/>
        </w:rPr>
      </w:pPr>
      <w:r>
        <w:rPr>
          <w:sz w:val="24"/>
          <w:szCs w:val="24"/>
        </w:rPr>
        <w:tab/>
      </w:r>
      <w:r>
        <w:rPr>
          <w:sz w:val="24"/>
          <w:szCs w:val="24"/>
        </w:rPr>
        <w:tab/>
      </w:r>
      <w:proofErr w:type="spellStart"/>
      <w:r>
        <w:rPr>
          <w:sz w:val="24"/>
          <w:szCs w:val="24"/>
        </w:rPr>
        <w:t>Mrs.</w:t>
      </w:r>
      <w:proofErr w:type="spellEnd"/>
      <w:r>
        <w:rPr>
          <w:sz w:val="24"/>
          <w:szCs w:val="24"/>
        </w:rPr>
        <w:t xml:space="preserve"> Alexia Amesbury for First Respondent</w:t>
      </w:r>
    </w:p>
    <w:p w:rsidR="00801887" w:rsidRDefault="00801887" w:rsidP="00B0414B">
      <w:pPr>
        <w:rPr>
          <w:sz w:val="24"/>
          <w:szCs w:val="24"/>
        </w:rPr>
      </w:pPr>
      <w:r>
        <w:rPr>
          <w:sz w:val="24"/>
          <w:szCs w:val="24"/>
        </w:rPr>
        <w:tab/>
      </w:r>
      <w:r>
        <w:rPr>
          <w:sz w:val="24"/>
          <w:szCs w:val="24"/>
        </w:rPr>
        <w:tab/>
      </w:r>
      <w:proofErr w:type="spellStart"/>
      <w:r>
        <w:rPr>
          <w:sz w:val="24"/>
          <w:szCs w:val="24"/>
        </w:rPr>
        <w:t>Mr.</w:t>
      </w:r>
      <w:proofErr w:type="spellEnd"/>
      <w:r>
        <w:rPr>
          <w:sz w:val="24"/>
          <w:szCs w:val="24"/>
        </w:rPr>
        <w:t xml:space="preserve"> France </w:t>
      </w:r>
      <w:proofErr w:type="spellStart"/>
      <w:r>
        <w:rPr>
          <w:sz w:val="24"/>
          <w:szCs w:val="24"/>
        </w:rPr>
        <w:t>Bonte</w:t>
      </w:r>
      <w:proofErr w:type="spellEnd"/>
      <w:r>
        <w:rPr>
          <w:sz w:val="24"/>
          <w:szCs w:val="24"/>
        </w:rPr>
        <w:t xml:space="preserve"> for Second Respondent</w:t>
      </w:r>
    </w:p>
    <w:p w:rsidR="00801887" w:rsidRPr="00503E49" w:rsidRDefault="00801887" w:rsidP="00B0414B">
      <w:pPr>
        <w:rPr>
          <w:sz w:val="24"/>
          <w:szCs w:val="24"/>
        </w:rPr>
        <w:sectPr w:rsidR="00801887" w:rsidRPr="00503E49"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proofErr w:type="spellStart"/>
      <w:r>
        <w:rPr>
          <w:sz w:val="24"/>
          <w:szCs w:val="24"/>
        </w:rPr>
        <w:t>Mr.</w:t>
      </w:r>
      <w:proofErr w:type="spellEnd"/>
      <w:r>
        <w:rPr>
          <w:sz w:val="24"/>
          <w:szCs w:val="24"/>
        </w:rPr>
        <w:t xml:space="preserve"> Michel Alcindor absent and unrepresented</w:t>
      </w: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0F372C" w:rsidP="006578C2">
      <w:pPr>
        <w:spacing w:before="120" w:after="240"/>
        <w:rPr>
          <w:sz w:val="24"/>
          <w:szCs w:val="24"/>
        </w:rPr>
      </w:pPr>
      <w:sdt>
        <w:sdtPr>
          <w:rPr>
            <w:sz w:val="24"/>
            <w:szCs w:val="24"/>
          </w:rPr>
          <w:id w:val="15629748"/>
          <w:lock w:val="contentLocked"/>
          <w:placeholder>
            <w:docPart w:val="435B2DCD64F44C75ADA3B02D66EFD33F"/>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EBAAC446112A45E0813559088499DEAA"/>
          </w:placeholder>
          <w:date w:fullDate="2018-05-11T00:00:00Z">
            <w:dateFormat w:val="dd MMMM yyyy"/>
            <w:lid w:val="en-GB"/>
            <w:storeMappedDataAs w:val="dateTime"/>
            <w:calendar w:val="gregorian"/>
          </w:date>
        </w:sdtPr>
        <w:sdtEndPr/>
        <w:sdtContent>
          <w:r w:rsidR="00801887">
            <w:rPr>
              <w:sz w:val="24"/>
              <w:szCs w:val="24"/>
            </w:rPr>
            <w:t>11 May 2018</w:t>
          </w:r>
        </w:sdtContent>
      </w:sdt>
    </w:p>
    <w:sdt>
      <w:sdtPr>
        <w:rPr>
          <w:b/>
          <w:color w:val="808080"/>
          <w:sz w:val="24"/>
          <w:szCs w:val="24"/>
        </w:rPr>
        <w:id w:val="15629727"/>
        <w:lock w:val="contentLocked"/>
        <w:placeholder>
          <w:docPart w:val="435B2DCD64F44C75ADA3B02D66EFD33F"/>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F372C"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A6096E659BC41A6844C34FEE426767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01887">
            <w:rPr>
              <w:b/>
              <w:sz w:val="28"/>
              <w:szCs w:val="28"/>
            </w:rPr>
            <w:t>Twomey JA</w:t>
          </w:r>
        </w:sdtContent>
      </w:sdt>
    </w:p>
    <w:p w:rsidR="00801887" w:rsidRDefault="008165C0" w:rsidP="008165C0">
      <w:pPr>
        <w:pStyle w:val="ListParagraph"/>
        <w:widowControl/>
        <w:autoSpaceDE/>
        <w:autoSpaceDN/>
        <w:adjustRightInd/>
        <w:spacing w:after="240" w:line="360" w:lineRule="auto"/>
        <w:ind w:left="0"/>
        <w:contextualSpacing w:val="0"/>
        <w:rPr>
          <w:b/>
          <w:sz w:val="24"/>
          <w:szCs w:val="24"/>
        </w:rPr>
        <w:sectPr w:rsidR="00801887" w:rsidSect="00EF2051">
          <w:type w:val="continuous"/>
          <w:pgSz w:w="12240" w:h="15840"/>
          <w:pgMar w:top="1440" w:right="1440" w:bottom="1440" w:left="1440" w:header="720" w:footer="720" w:gutter="0"/>
          <w:cols w:space="720"/>
          <w:docGrid w:linePitch="360"/>
        </w:sectPr>
      </w:pPr>
      <w:r>
        <w:rPr>
          <w:b/>
          <w:sz w:val="24"/>
          <w:szCs w:val="24"/>
        </w:rPr>
        <w:t xml:space="preserve">Background </w:t>
      </w:r>
      <w:r w:rsidR="00BA6C2B">
        <w:rPr>
          <w:b/>
          <w:sz w:val="24"/>
          <w:szCs w:val="24"/>
        </w:rPr>
        <w:t>Facts</w:t>
      </w:r>
    </w:p>
    <w:sdt>
      <w:sdtPr>
        <w:id w:val="17274583"/>
        <w:placeholder>
          <w:docPart w:val="3170150BD72643B28216A289A7399039"/>
        </w:placeholder>
      </w:sdtPr>
      <w:sdtEndPr/>
      <w:sdtContent>
        <w:p w:rsidR="008165C0" w:rsidRDefault="008165C0" w:rsidP="0074157A">
          <w:pPr>
            <w:pStyle w:val="JudgmentText"/>
            <w:numPr>
              <w:ilvl w:val="0"/>
              <w:numId w:val="7"/>
            </w:numPr>
            <w:ind w:left="709" w:hanging="425"/>
          </w:pPr>
          <w:proofErr w:type="spellStart"/>
          <w:r>
            <w:t>Mr.</w:t>
          </w:r>
          <w:proofErr w:type="spellEnd"/>
          <w:r>
            <w:t xml:space="preserve"> Antonio Sullivan, the first Respondent in this appeal, brought an amended plaint </w:t>
          </w:r>
          <w:r w:rsidR="00337A6E">
            <w:t xml:space="preserve">in </w:t>
          </w:r>
          <w:r>
            <w:t xml:space="preserve">October 2010 in the Supreme Court against all the other parties in this case in which he claimed that the police (First and Second Appellants in the present appeal) had unlawfully taken possession of his earth moving vehicle, a mini-dozer, and </w:t>
          </w:r>
          <w:r w:rsidR="00337A6E">
            <w:t xml:space="preserve">had </w:t>
          </w:r>
          <w:r>
            <w:t xml:space="preserve">given it to the Second Respondent, </w:t>
          </w:r>
          <w:proofErr w:type="spellStart"/>
          <w:r>
            <w:t>Mr.</w:t>
          </w:r>
          <w:proofErr w:type="spellEnd"/>
          <w:r>
            <w:t xml:space="preserve"> Jack Ah Time.</w:t>
          </w:r>
        </w:p>
        <w:p w:rsidR="002409A2" w:rsidRDefault="008165C0" w:rsidP="0074157A">
          <w:pPr>
            <w:pStyle w:val="JudgmentText"/>
            <w:numPr>
              <w:ilvl w:val="0"/>
              <w:numId w:val="7"/>
            </w:numPr>
            <w:ind w:left="709" w:hanging="425"/>
          </w:pPr>
          <w:r>
            <w:lastRenderedPageBreak/>
            <w:t xml:space="preserve">The learned trial judge in a decision delivered on 10 November 2015 </w:t>
          </w:r>
          <w:r w:rsidR="00AC515A">
            <w:t>found that the Plaintiff</w:t>
          </w:r>
          <w:r w:rsidR="0059419A">
            <w:t>,</w:t>
          </w:r>
          <w:r w:rsidR="00AC515A">
            <w:t xml:space="preserve"> </w:t>
          </w:r>
          <w:proofErr w:type="spellStart"/>
          <w:r w:rsidR="00AC515A">
            <w:t>Mr.</w:t>
          </w:r>
          <w:proofErr w:type="spellEnd"/>
          <w:r w:rsidR="00AC515A">
            <w:t xml:space="preserve"> Sullivan</w:t>
          </w:r>
          <w:r w:rsidR="0059419A">
            <w:t>,</w:t>
          </w:r>
          <w:r w:rsidR="00AC515A">
            <w:t xml:space="preserve"> had supported his claim of ownership of the vehicle by a receipt which comprehensively identified the same whereas the Second Defendant, </w:t>
          </w:r>
          <w:proofErr w:type="spellStart"/>
          <w:r w:rsidR="00AC515A">
            <w:t>Mr.</w:t>
          </w:r>
          <w:proofErr w:type="spellEnd"/>
          <w:r w:rsidR="00AC515A">
            <w:t xml:space="preserve"> Ah Time and his witness, who had allegedly sold him the vehicle, were not certain about the colour or the identity of the vehicle.  He </w:t>
          </w:r>
          <w:r>
            <w:t xml:space="preserve">ordered </w:t>
          </w:r>
          <w:proofErr w:type="spellStart"/>
          <w:r w:rsidR="001F1552">
            <w:t>Mr.</w:t>
          </w:r>
          <w:proofErr w:type="spellEnd"/>
          <w:r w:rsidR="001F1552">
            <w:t xml:space="preserve"> </w:t>
          </w:r>
          <w:r w:rsidR="0059419A">
            <w:t>A</w:t>
          </w:r>
          <w:r w:rsidR="001F1552">
            <w:t>h Time together with the present Appellants</w:t>
          </w:r>
          <w:r w:rsidR="00AC515A">
            <w:t xml:space="preserve"> to </w:t>
          </w:r>
          <w:r w:rsidR="001F1552">
            <w:t xml:space="preserve">jointly and severally </w:t>
          </w:r>
          <w:r w:rsidR="00AC515A">
            <w:t xml:space="preserve">pay </w:t>
          </w:r>
          <w:proofErr w:type="spellStart"/>
          <w:r w:rsidR="001F1552">
            <w:t>Mr.</w:t>
          </w:r>
          <w:proofErr w:type="spellEnd"/>
          <w:r w:rsidR="001F1552">
            <w:t xml:space="preserve"> Sul</w:t>
          </w:r>
          <w:bookmarkStart w:id="0" w:name="_GoBack"/>
          <w:bookmarkEnd w:id="0"/>
          <w:r w:rsidR="001F1552">
            <w:t>livan</w:t>
          </w:r>
          <w:r w:rsidR="00AC515A">
            <w:t xml:space="preserve"> </w:t>
          </w:r>
          <w:r>
            <w:t>the value of the mini dozer, being SR 38,000 and the sum of SR75</w:t>
          </w:r>
          <w:r w:rsidR="002409A2">
            <w:t>, 000</w:t>
          </w:r>
          <w:r>
            <w:t xml:space="preserve"> as moral damages</w:t>
          </w:r>
          <w:r w:rsidR="00AC515A">
            <w:t>.</w:t>
          </w:r>
          <w:r>
            <w:t xml:space="preserve"> </w:t>
          </w:r>
        </w:p>
        <w:p w:rsidR="002409A2" w:rsidRPr="00DC475C" w:rsidRDefault="00DC475C" w:rsidP="0074157A">
          <w:pPr>
            <w:pStyle w:val="JudgmentText"/>
            <w:numPr>
              <w:ilvl w:val="0"/>
              <w:numId w:val="0"/>
            </w:numPr>
            <w:ind w:left="709"/>
            <w:rPr>
              <w:b/>
            </w:rPr>
          </w:pPr>
          <w:r w:rsidRPr="00DC475C">
            <w:rPr>
              <w:b/>
            </w:rPr>
            <w:t>Grounds of Appeal</w:t>
          </w:r>
        </w:p>
        <w:p w:rsidR="00DC475C" w:rsidRDefault="00DC475C" w:rsidP="0074157A">
          <w:pPr>
            <w:pStyle w:val="JudgmentText"/>
            <w:numPr>
              <w:ilvl w:val="0"/>
              <w:numId w:val="7"/>
            </w:numPr>
            <w:ind w:left="709"/>
          </w:pPr>
          <w:r>
            <w:t xml:space="preserve">The </w:t>
          </w:r>
          <w:r w:rsidR="006F2C79">
            <w:t>A</w:t>
          </w:r>
          <w:r>
            <w:t xml:space="preserve">ppellants being “satisfied” (sic) with the decision of the learned trial judge lodged three grounds of appeal which can be conveniently summarised as follows: the learned trial judge was wrong to hold that the Second Respondent was not the lawful owner of the mini dozer and consequently wrong to hold the </w:t>
          </w:r>
          <w:r w:rsidR="006F2C79">
            <w:t>defendants (now Respondents)</w:t>
          </w:r>
          <w:r>
            <w:t xml:space="preserve"> jointly and severally liable for the damages awarded. </w:t>
          </w:r>
        </w:p>
        <w:p w:rsidR="00DC475C" w:rsidRDefault="00DC475C" w:rsidP="0074157A">
          <w:pPr>
            <w:pStyle w:val="JudgmentText"/>
            <w:numPr>
              <w:ilvl w:val="0"/>
              <w:numId w:val="7"/>
            </w:numPr>
            <w:ind w:left="709" w:hanging="425"/>
          </w:pPr>
          <w:r>
            <w:t>The First Respondent has filed a preliminary objection to the appeal claiming that the appeal is out of time and also that the appeal is improperly captioned and brought against the wrong parties</w:t>
          </w:r>
          <w:r w:rsidR="00CE16C6">
            <w:t xml:space="preserve"> as no order was made against the </w:t>
          </w:r>
          <w:r w:rsidR="0059419A">
            <w:t>Fourth Defendant (</w:t>
          </w:r>
          <w:r w:rsidR="00CE16C6">
            <w:t xml:space="preserve">Third Respondent in the </w:t>
          </w:r>
          <w:r w:rsidR="0059419A">
            <w:t>present appeal)</w:t>
          </w:r>
          <w:r w:rsidR="00CE16C6">
            <w:t xml:space="preserve">. </w:t>
          </w:r>
          <w:r>
            <w:t xml:space="preserve"> </w:t>
          </w:r>
        </w:p>
        <w:p w:rsidR="00DC475C" w:rsidRDefault="00DC475C" w:rsidP="0074157A">
          <w:pPr>
            <w:pStyle w:val="JudgmentText"/>
            <w:numPr>
              <w:ilvl w:val="0"/>
              <w:numId w:val="7"/>
            </w:numPr>
            <w:ind w:left="709"/>
          </w:pPr>
          <w:r>
            <w:t xml:space="preserve">The Second Respondent’s </w:t>
          </w:r>
          <w:r w:rsidR="006F2C79">
            <w:t xml:space="preserve">Counsel, </w:t>
          </w:r>
          <w:proofErr w:type="spellStart"/>
          <w:r w:rsidR="006F2C79">
            <w:t>Mr.</w:t>
          </w:r>
          <w:proofErr w:type="spellEnd"/>
          <w:r w:rsidR="006F2C79">
            <w:t xml:space="preserve"> </w:t>
          </w:r>
          <w:proofErr w:type="spellStart"/>
          <w:r w:rsidR="006F2C79">
            <w:t>Bont</w:t>
          </w:r>
          <w:r w:rsidR="00154AE2">
            <w:t>é</w:t>
          </w:r>
          <w:proofErr w:type="spellEnd"/>
          <w:r w:rsidR="006F2C79">
            <w:t>, filed</w:t>
          </w:r>
          <w:r>
            <w:t xml:space="preserve"> a motion on 27 April 2018, barely a week </w:t>
          </w:r>
          <w:r w:rsidR="006F2C79">
            <w:t>before</w:t>
          </w:r>
          <w:r>
            <w:t xml:space="preserve"> the hearing of the appeal asking </w:t>
          </w:r>
          <w:r w:rsidR="006F2C79">
            <w:t>for leave</w:t>
          </w:r>
          <w:r>
            <w:t xml:space="preserve"> to </w:t>
          </w:r>
          <w:r w:rsidR="006F2C79">
            <w:t>file</w:t>
          </w:r>
          <w:r>
            <w:t xml:space="preserve"> </w:t>
          </w:r>
          <w:r w:rsidR="006F2C79">
            <w:t>submissions</w:t>
          </w:r>
          <w:r>
            <w:t xml:space="preserve"> on the appeal</w:t>
          </w:r>
          <w:r w:rsidR="006F2C79">
            <w:t xml:space="preserve"> out of time</w:t>
          </w:r>
          <w:r w:rsidR="0059419A">
            <w:t xml:space="preserve">. </w:t>
          </w:r>
          <w:r w:rsidR="006F2C79">
            <w:t xml:space="preserve"> </w:t>
          </w:r>
          <w:r w:rsidR="0059419A">
            <w:t xml:space="preserve">He </w:t>
          </w:r>
          <w:r w:rsidR="006F2C79">
            <w:t>rel</w:t>
          </w:r>
          <w:r w:rsidR="0059419A">
            <w:t>ied</w:t>
          </w:r>
          <w:r w:rsidR="006F2C79">
            <w:t xml:space="preserve"> on averments in his affidavit that </w:t>
          </w:r>
          <w:r>
            <w:t>his heavy work l</w:t>
          </w:r>
          <w:r w:rsidR="006F2C79">
            <w:t>o</w:t>
          </w:r>
          <w:r>
            <w:t xml:space="preserve">ad </w:t>
          </w:r>
          <w:r w:rsidR="006F2C79">
            <w:t>precluded him from filing</w:t>
          </w:r>
          <w:r w:rsidR="00015E11">
            <w:t xml:space="preserve"> his </w:t>
          </w:r>
          <w:r w:rsidR="006F2C79">
            <w:t>documents</w:t>
          </w:r>
          <w:r w:rsidR="00015E11">
            <w:t xml:space="preserve"> </w:t>
          </w:r>
          <w:r w:rsidR="006F2C79">
            <w:t>on</w:t>
          </w:r>
          <w:r w:rsidR="00015E11">
            <w:t xml:space="preserve"> </w:t>
          </w:r>
          <w:r w:rsidR="006F2C79">
            <w:t>time</w:t>
          </w:r>
          <w:r w:rsidR="00015E11">
            <w:t xml:space="preserve">. </w:t>
          </w:r>
        </w:p>
        <w:p w:rsidR="006F2C79" w:rsidRDefault="00DC475C" w:rsidP="0074157A">
          <w:pPr>
            <w:pStyle w:val="JudgmentText"/>
            <w:numPr>
              <w:ilvl w:val="0"/>
              <w:numId w:val="7"/>
            </w:numPr>
            <w:ind w:left="709"/>
          </w:pPr>
          <w:r>
            <w:t>We shall attend to the</w:t>
          </w:r>
          <w:r w:rsidR="006F2C79">
            <w:t>se</w:t>
          </w:r>
          <w:r>
            <w:t xml:space="preserve"> </w:t>
          </w:r>
          <w:r w:rsidR="006F2C79">
            <w:t>preliminary issues</w:t>
          </w:r>
          <w:r>
            <w:t xml:space="preserve"> first. </w:t>
          </w:r>
        </w:p>
        <w:p w:rsidR="006F2C79" w:rsidRPr="006F2C79" w:rsidRDefault="006F2C79" w:rsidP="0074157A">
          <w:pPr>
            <w:pStyle w:val="JudgmentText"/>
            <w:numPr>
              <w:ilvl w:val="0"/>
              <w:numId w:val="0"/>
            </w:numPr>
            <w:ind w:left="709"/>
            <w:rPr>
              <w:b/>
            </w:rPr>
          </w:pPr>
          <w:r w:rsidRPr="006F2C79">
            <w:rPr>
              <w:b/>
            </w:rPr>
            <w:t>Preliminary issues</w:t>
          </w:r>
        </w:p>
        <w:p w:rsidR="00BA49A1" w:rsidRDefault="00BA49A1" w:rsidP="0074157A">
          <w:pPr>
            <w:pStyle w:val="JudgmentText"/>
            <w:numPr>
              <w:ilvl w:val="0"/>
              <w:numId w:val="7"/>
            </w:numPr>
            <w:ind w:left="709"/>
          </w:pPr>
          <w:r>
            <w:t xml:space="preserve">The appeal process in the present matter has been dogged with delay issues from its inception. </w:t>
          </w:r>
          <w:r w:rsidR="001F1552">
            <w:t>T</w:t>
          </w:r>
          <w:r>
            <w:t xml:space="preserve">he decision in this matter was dated </w:t>
          </w:r>
          <w:r w:rsidR="00AC515A" w:rsidRPr="00AC515A">
            <w:t>30 October 2015 but delivered on 10 November 2015</w:t>
          </w:r>
          <w:r w:rsidR="001F1552">
            <w:t>. The appeal was filed on 24 December 201</w:t>
          </w:r>
          <w:r w:rsidR="00D05A4D">
            <w:t>5</w:t>
          </w:r>
          <w:r w:rsidR="001F1552">
            <w:t xml:space="preserve">. </w:t>
          </w:r>
          <w:proofErr w:type="spellStart"/>
          <w:r w:rsidR="001F1552">
            <w:t>Mrs.</w:t>
          </w:r>
          <w:proofErr w:type="spellEnd"/>
          <w:r w:rsidR="001F1552">
            <w:t xml:space="preserve"> Amesbury for the First Respondent has submitted that the appeal is out of time. </w:t>
          </w:r>
        </w:p>
        <w:p w:rsidR="001F1552" w:rsidRDefault="001F1552" w:rsidP="0074157A">
          <w:pPr>
            <w:pStyle w:val="JudgmentText"/>
            <w:numPr>
              <w:ilvl w:val="0"/>
              <w:numId w:val="7"/>
            </w:numPr>
            <w:ind w:left="709"/>
          </w:pPr>
          <w:r>
            <w:lastRenderedPageBreak/>
            <w:t xml:space="preserve">Insofar as submissions of delay are concerned, we are guided by the Seychelles Court of Appeal Rules and by the Practice Directions issued by the President of the Court of Appeal in respect of the lodging of arguments. These Rules have of late been so disregarded that we find it necessary to comprehensively reproduce them where appropriate. </w:t>
          </w:r>
        </w:p>
        <w:p w:rsidR="001F1552" w:rsidRDefault="001F1552" w:rsidP="005E6F45">
          <w:pPr>
            <w:pStyle w:val="JudgmentText"/>
            <w:numPr>
              <w:ilvl w:val="0"/>
              <w:numId w:val="7"/>
            </w:numPr>
            <w:ind w:left="709"/>
          </w:pPr>
          <w:r>
            <w:t>With respect to the lodging of notices of appeal, Rule 18 provides in relevant form:</w:t>
          </w:r>
        </w:p>
        <w:p w:rsidR="001F1552" w:rsidRPr="001F1552" w:rsidRDefault="001F1552" w:rsidP="005E6F45">
          <w:pPr>
            <w:pStyle w:val="JudgmentText"/>
            <w:numPr>
              <w:ilvl w:val="0"/>
              <w:numId w:val="0"/>
            </w:numPr>
            <w:ind w:left="1134"/>
            <w:rPr>
              <w:i/>
            </w:rPr>
          </w:pPr>
          <w:r w:rsidRPr="001F1552">
            <w:rPr>
              <w:i/>
            </w:rPr>
            <w:t xml:space="preserve">“18. (1) </w:t>
          </w:r>
          <w:proofErr w:type="gramStart"/>
          <w:r w:rsidRPr="001F1552">
            <w:rPr>
              <w:i/>
            </w:rPr>
            <w:t>Every</w:t>
          </w:r>
          <w:proofErr w:type="gramEnd"/>
          <w:r w:rsidRPr="001F1552">
            <w:rPr>
              <w:i/>
            </w:rPr>
            <w:t xml:space="preserve"> appeal shall be brought by notice in writing (hereinafter called “the notice of appeal”)</w:t>
          </w:r>
          <w:r w:rsidR="00C22BB3">
            <w:rPr>
              <w:i/>
            </w:rPr>
            <w:t xml:space="preserve"> </w:t>
          </w:r>
          <w:r w:rsidRPr="001F1552">
            <w:rPr>
              <w:i/>
            </w:rPr>
            <w:t>which shall be lodged with the Registrar of the Supreme Court within thirty days after the date of the decision appealed against.</w:t>
          </w:r>
        </w:p>
        <w:p w:rsidR="001F1552" w:rsidRDefault="001F1552" w:rsidP="005E6F45">
          <w:pPr>
            <w:pStyle w:val="JudgmentText"/>
            <w:numPr>
              <w:ilvl w:val="0"/>
              <w:numId w:val="7"/>
            </w:numPr>
            <w:ind w:left="709" w:hanging="283"/>
          </w:pPr>
          <w:r>
            <w:t>Rule 2 with respect to computation of time</w:t>
          </w:r>
          <w:r w:rsidR="0059419A">
            <w:t>,</w:t>
          </w:r>
          <w:r>
            <w:t xml:space="preserve"> </w:t>
          </w:r>
          <w:r w:rsidR="003E78A2">
            <w:t xml:space="preserve">defines days as meaning </w:t>
          </w:r>
          <w:r w:rsidR="00D85CB2">
            <w:t>“</w:t>
          </w:r>
          <w:r w:rsidR="003E78A2">
            <w:t>court days</w:t>
          </w:r>
          <w:r w:rsidR="00D85CB2">
            <w:t>”</w:t>
          </w:r>
          <w:r w:rsidR="003E78A2">
            <w:t xml:space="preserve"> which excludes </w:t>
          </w:r>
          <w:r w:rsidR="003E78A2" w:rsidRPr="003E78A2">
            <w:rPr>
              <w:i/>
            </w:rPr>
            <w:t xml:space="preserve">dies </w:t>
          </w:r>
          <w:proofErr w:type="gramStart"/>
          <w:r w:rsidR="003E78A2" w:rsidRPr="003E78A2">
            <w:rPr>
              <w:i/>
            </w:rPr>
            <w:t>non</w:t>
          </w:r>
          <w:proofErr w:type="gramEnd"/>
          <w:r w:rsidR="003E78A2">
            <w:t xml:space="preserve"> and the </w:t>
          </w:r>
          <w:r w:rsidR="003E78A2" w:rsidRPr="003E78A2">
            <w:t>first and last days</w:t>
          </w:r>
          <w:r w:rsidR="00D85CB2">
            <w:t xml:space="preserve"> and month as meaning a “calendar month”.</w:t>
          </w:r>
        </w:p>
        <w:p w:rsidR="00CE16C6" w:rsidRDefault="003E78A2" w:rsidP="005E6F45">
          <w:pPr>
            <w:pStyle w:val="JudgmentText"/>
            <w:numPr>
              <w:ilvl w:val="0"/>
              <w:numId w:val="7"/>
            </w:numPr>
            <w:ind w:left="709" w:hanging="283"/>
          </w:pPr>
          <w:r>
            <w:t>Given that the decision</w:t>
          </w:r>
          <w:r w:rsidR="00CE16C6">
            <w:t xml:space="preserve"> though dated 30 October 2015</w:t>
          </w:r>
          <w:r>
            <w:t xml:space="preserve"> was </w:t>
          </w:r>
          <w:r w:rsidR="00CE16C6">
            <w:t xml:space="preserve">only </w:t>
          </w:r>
          <w:r>
            <w:t xml:space="preserve">delivered in open court on 10 November 2015, the thirty days for the lodging of the appeal would have ended on </w:t>
          </w:r>
          <w:r w:rsidR="00CE16C6">
            <w:t xml:space="preserve">27 December 2015 as the 8 December is a public holiday. The appeal is therefore filed within time and </w:t>
          </w:r>
          <w:proofErr w:type="spellStart"/>
          <w:r w:rsidR="00CE16C6">
            <w:t>Mrs.</w:t>
          </w:r>
          <w:proofErr w:type="spellEnd"/>
          <w:r w:rsidR="00CE16C6">
            <w:t xml:space="preserve"> Amesbury’s </w:t>
          </w:r>
          <w:r w:rsidR="0059419A">
            <w:t xml:space="preserve">submission on this </w:t>
          </w:r>
          <w:r w:rsidR="00CE16C6">
            <w:t xml:space="preserve">preliminary issue is </w:t>
          </w:r>
          <w:r w:rsidR="0059419A">
            <w:t xml:space="preserve">therefore </w:t>
          </w:r>
          <w:r w:rsidR="00CE16C6">
            <w:t xml:space="preserve">dismissed. </w:t>
          </w:r>
        </w:p>
        <w:p w:rsidR="003E78A2" w:rsidRDefault="00CE16C6" w:rsidP="005E6F45">
          <w:pPr>
            <w:pStyle w:val="JudgmentText"/>
            <w:numPr>
              <w:ilvl w:val="0"/>
              <w:numId w:val="7"/>
            </w:numPr>
            <w:ind w:left="709" w:hanging="283"/>
          </w:pPr>
          <w:r>
            <w:t xml:space="preserve">Similarly, the Court does not find favour with her second point in regard to the captioning of the appeal. It is trite that a party may appeal </w:t>
          </w:r>
          <w:r w:rsidR="00BF3C4B">
            <w:t xml:space="preserve">a decision given by the Court of first instance </w:t>
          </w:r>
          <w:r>
            <w:t xml:space="preserve">against any part or all other parties even when an order is not made by the </w:t>
          </w:r>
          <w:r w:rsidR="00BF3C4B">
            <w:t>C</w:t>
          </w:r>
          <w:r>
            <w:t>ourt in respect of a particular party</w:t>
          </w:r>
          <w:r w:rsidR="00BF3C4B">
            <w:t xml:space="preserve"> in the trial.</w:t>
          </w:r>
          <w:r>
            <w:t xml:space="preserve"> </w:t>
          </w:r>
        </w:p>
        <w:p w:rsidR="00154AE2" w:rsidRDefault="00BF3C4B" w:rsidP="005E6F45">
          <w:pPr>
            <w:pStyle w:val="JudgmentText"/>
            <w:numPr>
              <w:ilvl w:val="0"/>
              <w:numId w:val="7"/>
            </w:numPr>
            <w:ind w:left="709" w:hanging="283"/>
          </w:pPr>
          <w:r>
            <w:t xml:space="preserve">As regards, the parties’ heads of arguments in respect of this appeal, </w:t>
          </w:r>
          <w:r w:rsidR="00154AE2">
            <w:t xml:space="preserve">Rule 24(1) provides in relevant part: </w:t>
          </w:r>
        </w:p>
        <w:p w:rsidR="00154AE2" w:rsidRPr="0059419A" w:rsidRDefault="00154AE2" w:rsidP="005E6F45">
          <w:pPr>
            <w:pStyle w:val="estatutes-1-sectionheading"/>
            <w:shd w:val="clear" w:color="auto" w:fill="FFFFFF"/>
            <w:ind w:left="709" w:firstLine="567"/>
            <w:jc w:val="both"/>
            <w:rPr>
              <w:b/>
              <w:bCs/>
              <w:i/>
              <w:color w:val="000000"/>
            </w:rPr>
          </w:pPr>
          <w:bookmarkStart w:id="1" w:name="_Toc465958061"/>
          <w:r w:rsidRPr="0059419A">
            <w:rPr>
              <w:b/>
              <w:bCs/>
              <w:i/>
              <w:color w:val="000000"/>
            </w:rPr>
            <w:t>“Heads of argument</w:t>
          </w:r>
          <w:bookmarkEnd w:id="1"/>
        </w:p>
        <w:p w:rsidR="00154AE2" w:rsidRPr="0059419A" w:rsidRDefault="00154AE2" w:rsidP="005E6F45">
          <w:pPr>
            <w:pStyle w:val="estatutes-1-section"/>
            <w:shd w:val="clear" w:color="auto" w:fill="FFFFFF"/>
            <w:tabs>
              <w:tab w:val="left" w:pos="1985"/>
            </w:tabs>
            <w:ind w:left="709" w:firstLine="720"/>
            <w:jc w:val="both"/>
            <w:rPr>
              <w:i/>
              <w:color w:val="000000"/>
            </w:rPr>
          </w:pPr>
          <w:r w:rsidRPr="0059419A">
            <w:rPr>
              <w:i/>
              <w:color w:val="000000"/>
            </w:rPr>
            <w:t>24.  </w:t>
          </w:r>
          <w:r w:rsidR="001024D2">
            <w:rPr>
              <w:i/>
              <w:color w:val="000000"/>
            </w:rPr>
            <w:tab/>
          </w:r>
          <w:r w:rsidRPr="0059419A">
            <w:rPr>
              <w:i/>
              <w:color w:val="000000"/>
            </w:rPr>
            <w:t xml:space="preserve">(1) </w:t>
          </w:r>
          <w:proofErr w:type="gramStart"/>
          <w:r w:rsidRPr="0059419A">
            <w:rPr>
              <w:i/>
              <w:color w:val="000000"/>
            </w:rPr>
            <w:t>Unless</w:t>
          </w:r>
          <w:proofErr w:type="gramEnd"/>
          <w:r w:rsidRPr="0059419A">
            <w:rPr>
              <w:i/>
              <w:color w:val="000000"/>
            </w:rPr>
            <w:t xml:space="preserve"> the President otherwise directs* -</w:t>
          </w:r>
        </w:p>
        <w:p w:rsidR="00154AE2" w:rsidRPr="0059419A" w:rsidRDefault="00154AE2" w:rsidP="005E6F45">
          <w:pPr>
            <w:pStyle w:val="estatutes-3-paragraph"/>
            <w:shd w:val="clear" w:color="auto" w:fill="FFFFFF"/>
            <w:ind w:left="1985"/>
            <w:jc w:val="both"/>
            <w:rPr>
              <w:i/>
              <w:color w:val="000000"/>
            </w:rPr>
          </w:pPr>
          <w:r w:rsidRPr="0059419A">
            <w:rPr>
              <w:i/>
              <w:color w:val="000000"/>
            </w:rPr>
            <w:t xml:space="preserve">(a) The appellant shall lodge with the Registrar five copies of the appellant’s main heads of argument within </w:t>
          </w:r>
          <w:r w:rsidRPr="00C22BB3">
            <w:rPr>
              <w:b/>
              <w:i/>
              <w:color w:val="000000"/>
              <w:u w:val="single"/>
            </w:rPr>
            <w:t>two months</w:t>
          </w:r>
          <w:r w:rsidRPr="0059419A">
            <w:rPr>
              <w:i/>
              <w:color w:val="000000"/>
            </w:rPr>
            <w:t xml:space="preserve"> from the date of service of the record. Two copies of such main heads of argument shall be served one each respondent.</w:t>
          </w:r>
        </w:p>
        <w:p w:rsidR="00154AE2" w:rsidRPr="0059419A" w:rsidRDefault="00154AE2" w:rsidP="005E6F45">
          <w:pPr>
            <w:pStyle w:val="estatutes-3-paragraph"/>
            <w:shd w:val="clear" w:color="auto" w:fill="FFFFFF"/>
            <w:ind w:left="1985"/>
            <w:jc w:val="both"/>
            <w:rPr>
              <w:i/>
              <w:color w:val="000000"/>
            </w:rPr>
          </w:pPr>
          <w:r w:rsidRPr="0059419A">
            <w:rPr>
              <w:i/>
              <w:color w:val="000000"/>
            </w:rPr>
            <w:lastRenderedPageBreak/>
            <w:t xml:space="preserve">(b) The respondent shall lodge with the Registrar five copies of the respondent’s main heads of argument </w:t>
          </w:r>
          <w:r w:rsidRPr="0059419A">
            <w:rPr>
              <w:b/>
              <w:i/>
              <w:color w:val="000000"/>
              <w:u w:val="single"/>
            </w:rPr>
            <w:t>within one month</w:t>
          </w:r>
          <w:r w:rsidRPr="0059419A">
            <w:rPr>
              <w:i/>
              <w:color w:val="000000"/>
            </w:rPr>
            <w:t xml:space="preserve"> from the receipt of the appellant’s heads of argument. Two copies of such main heads of argument shall be served on the appellant.</w:t>
          </w:r>
        </w:p>
        <w:p w:rsidR="00154AE2" w:rsidRPr="0059419A" w:rsidRDefault="00154AE2" w:rsidP="001024D2">
          <w:pPr>
            <w:pStyle w:val="estatutes-2-subsection"/>
            <w:shd w:val="clear" w:color="auto" w:fill="FFFFFF"/>
            <w:ind w:left="1985"/>
            <w:jc w:val="both"/>
            <w:rPr>
              <w:i/>
              <w:color w:val="000000"/>
            </w:rPr>
          </w:pPr>
          <w:r w:rsidRPr="0059419A">
            <w:rPr>
              <w:i/>
              <w:color w:val="000000"/>
            </w:rPr>
            <w:t>(2) (</w:t>
          </w:r>
          <w:proofErr w:type="gramStart"/>
          <w:r w:rsidRPr="0059419A">
            <w:rPr>
              <w:i/>
              <w:color w:val="000000"/>
            </w:rPr>
            <w:t>a</w:t>
          </w:r>
          <w:proofErr w:type="gramEnd"/>
          <w:r w:rsidRPr="0059419A">
            <w:rPr>
              <w:i/>
              <w:color w:val="000000"/>
            </w:rPr>
            <w:t>) The heads of argument shall be set out in separate paragraphs for each head, stating when evidence is to be referred to, the page and lines where such evidence appears in the record.</w:t>
          </w:r>
        </w:p>
        <w:p w:rsidR="00154AE2" w:rsidRPr="0059419A" w:rsidRDefault="00154AE2" w:rsidP="001024D2">
          <w:pPr>
            <w:pStyle w:val="estatutes-3-paragraph"/>
            <w:shd w:val="clear" w:color="auto" w:fill="FFFFFF"/>
            <w:ind w:left="1985"/>
            <w:jc w:val="both"/>
            <w:rPr>
              <w:i/>
              <w:color w:val="000000"/>
            </w:rPr>
          </w:pPr>
          <w:r w:rsidRPr="0059419A">
            <w:rPr>
              <w:i/>
              <w:color w:val="000000"/>
            </w:rPr>
            <w:t>(b) The heads of argument shall be clear, succinct and shall not contain unnecessary elaboration.</w:t>
          </w:r>
        </w:p>
        <w:p w:rsidR="00154AE2" w:rsidRPr="0059419A" w:rsidRDefault="00154AE2" w:rsidP="001024D2">
          <w:pPr>
            <w:pStyle w:val="estatutes-3-paragraph"/>
            <w:shd w:val="clear" w:color="auto" w:fill="FFFFFF"/>
            <w:ind w:left="1985"/>
            <w:jc w:val="both"/>
            <w:rPr>
              <w:i/>
              <w:color w:val="000000"/>
            </w:rPr>
          </w:pPr>
          <w:r w:rsidRPr="0059419A">
            <w:rPr>
              <w:i/>
              <w:color w:val="000000"/>
            </w:rPr>
            <w:t>(c) The heads of argument shall not contain lengthy quotations from the record or authorities.</w:t>
          </w:r>
        </w:p>
        <w:p w:rsidR="00154AE2" w:rsidRPr="0059419A" w:rsidRDefault="00154AE2" w:rsidP="001024D2">
          <w:pPr>
            <w:pStyle w:val="estatutes-3-paragraph"/>
            <w:shd w:val="clear" w:color="auto" w:fill="FFFFFF"/>
            <w:ind w:left="1985"/>
            <w:jc w:val="both"/>
            <w:rPr>
              <w:i/>
              <w:color w:val="000000"/>
            </w:rPr>
          </w:pPr>
          <w:r w:rsidRPr="0059419A">
            <w:rPr>
              <w:i/>
              <w:color w:val="000000"/>
            </w:rPr>
            <w:t>(d) Reference to authorities and the record shall not be general but to specific pages and paragraphs.</w:t>
          </w:r>
        </w:p>
        <w:p w:rsidR="00154AE2" w:rsidRPr="0059419A" w:rsidRDefault="00154AE2" w:rsidP="001024D2">
          <w:pPr>
            <w:pStyle w:val="estatutes-3-paragraph"/>
            <w:shd w:val="clear" w:color="auto" w:fill="FFFFFF"/>
            <w:tabs>
              <w:tab w:val="left" w:pos="2694"/>
            </w:tabs>
            <w:ind w:left="2694" w:hanging="709"/>
            <w:jc w:val="both"/>
            <w:rPr>
              <w:i/>
              <w:color w:val="000000"/>
            </w:rPr>
          </w:pPr>
          <w:r w:rsidRPr="0059419A">
            <w:rPr>
              <w:i/>
              <w:color w:val="000000"/>
            </w:rPr>
            <w:t>(e) (</w:t>
          </w:r>
          <w:proofErr w:type="spellStart"/>
          <w:proofErr w:type="gramStart"/>
          <w:r w:rsidRPr="0059419A">
            <w:rPr>
              <w:i/>
              <w:color w:val="000000"/>
            </w:rPr>
            <w:t>i</w:t>
          </w:r>
          <w:proofErr w:type="spellEnd"/>
          <w:proofErr w:type="gramEnd"/>
          <w:r w:rsidRPr="0059419A">
            <w:rPr>
              <w:i/>
              <w:color w:val="000000"/>
            </w:rPr>
            <w:t xml:space="preserve">) </w:t>
          </w:r>
          <w:r w:rsidR="001024D2">
            <w:rPr>
              <w:i/>
              <w:color w:val="000000"/>
            </w:rPr>
            <w:tab/>
          </w:r>
          <w:r w:rsidRPr="0059419A">
            <w:rPr>
              <w:i/>
              <w:color w:val="000000"/>
            </w:rPr>
            <w:t>The appellant’s heads of argument shall be accompanied by a written chronology of events relevant to the appeal and duly cross referenced but without argument;</w:t>
          </w:r>
        </w:p>
        <w:p w:rsidR="00154AE2" w:rsidRPr="0059419A" w:rsidRDefault="00154AE2" w:rsidP="005E6F45">
          <w:pPr>
            <w:pStyle w:val="estatutes-4-subparagraph"/>
            <w:shd w:val="clear" w:color="auto" w:fill="FFFFFF"/>
            <w:ind w:left="2694" w:hanging="426"/>
            <w:jc w:val="both"/>
            <w:rPr>
              <w:i/>
              <w:color w:val="000000"/>
            </w:rPr>
          </w:pPr>
          <w:r w:rsidRPr="0059419A">
            <w:rPr>
              <w:i/>
              <w:color w:val="000000"/>
            </w:rPr>
            <w:t>(ii)</w:t>
          </w:r>
          <w:r w:rsidR="001024D2">
            <w:rPr>
              <w:i/>
              <w:color w:val="000000"/>
            </w:rPr>
            <w:tab/>
          </w:r>
          <w:proofErr w:type="gramStart"/>
          <w:r w:rsidRPr="0059419A">
            <w:rPr>
              <w:i/>
              <w:color w:val="000000"/>
            </w:rPr>
            <w:t>if</w:t>
          </w:r>
          <w:proofErr w:type="gramEnd"/>
          <w:r w:rsidRPr="0059419A">
            <w:rPr>
              <w:i/>
              <w:color w:val="000000"/>
            </w:rPr>
            <w:t xml:space="preserve"> the respondent disputes the correctness of the chronology of events in a material respect, the respondent’s heads of argument shall be accompanied by the respondent’s version of the chronology of events.</w:t>
          </w:r>
        </w:p>
        <w:p w:rsidR="00154AE2" w:rsidRPr="0059419A" w:rsidRDefault="00154AE2" w:rsidP="005E6F45">
          <w:pPr>
            <w:pStyle w:val="estatutes-3-paragraph"/>
            <w:shd w:val="clear" w:color="auto" w:fill="FFFFFF"/>
            <w:ind w:left="1985"/>
            <w:jc w:val="both"/>
            <w:rPr>
              <w:i/>
              <w:color w:val="000000"/>
            </w:rPr>
          </w:pPr>
          <w:r w:rsidRPr="0059419A">
            <w:rPr>
              <w:i/>
              <w:color w:val="000000"/>
            </w:rPr>
            <w:t>(f) The heads or argument shall be accompanied by a list of authorities to be cited in support of the argument and shall indicate the authorities to which particular reference will be made during argument.</w:t>
          </w:r>
        </w:p>
        <w:p w:rsidR="00154AE2" w:rsidRPr="0059419A" w:rsidRDefault="00154AE2" w:rsidP="005E6F45">
          <w:pPr>
            <w:pStyle w:val="estatutes-3-paragraph"/>
            <w:shd w:val="clear" w:color="auto" w:fill="FFFFFF"/>
            <w:ind w:left="1985"/>
            <w:jc w:val="both"/>
            <w:rPr>
              <w:i/>
              <w:color w:val="000000"/>
            </w:rPr>
          </w:pPr>
          <w:r w:rsidRPr="0059419A">
            <w:rPr>
              <w:i/>
              <w:color w:val="000000"/>
            </w:rPr>
            <w:t>(g) The heads of argument shall define the form of order sought from the Court.</w:t>
          </w:r>
        </w:p>
        <w:p w:rsidR="00154AE2" w:rsidRPr="0059419A" w:rsidRDefault="00154AE2" w:rsidP="005E6F45">
          <w:pPr>
            <w:pStyle w:val="estatutes-3-paragraph"/>
            <w:shd w:val="clear" w:color="auto" w:fill="FFFFFF"/>
            <w:ind w:left="1985"/>
            <w:jc w:val="both"/>
            <w:rPr>
              <w:i/>
              <w:color w:val="000000"/>
            </w:rPr>
          </w:pPr>
          <w:r w:rsidRPr="0059419A">
            <w:rPr>
              <w:i/>
              <w:color w:val="000000"/>
            </w:rPr>
            <w:t>(h) All heads of argument shall be accompanied by five copies of the front page and relevant portions of all statutory provisions, regulations, rules and unreported decisions to which reference is made.</w:t>
          </w:r>
        </w:p>
        <w:p w:rsidR="00154AE2" w:rsidRPr="0059419A" w:rsidRDefault="00154AE2" w:rsidP="005E6F45">
          <w:pPr>
            <w:pStyle w:val="estatutes-3-paragraph"/>
            <w:shd w:val="clear" w:color="auto" w:fill="FFFFFF"/>
            <w:ind w:left="1985"/>
            <w:jc w:val="both"/>
            <w:rPr>
              <w:i/>
              <w:color w:val="000000"/>
            </w:rPr>
          </w:pPr>
          <w:r w:rsidRPr="0059419A">
            <w:rPr>
              <w:i/>
              <w:color w:val="000000"/>
            </w:rPr>
            <w:t>(</w:t>
          </w:r>
          <w:proofErr w:type="spellStart"/>
          <w:r w:rsidRPr="0059419A">
            <w:rPr>
              <w:i/>
              <w:color w:val="000000"/>
            </w:rPr>
            <w:t>i</w:t>
          </w:r>
          <w:proofErr w:type="spellEnd"/>
          <w:r w:rsidRPr="0059419A">
            <w:rPr>
              <w:i/>
              <w:color w:val="000000"/>
            </w:rPr>
            <w:t>) Where at the date fixed for hearing of the appeal the appellant has not lodged heads of argument in terms of this Rule, the appeal shall be deemed to be abandoned and shall accordingly be struck out unless the Court otherwise directs on good cause shown.</w:t>
          </w:r>
        </w:p>
        <w:p w:rsidR="00154AE2" w:rsidRPr="0059419A" w:rsidRDefault="00154AE2" w:rsidP="005E6F45">
          <w:pPr>
            <w:pStyle w:val="estatutes-3-paragraph"/>
            <w:shd w:val="clear" w:color="auto" w:fill="FFFFFF"/>
            <w:ind w:left="1985"/>
            <w:jc w:val="both"/>
            <w:rPr>
              <w:i/>
              <w:color w:val="000000"/>
            </w:rPr>
          </w:pPr>
          <w:r w:rsidRPr="0059419A">
            <w:rPr>
              <w:i/>
              <w:color w:val="000000"/>
            </w:rPr>
            <w:t>(j) Where at the date fixed for hearing of the appeal the respondent has not lodged heads of argument in terms of this Rule, the respondent shall not be entitled to be heard unless the Court otherwise directs on good cause shown.</w:t>
          </w:r>
        </w:p>
        <w:p w:rsidR="00154AE2" w:rsidRPr="0059419A" w:rsidRDefault="00154AE2" w:rsidP="005E6F45">
          <w:pPr>
            <w:pStyle w:val="estatutes-3-paragraph"/>
            <w:shd w:val="clear" w:color="auto" w:fill="FFFFFF"/>
            <w:ind w:left="1985"/>
            <w:jc w:val="both"/>
            <w:rPr>
              <w:i/>
              <w:color w:val="000000"/>
            </w:rPr>
          </w:pPr>
          <w:r w:rsidRPr="0059419A">
            <w:rPr>
              <w:i/>
              <w:color w:val="000000"/>
            </w:rPr>
            <w:lastRenderedPageBreak/>
            <w:t>(k) Nothing in this Rule shall be deemed to limit the discretion of the Court to hear an appeal or application notwithstanding that heads of argument have not been filed.</w:t>
          </w:r>
        </w:p>
        <w:p w:rsidR="00154AE2" w:rsidRPr="0059419A" w:rsidRDefault="00154AE2" w:rsidP="00317D4E">
          <w:pPr>
            <w:pStyle w:val="estatutes-marginalnote"/>
            <w:shd w:val="clear" w:color="auto" w:fill="FFFFFF"/>
            <w:spacing w:before="120" w:beforeAutospacing="0" w:after="0" w:afterAutospacing="0"/>
            <w:ind w:left="1985"/>
            <w:jc w:val="both"/>
            <w:rPr>
              <w:i/>
              <w:color w:val="000000"/>
            </w:rPr>
          </w:pPr>
          <w:r w:rsidRPr="0059419A">
            <w:rPr>
              <w:i/>
              <w:color w:val="000000"/>
            </w:rPr>
            <w:t xml:space="preserve">[*Note: The President has issued Practice directions No 1 and 2 of 2014 in relation to heads of argument, No 1 of which states that heads of argument should be submitted at the registry of the Court of Appeal </w:t>
          </w:r>
          <w:r w:rsidRPr="00D05A4D">
            <w:rPr>
              <w:b/>
              <w:i/>
              <w:color w:val="000000"/>
              <w:u w:val="single"/>
            </w:rPr>
            <w:t>at least 30 court days before</w:t>
          </w:r>
          <w:r w:rsidRPr="0059419A">
            <w:rPr>
              <w:i/>
              <w:color w:val="000000"/>
            </w:rPr>
            <w:t xml:space="preserve"> Roll Call as per schedule of sessions, failing which the hearing of the appeal which requires those heads of argument will not be heard in the session it is listed for]</w:t>
          </w:r>
          <w:r w:rsidR="0059419A">
            <w:rPr>
              <w:i/>
              <w:color w:val="000000"/>
            </w:rPr>
            <w:t xml:space="preserve">. </w:t>
          </w:r>
          <w:r w:rsidR="0059419A">
            <w:rPr>
              <w:color w:val="000000"/>
            </w:rPr>
            <w:t>(</w:t>
          </w:r>
          <w:r w:rsidR="0059419A" w:rsidRPr="0059419A">
            <w:rPr>
              <w:color w:val="000000"/>
            </w:rPr>
            <w:t>Emphasis added</w:t>
          </w:r>
          <w:r w:rsidR="0059419A">
            <w:rPr>
              <w:color w:val="000000"/>
            </w:rPr>
            <w:t>)</w:t>
          </w:r>
          <w:r w:rsidR="0059419A">
            <w:rPr>
              <w:i/>
              <w:color w:val="000000"/>
            </w:rPr>
            <w:t xml:space="preserve">. </w:t>
          </w:r>
        </w:p>
        <w:p w:rsidR="00BA49A1" w:rsidRPr="0059419A" w:rsidRDefault="00BA49A1" w:rsidP="0074157A">
          <w:pPr>
            <w:pStyle w:val="estatutes-marginalnote"/>
            <w:shd w:val="clear" w:color="auto" w:fill="FFFFFF"/>
            <w:spacing w:before="120" w:beforeAutospacing="0" w:after="0" w:afterAutospacing="0"/>
            <w:ind w:left="709"/>
            <w:rPr>
              <w:i/>
              <w:color w:val="000000"/>
            </w:rPr>
          </w:pPr>
        </w:p>
        <w:p w:rsidR="00BA6C2B" w:rsidRPr="00BA6C2B" w:rsidRDefault="00BA6C2B" w:rsidP="0074157A">
          <w:pPr>
            <w:pStyle w:val="JudgmentText"/>
            <w:numPr>
              <w:ilvl w:val="0"/>
              <w:numId w:val="0"/>
            </w:numPr>
            <w:ind w:left="709"/>
            <w:rPr>
              <w:b/>
            </w:rPr>
          </w:pPr>
          <w:r w:rsidRPr="00BA6C2B">
            <w:rPr>
              <w:b/>
            </w:rPr>
            <w:t>The Court’s consideration of “Good Cause”.</w:t>
          </w:r>
        </w:p>
        <w:p w:rsidR="00154AE2" w:rsidRDefault="00BA49A1" w:rsidP="0074157A">
          <w:pPr>
            <w:pStyle w:val="JudgmentText"/>
            <w:numPr>
              <w:ilvl w:val="0"/>
              <w:numId w:val="7"/>
            </w:numPr>
            <w:ind w:left="709"/>
          </w:pPr>
          <w:r>
            <w:t>In the present appeal</w:t>
          </w:r>
          <w:r w:rsidR="0059419A">
            <w:t>,</w:t>
          </w:r>
          <w:r>
            <w:t xml:space="preserve"> the record (transcript of proceedings) w</w:t>
          </w:r>
          <w:r w:rsidR="00BF3C4B">
            <w:t>as</w:t>
          </w:r>
          <w:r>
            <w:t xml:space="preserve"> served on all parties concerned on the 6 and 7 February 2018. Mr, Kumar, Counsel for the Appellants filed his heads of argument on 23 </w:t>
          </w:r>
          <w:r w:rsidR="00BF3C4B">
            <w:t>M</w:t>
          </w:r>
          <w:r>
            <w:t>arch 2018</w:t>
          </w:r>
          <w:r w:rsidR="00D814A5">
            <w:t xml:space="preserve">, </w:t>
          </w:r>
          <w:proofErr w:type="spellStart"/>
          <w:r w:rsidR="00BF3C4B">
            <w:t>Mrs.</w:t>
          </w:r>
          <w:proofErr w:type="spellEnd"/>
          <w:r w:rsidR="00BF3C4B">
            <w:t xml:space="preserve"> Amesbury for the First Respondent on 25 April 2018</w:t>
          </w:r>
          <w:r w:rsidR="005E6F45">
            <w:t xml:space="preserve">, </w:t>
          </w:r>
          <w:proofErr w:type="spellStart"/>
          <w:r w:rsidR="00BF3C4B">
            <w:t>Mr.</w:t>
          </w:r>
          <w:proofErr w:type="spellEnd"/>
          <w:r w:rsidR="00BF3C4B">
            <w:t xml:space="preserve"> </w:t>
          </w:r>
          <w:proofErr w:type="spellStart"/>
          <w:r w:rsidR="00BF3C4B">
            <w:t>Bonté</w:t>
          </w:r>
          <w:proofErr w:type="spellEnd"/>
          <w:r w:rsidR="00BF3C4B">
            <w:t xml:space="preserve"> for the Second Respondent filed a “one liner” on 27 April 2018 and </w:t>
          </w:r>
          <w:proofErr w:type="spellStart"/>
          <w:r w:rsidR="00BF3C4B">
            <w:t>Mr.</w:t>
          </w:r>
          <w:proofErr w:type="spellEnd"/>
          <w:r w:rsidR="00BF3C4B">
            <w:t xml:space="preserve"> Alcindor not at all.  </w:t>
          </w:r>
        </w:p>
        <w:p w:rsidR="00C76380" w:rsidRDefault="00C76380" w:rsidP="0074157A">
          <w:pPr>
            <w:pStyle w:val="JudgmentText"/>
            <w:numPr>
              <w:ilvl w:val="0"/>
              <w:numId w:val="7"/>
            </w:numPr>
            <w:ind w:left="709"/>
          </w:pPr>
          <w:r>
            <w:t xml:space="preserve">It is true that the Rule 26 provides that the times fixed within the rules may on </w:t>
          </w:r>
          <w:r w:rsidR="00D05A4D">
            <w:t>“</w:t>
          </w:r>
          <w:r>
            <w:t>good cause</w:t>
          </w:r>
          <w:r w:rsidR="00D05A4D">
            <w:t>”</w:t>
          </w:r>
          <w:r>
            <w:t xml:space="preserve"> shown be extended by the Court. This seems of late to be interpreted by parties as a rule of general application to excuse all delays on their part.</w:t>
          </w:r>
        </w:p>
        <w:p w:rsidR="00017E01" w:rsidRDefault="00630CEF" w:rsidP="0074157A">
          <w:pPr>
            <w:pStyle w:val="JudgmentText"/>
            <w:numPr>
              <w:ilvl w:val="0"/>
              <w:numId w:val="7"/>
            </w:numPr>
            <w:ind w:left="709"/>
          </w:pPr>
          <w:r>
            <w:t xml:space="preserve">The record </w:t>
          </w:r>
          <w:r w:rsidR="00D05A4D">
            <w:t xml:space="preserve">in the present case </w:t>
          </w:r>
          <w:r>
            <w:t xml:space="preserve">reflects a substantial, undeniable and unacceptable lack of diligence by all parties. </w:t>
          </w:r>
          <w:r w:rsidR="00017E01">
            <w:t xml:space="preserve">The Court was harsher with </w:t>
          </w:r>
          <w:proofErr w:type="spellStart"/>
          <w:r w:rsidR="00BF3C4B">
            <w:t>Mr.</w:t>
          </w:r>
          <w:proofErr w:type="spellEnd"/>
          <w:r w:rsidR="00BF3C4B">
            <w:t xml:space="preserve"> </w:t>
          </w:r>
          <w:proofErr w:type="spellStart"/>
          <w:r w:rsidR="00BF3C4B">
            <w:t>Bonté</w:t>
          </w:r>
          <w:proofErr w:type="spellEnd"/>
          <w:r w:rsidR="00017E01">
            <w:t xml:space="preserve"> and his submission</w:t>
          </w:r>
          <w:r w:rsidR="00BF3C4B">
            <w:t xml:space="preserve"> was rejected out of hand on the day of the hearing of the appeal as his </w:t>
          </w:r>
          <w:r w:rsidR="00017E01">
            <w:t>heads were filed the lates</w:t>
          </w:r>
          <w:r w:rsidR="00DB3820">
            <w:t>t</w:t>
          </w:r>
          <w:r w:rsidR="00017E01">
            <w:t xml:space="preserve"> and h</w:t>
          </w:r>
          <w:r w:rsidR="00DB3820">
            <w:t>is</w:t>
          </w:r>
          <w:r w:rsidR="00017E01">
            <w:t xml:space="preserve"> </w:t>
          </w:r>
          <w:r w:rsidR="00BF3C4B">
            <w:t xml:space="preserve">explanation </w:t>
          </w:r>
          <w:r>
            <w:t xml:space="preserve">for his delay </w:t>
          </w:r>
          <w:r w:rsidR="00BF3C4B">
            <w:t>was the lamest of all three</w:t>
          </w:r>
          <w:r w:rsidR="00D814A5">
            <w:t xml:space="preserve"> and his “one liner” did not comply with the Rules.</w:t>
          </w:r>
          <w:r w:rsidR="00BF3C4B">
            <w:t xml:space="preserve"> </w:t>
          </w:r>
          <w:r w:rsidR="00017E01">
            <w:t>He claimed to have</w:t>
          </w:r>
          <w:r w:rsidR="00BF3C4B">
            <w:t xml:space="preserve"> </w:t>
          </w:r>
          <w:r w:rsidR="00D05A4D">
            <w:t>had a “heavy workload”, in other words</w:t>
          </w:r>
          <w:r w:rsidR="00D814A5">
            <w:t>,</w:t>
          </w:r>
          <w:r w:rsidR="00D05A4D">
            <w:t xml:space="preserve"> he had been </w:t>
          </w:r>
          <w:r w:rsidR="00BF3C4B">
            <w:t>too busy</w:t>
          </w:r>
          <w:r w:rsidR="00017E01">
            <w:t>.</w:t>
          </w:r>
          <w:r w:rsidR="00BF3C4B">
            <w:t xml:space="preserve"> </w:t>
          </w:r>
          <w:r w:rsidR="0059419A">
            <w:t xml:space="preserve">The Court </w:t>
          </w:r>
          <w:r w:rsidR="00017E01">
            <w:t xml:space="preserve">still has to consider the “laches” of the other parties in this appeal. </w:t>
          </w:r>
        </w:p>
        <w:p w:rsidR="00C76380" w:rsidRDefault="00BA6C2B" w:rsidP="0074157A">
          <w:pPr>
            <w:pStyle w:val="JudgmentText"/>
            <w:numPr>
              <w:ilvl w:val="0"/>
              <w:numId w:val="7"/>
            </w:numPr>
            <w:ind w:left="709"/>
          </w:pPr>
          <w:proofErr w:type="spellStart"/>
          <w:r>
            <w:t>Mr.</w:t>
          </w:r>
          <w:proofErr w:type="spellEnd"/>
          <w:r>
            <w:t xml:space="preserve"> Kumar has not even asked for leave to file his </w:t>
          </w:r>
          <w:r w:rsidR="00C76380">
            <w:t>heads</w:t>
          </w:r>
          <w:r>
            <w:t xml:space="preserve"> out of time. </w:t>
          </w:r>
          <w:r w:rsidR="00C76380">
            <w:t xml:space="preserve">He has presumed his delay is excused. </w:t>
          </w:r>
          <w:proofErr w:type="spellStart"/>
          <w:r>
            <w:t>Mrs.</w:t>
          </w:r>
          <w:proofErr w:type="spellEnd"/>
          <w:r>
            <w:t xml:space="preserve"> </w:t>
          </w:r>
          <w:r w:rsidR="00C76380">
            <w:t>Amesbury</w:t>
          </w:r>
          <w:r>
            <w:t xml:space="preserve"> has supported her </w:t>
          </w:r>
          <w:r w:rsidR="00C76380">
            <w:t>application</w:t>
          </w:r>
          <w:r>
            <w:t xml:space="preserve"> </w:t>
          </w:r>
          <w:r w:rsidR="00C76380">
            <w:t>for</w:t>
          </w:r>
          <w:r>
            <w:t xml:space="preserve"> leave to </w:t>
          </w:r>
          <w:r w:rsidR="00C76380">
            <w:t>file</w:t>
          </w:r>
          <w:r>
            <w:t xml:space="preserve"> out of time with a</w:t>
          </w:r>
          <w:r w:rsidR="00C76380">
            <w:t>n irrelevant medical</w:t>
          </w:r>
          <w:r>
            <w:t xml:space="preserve"> report of her </w:t>
          </w:r>
          <w:r w:rsidR="00C76380">
            <w:t>client dated</w:t>
          </w:r>
          <w:r>
            <w:t xml:space="preserve"> </w:t>
          </w:r>
          <w:r w:rsidR="00C76380">
            <w:t xml:space="preserve">19 September 2012 in which it is stated that </w:t>
          </w:r>
          <w:proofErr w:type="spellStart"/>
          <w:r w:rsidR="00C76380">
            <w:t>Mr.</w:t>
          </w:r>
          <w:proofErr w:type="spellEnd"/>
          <w:r w:rsidR="00C76380">
            <w:t xml:space="preserve"> Sullivan cannot attend court because of ill-health. Are any of the above reasons “good cause”</w:t>
          </w:r>
          <w:r w:rsidR="0059419A">
            <w:t xml:space="preserve"> for not filing heads within the time allocated</w:t>
          </w:r>
          <w:r w:rsidR="00C76380">
            <w:t xml:space="preserve">? </w:t>
          </w:r>
        </w:p>
        <w:p w:rsidR="005E6F45" w:rsidRDefault="005E6F45" w:rsidP="005E6F45">
          <w:pPr>
            <w:pStyle w:val="JudgmentText"/>
            <w:numPr>
              <w:ilvl w:val="0"/>
              <w:numId w:val="0"/>
            </w:numPr>
            <w:ind w:left="709"/>
          </w:pPr>
        </w:p>
        <w:p w:rsidR="00C76380" w:rsidRDefault="00C76380" w:rsidP="0074157A">
          <w:pPr>
            <w:pStyle w:val="ListParagraph"/>
            <w:numPr>
              <w:ilvl w:val="0"/>
              <w:numId w:val="7"/>
            </w:numPr>
            <w:spacing w:line="360" w:lineRule="auto"/>
            <w:ind w:left="709"/>
            <w:jc w:val="both"/>
            <w:rPr>
              <w:sz w:val="24"/>
              <w:szCs w:val="24"/>
            </w:rPr>
          </w:pPr>
          <w:r w:rsidRPr="00C76380">
            <w:rPr>
              <w:sz w:val="24"/>
              <w:szCs w:val="24"/>
            </w:rPr>
            <w:lastRenderedPageBreak/>
            <w:t>The term “good cause” has not been defined in law but has been interpreted</w:t>
          </w:r>
          <w:r>
            <w:rPr>
              <w:sz w:val="24"/>
              <w:szCs w:val="24"/>
            </w:rPr>
            <w:t xml:space="preserve"> by the Courts in a number of cases.  In</w:t>
          </w:r>
          <w:r>
            <w:t xml:space="preserve"> </w:t>
          </w:r>
          <w:r w:rsidRPr="00C76380">
            <w:rPr>
              <w:i/>
              <w:sz w:val="24"/>
              <w:szCs w:val="24"/>
            </w:rPr>
            <w:t>Aglae v Attorney-General</w:t>
          </w:r>
          <w:r w:rsidRPr="00C76380">
            <w:rPr>
              <w:sz w:val="24"/>
              <w:szCs w:val="24"/>
            </w:rPr>
            <w:t xml:space="preserve"> [2011] SCCA 3 (02 March 2011)</w:t>
          </w:r>
          <w:r>
            <w:rPr>
              <w:sz w:val="24"/>
              <w:szCs w:val="24"/>
            </w:rPr>
            <w:t xml:space="preserve"> Fernando JA relied on the authority of </w:t>
          </w:r>
          <w:proofErr w:type="spellStart"/>
          <w:r w:rsidRPr="00C76380">
            <w:rPr>
              <w:i/>
              <w:sz w:val="24"/>
              <w:szCs w:val="24"/>
            </w:rPr>
            <w:t>Ratnam</w:t>
          </w:r>
          <w:proofErr w:type="spellEnd"/>
          <w:r w:rsidRPr="00C76380">
            <w:rPr>
              <w:i/>
              <w:sz w:val="24"/>
              <w:szCs w:val="24"/>
            </w:rPr>
            <w:t xml:space="preserve"> v </w:t>
          </w:r>
          <w:proofErr w:type="spellStart"/>
          <w:r w:rsidRPr="00C76380">
            <w:rPr>
              <w:i/>
              <w:sz w:val="24"/>
              <w:szCs w:val="24"/>
            </w:rPr>
            <w:t>Cumarasamy</w:t>
          </w:r>
          <w:proofErr w:type="spellEnd"/>
          <w:r w:rsidRPr="00C76380">
            <w:rPr>
              <w:i/>
              <w:sz w:val="24"/>
              <w:szCs w:val="24"/>
            </w:rPr>
            <w:t xml:space="preserve"> and Another</w:t>
          </w:r>
          <w:r w:rsidRPr="00C76380">
            <w:rPr>
              <w:sz w:val="24"/>
              <w:szCs w:val="24"/>
            </w:rPr>
            <w:t xml:space="preserve"> [1964] 3 ALL ER 933</w:t>
          </w:r>
          <w:r>
            <w:rPr>
              <w:sz w:val="24"/>
              <w:szCs w:val="24"/>
            </w:rPr>
            <w:t xml:space="preserve"> </w:t>
          </w:r>
          <w:r w:rsidR="00D56E75">
            <w:rPr>
              <w:sz w:val="24"/>
              <w:szCs w:val="24"/>
            </w:rPr>
            <w:t>to d</w:t>
          </w:r>
          <w:r>
            <w:rPr>
              <w:sz w:val="24"/>
              <w:szCs w:val="24"/>
            </w:rPr>
            <w:t xml:space="preserve">ismiss an appeal </w:t>
          </w:r>
          <w:r w:rsidR="00D56E75">
            <w:rPr>
              <w:sz w:val="24"/>
              <w:szCs w:val="24"/>
            </w:rPr>
            <w:t>where</w:t>
          </w:r>
          <w:r>
            <w:rPr>
              <w:sz w:val="24"/>
              <w:szCs w:val="24"/>
            </w:rPr>
            <w:t xml:space="preserve"> the notice of appeal therein was filed four days out of time</w:t>
          </w:r>
          <w:r w:rsidR="00D56E75">
            <w:rPr>
              <w:sz w:val="24"/>
              <w:szCs w:val="24"/>
            </w:rPr>
            <w:t xml:space="preserve"> for the insufficient explanation by the appellant as to why he could not pay the filing fee. </w:t>
          </w:r>
          <w:r>
            <w:rPr>
              <w:sz w:val="24"/>
              <w:szCs w:val="24"/>
            </w:rPr>
            <w:t xml:space="preserve"> </w:t>
          </w:r>
        </w:p>
        <w:p w:rsidR="0059419A" w:rsidRPr="005E6F45" w:rsidRDefault="0059419A" w:rsidP="0074157A">
          <w:pPr>
            <w:spacing w:line="360" w:lineRule="auto"/>
            <w:ind w:left="709"/>
            <w:jc w:val="both"/>
            <w:rPr>
              <w:sz w:val="16"/>
              <w:szCs w:val="16"/>
            </w:rPr>
          </w:pPr>
        </w:p>
        <w:p w:rsidR="00196B05" w:rsidRDefault="00196B05" w:rsidP="0074157A">
          <w:pPr>
            <w:pStyle w:val="JudgmentText"/>
            <w:numPr>
              <w:ilvl w:val="0"/>
              <w:numId w:val="7"/>
            </w:numPr>
            <w:ind w:left="709"/>
          </w:pPr>
          <w:r>
            <w:t xml:space="preserve">Order 3 Rule 4 of the United Kingdom Supreme Court Practice 1997 on a </w:t>
          </w:r>
          <w:r w:rsidR="0059419A">
            <w:t>similar provision</w:t>
          </w:r>
          <w:r>
            <w:t xml:space="preserve"> provides in part:</w:t>
          </w:r>
        </w:p>
        <w:p w:rsidR="00196B05" w:rsidRPr="00950818" w:rsidRDefault="00196B05" w:rsidP="0074157A">
          <w:pPr>
            <w:pStyle w:val="JudgmentText"/>
            <w:numPr>
              <w:ilvl w:val="0"/>
              <w:numId w:val="0"/>
            </w:numPr>
            <w:ind w:left="709"/>
            <w:rPr>
              <w:i/>
            </w:rPr>
          </w:pPr>
          <w:r w:rsidRPr="00950818">
            <w:rPr>
              <w:i/>
            </w:rPr>
            <w:t>"The object of the rule is to give the court a discretion to extend time with a view to the avoidance of injustice to the parties [Schafer v. Blyth [1920] 3 K.B. 143, p. 143 Saunders v. Pawley [1885] 14 Q.B.D. 234, p.237] ‘When an irreparable mischief would be done by acceding to a tardy application, it being a departure from the ordinary practice, the person who has failed to act within the proper time ought to be the sufferer, but in other cases the objection of lateness ought not to be listened to and any injury caused by delay may be compensated for by the payment of costs.’ [</w:t>
          </w:r>
          <w:proofErr w:type="gramStart"/>
          <w:r w:rsidRPr="00950818">
            <w:rPr>
              <w:i/>
            </w:rPr>
            <w:t>per</w:t>
          </w:r>
          <w:proofErr w:type="gramEnd"/>
          <w:r w:rsidRPr="00950818">
            <w:rPr>
              <w:i/>
            </w:rPr>
            <w:t xml:space="preserve"> </w:t>
          </w:r>
          <w:proofErr w:type="spellStart"/>
          <w:r w:rsidRPr="00950818">
            <w:rPr>
              <w:i/>
            </w:rPr>
            <w:t>Bramwell</w:t>
          </w:r>
          <w:proofErr w:type="spellEnd"/>
          <w:r w:rsidRPr="00950818">
            <w:rPr>
              <w:i/>
            </w:rPr>
            <w:t xml:space="preserve"> L.J. in Atwood v. Chichester [1878]3 Q.B.D. 722, p.723, C.A.]. </w:t>
          </w:r>
        </w:p>
        <w:p w:rsidR="00950818" w:rsidRDefault="00D56E75" w:rsidP="0074157A">
          <w:pPr>
            <w:pStyle w:val="ListParagraph"/>
            <w:numPr>
              <w:ilvl w:val="0"/>
              <w:numId w:val="7"/>
            </w:numPr>
            <w:spacing w:line="360" w:lineRule="auto"/>
            <w:ind w:left="709"/>
            <w:rPr>
              <w:sz w:val="24"/>
              <w:szCs w:val="24"/>
            </w:rPr>
          </w:pPr>
          <w:r w:rsidRPr="00D56E75">
            <w:rPr>
              <w:sz w:val="24"/>
              <w:szCs w:val="24"/>
            </w:rPr>
            <w:t xml:space="preserve">Lord Guest in the case of </w:t>
          </w:r>
          <w:proofErr w:type="spellStart"/>
          <w:r w:rsidRPr="00D56E75">
            <w:rPr>
              <w:i/>
              <w:sz w:val="24"/>
              <w:szCs w:val="24"/>
            </w:rPr>
            <w:t>Ratnam</w:t>
          </w:r>
          <w:proofErr w:type="spellEnd"/>
          <w:r w:rsidRPr="00D56E75">
            <w:rPr>
              <w:i/>
              <w:sz w:val="24"/>
              <w:szCs w:val="24"/>
            </w:rPr>
            <w:t xml:space="preserve"> v </w:t>
          </w:r>
          <w:proofErr w:type="spellStart"/>
          <w:r w:rsidRPr="00D56E75">
            <w:rPr>
              <w:i/>
              <w:sz w:val="24"/>
              <w:szCs w:val="24"/>
            </w:rPr>
            <w:t>Cumarasamy</w:t>
          </w:r>
          <w:proofErr w:type="spellEnd"/>
          <w:r w:rsidRPr="00D56E75">
            <w:rPr>
              <w:i/>
              <w:sz w:val="24"/>
              <w:szCs w:val="24"/>
            </w:rPr>
            <w:t xml:space="preserve"> and Another</w:t>
          </w:r>
          <w:r w:rsidRPr="00D56E75">
            <w:rPr>
              <w:sz w:val="24"/>
              <w:szCs w:val="24"/>
            </w:rPr>
            <w:t xml:space="preserve"> [1964] 3 ALL ER 933 provide</w:t>
          </w:r>
          <w:r>
            <w:rPr>
              <w:sz w:val="24"/>
              <w:szCs w:val="24"/>
            </w:rPr>
            <w:t>d</w:t>
          </w:r>
          <w:r w:rsidRPr="00D56E75">
            <w:rPr>
              <w:sz w:val="24"/>
              <w:szCs w:val="24"/>
            </w:rPr>
            <w:t xml:space="preserve"> some useful guidelines in dealing with </w:t>
          </w:r>
          <w:r>
            <w:rPr>
              <w:sz w:val="24"/>
              <w:szCs w:val="24"/>
            </w:rPr>
            <w:t>delay</w:t>
          </w:r>
          <w:r w:rsidRPr="00D56E75">
            <w:rPr>
              <w:sz w:val="24"/>
              <w:szCs w:val="24"/>
            </w:rPr>
            <w:t>. At page 935 he states</w:t>
          </w:r>
          <w:r w:rsidR="00950818">
            <w:rPr>
              <w:sz w:val="24"/>
              <w:szCs w:val="24"/>
            </w:rPr>
            <w:t xml:space="preserve"> –</w:t>
          </w:r>
          <w:r w:rsidRPr="00D56E75">
            <w:rPr>
              <w:sz w:val="24"/>
              <w:szCs w:val="24"/>
            </w:rPr>
            <w:t xml:space="preserve"> </w:t>
          </w:r>
        </w:p>
        <w:p w:rsidR="00950818" w:rsidRPr="005E6F45" w:rsidRDefault="00950818" w:rsidP="0074157A">
          <w:pPr>
            <w:spacing w:line="360" w:lineRule="auto"/>
            <w:ind w:left="709"/>
            <w:rPr>
              <w:sz w:val="16"/>
              <w:szCs w:val="16"/>
            </w:rPr>
          </w:pPr>
        </w:p>
        <w:p w:rsidR="00D56E75" w:rsidRPr="00950818" w:rsidRDefault="00950818" w:rsidP="00317D4E">
          <w:pPr>
            <w:spacing w:line="360" w:lineRule="auto"/>
            <w:ind w:left="709"/>
            <w:jc w:val="both"/>
            <w:rPr>
              <w:i/>
              <w:sz w:val="24"/>
              <w:szCs w:val="24"/>
            </w:rPr>
          </w:pPr>
          <w:r w:rsidRPr="00950818">
            <w:rPr>
              <w:sz w:val="24"/>
              <w:szCs w:val="24"/>
            </w:rPr>
            <w:t>“</w:t>
          </w:r>
          <w:r w:rsidR="00D56E75" w:rsidRPr="00950818">
            <w:rPr>
              <w:i/>
              <w:sz w:val="24"/>
              <w:szCs w:val="24"/>
            </w:rPr>
            <w:t>The rules of Court must, prima facie, be obeyed, and, in order to justify a court in extending the time during which some step in procedure requires to be taken, there must be some material on which the Court can exercise its discretion. If the law were otherwise, a party in breach would have an unqualified right to an extension of time which would defeat the purpose of the rules which is to provide a timetable for the conduct of litigation.”</w:t>
          </w:r>
        </w:p>
        <w:p w:rsidR="00D56E75" w:rsidRPr="005E6F45" w:rsidRDefault="00D56E75" w:rsidP="0074157A">
          <w:pPr>
            <w:spacing w:line="360" w:lineRule="auto"/>
            <w:ind w:left="709"/>
            <w:rPr>
              <w:sz w:val="16"/>
              <w:szCs w:val="16"/>
            </w:rPr>
          </w:pPr>
        </w:p>
        <w:p w:rsidR="005E6F45" w:rsidRDefault="00D56E75" w:rsidP="005E6F45">
          <w:pPr>
            <w:pStyle w:val="ListParagraph"/>
            <w:numPr>
              <w:ilvl w:val="0"/>
              <w:numId w:val="7"/>
            </w:numPr>
            <w:spacing w:line="360" w:lineRule="auto"/>
            <w:ind w:left="709"/>
            <w:jc w:val="both"/>
            <w:rPr>
              <w:sz w:val="24"/>
              <w:szCs w:val="24"/>
            </w:rPr>
          </w:pPr>
          <w:r>
            <w:rPr>
              <w:sz w:val="24"/>
              <w:szCs w:val="24"/>
            </w:rPr>
            <w:t xml:space="preserve">In </w:t>
          </w:r>
          <w:r w:rsidRPr="00950818">
            <w:rPr>
              <w:i/>
              <w:sz w:val="24"/>
              <w:szCs w:val="24"/>
            </w:rPr>
            <w:t>Norwich and Peterborough Building Society v Steed</w:t>
          </w:r>
          <w:r w:rsidRPr="00D56E75">
            <w:rPr>
              <w:sz w:val="24"/>
              <w:szCs w:val="24"/>
            </w:rPr>
            <w:t xml:space="preserve"> CA ([1991</w:t>
          </w:r>
          <w:r w:rsidR="00950818">
            <w:rPr>
              <w:sz w:val="24"/>
              <w:szCs w:val="24"/>
            </w:rPr>
            <w:t xml:space="preserve">] </w:t>
          </w:r>
          <w:r w:rsidRPr="00D56E75">
            <w:rPr>
              <w:sz w:val="24"/>
              <w:szCs w:val="24"/>
            </w:rPr>
            <w:t>2 AER 880</w:t>
          </w:r>
          <w:r w:rsidR="0059419A">
            <w:rPr>
              <w:sz w:val="24"/>
              <w:szCs w:val="24"/>
            </w:rPr>
            <w:t>,</w:t>
          </w:r>
          <w:r w:rsidRPr="00D56E75">
            <w:rPr>
              <w:sz w:val="24"/>
              <w:szCs w:val="24"/>
            </w:rPr>
            <w:t xml:space="preserve"> </w:t>
          </w:r>
          <w:r w:rsidR="00196B05">
            <w:rPr>
              <w:sz w:val="24"/>
              <w:szCs w:val="24"/>
            </w:rPr>
            <w:t xml:space="preserve">the Court stated that </w:t>
          </w:r>
          <w:r w:rsidRPr="00D56E75">
            <w:rPr>
              <w:sz w:val="24"/>
              <w:szCs w:val="24"/>
            </w:rPr>
            <w:t xml:space="preserve">the matters </w:t>
          </w:r>
          <w:r w:rsidR="00D814A5">
            <w:rPr>
              <w:sz w:val="24"/>
              <w:szCs w:val="24"/>
            </w:rPr>
            <w:t>it</w:t>
          </w:r>
          <w:r w:rsidRPr="00D56E75">
            <w:rPr>
              <w:sz w:val="24"/>
              <w:szCs w:val="24"/>
            </w:rPr>
            <w:t xml:space="preserve"> takes into account in deciding whether to grant an extension of time are </w:t>
          </w:r>
          <w:r w:rsidR="005E6F45">
            <w:rPr>
              <w:sz w:val="24"/>
              <w:szCs w:val="24"/>
            </w:rPr>
            <w:t xml:space="preserve"> </w:t>
          </w:r>
          <w:r w:rsidRPr="00D56E75">
            <w:rPr>
              <w:sz w:val="24"/>
              <w:szCs w:val="24"/>
            </w:rPr>
            <w:t>the following: 1. the length of the delay; 2. the reasons for the delay; 3. the chances</w:t>
          </w:r>
        </w:p>
        <w:p w:rsidR="005E6F45" w:rsidRDefault="005E6F45" w:rsidP="005E6F45">
          <w:pPr>
            <w:pStyle w:val="ListParagraph"/>
            <w:spacing w:line="360" w:lineRule="auto"/>
            <w:ind w:left="709"/>
            <w:jc w:val="both"/>
            <w:rPr>
              <w:sz w:val="24"/>
              <w:szCs w:val="24"/>
            </w:rPr>
          </w:pPr>
        </w:p>
        <w:p w:rsidR="004E2095" w:rsidRDefault="004E2095" w:rsidP="005E6F45">
          <w:pPr>
            <w:pStyle w:val="ListParagraph"/>
            <w:spacing w:line="360" w:lineRule="auto"/>
            <w:ind w:left="709"/>
            <w:jc w:val="both"/>
            <w:rPr>
              <w:sz w:val="24"/>
              <w:szCs w:val="24"/>
            </w:rPr>
          </w:pPr>
        </w:p>
        <w:p w:rsidR="00D56E75" w:rsidRDefault="00D56E75" w:rsidP="005E6F45">
          <w:pPr>
            <w:pStyle w:val="ListParagraph"/>
            <w:spacing w:line="360" w:lineRule="auto"/>
            <w:ind w:left="709"/>
            <w:jc w:val="both"/>
            <w:rPr>
              <w:sz w:val="24"/>
              <w:szCs w:val="24"/>
            </w:rPr>
          </w:pPr>
          <w:proofErr w:type="gramStart"/>
          <w:r w:rsidRPr="00D56E75">
            <w:rPr>
              <w:sz w:val="24"/>
              <w:szCs w:val="24"/>
            </w:rPr>
            <w:lastRenderedPageBreak/>
            <w:t>of</w:t>
          </w:r>
          <w:proofErr w:type="gramEnd"/>
          <w:r w:rsidRPr="00D56E75">
            <w:rPr>
              <w:sz w:val="24"/>
              <w:szCs w:val="24"/>
            </w:rPr>
            <w:t xml:space="preserve"> the appeal succeeding if the application is granted; and 4. </w:t>
          </w:r>
          <w:proofErr w:type="gramStart"/>
          <w:r w:rsidRPr="00D56E75">
            <w:rPr>
              <w:sz w:val="24"/>
              <w:szCs w:val="24"/>
            </w:rPr>
            <w:t>the</w:t>
          </w:r>
          <w:proofErr w:type="gramEnd"/>
          <w:r w:rsidRPr="00D56E75">
            <w:rPr>
              <w:sz w:val="24"/>
              <w:szCs w:val="24"/>
            </w:rPr>
            <w:t xml:space="preserve"> degree of prejudice to the respondent.</w:t>
          </w:r>
        </w:p>
        <w:p w:rsidR="00950818" w:rsidRPr="00950818" w:rsidRDefault="00950818" w:rsidP="0074157A">
          <w:pPr>
            <w:spacing w:line="360" w:lineRule="auto"/>
            <w:ind w:left="709"/>
            <w:rPr>
              <w:sz w:val="24"/>
              <w:szCs w:val="24"/>
            </w:rPr>
          </w:pPr>
        </w:p>
        <w:p w:rsidR="00B85B3C" w:rsidRDefault="00196B05" w:rsidP="0074157A">
          <w:pPr>
            <w:pStyle w:val="JudgmentText"/>
            <w:numPr>
              <w:ilvl w:val="0"/>
              <w:numId w:val="7"/>
            </w:numPr>
            <w:ind w:left="709"/>
          </w:pPr>
          <w:r>
            <w:t xml:space="preserve">In applying these principles we do not find that the </w:t>
          </w:r>
          <w:r w:rsidR="00235A3E">
            <w:t>delay</w:t>
          </w:r>
          <w:r w:rsidR="00D814A5">
            <w:t xml:space="preserve"> in the filing of documents in the present appeal </w:t>
          </w:r>
          <w:r w:rsidR="00864474">
            <w:t xml:space="preserve">is </w:t>
          </w:r>
          <w:r w:rsidR="00B85B3C">
            <w:t xml:space="preserve">excusable. We find that that </w:t>
          </w:r>
          <w:r w:rsidR="00BA6C2B">
            <w:t>there is</w:t>
          </w:r>
          <w:r w:rsidR="00B85B3C">
            <w:t xml:space="preserve"> on the side of </w:t>
          </w:r>
          <w:proofErr w:type="spellStart"/>
          <w:r w:rsidR="00B85B3C">
            <w:t>Mr.</w:t>
          </w:r>
          <w:proofErr w:type="spellEnd"/>
          <w:r w:rsidR="00B85B3C">
            <w:t xml:space="preserve"> Kumar no explanation and on the part of </w:t>
          </w:r>
          <w:proofErr w:type="spellStart"/>
          <w:r w:rsidR="00B85B3C">
            <w:t>Mrs.</w:t>
          </w:r>
          <w:proofErr w:type="spellEnd"/>
          <w:r w:rsidR="00B85B3C">
            <w:t xml:space="preserve"> Amesbury</w:t>
          </w:r>
          <w:r w:rsidR="00BA6C2B">
            <w:t xml:space="preserve"> no plausible explanation for </w:t>
          </w:r>
          <w:r w:rsidR="00B85B3C">
            <w:t>the</w:t>
          </w:r>
          <w:r w:rsidR="00BA6C2B">
            <w:t xml:space="preserve"> delay in filing </w:t>
          </w:r>
          <w:r w:rsidR="00B85B3C">
            <w:t xml:space="preserve">their documents. </w:t>
          </w:r>
        </w:p>
        <w:p w:rsidR="00B85B3C" w:rsidRDefault="00B85B3C" w:rsidP="0074157A">
          <w:pPr>
            <w:pStyle w:val="JudgmentText"/>
            <w:numPr>
              <w:ilvl w:val="0"/>
              <w:numId w:val="7"/>
            </w:numPr>
            <w:ind w:left="709"/>
          </w:pPr>
          <w:r>
            <w:t xml:space="preserve">In any case we do not see any chances of the appeal succeeding. </w:t>
          </w:r>
          <w:r w:rsidR="00D814A5">
            <w:t xml:space="preserve">We do not find that the trial judge could be faulted in his decision. </w:t>
          </w:r>
          <w:r>
            <w:t>We state in passing that no regard was paid by the Appellants in terms of Article 2279 of the Civil Code which raises a presumption of ownership in the possession of movables. We are also unable to understand why the Appellants without a court order removed the vehicle from the possession of the First Respondent and placed it with the Second Respondent</w:t>
          </w:r>
          <w:r w:rsidR="00D814A5">
            <w:t>.</w:t>
          </w:r>
          <w:r>
            <w:t xml:space="preserve"> In our view the</w:t>
          </w:r>
          <w:r w:rsidR="00D814A5">
            <w:t xml:space="preserve"> Appellants </w:t>
          </w:r>
          <w:r>
            <w:t xml:space="preserve">got off lightly in terms of the ultimate orders of the Supreme Court. </w:t>
          </w:r>
        </w:p>
        <w:p w:rsidR="00BA6C2B" w:rsidRDefault="00B85B3C" w:rsidP="0074157A">
          <w:pPr>
            <w:pStyle w:val="JudgmentText"/>
            <w:numPr>
              <w:ilvl w:val="0"/>
              <w:numId w:val="7"/>
            </w:numPr>
            <w:ind w:left="709"/>
          </w:pPr>
          <w:r>
            <w:t xml:space="preserve">We state in the strongest possible terms that this Court </w:t>
          </w:r>
          <w:r w:rsidR="00BA6C2B">
            <w:t xml:space="preserve">will almost invariably dismiss an application to extend time </w:t>
          </w:r>
          <w:r>
            <w:t>in the appeal process</w:t>
          </w:r>
          <w:r w:rsidR="00BA6C2B">
            <w:t xml:space="preserve">. </w:t>
          </w:r>
          <w:r>
            <w:t xml:space="preserve">Where there is </w:t>
          </w:r>
          <w:r w:rsidR="00BA6C2B">
            <w:t xml:space="preserve">a permissive statutory provision allowing </w:t>
          </w:r>
          <w:proofErr w:type="spellStart"/>
          <w:r w:rsidR="00BA6C2B">
            <w:t>condonation</w:t>
          </w:r>
          <w:proofErr w:type="spellEnd"/>
          <w:r w:rsidR="00BA6C2B">
            <w:t xml:space="preserve"> of delay</w:t>
          </w:r>
          <w:r>
            <w:t xml:space="preserve">, the Court will </w:t>
          </w:r>
          <w:r w:rsidR="00BA6C2B">
            <w:t xml:space="preserve">interpret </w:t>
          </w:r>
          <w:r>
            <w:t xml:space="preserve">the </w:t>
          </w:r>
          <w:r w:rsidR="00BA6C2B">
            <w:t xml:space="preserve">statutory provision </w:t>
          </w:r>
          <w:r>
            <w:t>as</w:t>
          </w:r>
          <w:r w:rsidR="00BA6C2B">
            <w:t xml:space="preserve"> to read </w:t>
          </w:r>
          <w:r>
            <w:t>t</w:t>
          </w:r>
          <w:r w:rsidR="00BA6C2B">
            <w:t xml:space="preserve">hat applications for </w:t>
          </w:r>
          <w:proofErr w:type="spellStart"/>
          <w:r w:rsidR="00BA6C2B">
            <w:t>condonation</w:t>
          </w:r>
          <w:proofErr w:type="spellEnd"/>
          <w:r w:rsidR="00BA6C2B">
            <w:t xml:space="preserve"> of delay should be rejected </w:t>
          </w:r>
          <w:r w:rsidR="00BA6C2B" w:rsidRPr="00864474">
            <w:rPr>
              <w:i/>
            </w:rPr>
            <w:t>unless</w:t>
          </w:r>
          <w:r w:rsidR="00BA6C2B">
            <w:t xml:space="preserve"> good reason is shown</w:t>
          </w:r>
          <w:r w:rsidR="00942D3D">
            <w:t>.</w:t>
          </w:r>
          <w:r w:rsidR="00BA6C2B">
            <w:t xml:space="preserve"> </w:t>
          </w:r>
        </w:p>
        <w:p w:rsidR="00017E01" w:rsidRDefault="00017E01" w:rsidP="0074157A">
          <w:pPr>
            <w:pStyle w:val="JudgmentText"/>
            <w:numPr>
              <w:ilvl w:val="0"/>
              <w:numId w:val="7"/>
            </w:numPr>
            <w:ind w:left="709"/>
          </w:pPr>
          <w:r>
            <w:t xml:space="preserve">Litigants and their counsel are not at liberty to ignore </w:t>
          </w:r>
          <w:r w:rsidR="00942D3D">
            <w:t>legal provisions</w:t>
          </w:r>
          <w:r>
            <w:t xml:space="preserve"> at their discretion</w:t>
          </w:r>
          <w:r w:rsidR="00D814A5">
            <w:t>.</w:t>
          </w:r>
          <w:r>
            <w:t xml:space="preserve"> The deadlines</w:t>
          </w:r>
          <w:r w:rsidR="00942D3D">
            <w:t xml:space="preserve"> </w:t>
          </w:r>
          <w:r>
            <w:t xml:space="preserve">imposed by the Rules and </w:t>
          </w:r>
          <w:r w:rsidR="00942D3D">
            <w:t xml:space="preserve">Practice Directions of this </w:t>
          </w:r>
          <w:r>
            <w:t>Court are designed for orderly case</w:t>
          </w:r>
          <w:r w:rsidR="00942D3D">
            <w:t xml:space="preserve"> </w:t>
          </w:r>
          <w:r>
            <w:t xml:space="preserve">management, and counsel </w:t>
          </w:r>
          <w:r w:rsidR="00942D3D">
            <w:t xml:space="preserve">who </w:t>
          </w:r>
          <w:r>
            <w:t xml:space="preserve">ignore those deadlines </w:t>
          </w:r>
          <w:r w:rsidR="00942D3D">
            <w:t xml:space="preserve">do so </w:t>
          </w:r>
          <w:r>
            <w:t xml:space="preserve">at </w:t>
          </w:r>
          <w:r w:rsidR="00942D3D">
            <w:t>their and</w:t>
          </w:r>
          <w:r>
            <w:t xml:space="preserve">, more importantly, </w:t>
          </w:r>
          <w:r w:rsidR="00942D3D">
            <w:t>their</w:t>
          </w:r>
          <w:r>
            <w:t xml:space="preserve"> clients</w:t>
          </w:r>
          <w:r w:rsidR="00864474">
            <w:t>’</w:t>
          </w:r>
          <w:r w:rsidR="00942D3D">
            <w:t xml:space="preserve"> </w:t>
          </w:r>
          <w:r>
            <w:t>peril.</w:t>
          </w:r>
        </w:p>
        <w:p w:rsidR="00942D3D" w:rsidRPr="00942D3D" w:rsidRDefault="00942D3D" w:rsidP="0074157A">
          <w:pPr>
            <w:pStyle w:val="JudgmentText"/>
            <w:numPr>
              <w:ilvl w:val="0"/>
              <w:numId w:val="0"/>
            </w:numPr>
            <w:ind w:left="709"/>
          </w:pPr>
          <w:r w:rsidRPr="00BA6C2B">
            <w:rPr>
              <w:b/>
            </w:rPr>
            <w:t>Conclusion and Order</w:t>
          </w:r>
        </w:p>
        <w:p w:rsidR="001024D2" w:rsidRDefault="00942D3D" w:rsidP="0074157A">
          <w:pPr>
            <w:pStyle w:val="JudgmentText"/>
            <w:numPr>
              <w:ilvl w:val="0"/>
              <w:numId w:val="0"/>
            </w:numPr>
            <w:ind w:left="709"/>
          </w:pPr>
          <w:r>
            <w:t xml:space="preserve">For these reasons we are unable to condone the delay by the Appellants and Respondents in this appeal and have no hesitation in dismissing it in its entirety. </w:t>
          </w:r>
        </w:p>
        <w:p w:rsidR="005E6F45" w:rsidRDefault="005E6F45" w:rsidP="0074157A">
          <w:pPr>
            <w:pStyle w:val="JudgmentText"/>
            <w:numPr>
              <w:ilvl w:val="0"/>
              <w:numId w:val="0"/>
            </w:numPr>
            <w:ind w:left="709"/>
          </w:pPr>
        </w:p>
        <w:p w:rsidR="005E6F45" w:rsidRDefault="005E6F45" w:rsidP="0074157A">
          <w:pPr>
            <w:pStyle w:val="JudgmentText"/>
            <w:numPr>
              <w:ilvl w:val="0"/>
              <w:numId w:val="0"/>
            </w:numPr>
            <w:ind w:left="709"/>
          </w:pPr>
        </w:p>
        <w:p w:rsidR="00017E01" w:rsidRDefault="000F372C" w:rsidP="0074157A">
          <w:pPr>
            <w:pStyle w:val="JudgmentText"/>
            <w:numPr>
              <w:ilvl w:val="0"/>
              <w:numId w:val="0"/>
            </w:numPr>
            <w:ind w:left="709"/>
          </w:pPr>
        </w:p>
      </w:sdtContent>
    </w:sdt>
    <w:p w:rsidR="00AD63F9" w:rsidRPr="00BD7752" w:rsidRDefault="00017E01" w:rsidP="00942D3D">
      <w:pPr>
        <w:pStyle w:val="JudgmentText"/>
        <w:numPr>
          <w:ilvl w:val="0"/>
          <w:numId w:val="0"/>
        </w:numPr>
        <w:rPr>
          <w:b/>
        </w:rPr>
      </w:pPr>
      <w:r w:rsidRPr="00017E01">
        <w:rPr>
          <w:rFonts w:ascii="Arial" w:hAnsi="Arial" w:cs="Arial"/>
          <w:color w:val="212121"/>
          <w:lang w:eastAsia="en-GB"/>
        </w:rPr>
        <w:t xml:space="preserve"> </w:t>
      </w:r>
      <w:r w:rsidR="00693C70">
        <w:rPr>
          <w:highlight w:val="lightGray"/>
        </w:rPr>
        <w:fldChar w:fldCharType="begin"/>
      </w:r>
      <w:r w:rsidR="007C2809">
        <w:rPr>
          <w:highlight w:val="lightGray"/>
        </w:rPr>
        <w:instrText xml:space="preserve">  </w:instrText>
      </w:r>
      <w:r w:rsidR="00693C70">
        <w:rPr>
          <w:highlight w:val="lightGray"/>
        </w:rPr>
        <w:fldChar w:fldCharType="end"/>
      </w:r>
      <w:sdt>
        <w:sdtPr>
          <w:rPr>
            <w:b/>
            <w:sz w:val="28"/>
            <w:szCs w:val="28"/>
          </w:rPr>
          <w:id w:val="22920303"/>
          <w:placeholder>
            <w:docPart w:val="C19868444A45499B87A32B3E6CF5DDA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42D3D">
            <w:rPr>
              <w:b/>
              <w:sz w:val="28"/>
              <w:szCs w:val="28"/>
            </w:rPr>
            <w:t>M. Twomey (J.A)</w:t>
          </w:r>
        </w:sdtContent>
      </w:sdt>
    </w:p>
    <w:sdt>
      <w:sdtPr>
        <w:rPr>
          <w:b/>
          <w:sz w:val="24"/>
          <w:szCs w:val="24"/>
        </w:rPr>
        <w:id w:val="4919265"/>
        <w:placeholder>
          <w:docPart w:val="D736AFFAD4934303AF268DFDF6930BCE"/>
        </w:placeholder>
        <w:docPartList>
          <w:docPartGallery w:val="Quick Parts"/>
        </w:docPartList>
      </w:sdtPr>
      <w:sdtEndPr/>
      <w:sdtContent>
        <w:p w:rsidR="00AD63F9" w:rsidRPr="00681C76" w:rsidRDefault="000F372C" w:rsidP="00AD63F9">
          <w:pPr>
            <w:spacing w:before="360" w:after="240" w:line="480" w:lineRule="auto"/>
            <w:rPr>
              <w:b/>
              <w:sz w:val="24"/>
              <w:szCs w:val="24"/>
            </w:rPr>
          </w:pPr>
          <w:sdt>
            <w:sdtPr>
              <w:rPr>
                <w:b/>
                <w:sz w:val="24"/>
                <w:szCs w:val="24"/>
              </w:rPr>
              <w:id w:val="4919266"/>
              <w:lock w:val="contentLocked"/>
              <w:placeholder>
                <w:docPart w:val="F9FE1112516E432A8B793C3F500B08E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2B05BB0E9B648E6A14DEA71C409F7D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42D3D">
                <w:rPr>
                  <w:sz w:val="24"/>
                  <w:szCs w:val="24"/>
                </w:rPr>
                <w:t>B. Renaud JA</w:t>
              </w:r>
            </w:sdtContent>
          </w:sdt>
        </w:p>
      </w:sdtContent>
    </w:sdt>
    <w:sdt>
      <w:sdtPr>
        <w:rPr>
          <w:b/>
          <w:sz w:val="24"/>
          <w:szCs w:val="24"/>
        </w:rPr>
        <w:id w:val="4919458"/>
        <w:placeholder>
          <w:docPart w:val="71F3CCC6F47C4A648E2AF9AD75A3E953"/>
        </w:placeholder>
        <w:docPartList>
          <w:docPartGallery w:val="Quick Parts"/>
        </w:docPartList>
      </w:sdtPr>
      <w:sdtEndPr/>
      <w:sdtContent>
        <w:p w:rsidR="00AD63F9" w:rsidRPr="00681C76" w:rsidRDefault="000F372C" w:rsidP="00AD63F9">
          <w:pPr>
            <w:spacing w:before="360" w:after="240" w:line="480" w:lineRule="auto"/>
            <w:rPr>
              <w:b/>
              <w:sz w:val="24"/>
              <w:szCs w:val="24"/>
            </w:rPr>
          </w:pPr>
          <w:sdt>
            <w:sdtPr>
              <w:rPr>
                <w:b/>
                <w:sz w:val="24"/>
                <w:szCs w:val="24"/>
              </w:rPr>
              <w:id w:val="4919459"/>
              <w:lock w:val="contentLocked"/>
              <w:placeholder>
                <w:docPart w:val="809CCDEFA8AD451E8B9D7BF6AADDFBF4"/>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90411787C4B4EBAA480AA347A878AE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42D3D">
                <w:rPr>
                  <w:sz w:val="24"/>
                  <w:szCs w:val="24"/>
                </w:rPr>
                <w:t>F. Robinson JA</w:t>
              </w:r>
            </w:sdtContent>
          </w:sdt>
        </w:p>
      </w:sdtContent>
    </w:sdt>
    <w:p w:rsidR="0087722C" w:rsidRDefault="0087722C" w:rsidP="007F351F">
      <w:pPr>
        <w:rPr>
          <w:b/>
          <w:sz w:val="28"/>
          <w:szCs w:val="28"/>
        </w:rPr>
      </w:pPr>
    </w:p>
    <w:p w:rsidR="00681C76" w:rsidRPr="00503E49" w:rsidRDefault="000F372C"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F47D13D704754BE1A0384EC41FEA4E2D"/>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2B96F517BB444A44805F4B505706555B"/>
          </w:placeholder>
          <w:date w:fullDate="2018-05-11T00:00:00Z">
            <w:dateFormat w:val="dd MMMM yyyy"/>
            <w:lid w:val="en-GB"/>
            <w:storeMappedDataAs w:val="dateTime"/>
            <w:calendar w:val="gregorian"/>
          </w:date>
        </w:sdtPr>
        <w:sdtEndPr/>
        <w:sdtContent>
          <w:r w:rsidR="00942D3D">
            <w:rPr>
              <w:sz w:val="24"/>
              <w:szCs w:val="24"/>
            </w:rPr>
            <w:t>11 May 2018</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2C" w:rsidRDefault="000F372C" w:rsidP="00DB6D34">
      <w:r>
        <w:separator/>
      </w:r>
    </w:p>
  </w:endnote>
  <w:endnote w:type="continuationSeparator" w:id="0">
    <w:p w:rsidR="000F372C" w:rsidRDefault="000F372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CEF" w:rsidRDefault="00630CEF">
    <w:pPr>
      <w:pStyle w:val="Footer"/>
      <w:jc w:val="center"/>
    </w:pPr>
    <w:r>
      <w:fldChar w:fldCharType="begin"/>
    </w:r>
    <w:r>
      <w:instrText xml:space="preserve"> PAGE   \* MERGEFORMAT </w:instrText>
    </w:r>
    <w:r>
      <w:fldChar w:fldCharType="separate"/>
    </w:r>
    <w:r w:rsidR="001E562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2C" w:rsidRDefault="000F372C" w:rsidP="00DB6D34">
      <w:r>
        <w:separator/>
      </w:r>
    </w:p>
  </w:footnote>
  <w:footnote w:type="continuationSeparator" w:id="0">
    <w:p w:rsidR="000F372C" w:rsidRDefault="000F372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F282766"/>
    <w:multiLevelType w:val="hybridMultilevel"/>
    <w:tmpl w:val="3FE6B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800127"/>
    <w:multiLevelType w:val="hybridMultilevel"/>
    <w:tmpl w:val="BA4EF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786"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87"/>
    <w:rsid w:val="0000071D"/>
    <w:rsid w:val="000043B1"/>
    <w:rsid w:val="00005BEF"/>
    <w:rsid w:val="00006B15"/>
    <w:rsid w:val="00015E11"/>
    <w:rsid w:val="00017E01"/>
    <w:rsid w:val="00017F12"/>
    <w:rsid w:val="0002497E"/>
    <w:rsid w:val="00030C81"/>
    <w:rsid w:val="0006489F"/>
    <w:rsid w:val="00075573"/>
    <w:rsid w:val="00091036"/>
    <w:rsid w:val="00097B9A"/>
    <w:rsid w:val="000A10B8"/>
    <w:rsid w:val="000C5AB2"/>
    <w:rsid w:val="000D1DD3"/>
    <w:rsid w:val="000E39A5"/>
    <w:rsid w:val="000E62C2"/>
    <w:rsid w:val="000E7400"/>
    <w:rsid w:val="000F1C37"/>
    <w:rsid w:val="000F372C"/>
    <w:rsid w:val="001008BC"/>
    <w:rsid w:val="00101D12"/>
    <w:rsid w:val="001024D2"/>
    <w:rsid w:val="00102EE1"/>
    <w:rsid w:val="00117CBF"/>
    <w:rsid w:val="00126A10"/>
    <w:rsid w:val="001376AB"/>
    <w:rsid w:val="00144612"/>
    <w:rsid w:val="00154AE2"/>
    <w:rsid w:val="0016510C"/>
    <w:rsid w:val="00171F06"/>
    <w:rsid w:val="00180158"/>
    <w:rsid w:val="00185139"/>
    <w:rsid w:val="00186F92"/>
    <w:rsid w:val="00196B05"/>
    <w:rsid w:val="00197E07"/>
    <w:rsid w:val="001B6E9A"/>
    <w:rsid w:val="001E3539"/>
    <w:rsid w:val="001E4ED8"/>
    <w:rsid w:val="001E5623"/>
    <w:rsid w:val="001E576A"/>
    <w:rsid w:val="001F1552"/>
    <w:rsid w:val="00201C0E"/>
    <w:rsid w:val="0020244B"/>
    <w:rsid w:val="00231C17"/>
    <w:rsid w:val="00235A3E"/>
    <w:rsid w:val="00236AAC"/>
    <w:rsid w:val="002409A2"/>
    <w:rsid w:val="0024353F"/>
    <w:rsid w:val="00260567"/>
    <w:rsid w:val="0028244A"/>
    <w:rsid w:val="00290CE4"/>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17D4E"/>
    <w:rsid w:val="00337A6E"/>
    <w:rsid w:val="00351657"/>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E78A2"/>
    <w:rsid w:val="003F0F8D"/>
    <w:rsid w:val="004156B9"/>
    <w:rsid w:val="004217B9"/>
    <w:rsid w:val="00422293"/>
    <w:rsid w:val="00445BFA"/>
    <w:rsid w:val="00452BB6"/>
    <w:rsid w:val="0046133B"/>
    <w:rsid w:val="004639C0"/>
    <w:rsid w:val="004706DB"/>
    <w:rsid w:val="004873AB"/>
    <w:rsid w:val="0049369B"/>
    <w:rsid w:val="004A2A8B"/>
    <w:rsid w:val="004B76F8"/>
    <w:rsid w:val="004C3D80"/>
    <w:rsid w:val="004E2095"/>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19A"/>
    <w:rsid w:val="00594FAC"/>
    <w:rsid w:val="005E6F45"/>
    <w:rsid w:val="005F3AAB"/>
    <w:rsid w:val="005F5FB0"/>
    <w:rsid w:val="00606587"/>
    <w:rsid w:val="00606EEA"/>
    <w:rsid w:val="00616597"/>
    <w:rsid w:val="006174DB"/>
    <w:rsid w:val="006179EC"/>
    <w:rsid w:val="00621984"/>
    <w:rsid w:val="00630CEF"/>
    <w:rsid w:val="0064007C"/>
    <w:rsid w:val="0064023C"/>
    <w:rsid w:val="006578C2"/>
    <w:rsid w:val="00666D33"/>
    <w:rsid w:val="00675D5C"/>
    <w:rsid w:val="00681C76"/>
    <w:rsid w:val="00692AAB"/>
    <w:rsid w:val="00693C70"/>
    <w:rsid w:val="006A2C88"/>
    <w:rsid w:val="006A58E4"/>
    <w:rsid w:val="006D0D9B"/>
    <w:rsid w:val="006D36C9"/>
    <w:rsid w:val="006D62D0"/>
    <w:rsid w:val="006F2C79"/>
    <w:rsid w:val="006F4C08"/>
    <w:rsid w:val="0071190B"/>
    <w:rsid w:val="007175A6"/>
    <w:rsid w:val="0074157A"/>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1887"/>
    <w:rsid w:val="00807411"/>
    <w:rsid w:val="00814CF5"/>
    <w:rsid w:val="00816425"/>
    <w:rsid w:val="008165C0"/>
    <w:rsid w:val="00821758"/>
    <w:rsid w:val="00823079"/>
    <w:rsid w:val="00823890"/>
    <w:rsid w:val="0083298A"/>
    <w:rsid w:val="00841387"/>
    <w:rsid w:val="00845DCB"/>
    <w:rsid w:val="008472B3"/>
    <w:rsid w:val="008478D6"/>
    <w:rsid w:val="00861993"/>
    <w:rsid w:val="00861F83"/>
    <w:rsid w:val="00864474"/>
    <w:rsid w:val="0087722C"/>
    <w:rsid w:val="008A5208"/>
    <w:rsid w:val="008A58A5"/>
    <w:rsid w:val="008A6C3B"/>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42D3D"/>
    <w:rsid w:val="00950818"/>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3AB5"/>
    <w:rsid w:val="00A551C8"/>
    <w:rsid w:val="00A80E4E"/>
    <w:rsid w:val="00A819F5"/>
    <w:rsid w:val="00A936E2"/>
    <w:rsid w:val="00AB1DE9"/>
    <w:rsid w:val="00AB2D12"/>
    <w:rsid w:val="00AC3885"/>
    <w:rsid w:val="00AC4950"/>
    <w:rsid w:val="00AC515A"/>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85B3C"/>
    <w:rsid w:val="00B9148E"/>
    <w:rsid w:val="00B94805"/>
    <w:rsid w:val="00BA49A1"/>
    <w:rsid w:val="00BA6027"/>
    <w:rsid w:val="00BA6C2B"/>
    <w:rsid w:val="00BC1D95"/>
    <w:rsid w:val="00BD03E6"/>
    <w:rsid w:val="00BD0BE9"/>
    <w:rsid w:val="00BD4287"/>
    <w:rsid w:val="00BD5359"/>
    <w:rsid w:val="00BD60D5"/>
    <w:rsid w:val="00BD7752"/>
    <w:rsid w:val="00BE1D00"/>
    <w:rsid w:val="00BE30D4"/>
    <w:rsid w:val="00BE3628"/>
    <w:rsid w:val="00BE424C"/>
    <w:rsid w:val="00BF3C4B"/>
    <w:rsid w:val="00BF5CC9"/>
    <w:rsid w:val="00C036A5"/>
    <w:rsid w:val="00C065A3"/>
    <w:rsid w:val="00C14327"/>
    <w:rsid w:val="00C145C1"/>
    <w:rsid w:val="00C22967"/>
    <w:rsid w:val="00C22BB3"/>
    <w:rsid w:val="00C35333"/>
    <w:rsid w:val="00C55FDF"/>
    <w:rsid w:val="00C5739F"/>
    <w:rsid w:val="00C576E7"/>
    <w:rsid w:val="00C76380"/>
    <w:rsid w:val="00C85715"/>
    <w:rsid w:val="00C87FCA"/>
    <w:rsid w:val="00CA1B0C"/>
    <w:rsid w:val="00CA7795"/>
    <w:rsid w:val="00CA7F40"/>
    <w:rsid w:val="00CB3C7E"/>
    <w:rsid w:val="00CD0C18"/>
    <w:rsid w:val="00CE0CDA"/>
    <w:rsid w:val="00CE16C6"/>
    <w:rsid w:val="00CE5888"/>
    <w:rsid w:val="00CF02BC"/>
    <w:rsid w:val="00CF77E2"/>
    <w:rsid w:val="00D03314"/>
    <w:rsid w:val="00D05A4D"/>
    <w:rsid w:val="00D06A0F"/>
    <w:rsid w:val="00D2057D"/>
    <w:rsid w:val="00D23B56"/>
    <w:rsid w:val="00D43804"/>
    <w:rsid w:val="00D56E75"/>
    <w:rsid w:val="00D66160"/>
    <w:rsid w:val="00D814A5"/>
    <w:rsid w:val="00D82047"/>
    <w:rsid w:val="00D85CB2"/>
    <w:rsid w:val="00DA292E"/>
    <w:rsid w:val="00DB3820"/>
    <w:rsid w:val="00DB6D34"/>
    <w:rsid w:val="00DC07AA"/>
    <w:rsid w:val="00DC475C"/>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AD201-C712-4ECF-9C9A-3692C0B1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154AE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154AE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154AE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154AE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4-subparagraph">
    <w:name w:val="estatutes-4-subparagraph"/>
    <w:basedOn w:val="Normal"/>
    <w:rsid w:val="00154AE2"/>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marginalnote">
    <w:name w:val="estatutes-marginalnote"/>
    <w:basedOn w:val="Normal"/>
    <w:rsid w:val="00154AE2"/>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252">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13072339">
      <w:bodyDiv w:val="1"/>
      <w:marLeft w:val="0"/>
      <w:marRight w:val="0"/>
      <w:marTop w:val="0"/>
      <w:marBottom w:val="0"/>
      <w:divBdr>
        <w:top w:val="none" w:sz="0" w:space="0" w:color="auto"/>
        <w:left w:val="none" w:sz="0" w:space="0" w:color="auto"/>
        <w:bottom w:val="none" w:sz="0" w:space="0" w:color="auto"/>
        <w:right w:val="none" w:sz="0" w:space="0" w:color="auto"/>
      </w:divBdr>
      <w:divsChild>
        <w:div w:id="44112222">
          <w:marLeft w:val="0"/>
          <w:marRight w:val="0"/>
          <w:marTop w:val="224"/>
          <w:marBottom w:val="0"/>
          <w:divBdr>
            <w:top w:val="none" w:sz="0" w:space="0" w:color="auto"/>
            <w:left w:val="none" w:sz="0" w:space="0" w:color="auto"/>
            <w:bottom w:val="none" w:sz="0" w:space="0" w:color="auto"/>
            <w:right w:val="none" w:sz="0" w:space="0" w:color="auto"/>
          </w:divBdr>
          <w:divsChild>
            <w:div w:id="2138865459">
              <w:marLeft w:val="0"/>
              <w:marRight w:val="0"/>
              <w:marTop w:val="0"/>
              <w:marBottom w:val="0"/>
              <w:divBdr>
                <w:top w:val="none" w:sz="0" w:space="0" w:color="auto"/>
                <w:left w:val="none" w:sz="0" w:space="0" w:color="auto"/>
                <w:bottom w:val="none" w:sz="0" w:space="0" w:color="auto"/>
                <w:right w:val="none" w:sz="0" w:space="0" w:color="auto"/>
              </w:divBdr>
            </w:div>
          </w:divsChild>
        </w:div>
        <w:div w:id="1273317976">
          <w:marLeft w:val="0"/>
          <w:marRight w:val="0"/>
          <w:marTop w:val="224"/>
          <w:marBottom w:val="0"/>
          <w:divBdr>
            <w:top w:val="none" w:sz="0" w:space="0" w:color="auto"/>
            <w:left w:val="none" w:sz="0" w:space="0" w:color="auto"/>
            <w:bottom w:val="none" w:sz="0" w:space="0" w:color="auto"/>
            <w:right w:val="none" w:sz="0" w:space="0" w:color="auto"/>
          </w:divBdr>
          <w:divsChild>
            <w:div w:id="1151752624">
              <w:marLeft w:val="0"/>
              <w:marRight w:val="0"/>
              <w:marTop w:val="0"/>
              <w:marBottom w:val="0"/>
              <w:divBdr>
                <w:top w:val="none" w:sz="0" w:space="0" w:color="auto"/>
                <w:left w:val="none" w:sz="0" w:space="0" w:color="auto"/>
                <w:bottom w:val="none" w:sz="0" w:space="0" w:color="auto"/>
                <w:right w:val="none" w:sz="0" w:space="0" w:color="auto"/>
              </w:divBdr>
            </w:div>
          </w:divsChild>
        </w:div>
        <w:div w:id="2013139914">
          <w:marLeft w:val="0"/>
          <w:marRight w:val="0"/>
          <w:marTop w:val="224"/>
          <w:marBottom w:val="0"/>
          <w:divBdr>
            <w:top w:val="none" w:sz="0" w:space="0" w:color="auto"/>
            <w:left w:val="none" w:sz="0" w:space="0" w:color="auto"/>
            <w:bottom w:val="none" w:sz="0" w:space="0" w:color="auto"/>
            <w:right w:val="none" w:sz="0" w:space="0" w:color="auto"/>
          </w:divBdr>
          <w:divsChild>
            <w:div w:id="630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3A80F8C1A14EE6BB715C39ACDBDCE8"/>
        <w:category>
          <w:name w:val="General"/>
          <w:gallery w:val="placeholder"/>
        </w:category>
        <w:types>
          <w:type w:val="bbPlcHdr"/>
        </w:types>
        <w:behaviors>
          <w:behavior w:val="content"/>
        </w:behaviors>
        <w:guid w:val="{9ACA80D7-5F6B-4A75-8781-D55EA86FDFDA}"/>
      </w:docPartPr>
      <w:docPartBody>
        <w:p w:rsidR="00211379" w:rsidRDefault="00545834">
          <w:pPr>
            <w:pStyle w:val="E63A80F8C1A14EE6BB715C39ACDBDCE8"/>
          </w:pPr>
          <w:r w:rsidRPr="002A0FDF">
            <w:rPr>
              <w:rStyle w:val="PlaceholderText"/>
            </w:rPr>
            <w:t>Click here to enter text.</w:t>
          </w:r>
        </w:p>
      </w:docPartBody>
    </w:docPart>
    <w:docPart>
      <w:docPartPr>
        <w:name w:val="732DA1E33CA9459683DF15B7EF6AC9F6"/>
        <w:category>
          <w:name w:val="General"/>
          <w:gallery w:val="placeholder"/>
        </w:category>
        <w:types>
          <w:type w:val="bbPlcHdr"/>
        </w:types>
        <w:behaviors>
          <w:behavior w:val="content"/>
        </w:behaviors>
        <w:guid w:val="{8C6998AF-8BA9-4D70-BA20-1CCED0A5EA6D}"/>
      </w:docPartPr>
      <w:docPartBody>
        <w:p w:rsidR="00211379" w:rsidRDefault="00545834">
          <w:pPr>
            <w:pStyle w:val="732DA1E33CA9459683DF15B7EF6AC9F6"/>
          </w:pPr>
          <w:r w:rsidRPr="002A0FDF">
            <w:rPr>
              <w:rStyle w:val="PlaceholderText"/>
            </w:rPr>
            <w:t>Choose a building block.</w:t>
          </w:r>
        </w:p>
      </w:docPartBody>
    </w:docPart>
    <w:docPart>
      <w:docPartPr>
        <w:name w:val="D639778F048D4E7C9B39A5F571BB2C57"/>
        <w:category>
          <w:name w:val="General"/>
          <w:gallery w:val="placeholder"/>
        </w:category>
        <w:types>
          <w:type w:val="bbPlcHdr"/>
        </w:types>
        <w:behaviors>
          <w:behavior w:val="content"/>
        </w:behaviors>
        <w:guid w:val="{C9648DD4-6995-43D1-A418-86ECD62E7530}"/>
      </w:docPartPr>
      <w:docPartBody>
        <w:p w:rsidR="00211379" w:rsidRDefault="00545834">
          <w:pPr>
            <w:pStyle w:val="D639778F048D4E7C9B39A5F571BB2C57"/>
          </w:pPr>
          <w:r w:rsidRPr="006E09BE">
            <w:rPr>
              <w:rStyle w:val="PlaceholderText"/>
            </w:rPr>
            <w:t>Click here to enter text.</w:t>
          </w:r>
        </w:p>
      </w:docPartBody>
    </w:docPart>
    <w:docPart>
      <w:docPartPr>
        <w:name w:val="CCCF080288E94A56B1CBEA5266D147F1"/>
        <w:category>
          <w:name w:val="General"/>
          <w:gallery w:val="placeholder"/>
        </w:category>
        <w:types>
          <w:type w:val="bbPlcHdr"/>
        </w:types>
        <w:behaviors>
          <w:behavior w:val="content"/>
        </w:behaviors>
        <w:guid w:val="{3169E8F2-5416-4986-AA46-5634673B037F}"/>
      </w:docPartPr>
      <w:docPartBody>
        <w:p w:rsidR="00211379" w:rsidRDefault="00545834">
          <w:pPr>
            <w:pStyle w:val="CCCF080288E94A56B1CBEA5266D147F1"/>
          </w:pPr>
          <w:r w:rsidRPr="00E56144">
            <w:rPr>
              <w:rStyle w:val="PlaceholderText"/>
            </w:rPr>
            <w:t>.</w:t>
          </w:r>
        </w:p>
      </w:docPartBody>
    </w:docPart>
    <w:docPart>
      <w:docPartPr>
        <w:name w:val="86270599F54546F9B2B1E93BEAA1C4A3"/>
        <w:category>
          <w:name w:val="General"/>
          <w:gallery w:val="placeholder"/>
        </w:category>
        <w:types>
          <w:type w:val="bbPlcHdr"/>
        </w:types>
        <w:behaviors>
          <w:behavior w:val="content"/>
        </w:behaviors>
        <w:guid w:val="{BD943CE5-8050-4894-9B9B-18AC20E2DC4E}"/>
      </w:docPartPr>
      <w:docPartBody>
        <w:p w:rsidR="00211379" w:rsidRDefault="00545834">
          <w:pPr>
            <w:pStyle w:val="86270599F54546F9B2B1E93BEAA1C4A3"/>
          </w:pPr>
          <w:r w:rsidRPr="00E56144">
            <w:rPr>
              <w:rStyle w:val="PlaceholderText"/>
            </w:rPr>
            <w:t>.</w:t>
          </w:r>
        </w:p>
      </w:docPartBody>
    </w:docPart>
    <w:docPart>
      <w:docPartPr>
        <w:name w:val="6AF17AB0B0B643BC9B4DDD3C75D94A69"/>
        <w:category>
          <w:name w:val="General"/>
          <w:gallery w:val="placeholder"/>
        </w:category>
        <w:types>
          <w:type w:val="bbPlcHdr"/>
        </w:types>
        <w:behaviors>
          <w:behavior w:val="content"/>
        </w:behaviors>
        <w:guid w:val="{1748367A-C8E3-4661-AA0C-0196204BC233}"/>
      </w:docPartPr>
      <w:docPartBody>
        <w:p w:rsidR="00211379" w:rsidRDefault="00545834">
          <w:pPr>
            <w:pStyle w:val="6AF17AB0B0B643BC9B4DDD3C75D94A69"/>
          </w:pPr>
          <w:r w:rsidRPr="00E56144">
            <w:rPr>
              <w:rStyle w:val="PlaceholderText"/>
            </w:rPr>
            <w:t>.</w:t>
          </w:r>
        </w:p>
      </w:docPartBody>
    </w:docPart>
    <w:docPart>
      <w:docPartPr>
        <w:name w:val="435B2DCD64F44C75ADA3B02D66EFD33F"/>
        <w:category>
          <w:name w:val="General"/>
          <w:gallery w:val="placeholder"/>
        </w:category>
        <w:types>
          <w:type w:val="bbPlcHdr"/>
        </w:types>
        <w:behaviors>
          <w:behavior w:val="content"/>
        </w:behaviors>
        <w:guid w:val="{BADFCE57-55E4-45EF-866B-1458925530FF}"/>
      </w:docPartPr>
      <w:docPartBody>
        <w:p w:rsidR="00211379" w:rsidRDefault="00545834">
          <w:pPr>
            <w:pStyle w:val="435B2DCD64F44C75ADA3B02D66EFD33F"/>
          </w:pPr>
          <w:r w:rsidRPr="00EE5BC4">
            <w:rPr>
              <w:rStyle w:val="PlaceholderText"/>
            </w:rPr>
            <w:t>Click here to enter text.</w:t>
          </w:r>
        </w:p>
      </w:docPartBody>
    </w:docPart>
    <w:docPart>
      <w:docPartPr>
        <w:name w:val="6C909EEF21E9448EB6A22BF21F069529"/>
        <w:category>
          <w:name w:val="General"/>
          <w:gallery w:val="placeholder"/>
        </w:category>
        <w:types>
          <w:type w:val="bbPlcHdr"/>
        </w:types>
        <w:behaviors>
          <w:behavior w:val="content"/>
        </w:behaviors>
        <w:guid w:val="{04302316-49E4-4A02-B5C2-B2180197CCED}"/>
      </w:docPartPr>
      <w:docPartBody>
        <w:p w:rsidR="00211379" w:rsidRDefault="00545834">
          <w:pPr>
            <w:pStyle w:val="6C909EEF21E9448EB6A22BF21F069529"/>
          </w:pPr>
          <w:r w:rsidRPr="00EE5BC4">
            <w:rPr>
              <w:rStyle w:val="PlaceholderText"/>
            </w:rPr>
            <w:t>Click here to enter text.</w:t>
          </w:r>
        </w:p>
      </w:docPartBody>
    </w:docPart>
    <w:docPart>
      <w:docPartPr>
        <w:name w:val="94F7B014156D46F8B248C97467DC63A7"/>
        <w:category>
          <w:name w:val="General"/>
          <w:gallery w:val="placeholder"/>
        </w:category>
        <w:types>
          <w:type w:val="bbPlcHdr"/>
        </w:types>
        <w:behaviors>
          <w:behavior w:val="content"/>
        </w:behaviors>
        <w:guid w:val="{F6C9AE41-58DC-424F-A20A-505E35BF8FBB}"/>
      </w:docPartPr>
      <w:docPartBody>
        <w:p w:rsidR="00211379" w:rsidRDefault="00545834">
          <w:pPr>
            <w:pStyle w:val="94F7B014156D46F8B248C97467DC63A7"/>
          </w:pPr>
          <w:r w:rsidRPr="00B26028">
            <w:rPr>
              <w:rStyle w:val="PlaceholderText"/>
            </w:rPr>
            <w:t>Click here to enter text.</w:t>
          </w:r>
        </w:p>
      </w:docPartBody>
    </w:docPart>
    <w:docPart>
      <w:docPartPr>
        <w:name w:val="9BED2FD21FD54B55A18DE8117F0EC9FD"/>
        <w:category>
          <w:name w:val="General"/>
          <w:gallery w:val="placeholder"/>
        </w:category>
        <w:types>
          <w:type w:val="bbPlcHdr"/>
        </w:types>
        <w:behaviors>
          <w:behavior w:val="content"/>
        </w:behaviors>
        <w:guid w:val="{AC6CF662-A3FA-4856-BE7C-6F51CE67D486}"/>
      </w:docPartPr>
      <w:docPartBody>
        <w:p w:rsidR="00211379" w:rsidRDefault="00545834">
          <w:pPr>
            <w:pStyle w:val="9BED2FD21FD54B55A18DE8117F0EC9FD"/>
          </w:pPr>
          <w:r w:rsidRPr="00503E49">
            <w:rPr>
              <w:rStyle w:val="PlaceholderText"/>
            </w:rPr>
            <w:t>Click here to enter a date.</w:t>
          </w:r>
        </w:p>
      </w:docPartBody>
    </w:docPart>
    <w:docPart>
      <w:docPartPr>
        <w:name w:val="777A57A07CC34DDE8A174326A639A6E1"/>
        <w:category>
          <w:name w:val="General"/>
          <w:gallery w:val="placeholder"/>
        </w:category>
        <w:types>
          <w:type w:val="bbPlcHdr"/>
        </w:types>
        <w:behaviors>
          <w:behavior w:val="content"/>
        </w:behaviors>
        <w:guid w:val="{B5BBE1C8-F035-4084-9702-A1F2050E9377}"/>
      </w:docPartPr>
      <w:docPartBody>
        <w:p w:rsidR="00211379" w:rsidRDefault="00545834">
          <w:pPr>
            <w:pStyle w:val="777A57A07CC34DDE8A174326A639A6E1"/>
          </w:pPr>
          <w:r w:rsidRPr="00503E49">
            <w:rPr>
              <w:rStyle w:val="PlaceholderText"/>
            </w:rPr>
            <w:t>Click here to enter text.</w:t>
          </w:r>
        </w:p>
      </w:docPartBody>
    </w:docPart>
    <w:docPart>
      <w:docPartPr>
        <w:name w:val="EBAAC446112A45E0813559088499DEAA"/>
        <w:category>
          <w:name w:val="General"/>
          <w:gallery w:val="placeholder"/>
        </w:category>
        <w:types>
          <w:type w:val="bbPlcHdr"/>
        </w:types>
        <w:behaviors>
          <w:behavior w:val="content"/>
        </w:behaviors>
        <w:guid w:val="{B132C165-8B6E-4F17-9A48-AC2EC9ECB5AD}"/>
      </w:docPartPr>
      <w:docPartBody>
        <w:p w:rsidR="00211379" w:rsidRDefault="00545834">
          <w:pPr>
            <w:pStyle w:val="EBAAC446112A45E0813559088499DEAA"/>
          </w:pPr>
          <w:r w:rsidRPr="006E09BE">
            <w:rPr>
              <w:rStyle w:val="PlaceholderText"/>
            </w:rPr>
            <w:t>Click here to enter a date.</w:t>
          </w:r>
        </w:p>
      </w:docPartBody>
    </w:docPart>
    <w:docPart>
      <w:docPartPr>
        <w:name w:val="BA6096E659BC41A6844C34FEE4267678"/>
        <w:category>
          <w:name w:val="General"/>
          <w:gallery w:val="placeholder"/>
        </w:category>
        <w:types>
          <w:type w:val="bbPlcHdr"/>
        </w:types>
        <w:behaviors>
          <w:behavior w:val="content"/>
        </w:behaviors>
        <w:guid w:val="{307A8576-E25D-4B62-AE27-E4EC7C889151}"/>
      </w:docPartPr>
      <w:docPartBody>
        <w:p w:rsidR="00211379" w:rsidRDefault="00545834">
          <w:pPr>
            <w:pStyle w:val="BA6096E659BC41A6844C34FEE4267678"/>
          </w:pPr>
          <w:r w:rsidRPr="00E56144">
            <w:rPr>
              <w:rStyle w:val="PlaceholderText"/>
            </w:rPr>
            <w:t>.</w:t>
          </w:r>
        </w:p>
      </w:docPartBody>
    </w:docPart>
    <w:docPart>
      <w:docPartPr>
        <w:name w:val="3170150BD72643B28216A289A7399039"/>
        <w:category>
          <w:name w:val="General"/>
          <w:gallery w:val="placeholder"/>
        </w:category>
        <w:types>
          <w:type w:val="bbPlcHdr"/>
        </w:types>
        <w:behaviors>
          <w:behavior w:val="content"/>
        </w:behaviors>
        <w:guid w:val="{5ED94D78-DA9C-4190-87ED-CCF6B2E691C6}"/>
      </w:docPartPr>
      <w:docPartBody>
        <w:p w:rsidR="00211379" w:rsidRDefault="00545834">
          <w:pPr>
            <w:pStyle w:val="3170150BD72643B28216A289A7399039"/>
          </w:pPr>
          <w:r w:rsidRPr="00503E49">
            <w:rPr>
              <w:rStyle w:val="PlaceholderText"/>
            </w:rPr>
            <w:t xml:space="preserve">Click here to enter text. here to enter text here to enter text here to enter text here to e </w:t>
          </w:r>
        </w:p>
      </w:docPartBody>
    </w:docPart>
    <w:docPart>
      <w:docPartPr>
        <w:name w:val="C19868444A45499B87A32B3E6CF5DDA8"/>
        <w:category>
          <w:name w:val="General"/>
          <w:gallery w:val="placeholder"/>
        </w:category>
        <w:types>
          <w:type w:val="bbPlcHdr"/>
        </w:types>
        <w:behaviors>
          <w:behavior w:val="content"/>
        </w:behaviors>
        <w:guid w:val="{9540E6C1-0174-4269-B128-0C42A7EE1CCF}"/>
      </w:docPartPr>
      <w:docPartBody>
        <w:p w:rsidR="00211379" w:rsidRDefault="00545834">
          <w:pPr>
            <w:pStyle w:val="C19868444A45499B87A32B3E6CF5DDA8"/>
          </w:pPr>
          <w:r w:rsidRPr="00E56144">
            <w:rPr>
              <w:rStyle w:val="PlaceholderText"/>
            </w:rPr>
            <w:t>.</w:t>
          </w:r>
        </w:p>
      </w:docPartBody>
    </w:docPart>
    <w:docPart>
      <w:docPartPr>
        <w:name w:val="D736AFFAD4934303AF268DFDF6930BCE"/>
        <w:category>
          <w:name w:val="General"/>
          <w:gallery w:val="placeholder"/>
        </w:category>
        <w:types>
          <w:type w:val="bbPlcHdr"/>
        </w:types>
        <w:behaviors>
          <w:behavior w:val="content"/>
        </w:behaviors>
        <w:guid w:val="{71AE606D-BD7D-4C99-B9EC-5C57157CF6A5}"/>
      </w:docPartPr>
      <w:docPartBody>
        <w:p w:rsidR="00211379" w:rsidRDefault="00545834">
          <w:pPr>
            <w:pStyle w:val="D736AFFAD4934303AF268DFDF6930BCE"/>
          </w:pPr>
          <w:r w:rsidRPr="002A0FDF">
            <w:rPr>
              <w:rStyle w:val="PlaceholderText"/>
            </w:rPr>
            <w:t>Choose a building block.</w:t>
          </w:r>
        </w:p>
      </w:docPartBody>
    </w:docPart>
    <w:docPart>
      <w:docPartPr>
        <w:name w:val="F9FE1112516E432A8B793C3F500B08EF"/>
        <w:category>
          <w:name w:val="General"/>
          <w:gallery w:val="placeholder"/>
        </w:category>
        <w:types>
          <w:type w:val="bbPlcHdr"/>
        </w:types>
        <w:behaviors>
          <w:behavior w:val="content"/>
        </w:behaviors>
        <w:guid w:val="{13F4D692-77C4-41DE-A7FF-7E59138E378B}"/>
      </w:docPartPr>
      <w:docPartBody>
        <w:p w:rsidR="00211379" w:rsidRDefault="00545834">
          <w:pPr>
            <w:pStyle w:val="F9FE1112516E432A8B793C3F500B08EF"/>
          </w:pPr>
          <w:r w:rsidRPr="006E09BE">
            <w:rPr>
              <w:rStyle w:val="PlaceholderText"/>
            </w:rPr>
            <w:t>Click here to enter text.</w:t>
          </w:r>
        </w:p>
      </w:docPartBody>
    </w:docPart>
    <w:docPart>
      <w:docPartPr>
        <w:name w:val="12B05BB0E9B648E6A14DEA71C409F7D9"/>
        <w:category>
          <w:name w:val="General"/>
          <w:gallery w:val="placeholder"/>
        </w:category>
        <w:types>
          <w:type w:val="bbPlcHdr"/>
        </w:types>
        <w:behaviors>
          <w:behavior w:val="content"/>
        </w:behaviors>
        <w:guid w:val="{26451B5F-0C9D-440A-AE37-1F73E8D2DED5}"/>
      </w:docPartPr>
      <w:docPartBody>
        <w:p w:rsidR="00211379" w:rsidRDefault="00545834">
          <w:pPr>
            <w:pStyle w:val="12B05BB0E9B648E6A14DEA71C409F7D9"/>
          </w:pPr>
          <w:r w:rsidRPr="00E56144">
            <w:rPr>
              <w:rStyle w:val="PlaceholderText"/>
            </w:rPr>
            <w:t>.</w:t>
          </w:r>
        </w:p>
      </w:docPartBody>
    </w:docPart>
    <w:docPart>
      <w:docPartPr>
        <w:name w:val="71F3CCC6F47C4A648E2AF9AD75A3E953"/>
        <w:category>
          <w:name w:val="General"/>
          <w:gallery w:val="placeholder"/>
        </w:category>
        <w:types>
          <w:type w:val="bbPlcHdr"/>
        </w:types>
        <w:behaviors>
          <w:behavior w:val="content"/>
        </w:behaviors>
        <w:guid w:val="{D124B6A0-A5AB-40E6-8471-5EDBB6CD69CA}"/>
      </w:docPartPr>
      <w:docPartBody>
        <w:p w:rsidR="00211379" w:rsidRDefault="00545834">
          <w:pPr>
            <w:pStyle w:val="71F3CCC6F47C4A648E2AF9AD75A3E953"/>
          </w:pPr>
          <w:r w:rsidRPr="002A0FDF">
            <w:rPr>
              <w:rStyle w:val="PlaceholderText"/>
            </w:rPr>
            <w:t>Choose a building block.</w:t>
          </w:r>
        </w:p>
      </w:docPartBody>
    </w:docPart>
    <w:docPart>
      <w:docPartPr>
        <w:name w:val="809CCDEFA8AD451E8B9D7BF6AADDFBF4"/>
        <w:category>
          <w:name w:val="General"/>
          <w:gallery w:val="placeholder"/>
        </w:category>
        <w:types>
          <w:type w:val="bbPlcHdr"/>
        </w:types>
        <w:behaviors>
          <w:behavior w:val="content"/>
        </w:behaviors>
        <w:guid w:val="{B369DFDE-8C15-460B-9FA1-1928721C547C}"/>
      </w:docPartPr>
      <w:docPartBody>
        <w:p w:rsidR="00211379" w:rsidRDefault="00545834">
          <w:pPr>
            <w:pStyle w:val="809CCDEFA8AD451E8B9D7BF6AADDFBF4"/>
          </w:pPr>
          <w:r w:rsidRPr="006E09BE">
            <w:rPr>
              <w:rStyle w:val="PlaceholderText"/>
            </w:rPr>
            <w:t>Click here to enter text.</w:t>
          </w:r>
        </w:p>
      </w:docPartBody>
    </w:docPart>
    <w:docPart>
      <w:docPartPr>
        <w:name w:val="590411787C4B4EBAA480AA347A878AE5"/>
        <w:category>
          <w:name w:val="General"/>
          <w:gallery w:val="placeholder"/>
        </w:category>
        <w:types>
          <w:type w:val="bbPlcHdr"/>
        </w:types>
        <w:behaviors>
          <w:behavior w:val="content"/>
        </w:behaviors>
        <w:guid w:val="{B608E11F-CB03-4BBC-A04D-992AE3D8A85B}"/>
      </w:docPartPr>
      <w:docPartBody>
        <w:p w:rsidR="00211379" w:rsidRDefault="00545834">
          <w:pPr>
            <w:pStyle w:val="590411787C4B4EBAA480AA347A878AE5"/>
          </w:pPr>
          <w:r w:rsidRPr="00E56144">
            <w:rPr>
              <w:rStyle w:val="PlaceholderText"/>
            </w:rPr>
            <w:t>.</w:t>
          </w:r>
        </w:p>
      </w:docPartBody>
    </w:docPart>
    <w:docPart>
      <w:docPartPr>
        <w:name w:val="F47D13D704754BE1A0384EC41FEA4E2D"/>
        <w:category>
          <w:name w:val="General"/>
          <w:gallery w:val="placeholder"/>
        </w:category>
        <w:types>
          <w:type w:val="bbPlcHdr"/>
        </w:types>
        <w:behaviors>
          <w:behavior w:val="content"/>
        </w:behaviors>
        <w:guid w:val="{2E4A24A6-15CD-4DD5-B4FE-DD0B486F141D}"/>
      </w:docPartPr>
      <w:docPartBody>
        <w:p w:rsidR="00211379" w:rsidRDefault="00545834">
          <w:pPr>
            <w:pStyle w:val="F47D13D704754BE1A0384EC41FEA4E2D"/>
          </w:pPr>
          <w:r w:rsidRPr="006E09BE">
            <w:rPr>
              <w:rStyle w:val="PlaceholderText"/>
            </w:rPr>
            <w:t>Choose a building block.</w:t>
          </w:r>
        </w:p>
      </w:docPartBody>
    </w:docPart>
    <w:docPart>
      <w:docPartPr>
        <w:name w:val="2B96F517BB444A44805F4B505706555B"/>
        <w:category>
          <w:name w:val="General"/>
          <w:gallery w:val="placeholder"/>
        </w:category>
        <w:types>
          <w:type w:val="bbPlcHdr"/>
        </w:types>
        <w:behaviors>
          <w:behavior w:val="content"/>
        </w:behaviors>
        <w:guid w:val="{85BD7916-713C-4190-9326-0B9DF614C354}"/>
      </w:docPartPr>
      <w:docPartBody>
        <w:p w:rsidR="00211379" w:rsidRDefault="00545834">
          <w:pPr>
            <w:pStyle w:val="2B96F517BB444A44805F4B505706555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34"/>
    <w:rsid w:val="000B4ED3"/>
    <w:rsid w:val="001D1D9A"/>
    <w:rsid w:val="00211379"/>
    <w:rsid w:val="00545834"/>
    <w:rsid w:val="007424F0"/>
    <w:rsid w:val="0097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3A80F8C1A14EE6BB715C39ACDBDCE8">
    <w:name w:val="E63A80F8C1A14EE6BB715C39ACDBDCE8"/>
  </w:style>
  <w:style w:type="paragraph" w:customStyle="1" w:styleId="732DA1E33CA9459683DF15B7EF6AC9F6">
    <w:name w:val="732DA1E33CA9459683DF15B7EF6AC9F6"/>
  </w:style>
  <w:style w:type="paragraph" w:customStyle="1" w:styleId="D639778F048D4E7C9B39A5F571BB2C57">
    <w:name w:val="D639778F048D4E7C9B39A5F571BB2C57"/>
  </w:style>
  <w:style w:type="paragraph" w:customStyle="1" w:styleId="CCCF080288E94A56B1CBEA5266D147F1">
    <w:name w:val="CCCF080288E94A56B1CBEA5266D147F1"/>
  </w:style>
  <w:style w:type="paragraph" w:customStyle="1" w:styleId="86270599F54546F9B2B1E93BEAA1C4A3">
    <w:name w:val="86270599F54546F9B2B1E93BEAA1C4A3"/>
  </w:style>
  <w:style w:type="paragraph" w:customStyle="1" w:styleId="6AF17AB0B0B643BC9B4DDD3C75D94A69">
    <w:name w:val="6AF17AB0B0B643BC9B4DDD3C75D94A69"/>
  </w:style>
  <w:style w:type="paragraph" w:customStyle="1" w:styleId="3A931CED14E9459CB9F632EFF9121760">
    <w:name w:val="3A931CED14E9459CB9F632EFF9121760"/>
  </w:style>
  <w:style w:type="paragraph" w:customStyle="1" w:styleId="0F0DE740528E46EC827560A4540B4C5C">
    <w:name w:val="0F0DE740528E46EC827560A4540B4C5C"/>
  </w:style>
  <w:style w:type="paragraph" w:customStyle="1" w:styleId="435B2DCD64F44C75ADA3B02D66EFD33F">
    <w:name w:val="435B2DCD64F44C75ADA3B02D66EFD33F"/>
  </w:style>
  <w:style w:type="paragraph" w:customStyle="1" w:styleId="2E1BEDBBA5484A629487A9C78C855EBF">
    <w:name w:val="2E1BEDBBA5484A629487A9C78C855EBF"/>
  </w:style>
  <w:style w:type="paragraph" w:customStyle="1" w:styleId="54EF0356761E477C852CEDCE24C5AEBB">
    <w:name w:val="54EF0356761E477C852CEDCE24C5AEBB"/>
  </w:style>
  <w:style w:type="paragraph" w:customStyle="1" w:styleId="37BE933AD9254DD3818C0DB310682783">
    <w:name w:val="37BE933AD9254DD3818C0DB310682783"/>
  </w:style>
  <w:style w:type="paragraph" w:customStyle="1" w:styleId="47BBDC2B471C40E1B125ADA94B370FF9">
    <w:name w:val="47BBDC2B471C40E1B125ADA94B370FF9"/>
  </w:style>
  <w:style w:type="paragraph" w:customStyle="1" w:styleId="FBFC98D17F844BCABB03E07607095522">
    <w:name w:val="FBFC98D17F844BCABB03E07607095522"/>
  </w:style>
  <w:style w:type="paragraph" w:customStyle="1" w:styleId="8ADF2A9A82634A20950FB33AEBFF9B1D">
    <w:name w:val="8ADF2A9A82634A20950FB33AEBFF9B1D"/>
  </w:style>
  <w:style w:type="paragraph" w:customStyle="1" w:styleId="55B31FAEC2BE46BFBBF53DCBF0E37C24">
    <w:name w:val="55B31FAEC2BE46BFBBF53DCBF0E37C24"/>
  </w:style>
  <w:style w:type="paragraph" w:customStyle="1" w:styleId="62880B5169CD43B3A7C822E7BBB59B71">
    <w:name w:val="62880B5169CD43B3A7C822E7BBB59B71"/>
  </w:style>
  <w:style w:type="paragraph" w:customStyle="1" w:styleId="FB8E6A66493047B3A3C76AEB6DB8F2B2">
    <w:name w:val="FB8E6A66493047B3A3C76AEB6DB8F2B2"/>
  </w:style>
  <w:style w:type="paragraph" w:customStyle="1" w:styleId="AD98B47D4A7548AD9BD5BD23E296C2F6">
    <w:name w:val="AD98B47D4A7548AD9BD5BD23E296C2F6"/>
  </w:style>
  <w:style w:type="paragraph" w:customStyle="1" w:styleId="92D634B3118E4EE893AB4BCC87199DFA">
    <w:name w:val="92D634B3118E4EE893AB4BCC87199DFA"/>
  </w:style>
  <w:style w:type="paragraph" w:customStyle="1" w:styleId="6C909EEF21E9448EB6A22BF21F069529">
    <w:name w:val="6C909EEF21E9448EB6A22BF21F069529"/>
  </w:style>
  <w:style w:type="paragraph" w:customStyle="1" w:styleId="94F7B014156D46F8B248C97467DC63A7">
    <w:name w:val="94F7B014156D46F8B248C97467DC63A7"/>
  </w:style>
  <w:style w:type="paragraph" w:customStyle="1" w:styleId="EE91B9B7CDE24140A8A715471FC2443B">
    <w:name w:val="EE91B9B7CDE24140A8A715471FC2443B"/>
  </w:style>
  <w:style w:type="paragraph" w:customStyle="1" w:styleId="E174FC161CAD4DD2B16BE8CB29CC457A">
    <w:name w:val="E174FC161CAD4DD2B16BE8CB29CC457A"/>
  </w:style>
  <w:style w:type="paragraph" w:customStyle="1" w:styleId="B6A2FD758ADC4AE7B3A63DF0F49D2AD3">
    <w:name w:val="B6A2FD758ADC4AE7B3A63DF0F49D2AD3"/>
  </w:style>
  <w:style w:type="paragraph" w:customStyle="1" w:styleId="056923BA6271461981BE568D80CE657C">
    <w:name w:val="056923BA6271461981BE568D80CE657C"/>
  </w:style>
  <w:style w:type="paragraph" w:customStyle="1" w:styleId="11DDC71BD5E44655ACE14A58406EF02E">
    <w:name w:val="11DDC71BD5E44655ACE14A58406EF02E"/>
  </w:style>
  <w:style w:type="paragraph" w:customStyle="1" w:styleId="3731A0D7013A4E019FD0B358A1EBAE5C">
    <w:name w:val="3731A0D7013A4E019FD0B358A1EBAE5C"/>
  </w:style>
  <w:style w:type="paragraph" w:customStyle="1" w:styleId="A2403DD4996A4C17BDD2FB27C4BA65CF">
    <w:name w:val="A2403DD4996A4C17BDD2FB27C4BA65CF"/>
  </w:style>
  <w:style w:type="paragraph" w:customStyle="1" w:styleId="452501AA55B942D390082245F43BB36B">
    <w:name w:val="452501AA55B942D390082245F43BB36B"/>
  </w:style>
  <w:style w:type="paragraph" w:customStyle="1" w:styleId="9688A961A3A44232AD60C5EBC73A8986">
    <w:name w:val="9688A961A3A44232AD60C5EBC73A8986"/>
  </w:style>
  <w:style w:type="paragraph" w:customStyle="1" w:styleId="1A0A4ABFC5EE454BA447CB49CADDAE62">
    <w:name w:val="1A0A4ABFC5EE454BA447CB49CADDAE62"/>
  </w:style>
  <w:style w:type="paragraph" w:customStyle="1" w:styleId="9BED2FD21FD54B55A18DE8117F0EC9FD">
    <w:name w:val="9BED2FD21FD54B55A18DE8117F0EC9FD"/>
  </w:style>
  <w:style w:type="paragraph" w:customStyle="1" w:styleId="777A57A07CC34DDE8A174326A639A6E1">
    <w:name w:val="777A57A07CC34DDE8A174326A639A6E1"/>
  </w:style>
  <w:style w:type="paragraph" w:customStyle="1" w:styleId="EBAAC446112A45E0813559088499DEAA">
    <w:name w:val="EBAAC446112A45E0813559088499DEAA"/>
  </w:style>
  <w:style w:type="paragraph" w:customStyle="1" w:styleId="BA6096E659BC41A6844C34FEE4267678">
    <w:name w:val="BA6096E659BC41A6844C34FEE4267678"/>
  </w:style>
  <w:style w:type="paragraph" w:customStyle="1" w:styleId="3170150BD72643B28216A289A7399039">
    <w:name w:val="3170150BD72643B28216A289A7399039"/>
  </w:style>
  <w:style w:type="paragraph" w:customStyle="1" w:styleId="C19868444A45499B87A32B3E6CF5DDA8">
    <w:name w:val="C19868444A45499B87A32B3E6CF5DDA8"/>
  </w:style>
  <w:style w:type="paragraph" w:customStyle="1" w:styleId="D736AFFAD4934303AF268DFDF6930BCE">
    <w:name w:val="D736AFFAD4934303AF268DFDF6930BCE"/>
  </w:style>
  <w:style w:type="paragraph" w:customStyle="1" w:styleId="F9FE1112516E432A8B793C3F500B08EF">
    <w:name w:val="F9FE1112516E432A8B793C3F500B08EF"/>
  </w:style>
  <w:style w:type="paragraph" w:customStyle="1" w:styleId="12B05BB0E9B648E6A14DEA71C409F7D9">
    <w:name w:val="12B05BB0E9B648E6A14DEA71C409F7D9"/>
  </w:style>
  <w:style w:type="paragraph" w:customStyle="1" w:styleId="71F3CCC6F47C4A648E2AF9AD75A3E953">
    <w:name w:val="71F3CCC6F47C4A648E2AF9AD75A3E953"/>
  </w:style>
  <w:style w:type="paragraph" w:customStyle="1" w:styleId="809CCDEFA8AD451E8B9D7BF6AADDFBF4">
    <w:name w:val="809CCDEFA8AD451E8B9D7BF6AADDFBF4"/>
  </w:style>
  <w:style w:type="paragraph" w:customStyle="1" w:styleId="590411787C4B4EBAA480AA347A878AE5">
    <w:name w:val="590411787C4B4EBAA480AA347A878AE5"/>
  </w:style>
  <w:style w:type="paragraph" w:customStyle="1" w:styleId="3FF5CC47E6FC47E9B5C7A30D35AB4359">
    <w:name w:val="3FF5CC47E6FC47E9B5C7A30D35AB4359"/>
  </w:style>
  <w:style w:type="paragraph" w:customStyle="1" w:styleId="57BF3F50F2554494B3BC56B5AC818CF3">
    <w:name w:val="57BF3F50F2554494B3BC56B5AC818CF3"/>
  </w:style>
  <w:style w:type="paragraph" w:customStyle="1" w:styleId="17ABAEAA54924AE296888AC645D78D1A">
    <w:name w:val="17ABAEAA54924AE296888AC645D78D1A"/>
  </w:style>
  <w:style w:type="paragraph" w:customStyle="1" w:styleId="18903D9163D54FB2BF610398A9590C5E">
    <w:name w:val="18903D9163D54FB2BF610398A9590C5E"/>
  </w:style>
  <w:style w:type="paragraph" w:customStyle="1" w:styleId="670993F787ED4C48B0AFD8FE6408BC90">
    <w:name w:val="670993F787ED4C48B0AFD8FE6408BC90"/>
  </w:style>
  <w:style w:type="paragraph" w:customStyle="1" w:styleId="A5ACA41BCB134A50AB71AD911E060C81">
    <w:name w:val="A5ACA41BCB134A50AB71AD911E060C81"/>
  </w:style>
  <w:style w:type="paragraph" w:customStyle="1" w:styleId="F47D13D704754BE1A0384EC41FEA4E2D">
    <w:name w:val="F47D13D704754BE1A0384EC41FEA4E2D"/>
  </w:style>
  <w:style w:type="paragraph" w:customStyle="1" w:styleId="2B96F517BB444A44805F4B505706555B">
    <w:name w:val="2B96F517BB444A44805F4B5057065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65E0-0AEB-4B73-BD0A-CA80E402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89</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8</cp:revision>
  <cp:lastPrinted>2018-05-11T07:21:00Z</cp:lastPrinted>
  <dcterms:created xsi:type="dcterms:W3CDTF">2018-05-08T06:02:00Z</dcterms:created>
  <dcterms:modified xsi:type="dcterms:W3CDTF">2018-05-11T07:21:00Z</dcterms:modified>
</cp:coreProperties>
</file>