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1C8" w:rsidRPr="00002269" w:rsidRDefault="00B27D89" w:rsidP="00002269">
      <w:pPr>
        <w:jc w:val="center"/>
        <w:rPr>
          <w:b/>
          <w:sz w:val="24"/>
          <w:szCs w:val="24"/>
        </w:rPr>
      </w:pPr>
      <w:sdt>
        <w:sdtPr>
          <w:rPr>
            <w:b/>
            <w:sz w:val="28"/>
            <w:szCs w:val="28"/>
          </w:rPr>
          <w:id w:val="13542603"/>
          <w:lock w:val="sdtContentLocked"/>
          <w:placeholder>
            <w:docPart w:val="18E24AE5F4574AAAA0851472B19E57A4"/>
          </w:placeholder>
        </w:sdtPr>
        <w:sdtEndPr/>
        <w:sdtContent>
          <w:r w:rsidR="006D0D9B" w:rsidRPr="00606EEA">
            <w:rPr>
              <w:b/>
              <w:sz w:val="28"/>
              <w:szCs w:val="28"/>
            </w:rPr>
            <w:t>IN THE S</w:t>
          </w:r>
          <w:r w:rsidR="006D0D9B">
            <w:rPr>
              <w:b/>
              <w:sz w:val="28"/>
              <w:szCs w:val="28"/>
            </w:rPr>
            <w:t>EYCHELLES</w:t>
          </w:r>
          <w:r w:rsidR="006D0D9B" w:rsidRPr="00606EEA">
            <w:rPr>
              <w:b/>
              <w:sz w:val="28"/>
              <w:szCs w:val="28"/>
            </w:rPr>
            <w:t xml:space="preserve"> COURT OF </w:t>
          </w:r>
          <w:r w:rsidR="003437DF">
            <w:rPr>
              <w:b/>
              <w:sz w:val="28"/>
              <w:szCs w:val="28"/>
            </w:rPr>
            <w:t>APPEAL</w:t>
          </w:r>
        </w:sdtContent>
      </w:sdt>
    </w:p>
    <w:p w:rsidR="006D0D9B" w:rsidRDefault="006D0D9B" w:rsidP="00CA7795">
      <w:pPr>
        <w:jc w:val="center"/>
        <w:rPr>
          <w:b/>
          <w:sz w:val="28"/>
          <w:szCs w:val="28"/>
        </w:rPr>
      </w:pPr>
    </w:p>
    <w:sdt>
      <w:sdtPr>
        <w:rPr>
          <w:b/>
          <w:sz w:val="28"/>
          <w:szCs w:val="28"/>
        </w:rPr>
        <w:id w:val="13542613"/>
        <w:placeholder>
          <w:docPart w:val="97F55BDF867B4CDEBB45AEE29F10F3AD"/>
        </w:placeholder>
        <w:docPartList>
          <w:docPartGallery w:val="Quick Parts"/>
        </w:docPartList>
      </w:sdtPr>
      <w:sdtEndPr/>
      <w:sdtContent>
        <w:p w:rsidR="00102EE1" w:rsidRDefault="00B27D89" w:rsidP="00CA7795">
          <w:pPr>
            <w:jc w:val="center"/>
            <w:rPr>
              <w:b/>
              <w:sz w:val="28"/>
              <w:szCs w:val="28"/>
            </w:rPr>
          </w:pPr>
          <w:sdt>
            <w:sdtPr>
              <w:rPr>
                <w:b/>
                <w:sz w:val="28"/>
                <w:szCs w:val="28"/>
              </w:rPr>
              <w:id w:val="13542618"/>
              <w:placeholder>
                <w:docPart w:val="76126B5A7CA04545BC161F3583888D86"/>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17674C742517402C8999B15056C8742D"/>
              </w:placeholder>
              <w:comboBox>
                <w:listItem w:displayText="F. MacGregor (PCA)" w:value="F. MacGregor (PCA)"/>
                <w:listItem w:displayText="A.Fernando (J.A)" w:value="A.Fernando (J.A)"/>
                <w:listItem w:displayText="M. Twomey (J.A)" w:value="M. Twomey (J.A)"/>
                <w:listItem w:displayText="L. Tibatemwa-Ekirikubinza (J.A)" w:value="L. Tibatemwa-Ekirikubinza (J.A)"/>
                <w:listItem w:displayText="F. Robinson (J.A)" w:value="F. Robinson (J.A)"/>
              </w:comboBox>
            </w:sdtPr>
            <w:sdtEndPr/>
            <w:sdtContent>
              <w:r w:rsidR="007B2A20">
                <w:rPr>
                  <w:sz w:val="28"/>
                  <w:szCs w:val="28"/>
                </w:rPr>
                <w:t>A.</w:t>
              </w:r>
              <w:r w:rsidR="007436C9">
                <w:rPr>
                  <w:sz w:val="28"/>
                  <w:szCs w:val="28"/>
                </w:rPr>
                <w:t xml:space="preserve"> </w:t>
              </w:r>
              <w:r w:rsidR="007B2A20">
                <w:rPr>
                  <w:sz w:val="28"/>
                  <w:szCs w:val="28"/>
                </w:rPr>
                <w:t>Fernando (J.A)</w:t>
              </w:r>
            </w:sdtContent>
          </w:sdt>
          <w:r w:rsidR="00097B9A">
            <w:rPr>
              <w:b/>
              <w:sz w:val="28"/>
              <w:szCs w:val="28"/>
            </w:rPr>
            <w:t xml:space="preserve"> </w:t>
          </w:r>
          <w:sdt>
            <w:sdtPr>
              <w:rPr>
                <w:sz w:val="28"/>
                <w:szCs w:val="28"/>
              </w:rPr>
              <w:id w:val="15629612"/>
              <w:placeholder>
                <w:docPart w:val="398F3747C8BD4FE28C9C39A8EBAF9E55"/>
              </w:placeholder>
              <w:comboBox>
                <w:listItem w:displayText=",F. MacGregor (PCA)" w:value=",F. MacGregor (PCA)"/>
                <w:listItem w:displayText=",A.Fernando (J.A)" w:value=",A.Fernando (J.A)"/>
                <w:listItem w:displayText=",M. Twomey (J.A)" w:value=",M. Twomey (J.A)"/>
                <w:listItem w:displayText=",L. Tibatemwa-Ekirikubinza (J.A)" w:value=",L. Tibatemwa-Ekirikubinza (J.A)"/>
                <w:listItem w:displayText="F. Robinson (J.A)" w:value="F. Robinson (J.A)"/>
              </w:comboBox>
            </w:sdtPr>
            <w:sdtEndPr/>
            <w:sdtContent>
              <w:proofErr w:type="gramStart"/>
              <w:r w:rsidR="007B2A20">
                <w:rPr>
                  <w:sz w:val="28"/>
                  <w:szCs w:val="28"/>
                </w:rPr>
                <w:t>,M</w:t>
              </w:r>
              <w:proofErr w:type="gramEnd"/>
              <w:r w:rsidR="007B2A20">
                <w:rPr>
                  <w:sz w:val="28"/>
                  <w:szCs w:val="28"/>
                </w:rPr>
                <w:t>. Twomey (J.A)</w:t>
              </w:r>
            </w:sdtContent>
          </w:sdt>
          <w:r w:rsidR="00097B9A">
            <w:rPr>
              <w:b/>
              <w:sz w:val="28"/>
              <w:szCs w:val="28"/>
            </w:rPr>
            <w:t xml:space="preserve"> </w:t>
          </w:r>
          <w:sdt>
            <w:sdtPr>
              <w:rPr>
                <w:sz w:val="28"/>
                <w:szCs w:val="28"/>
              </w:rPr>
              <w:id w:val="15629656"/>
              <w:placeholder>
                <w:docPart w:val="271F297EF7E545A29425F9CD7C4D687D"/>
              </w:placeholder>
              <w:comboBox>
                <w:listItem w:displayText=",F. MacGregor (PCA)" w:value=",F. MacGregor (PCA)"/>
                <w:listItem w:displayText=",A.Fernando (J.A)" w:value=",A.Fernando (J.A)"/>
                <w:listItem w:displayText=",M. Twomey (J.A)" w:value=",M. Twomey (J.A)"/>
                <w:listItem w:displayText=",L. Tibatemwa-Ekirikubinza (J.A)" w:value=",L. Tibatemwa-Ekirikubinza (J.A)"/>
                <w:listItem w:displayText="F. Robinson (J.A)" w:value="F. Robinson (J.A)"/>
              </w:comboBox>
            </w:sdtPr>
            <w:sdtEndPr/>
            <w:sdtContent>
              <w:r w:rsidR="007B2A20">
                <w:rPr>
                  <w:sz w:val="28"/>
                  <w:szCs w:val="28"/>
                </w:rPr>
                <w:t>F. Robinson (J.A)</w:t>
              </w:r>
            </w:sdtContent>
          </w:sdt>
          <w:r w:rsidR="006D0D9B">
            <w:rPr>
              <w:b/>
              <w:sz w:val="28"/>
              <w:szCs w:val="28"/>
            </w:rPr>
            <w:t>]</w:t>
          </w:r>
        </w:p>
      </w:sdtContent>
    </w:sdt>
    <w:p w:rsidR="00C55FDF" w:rsidRDefault="00B27D89" w:rsidP="0006489F">
      <w:pPr>
        <w:spacing w:before="240"/>
        <w:jc w:val="center"/>
        <w:rPr>
          <w:b/>
          <w:sz w:val="28"/>
          <w:szCs w:val="28"/>
        </w:rPr>
      </w:pPr>
      <w:sdt>
        <w:sdtPr>
          <w:rPr>
            <w:b/>
            <w:sz w:val="28"/>
            <w:szCs w:val="28"/>
          </w:rPr>
          <w:id w:val="14547297"/>
          <w:lock w:val="contentLocked"/>
          <w:placeholder>
            <w:docPart w:val="18E24AE5F4574AAAA0851472B19E57A4"/>
          </w:placeholder>
        </w:sdtPr>
        <w:sdtEndPr/>
        <w:sdtContent>
          <w:r w:rsidR="00030259">
            <w:rPr>
              <w:b/>
              <w:sz w:val="28"/>
              <w:szCs w:val="28"/>
            </w:rPr>
            <w:t>Criminal</w:t>
          </w:r>
          <w:r w:rsidR="00E86753" w:rsidRPr="00B75AE2">
            <w:rPr>
              <w:b/>
              <w:sz w:val="28"/>
              <w:szCs w:val="28"/>
            </w:rPr>
            <w:t xml:space="preserve"> </w:t>
          </w:r>
          <w:r w:rsidR="00583C6D">
            <w:rPr>
              <w:b/>
              <w:sz w:val="28"/>
              <w:szCs w:val="28"/>
            </w:rPr>
            <w:t>Appeal SCA</w:t>
          </w:r>
        </w:sdtContent>
      </w:sdt>
      <w:r w:rsidR="005D088E">
        <w:rPr>
          <w:b/>
          <w:sz w:val="28"/>
          <w:szCs w:val="28"/>
        </w:rPr>
        <w:t xml:space="preserve"> </w:t>
      </w:r>
      <w:r w:rsidR="007B2A20">
        <w:rPr>
          <w:b/>
          <w:sz w:val="28"/>
          <w:szCs w:val="28"/>
        </w:rPr>
        <w:t>27</w:t>
      </w:r>
      <w:sdt>
        <w:sdtPr>
          <w:rPr>
            <w:b/>
            <w:sz w:val="28"/>
            <w:szCs w:val="28"/>
          </w:rPr>
          <w:id w:val="14547301"/>
          <w:lock w:val="sdtContentLocked"/>
          <w:placeholder>
            <w:docPart w:val="18E24AE5F4574AAAA0851472B19E57A4"/>
          </w:placeholder>
        </w:sdtPr>
        <w:sdtEndPr/>
        <w:sdtContent>
          <w:r w:rsidR="00E86753">
            <w:rPr>
              <w:b/>
              <w:sz w:val="28"/>
              <w:szCs w:val="28"/>
            </w:rPr>
            <w:t>/20</w:t>
          </w:r>
        </w:sdtContent>
      </w:sdt>
      <w:r w:rsidR="007B2A20">
        <w:rPr>
          <w:b/>
          <w:sz w:val="28"/>
          <w:szCs w:val="28"/>
        </w:rPr>
        <w:t>18</w:t>
      </w:r>
    </w:p>
    <w:p w:rsidR="00DB6D34" w:rsidRPr="00606EEA" w:rsidRDefault="00B27D89" w:rsidP="00616597">
      <w:pPr>
        <w:spacing w:before="120"/>
        <w:jc w:val="center"/>
        <w:rPr>
          <w:b/>
          <w:sz w:val="24"/>
          <w:szCs w:val="24"/>
        </w:rPr>
      </w:pPr>
      <w:sdt>
        <w:sdtPr>
          <w:rPr>
            <w:b/>
            <w:sz w:val="28"/>
            <w:szCs w:val="28"/>
          </w:rPr>
          <w:id w:val="15629594"/>
          <w:lock w:val="contentLocked"/>
          <w:placeholder>
            <w:docPart w:val="4167543B0C544DBA814E82D63AD4681D"/>
          </w:placeholder>
        </w:sdtPr>
        <w:sdtEndPr/>
        <w:sdtContent>
          <w:r w:rsidR="00204002">
            <w:rPr>
              <w:b/>
              <w:sz w:val="24"/>
              <w:szCs w:val="24"/>
            </w:rPr>
            <w:t>(Appeal from</w:t>
          </w:r>
          <w:r w:rsidR="00583C6D">
            <w:rPr>
              <w:b/>
              <w:sz w:val="24"/>
              <w:szCs w:val="24"/>
            </w:rPr>
            <w:t xml:space="preserve"> Supreme Court Decision</w:t>
          </w:r>
        </w:sdtContent>
      </w:sdt>
      <w:r w:rsidR="005D088E">
        <w:rPr>
          <w:b/>
          <w:sz w:val="28"/>
          <w:szCs w:val="28"/>
        </w:rPr>
        <w:t xml:space="preserve"> </w:t>
      </w:r>
      <w:r w:rsidR="007B2A20" w:rsidRPr="007B2A20">
        <w:rPr>
          <w:b/>
          <w:sz w:val="24"/>
          <w:szCs w:val="24"/>
        </w:rPr>
        <w:t>CR 22</w:t>
      </w:r>
      <w:sdt>
        <w:sdtPr>
          <w:rPr>
            <w:b/>
            <w:sz w:val="28"/>
            <w:szCs w:val="28"/>
          </w:rPr>
          <w:id w:val="15629598"/>
          <w:lock w:val="contentLocked"/>
          <w:placeholder>
            <w:docPart w:val="4167543B0C544DBA814E82D63AD4681D"/>
          </w:placeholder>
        </w:sdtPr>
        <w:sdtEndPr/>
        <w:sdtContent>
          <w:r w:rsidR="00097B9A">
            <w:rPr>
              <w:b/>
              <w:sz w:val="24"/>
              <w:szCs w:val="24"/>
            </w:rPr>
            <w:t>/20</w:t>
          </w:r>
        </w:sdtContent>
      </w:sdt>
      <w:r w:rsidR="007B2A20" w:rsidRPr="007B2A20">
        <w:rPr>
          <w:b/>
          <w:sz w:val="24"/>
          <w:szCs w:val="24"/>
        </w:rPr>
        <w:t>16</w:t>
      </w:r>
      <w:r w:rsidR="006A2C88">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0"/>
        <w:gridCol w:w="877"/>
        <w:gridCol w:w="6"/>
        <w:gridCol w:w="4287"/>
      </w:tblGrid>
      <w:tr w:rsidR="003A059B" w:rsidRPr="0000251A" w:rsidTr="005404FF">
        <w:tc>
          <w:tcPr>
            <w:tcW w:w="4343" w:type="dxa"/>
          </w:tcPr>
          <w:p w:rsidR="003A059B" w:rsidRDefault="007B2A20" w:rsidP="007B2A20">
            <w:pPr>
              <w:spacing w:before="120" w:after="120"/>
              <w:rPr>
                <w:sz w:val="24"/>
                <w:szCs w:val="24"/>
              </w:rPr>
            </w:pPr>
            <w:r>
              <w:rPr>
                <w:sz w:val="24"/>
                <w:szCs w:val="24"/>
              </w:rPr>
              <w:t>Francis Ernesta</w:t>
            </w:r>
          </w:p>
          <w:p w:rsidR="007B2A20" w:rsidRDefault="007B2A20" w:rsidP="007B2A20">
            <w:pPr>
              <w:spacing w:before="120" w:after="120"/>
              <w:rPr>
                <w:sz w:val="24"/>
                <w:szCs w:val="24"/>
              </w:rPr>
            </w:pPr>
            <w:r>
              <w:rPr>
                <w:sz w:val="24"/>
                <w:szCs w:val="24"/>
              </w:rPr>
              <w:t xml:space="preserve">Brian </w:t>
            </w:r>
            <w:proofErr w:type="spellStart"/>
            <w:r>
              <w:rPr>
                <w:sz w:val="24"/>
                <w:szCs w:val="24"/>
              </w:rPr>
              <w:t>Mothe</w:t>
            </w:r>
            <w:proofErr w:type="spellEnd"/>
          </w:p>
          <w:p w:rsidR="007B2A20" w:rsidRDefault="00885E62" w:rsidP="007B2A20">
            <w:pPr>
              <w:spacing w:before="120" w:after="120"/>
              <w:rPr>
                <w:sz w:val="24"/>
                <w:szCs w:val="24"/>
              </w:rPr>
            </w:pPr>
            <w:r>
              <w:rPr>
                <w:sz w:val="24"/>
                <w:szCs w:val="24"/>
              </w:rPr>
              <w:t>Kevi</w:t>
            </w:r>
            <w:r w:rsidR="007B2A20">
              <w:rPr>
                <w:sz w:val="24"/>
                <w:szCs w:val="24"/>
              </w:rPr>
              <w:t>n Quatre</w:t>
            </w:r>
          </w:p>
          <w:p w:rsidR="007B2A20" w:rsidRPr="007B2A20" w:rsidRDefault="007B2A20" w:rsidP="007B2A20">
            <w:pPr>
              <w:spacing w:before="120" w:after="120"/>
              <w:rPr>
                <w:sz w:val="24"/>
                <w:szCs w:val="24"/>
              </w:rPr>
            </w:pPr>
            <w:r>
              <w:rPr>
                <w:sz w:val="24"/>
                <w:szCs w:val="24"/>
              </w:rPr>
              <w:t xml:space="preserve">Danny Sultan  </w:t>
            </w:r>
          </w:p>
        </w:tc>
        <w:tc>
          <w:tcPr>
            <w:tcW w:w="883" w:type="dxa"/>
            <w:gridSpan w:val="2"/>
          </w:tcPr>
          <w:p w:rsidR="003A059B" w:rsidRPr="0000251A" w:rsidRDefault="003A059B" w:rsidP="00B26028">
            <w:pPr>
              <w:spacing w:before="120" w:after="120"/>
              <w:rPr>
                <w:b/>
                <w:sz w:val="24"/>
                <w:szCs w:val="24"/>
              </w:rPr>
            </w:pPr>
          </w:p>
        </w:tc>
        <w:tc>
          <w:tcPr>
            <w:tcW w:w="4350" w:type="dxa"/>
          </w:tcPr>
          <w:p w:rsidR="003A059B" w:rsidRPr="007B2A20" w:rsidRDefault="00B27D89" w:rsidP="005D088E">
            <w:pPr>
              <w:spacing w:before="120" w:after="120"/>
              <w:jc w:val="right"/>
              <w:rPr>
                <w:rStyle w:val="Strong"/>
                <w:b w:val="0"/>
                <w:sz w:val="24"/>
                <w:szCs w:val="24"/>
              </w:rPr>
            </w:pPr>
            <w:sdt>
              <w:sdtPr>
                <w:rPr>
                  <w:rStyle w:val="Strong"/>
                  <w:b w:val="0"/>
                  <w:sz w:val="24"/>
                  <w:szCs w:val="24"/>
                </w:rPr>
                <w:id w:val="17813786"/>
                <w:placeholder>
                  <w:docPart w:val="FE6B66D0D2244C38A3A5E78DB97A64A5"/>
                </w:placeholder>
                <w:dropDownList>
                  <w:listItem w:value="Choose an item."/>
                  <w:listItem w:displayText="Appellant" w:value="Appellant"/>
                  <w:listItem w:displayText="Petitioner" w:value="Petitioner"/>
                  <w:listItem w:displayText="Applicant" w:value="Applicant"/>
                  <w:listItem w:displayText="Appellants" w:value="Appellants"/>
                  <w:listItem w:displayText="1st Appellant" w:value="1st Appellant"/>
                  <w:listItem w:displayText="2nd Appellant" w:value="2nd Appellant"/>
                  <w:listItem w:displayText="3rd Appellant" w:value="3rd Appellant"/>
                  <w:listItem w:displayText="4th Appellant" w:value="4th Appellant"/>
                  <w:listItem w:displayText="5th Appellant" w:value="5th Appellant"/>
                  <w:listItem w:displayText="6th Appellant" w:value="6th Appellant"/>
                  <w:listItem w:displayText="7th Appellant" w:value="7th Appellant"/>
                  <w:listItem w:displayText="8th Appellant" w:value="8th Appellant"/>
                  <w:listItem w:displayText="9th Appellant" w:value="9th Appellant"/>
                  <w:listItem w:displayText="10th Appellant" w:value="10th Appellant"/>
                </w:dropDownList>
              </w:sdtPr>
              <w:sdtEndPr>
                <w:rPr>
                  <w:rStyle w:val="Strong"/>
                </w:rPr>
              </w:sdtEndPr>
              <w:sdtContent>
                <w:r w:rsidR="007B2A20" w:rsidRPr="007B2A20">
                  <w:rPr>
                    <w:rStyle w:val="Strong"/>
                    <w:b w:val="0"/>
                    <w:sz w:val="24"/>
                    <w:szCs w:val="24"/>
                  </w:rPr>
                  <w:t>1st Appellant</w:t>
                </w:r>
              </w:sdtContent>
            </w:sdt>
          </w:p>
          <w:p w:rsidR="00CE0CDA" w:rsidRPr="007B2A20" w:rsidRDefault="00B27D89" w:rsidP="005D088E">
            <w:pPr>
              <w:spacing w:before="120" w:after="120"/>
              <w:jc w:val="right"/>
              <w:rPr>
                <w:rStyle w:val="Strong"/>
                <w:b w:val="0"/>
                <w:sz w:val="24"/>
                <w:szCs w:val="24"/>
              </w:rPr>
            </w:pPr>
            <w:sdt>
              <w:sdtPr>
                <w:rPr>
                  <w:rStyle w:val="Strong"/>
                  <w:b w:val="0"/>
                  <w:sz w:val="24"/>
                  <w:szCs w:val="24"/>
                </w:rPr>
                <w:id w:val="91333906"/>
                <w:placeholder>
                  <w:docPart w:val="F89681ED65444AD8951B5BC1143EE345"/>
                </w:placeholder>
                <w:dropDownList>
                  <w:listItem w:value="Choose an item."/>
                  <w:listItem w:displayText="Appellant" w:value="Appellant"/>
                  <w:listItem w:displayText="Petitioner" w:value="Petitioner"/>
                  <w:listItem w:displayText="Applicant" w:value="Applicant"/>
                  <w:listItem w:displayText="Appellants" w:value="Appellants"/>
                  <w:listItem w:displayText="1st Appellant" w:value="1st Appellant"/>
                  <w:listItem w:displayText="2nd Appellant" w:value="2nd Appellant"/>
                  <w:listItem w:displayText="3rd Appellant" w:value="3rd Appellant"/>
                  <w:listItem w:displayText="4th Appellant" w:value="4th Appellant"/>
                  <w:listItem w:displayText="5th Appellant" w:value="5th Appellant"/>
                  <w:listItem w:displayText="6th Appellant" w:value="6th Appellant"/>
                  <w:listItem w:displayText="7th Appellant" w:value="7th Appellant"/>
                  <w:listItem w:displayText="8th Appellant" w:value="8th Appellant"/>
                  <w:listItem w:displayText="9th Appellant" w:value="9th Appellant"/>
                  <w:listItem w:displayText="10th Appellant" w:value="10th Appellant"/>
                </w:dropDownList>
              </w:sdtPr>
              <w:sdtEndPr>
                <w:rPr>
                  <w:rStyle w:val="Strong"/>
                </w:rPr>
              </w:sdtEndPr>
              <w:sdtContent>
                <w:r w:rsidR="007B2A20" w:rsidRPr="007B2A20">
                  <w:rPr>
                    <w:rStyle w:val="Strong"/>
                    <w:b w:val="0"/>
                    <w:sz w:val="24"/>
                    <w:szCs w:val="24"/>
                  </w:rPr>
                  <w:t>2nd Appellant</w:t>
                </w:r>
              </w:sdtContent>
            </w:sdt>
          </w:p>
          <w:p w:rsidR="00CE0CDA" w:rsidRPr="007B2A20" w:rsidRDefault="00B27D89" w:rsidP="005D088E">
            <w:pPr>
              <w:spacing w:before="120" w:after="120"/>
              <w:jc w:val="right"/>
              <w:rPr>
                <w:rStyle w:val="Strong"/>
                <w:b w:val="0"/>
                <w:sz w:val="24"/>
                <w:szCs w:val="24"/>
              </w:rPr>
            </w:pPr>
            <w:sdt>
              <w:sdtPr>
                <w:rPr>
                  <w:rStyle w:val="Strong"/>
                  <w:b w:val="0"/>
                  <w:sz w:val="24"/>
                  <w:szCs w:val="24"/>
                </w:rPr>
                <w:id w:val="91333907"/>
                <w:placeholder>
                  <w:docPart w:val="DEF83CCFD2984EBDA46CD6524C1076F5"/>
                </w:placeholder>
                <w:dropDownList>
                  <w:listItem w:value="Choose an item."/>
                  <w:listItem w:displayText="Appellant" w:value="Appellant"/>
                  <w:listItem w:displayText="Petitioner" w:value="Petitioner"/>
                  <w:listItem w:displayText="Applicant" w:value="Applicant"/>
                  <w:listItem w:displayText="Appellants" w:value="Appellants"/>
                  <w:listItem w:displayText="1st Appellant" w:value="1st Appellant"/>
                  <w:listItem w:displayText="2nd Appellant" w:value="2nd Appellant"/>
                  <w:listItem w:displayText="3rd Appellant" w:value="3rd Appellant"/>
                  <w:listItem w:displayText="4th Appellant" w:value="4th Appellant"/>
                  <w:listItem w:displayText="5th Appellant" w:value="5th Appellant"/>
                  <w:listItem w:displayText="6th Appellant" w:value="6th Appellant"/>
                  <w:listItem w:displayText="7th Appellant" w:value="7th Appellant"/>
                  <w:listItem w:displayText="8th Appellant" w:value="8th Appellant"/>
                  <w:listItem w:displayText="9th Appellant" w:value="9th Appellant"/>
                  <w:listItem w:displayText="10th Appellant" w:value="10th Appellant"/>
                </w:dropDownList>
              </w:sdtPr>
              <w:sdtEndPr>
                <w:rPr>
                  <w:rStyle w:val="Strong"/>
                </w:rPr>
              </w:sdtEndPr>
              <w:sdtContent>
                <w:r w:rsidR="007B2A20" w:rsidRPr="007B2A20">
                  <w:rPr>
                    <w:rStyle w:val="Strong"/>
                    <w:b w:val="0"/>
                    <w:sz w:val="24"/>
                    <w:szCs w:val="24"/>
                  </w:rPr>
                  <w:t>3rd Appellant</w:t>
                </w:r>
              </w:sdtContent>
            </w:sdt>
          </w:p>
          <w:p w:rsidR="00CE0CDA" w:rsidRPr="007B2A20" w:rsidRDefault="00B27D89" w:rsidP="005D088E">
            <w:pPr>
              <w:spacing w:before="120" w:after="120"/>
              <w:jc w:val="right"/>
              <w:rPr>
                <w:rStyle w:val="Strong"/>
                <w:b w:val="0"/>
                <w:sz w:val="24"/>
                <w:szCs w:val="24"/>
              </w:rPr>
            </w:pPr>
            <w:sdt>
              <w:sdtPr>
                <w:rPr>
                  <w:rStyle w:val="Strong"/>
                  <w:b w:val="0"/>
                  <w:sz w:val="24"/>
                  <w:szCs w:val="24"/>
                </w:rPr>
                <w:id w:val="91333908"/>
                <w:placeholder>
                  <w:docPart w:val="A8B13723D183468FA9617C80EB5777D2"/>
                </w:placeholder>
                <w:dropDownList>
                  <w:listItem w:value="Choose an item."/>
                  <w:listItem w:displayText="Appellant" w:value="Appellant"/>
                  <w:listItem w:displayText="Petitioner" w:value="Petitioner"/>
                  <w:listItem w:displayText="Applicant" w:value="Applicant"/>
                  <w:listItem w:displayText="Appellants" w:value="Appellants"/>
                  <w:listItem w:displayText="1st Appellant" w:value="1st Appellant"/>
                  <w:listItem w:displayText="2nd Appellant" w:value="2nd Appellant"/>
                  <w:listItem w:displayText="3rd Appellant" w:value="3rd Appellant"/>
                  <w:listItem w:displayText="4th Appellant" w:value="4th Appellant"/>
                  <w:listItem w:displayText="5th Appellant" w:value="5th Appellant"/>
                  <w:listItem w:displayText="6th Appellant" w:value="6th Appellant"/>
                  <w:listItem w:displayText="7th Appellant" w:value="7th Appellant"/>
                  <w:listItem w:displayText="8th Appellant" w:value="8th Appellant"/>
                  <w:listItem w:displayText="9th Appellant" w:value="9th Appellant"/>
                  <w:listItem w:displayText="10th Appellant" w:value="10th Appellant"/>
                </w:dropDownList>
              </w:sdtPr>
              <w:sdtEndPr>
                <w:rPr>
                  <w:rStyle w:val="Strong"/>
                </w:rPr>
              </w:sdtEndPr>
              <w:sdtContent>
                <w:r w:rsidR="007B2A20" w:rsidRPr="007B2A20">
                  <w:rPr>
                    <w:rStyle w:val="Strong"/>
                    <w:b w:val="0"/>
                    <w:sz w:val="24"/>
                    <w:szCs w:val="24"/>
                  </w:rPr>
                  <w:t>4th Appellant</w:t>
                </w:r>
              </w:sdtContent>
            </w:sdt>
          </w:p>
          <w:p w:rsidR="00CE0CDA" w:rsidRPr="009D4271" w:rsidRDefault="00CE0CDA" w:rsidP="005D088E">
            <w:pPr>
              <w:spacing w:before="120" w:after="120"/>
              <w:jc w:val="right"/>
              <w:rPr>
                <w:rStyle w:val="Strong"/>
              </w:rPr>
            </w:pPr>
          </w:p>
        </w:tc>
      </w:tr>
      <w:tr w:rsidR="003A059B" w:rsidTr="005404FF">
        <w:tc>
          <w:tcPr>
            <w:tcW w:w="4343" w:type="dxa"/>
          </w:tcPr>
          <w:p w:rsidR="003A059B" w:rsidRDefault="003A059B" w:rsidP="003A059B">
            <w:pPr>
              <w:spacing w:before="120"/>
              <w:jc w:val="center"/>
              <w:rPr>
                <w:sz w:val="24"/>
                <w:szCs w:val="24"/>
              </w:rPr>
            </w:pPr>
          </w:p>
        </w:tc>
        <w:tc>
          <w:tcPr>
            <w:tcW w:w="883" w:type="dxa"/>
            <w:gridSpan w:val="2"/>
          </w:tcPr>
          <w:sdt>
            <w:sdtPr>
              <w:rPr>
                <w:b/>
                <w:bCs/>
                <w:sz w:val="24"/>
                <w:szCs w:val="24"/>
              </w:rPr>
              <w:id w:val="15629672"/>
              <w:lock w:val="contentLocked"/>
              <w:placeholder>
                <w:docPart w:val="A4833A4F14DB42A695F8A9B772130F94"/>
              </w:placeholder>
            </w:sdtPr>
            <w:sdtEndPr/>
            <w:sdtContent>
              <w:p w:rsidR="003A059B" w:rsidRDefault="003A059B" w:rsidP="003A059B">
                <w:pPr>
                  <w:spacing w:before="120"/>
                  <w:jc w:val="center"/>
                  <w:rPr>
                    <w:sz w:val="24"/>
                    <w:szCs w:val="24"/>
                  </w:rPr>
                </w:pPr>
                <w:r>
                  <w:rPr>
                    <w:sz w:val="24"/>
                    <w:szCs w:val="24"/>
                  </w:rPr>
                  <w:t>Versus</w:t>
                </w:r>
              </w:p>
            </w:sdtContent>
          </w:sdt>
        </w:tc>
        <w:tc>
          <w:tcPr>
            <w:tcW w:w="4350" w:type="dxa"/>
          </w:tcPr>
          <w:p w:rsidR="003A059B" w:rsidRPr="009D4271" w:rsidRDefault="003A059B" w:rsidP="00572AB3">
            <w:pPr>
              <w:rPr>
                <w:rStyle w:val="Strong"/>
              </w:rPr>
            </w:pPr>
          </w:p>
        </w:tc>
      </w:tr>
      <w:tr w:rsidR="005F58E5" w:rsidRPr="00B26028" w:rsidTr="005F58E5">
        <w:tc>
          <w:tcPr>
            <w:tcW w:w="5220" w:type="dxa"/>
            <w:gridSpan w:val="2"/>
          </w:tcPr>
          <w:p w:rsidR="005F58E5" w:rsidRPr="009D4271" w:rsidRDefault="00B27D89" w:rsidP="005404FF">
            <w:pPr>
              <w:spacing w:before="240" w:after="120"/>
              <w:rPr>
                <w:rStyle w:val="Strong"/>
              </w:rPr>
            </w:pPr>
            <w:sdt>
              <w:sdtPr>
                <w:rPr>
                  <w:rStyle w:val="Strong"/>
                </w:rPr>
                <w:id w:val="8972153"/>
                <w:placeholder>
                  <w:docPart w:val="50B320B481BB490EACF48C841090B87E"/>
                </w:placeholder>
              </w:sdtPr>
              <w:sdtEndPr>
                <w:rPr>
                  <w:rStyle w:val="Strong"/>
                </w:rPr>
              </w:sdtEndPr>
              <w:sdtContent>
                <w:r w:rsidR="005F58E5" w:rsidRPr="004E065C">
                  <w:rPr>
                    <w:rStyle w:val="Strong"/>
                    <w:b w:val="0"/>
                    <w:sz w:val="24"/>
                    <w:szCs w:val="24"/>
                  </w:rPr>
                  <w:t>The Republic</w:t>
                </w:r>
              </w:sdtContent>
            </w:sdt>
          </w:p>
        </w:tc>
        <w:tc>
          <w:tcPr>
            <w:tcW w:w="4356" w:type="dxa"/>
            <w:gridSpan w:val="2"/>
          </w:tcPr>
          <w:p w:rsidR="005F58E5" w:rsidRPr="007B2A20" w:rsidRDefault="00B27D89" w:rsidP="005F58E5">
            <w:pPr>
              <w:spacing w:before="240" w:after="120"/>
              <w:ind w:left="1602"/>
              <w:jc w:val="right"/>
              <w:rPr>
                <w:rStyle w:val="Strong"/>
                <w:b w:val="0"/>
                <w:sz w:val="24"/>
                <w:szCs w:val="24"/>
              </w:rPr>
            </w:pPr>
            <w:sdt>
              <w:sdtPr>
                <w:rPr>
                  <w:rStyle w:val="Strong"/>
                  <w:b w:val="0"/>
                  <w:sz w:val="24"/>
                  <w:szCs w:val="24"/>
                </w:rPr>
                <w:id w:val="1520971153"/>
                <w:placeholder>
                  <w:docPart w:val="DD97BA0B501D42FA9FE3BCE44261CEBD"/>
                </w:placeholder>
                <w:dropDownList>
                  <w:listItem w:value="Choose an item."/>
                  <w:listItem w:displayText="Respondent" w:value="Respondent"/>
                  <w:listItem w:displayText="Defendant" w:value="Defendant"/>
                </w:dropDownList>
              </w:sdtPr>
              <w:sdtEndPr>
                <w:rPr>
                  <w:rStyle w:val="Strong"/>
                </w:rPr>
              </w:sdtEndPr>
              <w:sdtContent>
                <w:r w:rsidR="007B2A20" w:rsidRPr="007B2A20">
                  <w:rPr>
                    <w:rStyle w:val="Strong"/>
                    <w:b w:val="0"/>
                    <w:sz w:val="24"/>
                    <w:szCs w:val="24"/>
                  </w:rPr>
                  <w:t>Respondent</w:t>
                </w:r>
              </w:sdtContent>
            </w:sdt>
            <w:r w:rsidR="005F58E5" w:rsidRPr="007B2A20">
              <w:rPr>
                <w:rStyle w:val="Strong"/>
                <w:b w:val="0"/>
                <w:sz w:val="24"/>
                <w:szCs w:val="24"/>
              </w:rPr>
              <w:t xml:space="preserve">                                    </w:t>
            </w: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D088E" w:rsidRDefault="00B27D89" w:rsidP="00C22967">
      <w:pPr>
        <w:spacing w:before="240" w:after="120"/>
        <w:rPr>
          <w:sz w:val="24"/>
          <w:szCs w:val="24"/>
        </w:rPr>
      </w:pPr>
      <w:sdt>
        <w:sdtPr>
          <w:rPr>
            <w:sz w:val="24"/>
            <w:szCs w:val="24"/>
          </w:rPr>
          <w:id w:val="15629736"/>
          <w:lock w:val="contentLocked"/>
          <w:placeholder>
            <w:docPart w:val="4167543B0C544DBA814E82D63AD4681D"/>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6555993862A540F78E02953CC5C69094"/>
          </w:placeholder>
          <w:date w:fullDate="2019-12-02T00:00:00Z">
            <w:dateFormat w:val="dd MMMM yyyy"/>
            <w:lid w:val="en-GB"/>
            <w:storeMappedDataAs w:val="dateTime"/>
            <w:calendar w:val="gregorian"/>
          </w:date>
        </w:sdtPr>
        <w:sdtEndPr/>
        <w:sdtContent>
          <w:r w:rsidR="007B2A20">
            <w:rPr>
              <w:sz w:val="24"/>
              <w:szCs w:val="24"/>
            </w:rPr>
            <w:t>02 December 2019</w:t>
          </w:r>
        </w:sdtContent>
      </w:sdt>
      <w:r w:rsidR="009F30D2" w:rsidRPr="005D088E">
        <w:rPr>
          <w:sz w:val="24"/>
          <w:szCs w:val="24"/>
        </w:rPr>
        <w:fldChar w:fldCharType="begin"/>
      </w:r>
      <w:r w:rsidR="003F0F8D" w:rsidRPr="005D088E">
        <w:rPr>
          <w:sz w:val="24"/>
          <w:szCs w:val="24"/>
        </w:rPr>
        <w:instrText xml:space="preserve">  </w:instrText>
      </w:r>
      <w:r w:rsidR="009F30D2" w:rsidRPr="005D088E">
        <w:rPr>
          <w:sz w:val="24"/>
          <w:szCs w:val="24"/>
        </w:rPr>
        <w:fldChar w:fldCharType="end"/>
      </w:r>
    </w:p>
    <w:p w:rsidR="005F5FB0" w:rsidRPr="005D088E" w:rsidRDefault="00B27D89" w:rsidP="00B0414B">
      <w:pPr>
        <w:rPr>
          <w:sz w:val="24"/>
          <w:szCs w:val="24"/>
        </w:rPr>
      </w:pPr>
      <w:sdt>
        <w:sdtPr>
          <w:rPr>
            <w:sz w:val="24"/>
            <w:szCs w:val="24"/>
          </w:rPr>
          <w:id w:val="15629744"/>
          <w:lock w:val="contentLocked"/>
          <w:placeholder>
            <w:docPart w:val="4167543B0C544DBA814E82D63AD4681D"/>
          </w:placeholder>
        </w:sdtPr>
        <w:sdtEndPr/>
        <w:sdtContent>
          <w:r w:rsidR="0038006D" w:rsidRPr="005D088E">
            <w:rPr>
              <w:sz w:val="24"/>
              <w:szCs w:val="24"/>
            </w:rPr>
            <w:t>Counsel:</w:t>
          </w:r>
        </w:sdtContent>
      </w:sdt>
      <w:r w:rsidR="00E0467F" w:rsidRPr="005D088E">
        <w:rPr>
          <w:sz w:val="24"/>
          <w:szCs w:val="24"/>
        </w:rPr>
        <w:tab/>
      </w:r>
      <w:sdt>
        <w:sdtPr>
          <w:rPr>
            <w:sz w:val="24"/>
            <w:szCs w:val="24"/>
          </w:rPr>
          <w:id w:val="8972156"/>
          <w:placeholder>
            <w:docPart w:val="34E192534253465FBBB434CDA782AEEC"/>
          </w:placeholder>
        </w:sdtPr>
        <w:sdtEndPr/>
        <w:sdtContent>
          <w:r w:rsidR="007B2A20">
            <w:rPr>
              <w:sz w:val="24"/>
              <w:szCs w:val="24"/>
            </w:rPr>
            <w:t>Mr. Clifford Andre for the Appellant</w:t>
          </w:r>
          <w:r w:rsidR="00470598">
            <w:rPr>
              <w:sz w:val="24"/>
              <w:szCs w:val="24"/>
            </w:rPr>
            <w:t>s</w:t>
          </w:r>
        </w:sdtContent>
      </w:sdt>
      <w:r w:rsidR="009F30D2" w:rsidRPr="005D088E">
        <w:rPr>
          <w:sz w:val="24"/>
          <w:szCs w:val="24"/>
        </w:rPr>
        <w:fldChar w:fldCharType="begin"/>
      </w:r>
      <w:r w:rsidR="00F804CC" w:rsidRPr="005D088E">
        <w:rPr>
          <w:sz w:val="24"/>
          <w:szCs w:val="24"/>
        </w:rPr>
        <w:instrText xml:space="preserve"> ASK  "Enter Appellant Lawyer full name"  \* MERGEFORMAT </w:instrText>
      </w:r>
      <w:r w:rsidR="009F30D2" w:rsidRPr="005D088E">
        <w:rPr>
          <w:sz w:val="24"/>
          <w:szCs w:val="24"/>
        </w:rPr>
        <w:fldChar w:fldCharType="end"/>
      </w:r>
      <w:r w:rsidR="009F30D2" w:rsidRPr="005D088E">
        <w:rPr>
          <w:sz w:val="24"/>
          <w:szCs w:val="24"/>
        </w:rPr>
        <w:fldChar w:fldCharType="begin"/>
      </w:r>
      <w:r w:rsidR="003F0F8D" w:rsidRPr="005D088E">
        <w:rPr>
          <w:sz w:val="24"/>
          <w:szCs w:val="24"/>
        </w:rPr>
        <w:instrText xml:space="preserve">  </w:instrText>
      </w:r>
      <w:r w:rsidR="009F30D2" w:rsidRPr="005D088E">
        <w:rPr>
          <w:sz w:val="24"/>
          <w:szCs w:val="24"/>
        </w:rPr>
        <w:fldChar w:fldCharType="end"/>
      </w:r>
      <w:r w:rsidR="00F804CC" w:rsidRPr="005D088E">
        <w:rPr>
          <w:b/>
          <w:sz w:val="24"/>
          <w:szCs w:val="24"/>
        </w:rPr>
        <w:t xml:space="preserve"> </w:t>
      </w:r>
    </w:p>
    <w:p w:rsidR="00201C0E" w:rsidRPr="005D088E" w:rsidRDefault="00201C0E" w:rsidP="00B0414B">
      <w:pPr>
        <w:rPr>
          <w:sz w:val="24"/>
          <w:szCs w:val="24"/>
        </w:rPr>
      </w:pPr>
    </w:p>
    <w:p w:rsidR="00201C0E" w:rsidRPr="005D088E" w:rsidRDefault="00201C0E" w:rsidP="00B0414B">
      <w:pPr>
        <w:rPr>
          <w:sz w:val="24"/>
          <w:szCs w:val="24"/>
        </w:rPr>
        <w:sectPr w:rsidR="00201C0E" w:rsidRPr="005D088E" w:rsidSect="00EF2051">
          <w:type w:val="continuous"/>
          <w:pgSz w:w="12240" w:h="15840"/>
          <w:pgMar w:top="1440" w:right="1440" w:bottom="1440" w:left="1440" w:header="720" w:footer="720" w:gutter="0"/>
          <w:cols w:space="720"/>
          <w:docGrid w:linePitch="360"/>
        </w:sectPr>
      </w:pPr>
    </w:p>
    <w:p w:rsidR="005F5FB0" w:rsidRPr="005D088E" w:rsidRDefault="009E05E5" w:rsidP="00A53837">
      <w:pPr>
        <w:rPr>
          <w:sz w:val="24"/>
          <w:szCs w:val="24"/>
        </w:rPr>
        <w:sectPr w:rsidR="005F5FB0" w:rsidRPr="005D088E" w:rsidSect="00EF2051">
          <w:type w:val="continuous"/>
          <w:pgSz w:w="12240" w:h="15840"/>
          <w:pgMar w:top="1440" w:right="1440" w:bottom="1440" w:left="1440" w:header="720" w:footer="720" w:gutter="0"/>
          <w:cols w:space="720"/>
          <w:docGrid w:linePitch="360"/>
        </w:sectPr>
      </w:pPr>
      <w:r w:rsidRPr="005D088E">
        <w:rPr>
          <w:sz w:val="24"/>
          <w:szCs w:val="24"/>
        </w:rPr>
        <w:tab/>
      </w:r>
      <w:r w:rsidR="0038006D" w:rsidRPr="005D088E">
        <w:rPr>
          <w:sz w:val="24"/>
          <w:szCs w:val="24"/>
        </w:rPr>
        <w:tab/>
      </w:r>
      <w:sdt>
        <w:sdtPr>
          <w:rPr>
            <w:sz w:val="24"/>
            <w:szCs w:val="24"/>
          </w:rPr>
          <w:id w:val="8972158"/>
          <w:placeholder>
            <w:docPart w:val="34E192534253465FBBB434CDA782AEEC"/>
          </w:placeholder>
        </w:sdtPr>
        <w:sdtEndPr/>
        <w:sdtContent>
          <w:r w:rsidR="007B2A20">
            <w:rPr>
              <w:sz w:val="24"/>
              <w:szCs w:val="24"/>
            </w:rPr>
            <w:t xml:space="preserve">Mr. </w:t>
          </w:r>
          <w:proofErr w:type="spellStart"/>
          <w:r w:rsidR="007B2A20">
            <w:rPr>
              <w:sz w:val="24"/>
              <w:szCs w:val="24"/>
            </w:rPr>
            <w:t>Jayaraj</w:t>
          </w:r>
          <w:proofErr w:type="spellEnd"/>
          <w:r w:rsidR="007B2A20">
            <w:rPr>
              <w:sz w:val="24"/>
              <w:szCs w:val="24"/>
            </w:rPr>
            <w:t xml:space="preserve"> </w:t>
          </w:r>
          <w:proofErr w:type="spellStart"/>
          <w:r w:rsidR="007B2A20">
            <w:rPr>
              <w:sz w:val="24"/>
              <w:szCs w:val="24"/>
            </w:rPr>
            <w:t>Chinnasamy</w:t>
          </w:r>
          <w:proofErr w:type="spellEnd"/>
          <w:r w:rsidR="007B2A20">
            <w:rPr>
              <w:sz w:val="24"/>
              <w:szCs w:val="24"/>
            </w:rPr>
            <w:t xml:space="preserve"> for the Respondent</w:t>
          </w:r>
        </w:sdtContent>
      </w:sdt>
      <w:r w:rsidR="009F30D2" w:rsidRPr="005D088E">
        <w:rPr>
          <w:sz w:val="24"/>
          <w:szCs w:val="24"/>
        </w:rPr>
        <w:fldChar w:fldCharType="begin"/>
      </w:r>
      <w:r w:rsidR="00F804CC" w:rsidRPr="005D088E">
        <w:rPr>
          <w:sz w:val="24"/>
          <w:szCs w:val="24"/>
        </w:rPr>
        <w:instrText xml:space="preserve"> ASK  "Enter Respondent Lawyer Full Name"  \* MERGEFORMAT </w:instrText>
      </w:r>
      <w:r w:rsidR="009F30D2" w:rsidRPr="005D088E">
        <w:rPr>
          <w:sz w:val="24"/>
          <w:szCs w:val="24"/>
        </w:rPr>
        <w:fldChar w:fldCharType="end"/>
      </w:r>
      <w:r w:rsidR="009F30D2" w:rsidRPr="005D088E">
        <w:rPr>
          <w:sz w:val="24"/>
          <w:szCs w:val="24"/>
        </w:rPr>
        <w:fldChar w:fldCharType="begin"/>
      </w:r>
      <w:r w:rsidR="003F0F8D" w:rsidRPr="005D088E">
        <w:rPr>
          <w:sz w:val="24"/>
          <w:szCs w:val="24"/>
        </w:rPr>
        <w:instrText xml:space="preserve">  </w:instrText>
      </w:r>
      <w:r w:rsidR="009F30D2" w:rsidRPr="005D088E">
        <w:rPr>
          <w:sz w:val="24"/>
          <w:szCs w:val="24"/>
        </w:rPr>
        <w:fldChar w:fldCharType="end"/>
      </w:r>
      <w:r w:rsidR="00FD51E7" w:rsidRPr="005D088E">
        <w:rPr>
          <w:sz w:val="24"/>
          <w:szCs w:val="24"/>
        </w:rPr>
        <w:t xml:space="preserve"> </w:t>
      </w:r>
    </w:p>
    <w:p w:rsidR="00E6492F" w:rsidRPr="005D088E" w:rsidRDefault="00B27D89" w:rsidP="006578C2">
      <w:pPr>
        <w:spacing w:before="120" w:after="240"/>
        <w:rPr>
          <w:sz w:val="24"/>
          <w:szCs w:val="24"/>
        </w:rPr>
      </w:pPr>
      <w:sdt>
        <w:sdtPr>
          <w:rPr>
            <w:sz w:val="24"/>
            <w:szCs w:val="24"/>
          </w:rPr>
          <w:id w:val="15629748"/>
          <w:lock w:val="contentLocked"/>
          <w:placeholder>
            <w:docPart w:val="4167543B0C544DBA814E82D63AD4681D"/>
          </w:placeholder>
        </w:sdtPr>
        <w:sdtEndPr/>
        <w:sdtContent>
          <w:r w:rsidR="0038006D" w:rsidRPr="005D088E">
            <w:rPr>
              <w:sz w:val="24"/>
              <w:szCs w:val="24"/>
            </w:rPr>
            <w:t>Delivered:</w:t>
          </w:r>
        </w:sdtContent>
      </w:sdt>
      <w:r w:rsidR="00E0467F" w:rsidRPr="005D088E">
        <w:rPr>
          <w:sz w:val="24"/>
          <w:szCs w:val="24"/>
        </w:rPr>
        <w:tab/>
      </w:r>
      <w:sdt>
        <w:sdtPr>
          <w:rPr>
            <w:sz w:val="24"/>
            <w:szCs w:val="24"/>
          </w:rPr>
          <w:id w:val="8972159"/>
          <w:placeholder>
            <w:docPart w:val="0C39E7CE231C45BB83B32A721707C313"/>
          </w:placeholder>
          <w:date w:fullDate="2019-12-17T00:00:00Z">
            <w:dateFormat w:val="dd MMMM yyyy"/>
            <w:lid w:val="en-GB"/>
            <w:storeMappedDataAs w:val="dateTime"/>
            <w:calendar w:val="gregorian"/>
          </w:date>
        </w:sdtPr>
        <w:sdtEndPr/>
        <w:sdtContent>
          <w:r w:rsidR="007B2A20">
            <w:rPr>
              <w:sz w:val="24"/>
              <w:szCs w:val="24"/>
            </w:rPr>
            <w:t>17 December 2019</w:t>
          </w:r>
        </w:sdtContent>
      </w:sdt>
    </w:p>
    <w:p w:rsidR="00D06A0F" w:rsidRPr="00C87FCA" w:rsidRDefault="00D06A0F" w:rsidP="004F2B34">
      <w:pPr>
        <w:jc w:val="center"/>
        <w:rPr>
          <w:sz w:val="24"/>
          <w:szCs w:val="24"/>
          <w:highlight w:val="lightGray"/>
        </w:rPr>
      </w:pPr>
      <w:bookmarkStart w:id="0" w:name="Dropdown2"/>
    </w:p>
    <w:bookmarkEnd w:id="0" w:displacedByCustomXml="next"/>
    <w:sdt>
      <w:sdtPr>
        <w:rPr>
          <w:b/>
          <w:color w:val="808080"/>
          <w:sz w:val="24"/>
          <w:szCs w:val="24"/>
        </w:rPr>
        <w:id w:val="15629727"/>
        <w:lock w:val="contentLocked"/>
        <w:placeholder>
          <w:docPart w:val="4167543B0C544DBA814E82D63AD4681D"/>
        </w:placeholder>
      </w:sdtPr>
      <w:sdtEndPr/>
      <w:sdtContent>
        <w:p w:rsidR="001008BC" w:rsidRDefault="0087722C" w:rsidP="003D2A22">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B27D89"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0A114152B81F4A4097678AE0DD252C21"/>
          </w:placeholder>
          <w:comboBox>
            <w:listItem w:displayText="F. MacGregor (PCA)" w:value="F. MacGregor (PCA)"/>
            <w:listItem w:displayText="A.Fernando (J.A)" w:value="A.Fernando (J.A)"/>
            <w:listItem w:displayText="M. Twomey (J.A)" w:value="M. Twomey (J.A)"/>
            <w:listItem w:displayText="L. Tibatemwa-Ekirikubinza (J.A)" w:value="L. Tibatemwa-Ekirikubinza (J.A)"/>
            <w:listItem w:displayText="F. Robinson (J.A)" w:value="F. Robinson (J.A)"/>
          </w:comboBox>
        </w:sdtPr>
        <w:sdtEndPr/>
        <w:sdtContent>
          <w:r w:rsidR="007B2A20">
            <w:rPr>
              <w:b/>
              <w:sz w:val="28"/>
              <w:szCs w:val="28"/>
            </w:rPr>
            <w:t>M. Twomey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id w:val="17274583"/>
        <w:placeholder>
          <w:docPart w:val="F8C05912296E4BD89582F24A076C4DBC"/>
        </w:placeholder>
      </w:sdtPr>
      <w:sdtEndPr/>
      <w:sdtContent>
        <w:p w:rsidR="007B2A20" w:rsidRDefault="007B2A20" w:rsidP="003F16E7">
          <w:pPr>
            <w:pStyle w:val="JudgmentText"/>
            <w:numPr>
              <w:ilvl w:val="0"/>
              <w:numId w:val="9"/>
            </w:numPr>
            <w:ind w:hanging="540"/>
          </w:pPr>
          <w:r>
            <w:t>The four Appellants were charged under the former Misuse of Drugs Act 1990 with the offences of importation, conspiracy to commit the offence of importation, trafficking in a controlled drug, and conspiracy to commit the offence of trafficking in a controlled drug. They were found guilty of the above offences following trial and convicted accordingly. They are appealing against conviction.</w:t>
          </w:r>
        </w:p>
        <w:p w:rsidR="007B2A20" w:rsidRPr="00FC49C1" w:rsidRDefault="007B2A20" w:rsidP="003F16E7">
          <w:pPr>
            <w:pStyle w:val="JudgmentText"/>
            <w:numPr>
              <w:ilvl w:val="0"/>
              <w:numId w:val="9"/>
            </w:numPr>
            <w:ind w:hanging="540"/>
            <w:rPr>
              <w:b/>
            </w:rPr>
          </w:pPr>
          <w:r>
            <w:t xml:space="preserve">The facts reveal that the vessel </w:t>
          </w:r>
          <w:proofErr w:type="spellStart"/>
          <w:r>
            <w:t>Canapone</w:t>
          </w:r>
          <w:proofErr w:type="spellEnd"/>
          <w:r>
            <w:t xml:space="preserve"> entered into Seychelles waters on or about 25 March 2016; this was not disputed by the Appellants on appeal as a ground. The related </w:t>
          </w:r>
          <w:r>
            <w:lastRenderedPageBreak/>
            <w:t xml:space="preserve">but unchallenged issue of importation of controlled drugs was raised </w:t>
          </w:r>
          <w:proofErr w:type="spellStart"/>
          <w:r w:rsidRPr="00046756">
            <w:rPr>
              <w:i/>
            </w:rPr>
            <w:t>suo</w:t>
          </w:r>
          <w:proofErr w:type="spellEnd"/>
          <w:r w:rsidRPr="00046756">
            <w:rPr>
              <w:i/>
            </w:rPr>
            <w:t xml:space="preserve"> </w:t>
          </w:r>
          <w:proofErr w:type="spellStart"/>
          <w:r w:rsidRPr="00046756">
            <w:rPr>
              <w:i/>
            </w:rPr>
            <w:t>sponte</w:t>
          </w:r>
          <w:proofErr w:type="spellEnd"/>
          <w:r>
            <w:t xml:space="preserve"> by my brother Fernando, an issue which I shall address later in my decision. </w:t>
          </w:r>
        </w:p>
        <w:p w:rsidR="007B2A20" w:rsidRPr="00046756" w:rsidRDefault="007B2A20" w:rsidP="003F16E7">
          <w:pPr>
            <w:pStyle w:val="JudgmentText"/>
            <w:numPr>
              <w:ilvl w:val="0"/>
              <w:numId w:val="9"/>
            </w:numPr>
            <w:ind w:hanging="540"/>
            <w:rPr>
              <w:b/>
            </w:rPr>
          </w:pPr>
          <w:r>
            <w:t>The material facts in this case are summa</w:t>
          </w:r>
          <w:r w:rsidR="00885E62">
            <w:t>rised in my brother Fernando’s J</w:t>
          </w:r>
          <w:r>
            <w:t xml:space="preserve">udgment and I do not see a reason for rehearsing them. </w:t>
          </w:r>
        </w:p>
        <w:p w:rsidR="007B2A20" w:rsidRDefault="007B2A20" w:rsidP="003F16E7">
          <w:pPr>
            <w:pStyle w:val="JudgmentText"/>
            <w:numPr>
              <w:ilvl w:val="0"/>
              <w:numId w:val="0"/>
            </w:numPr>
            <w:ind w:left="360" w:firstLine="360"/>
            <w:rPr>
              <w:b/>
            </w:rPr>
          </w:pPr>
          <w:r>
            <w:rPr>
              <w:b/>
            </w:rPr>
            <w:t>The grounds of appeal</w:t>
          </w:r>
        </w:p>
        <w:p w:rsidR="007B2A20" w:rsidRDefault="007B2A20" w:rsidP="003F16E7">
          <w:pPr>
            <w:pStyle w:val="JudgmentText"/>
            <w:numPr>
              <w:ilvl w:val="0"/>
              <w:numId w:val="9"/>
            </w:numPr>
            <w:ind w:hanging="540"/>
          </w:pPr>
          <w:r>
            <w:t>The Appellants are appealing against their conviction and have raised several grounds, many of which are intrinsically linked. The crux of the issues arising therefrom are as follows:</w:t>
          </w:r>
        </w:p>
        <w:p w:rsidR="007B2A20" w:rsidRDefault="007B2A20" w:rsidP="007B2A20">
          <w:pPr>
            <w:pStyle w:val="JudgmentText"/>
            <w:numPr>
              <w:ilvl w:val="3"/>
              <w:numId w:val="10"/>
            </w:numPr>
          </w:pPr>
          <w:r>
            <w:t>If an accused is not found in physical possession of a controlled drug, can they be convicted for the offence of trafficking?</w:t>
          </w:r>
        </w:p>
        <w:p w:rsidR="007B2A20" w:rsidRDefault="007B2A20" w:rsidP="007B2A20">
          <w:pPr>
            <w:pStyle w:val="JudgmentText"/>
            <w:numPr>
              <w:ilvl w:val="3"/>
              <w:numId w:val="10"/>
            </w:numPr>
          </w:pPr>
          <w:r>
            <w:t>Do the inconsistencies in the prosecution witnesses’ evidence amount to a reasonable doubt in the prosecution case?</w:t>
          </w:r>
        </w:p>
        <w:p w:rsidR="007B2A20" w:rsidRDefault="007B2A20" w:rsidP="007B2A20">
          <w:pPr>
            <w:pStyle w:val="JudgmentText"/>
            <w:numPr>
              <w:ilvl w:val="3"/>
              <w:numId w:val="10"/>
            </w:numPr>
          </w:pPr>
          <w:r>
            <w:t xml:space="preserve">Does the alleged lack of identification evidence by the </w:t>
          </w:r>
          <w:proofErr w:type="gramStart"/>
          <w:r>
            <w:t>witnesses</w:t>
          </w:r>
          <w:proofErr w:type="gramEnd"/>
          <w:r>
            <w:t xml:space="preserve"> amount to a reasonable doubt in the prosecution case? </w:t>
          </w:r>
        </w:p>
        <w:p w:rsidR="007B2A20" w:rsidRDefault="007B2A20" w:rsidP="003F16E7">
          <w:pPr>
            <w:pStyle w:val="JudgmentText"/>
            <w:numPr>
              <w:ilvl w:val="0"/>
              <w:numId w:val="9"/>
            </w:numPr>
            <w:ind w:hanging="540"/>
          </w:pPr>
          <w:r>
            <w:t xml:space="preserve">The Appellants further contend that the learned </w:t>
          </w:r>
          <w:r w:rsidR="00885E62">
            <w:t>trial Judge</w:t>
          </w:r>
          <w:r>
            <w:t xml:space="preserve"> erred in concluding that the Appellants trafficked in 746.9g of substance on 26 March 2016, when the substance was only seized on 28 March 2016. Furthermore, they contend that the court erred in law and fact in not considering that both </w:t>
          </w:r>
          <w:proofErr w:type="spellStart"/>
          <w:r>
            <w:t>Jeannia</w:t>
          </w:r>
          <w:proofErr w:type="spellEnd"/>
          <w:r>
            <w:t xml:space="preserve"> and Xavier Pool did not identify any gunny bags against pictures or video, and in not considering that the drugs were found at the residence of Delores </w:t>
          </w:r>
          <w:proofErr w:type="spellStart"/>
          <w:r>
            <w:t>Mounac</w:t>
          </w:r>
          <w:proofErr w:type="spellEnd"/>
          <w:r>
            <w:t xml:space="preserve">, and not on the beach. They also contend that Witness Michael </w:t>
          </w:r>
          <w:proofErr w:type="spellStart"/>
          <w:r>
            <w:t>Hissen</w:t>
          </w:r>
          <w:proofErr w:type="spellEnd"/>
          <w:r>
            <w:t xml:space="preserve"> could not identify the drugs as he never saw any heroin on the date in question, so this amounts to a relevant consideration that was also overlooked by the learned </w:t>
          </w:r>
          <w:r w:rsidR="00885E62">
            <w:t>trial Judge</w:t>
          </w:r>
          <w:r>
            <w:t xml:space="preserve">. </w:t>
          </w:r>
        </w:p>
        <w:p w:rsidR="007B2A20" w:rsidRDefault="007B2A20" w:rsidP="003F16E7">
          <w:pPr>
            <w:pStyle w:val="JudgmentText"/>
            <w:numPr>
              <w:ilvl w:val="0"/>
              <w:numId w:val="9"/>
            </w:numPr>
            <w:ind w:hanging="540"/>
          </w:pPr>
          <w:r>
            <w:t xml:space="preserve">It is trite that the burden is on the Appellants to show that the findings of the trial court were unreasonable or could not be supported having regard to the evidence </w:t>
          </w:r>
          <w:bookmarkStart w:id="1" w:name="_Toc309893749"/>
          <w:bookmarkStart w:id="2" w:name="_Toc309829046"/>
          <w:bookmarkStart w:id="3" w:name="_Toc309826128"/>
          <w:bookmarkStart w:id="4" w:name="_Toc309821156"/>
          <w:bookmarkStart w:id="5" w:name="_Toc309724412"/>
          <w:r>
            <w:t>(</w:t>
          </w:r>
          <w:r>
            <w:rPr>
              <w:i/>
            </w:rPr>
            <w:t>Naiken v R</w:t>
          </w:r>
          <w:r>
            <w:t xml:space="preserve"> (1981) SLR 19</w:t>
          </w:r>
          <w:bookmarkEnd w:id="1"/>
          <w:bookmarkEnd w:id="2"/>
          <w:bookmarkEnd w:id="3"/>
          <w:bookmarkEnd w:id="4"/>
          <w:bookmarkEnd w:id="5"/>
          <w:r>
            <w:t>).</w:t>
          </w:r>
        </w:p>
        <w:p w:rsidR="007B2A20" w:rsidRPr="004638CD" w:rsidRDefault="00885E62" w:rsidP="003F16E7">
          <w:pPr>
            <w:pStyle w:val="JudgmentText"/>
            <w:numPr>
              <w:ilvl w:val="0"/>
              <w:numId w:val="0"/>
            </w:numPr>
            <w:ind w:left="720"/>
            <w:rPr>
              <w:b/>
            </w:rPr>
          </w:pPr>
          <w:r>
            <w:rPr>
              <w:b/>
            </w:rPr>
            <w:lastRenderedPageBreak/>
            <w:t xml:space="preserve">Issue 1: </w:t>
          </w:r>
          <w:r w:rsidR="007B2A20" w:rsidRPr="004638CD">
            <w:rPr>
              <w:b/>
            </w:rPr>
            <w:t>If an accused is not found in physical possession of a controlled drug, can they be convicted for the offence of trafficking?</w:t>
          </w:r>
        </w:p>
        <w:p w:rsidR="007B2A20" w:rsidRDefault="007B2A20" w:rsidP="003F16E7">
          <w:pPr>
            <w:pStyle w:val="JudgmentText"/>
            <w:numPr>
              <w:ilvl w:val="0"/>
              <w:numId w:val="9"/>
            </w:numPr>
            <w:ind w:hanging="540"/>
          </w:pPr>
          <w:r>
            <w:t>The answer in short is yes. Section 2 of the Misuse of Drugs Act 1990 as amended by Act No 3 of 2014, provides that "traffic" means:</w:t>
          </w:r>
        </w:p>
        <w:p w:rsidR="007B2A20" w:rsidRPr="00FC49C1" w:rsidRDefault="007B2A20" w:rsidP="007B2A20">
          <w:pPr>
            <w:pStyle w:val="ListParagraph"/>
            <w:spacing w:line="360" w:lineRule="auto"/>
            <w:ind w:firstLine="720"/>
            <w:jc w:val="both"/>
            <w:rPr>
              <w:i/>
              <w:sz w:val="24"/>
              <w:szCs w:val="24"/>
            </w:rPr>
          </w:pPr>
          <w:r>
            <w:rPr>
              <w:i/>
              <w:sz w:val="24"/>
              <w:szCs w:val="24"/>
            </w:rPr>
            <w:t>“</w:t>
          </w:r>
          <w:r w:rsidRPr="00FC49C1">
            <w:rPr>
              <w:i/>
              <w:sz w:val="24"/>
              <w:szCs w:val="24"/>
            </w:rPr>
            <w:t>(a) to sell, give, administer, transport, send, deliver or distribute, or</w:t>
          </w:r>
        </w:p>
        <w:p w:rsidR="007B2A20" w:rsidRPr="00FC49C1" w:rsidRDefault="007B2A20" w:rsidP="007B2A20">
          <w:pPr>
            <w:pStyle w:val="ListParagraph"/>
            <w:spacing w:line="360" w:lineRule="auto"/>
            <w:ind w:firstLine="720"/>
            <w:jc w:val="both"/>
            <w:rPr>
              <w:i/>
              <w:sz w:val="24"/>
              <w:szCs w:val="24"/>
            </w:rPr>
          </w:pPr>
          <w:r w:rsidRPr="00FC49C1">
            <w:rPr>
              <w:i/>
              <w:sz w:val="24"/>
              <w:szCs w:val="24"/>
            </w:rPr>
            <w:t>(b) to offer to do anything mentioned in paragraph (a) or;</w:t>
          </w:r>
        </w:p>
        <w:p w:rsidR="007B2A20" w:rsidRPr="00FC49C1" w:rsidRDefault="007B2A20" w:rsidP="007B2A20">
          <w:pPr>
            <w:pStyle w:val="ListParagraph"/>
            <w:spacing w:line="360" w:lineRule="auto"/>
            <w:ind w:left="1440"/>
            <w:jc w:val="both"/>
            <w:rPr>
              <w:i/>
              <w:sz w:val="24"/>
              <w:szCs w:val="24"/>
            </w:rPr>
          </w:pPr>
          <w:r w:rsidRPr="00FC49C1">
            <w:rPr>
              <w:i/>
              <w:sz w:val="24"/>
              <w:szCs w:val="24"/>
            </w:rPr>
            <w:t>(c) to do or offer to do any act preparatory to or for the purposes mentioned in paragraph (a); or</w:t>
          </w:r>
        </w:p>
        <w:p w:rsidR="007B2A20" w:rsidRPr="00FC49C1" w:rsidRDefault="007B2A20" w:rsidP="007B2A20">
          <w:pPr>
            <w:spacing w:line="360" w:lineRule="auto"/>
            <w:ind w:left="1440"/>
            <w:jc w:val="both"/>
            <w:rPr>
              <w:i/>
              <w:sz w:val="24"/>
              <w:szCs w:val="24"/>
            </w:rPr>
          </w:pPr>
          <w:r w:rsidRPr="00FC49C1">
            <w:rPr>
              <w:i/>
              <w:sz w:val="24"/>
              <w:szCs w:val="24"/>
            </w:rPr>
            <w:t>(d) to possess, whether lawfully or not, with intent to supply to another person contrary to this Act;</w:t>
          </w:r>
        </w:p>
        <w:p w:rsidR="007B2A20" w:rsidRPr="00FC49C1" w:rsidRDefault="007B2A20" w:rsidP="007B2A20">
          <w:pPr>
            <w:pStyle w:val="ListParagraph"/>
            <w:spacing w:line="360" w:lineRule="auto"/>
            <w:ind w:firstLine="720"/>
            <w:jc w:val="both"/>
            <w:rPr>
              <w:i/>
              <w:sz w:val="24"/>
              <w:szCs w:val="24"/>
            </w:rPr>
          </w:pPr>
          <w:r w:rsidRPr="00FC49C1">
            <w:rPr>
              <w:i/>
              <w:sz w:val="24"/>
              <w:szCs w:val="24"/>
            </w:rPr>
            <w:t>"trafficking" has a corresponding meaning.</w:t>
          </w:r>
          <w:r>
            <w:rPr>
              <w:i/>
              <w:sz w:val="24"/>
              <w:szCs w:val="24"/>
            </w:rPr>
            <w:t>”</w:t>
          </w:r>
        </w:p>
        <w:p w:rsidR="007B2A20" w:rsidRDefault="007B2A20" w:rsidP="007B2A20">
          <w:pPr>
            <w:pStyle w:val="ListParagraph"/>
            <w:spacing w:line="360" w:lineRule="auto"/>
            <w:ind w:firstLine="720"/>
            <w:jc w:val="both"/>
            <w:rPr>
              <w:sz w:val="24"/>
              <w:szCs w:val="24"/>
              <w:lang w:val="en-NZ"/>
            </w:rPr>
          </w:pPr>
        </w:p>
        <w:p w:rsidR="007B2A20" w:rsidRDefault="007B2A20" w:rsidP="003F16E7">
          <w:pPr>
            <w:pStyle w:val="JudgmentText"/>
            <w:numPr>
              <w:ilvl w:val="0"/>
              <w:numId w:val="9"/>
            </w:numPr>
            <w:ind w:hanging="540"/>
          </w:pPr>
          <w:r>
            <w:t>With the words “does or offers to do any act preparatory to, or for the purpose of [drug trafficking]”</w:t>
          </w:r>
          <w:r w:rsidR="00885E62">
            <w:t>,</w:t>
          </w:r>
          <w:r>
            <w:t xml:space="preserve"> the Legislature extended the range of culpability beyond those who sell, give, administer, transport, send, distribute or transfer the drug. The offence has been widened to include those who merely prepare to do such acts. Therefore the court has to determine on the evidence produced whether the accused did an act that was preparatory to trafficking (</w:t>
          </w:r>
          <w:r>
            <w:rPr>
              <w:i/>
            </w:rPr>
            <w:t>R v Francois</w:t>
          </w:r>
          <w:r>
            <w:t xml:space="preserve"> (2000) SLR 103).</w:t>
          </w:r>
        </w:p>
        <w:p w:rsidR="007B2A20" w:rsidRPr="00735433" w:rsidRDefault="007B2A20" w:rsidP="003F16E7">
          <w:pPr>
            <w:pStyle w:val="ListParagraph"/>
            <w:numPr>
              <w:ilvl w:val="0"/>
              <w:numId w:val="9"/>
            </w:numPr>
            <w:spacing w:line="360" w:lineRule="auto"/>
            <w:ind w:hanging="540"/>
            <w:jc w:val="both"/>
            <w:rPr>
              <w:sz w:val="24"/>
              <w:szCs w:val="24"/>
              <w:lang w:val="en-NZ"/>
            </w:rPr>
          </w:pPr>
          <w:r>
            <w:rPr>
              <w:sz w:val="24"/>
              <w:szCs w:val="24"/>
            </w:rPr>
            <w:t>Possession of drugs implies custody of or control over drugs (</w:t>
          </w:r>
          <w:proofErr w:type="spellStart"/>
          <w:r>
            <w:rPr>
              <w:i/>
              <w:sz w:val="24"/>
              <w:szCs w:val="24"/>
            </w:rPr>
            <w:t>Florine</w:t>
          </w:r>
          <w:proofErr w:type="spellEnd"/>
          <w:r>
            <w:rPr>
              <w:i/>
              <w:sz w:val="24"/>
              <w:szCs w:val="24"/>
            </w:rPr>
            <w:t xml:space="preserve"> v R</w:t>
          </w:r>
          <w:r>
            <w:rPr>
              <w:sz w:val="24"/>
              <w:szCs w:val="24"/>
            </w:rPr>
            <w:t xml:space="preserve"> [2008-2009] SCAR 79). </w:t>
          </w:r>
          <w:r>
            <w:rPr>
              <w:sz w:val="24"/>
              <w:szCs w:val="24"/>
              <w:lang w:val="en-NZ"/>
            </w:rPr>
            <w:t>Possession of a controlled drug may be established through a continuous act that involves either physical custody or the exercise of control (</w:t>
          </w:r>
          <w:r>
            <w:rPr>
              <w:i/>
              <w:sz w:val="24"/>
              <w:szCs w:val="24"/>
              <w:lang w:val="en-NZ"/>
            </w:rPr>
            <w:t>R v Albert</w:t>
          </w:r>
          <w:r>
            <w:rPr>
              <w:sz w:val="24"/>
              <w:szCs w:val="24"/>
              <w:lang w:val="en-NZ"/>
            </w:rPr>
            <w:t xml:space="preserve"> (1997) SLR 27). It was further emphasized in </w:t>
          </w:r>
          <w:r>
            <w:rPr>
              <w:i/>
              <w:sz w:val="24"/>
              <w:szCs w:val="24"/>
              <w:lang w:val="en-NZ"/>
            </w:rPr>
            <w:t>R v Victor</w:t>
          </w:r>
          <w:r>
            <w:rPr>
              <w:sz w:val="24"/>
              <w:szCs w:val="24"/>
              <w:lang w:val="en-NZ"/>
            </w:rPr>
            <w:t xml:space="preserve"> (2014) SLR 55 that a person has possession if they have the power and intent to control the disposition and use of the drugs.</w:t>
          </w:r>
          <w:r w:rsidRPr="009223E4">
            <w:rPr>
              <w:rFonts w:eastAsia="Calibri"/>
            </w:rPr>
            <w:t xml:space="preserve"> </w:t>
          </w:r>
          <w:r w:rsidRPr="009223E4">
            <w:rPr>
              <w:sz w:val="24"/>
              <w:szCs w:val="24"/>
            </w:rPr>
            <w:t>Joint possession is sufficient to prove possession; exclusive possession is not required (</w:t>
          </w:r>
          <w:proofErr w:type="spellStart"/>
          <w:r w:rsidRPr="009223E4">
            <w:rPr>
              <w:i/>
              <w:sz w:val="24"/>
              <w:szCs w:val="24"/>
            </w:rPr>
            <w:t>Florine</w:t>
          </w:r>
          <w:proofErr w:type="spellEnd"/>
          <w:r w:rsidRPr="009223E4">
            <w:rPr>
              <w:i/>
              <w:sz w:val="24"/>
              <w:szCs w:val="24"/>
            </w:rPr>
            <w:t xml:space="preserve"> v R</w:t>
          </w:r>
          <w:r w:rsidRPr="009223E4">
            <w:rPr>
              <w:sz w:val="24"/>
              <w:szCs w:val="24"/>
            </w:rPr>
            <w:t xml:space="preserve"> [supra]). For these purposes, there can be joint possession or possession by one on behalf of another (</w:t>
          </w:r>
          <w:r w:rsidRPr="009223E4">
            <w:rPr>
              <w:i/>
              <w:sz w:val="24"/>
              <w:szCs w:val="24"/>
            </w:rPr>
            <w:t>R v Dias</w:t>
          </w:r>
          <w:r w:rsidRPr="009223E4">
            <w:rPr>
              <w:sz w:val="24"/>
              <w:szCs w:val="24"/>
            </w:rPr>
            <w:t xml:space="preserve"> [1985] SLR 66).</w:t>
          </w:r>
        </w:p>
        <w:p w:rsidR="007B2A20" w:rsidRPr="00735433" w:rsidRDefault="007B2A20" w:rsidP="003F16E7">
          <w:pPr>
            <w:pStyle w:val="ListParagraph"/>
            <w:spacing w:line="360" w:lineRule="auto"/>
            <w:ind w:hanging="540"/>
            <w:jc w:val="both"/>
            <w:rPr>
              <w:sz w:val="24"/>
              <w:szCs w:val="24"/>
              <w:lang w:val="en-NZ"/>
            </w:rPr>
          </w:pPr>
          <w:r w:rsidRPr="009223E4">
            <w:rPr>
              <w:sz w:val="24"/>
              <w:szCs w:val="24"/>
            </w:rPr>
            <w:t xml:space="preserve"> </w:t>
          </w:r>
        </w:p>
        <w:p w:rsidR="007B2A20" w:rsidRDefault="007B2A20" w:rsidP="003F16E7">
          <w:pPr>
            <w:pStyle w:val="ListParagraph"/>
            <w:numPr>
              <w:ilvl w:val="0"/>
              <w:numId w:val="9"/>
            </w:numPr>
            <w:spacing w:line="360" w:lineRule="auto"/>
            <w:ind w:hanging="540"/>
            <w:jc w:val="both"/>
            <w:rPr>
              <w:sz w:val="24"/>
              <w:szCs w:val="24"/>
              <w:lang w:val="en-NZ"/>
            </w:rPr>
          </w:pPr>
          <w:r w:rsidRPr="009223E4">
            <w:rPr>
              <w:sz w:val="24"/>
              <w:szCs w:val="24"/>
            </w:rPr>
            <w:t xml:space="preserve">There is ample evidence on record to prove beyond reasonable doubt that the Appellants jointly orchestrated and participated in this drug operation; from the obtaining of the drugs </w:t>
          </w:r>
          <w:r w:rsidRPr="009223E4">
            <w:rPr>
              <w:sz w:val="24"/>
              <w:szCs w:val="24"/>
            </w:rPr>
            <w:lastRenderedPageBreak/>
            <w:t xml:space="preserve">from ‘Indians’ in a ‘multi-coloured’ boat, to the carting of it into Seychelles waters on the </w:t>
          </w:r>
          <w:proofErr w:type="spellStart"/>
          <w:r w:rsidRPr="009223E4">
            <w:rPr>
              <w:sz w:val="24"/>
              <w:szCs w:val="24"/>
            </w:rPr>
            <w:t>Canapone</w:t>
          </w:r>
          <w:proofErr w:type="spellEnd"/>
          <w:r w:rsidRPr="009223E4">
            <w:rPr>
              <w:sz w:val="24"/>
              <w:szCs w:val="24"/>
            </w:rPr>
            <w:t xml:space="preserve">, to the shifting of the drugs onto a speedboat and transporting them to Praslin, where they were again relocated by one of the Appellants. There are sufficient </w:t>
          </w:r>
          <w:r>
            <w:rPr>
              <w:sz w:val="24"/>
              <w:szCs w:val="24"/>
            </w:rPr>
            <w:t>witness</w:t>
          </w:r>
          <w:r w:rsidRPr="009223E4">
            <w:rPr>
              <w:sz w:val="24"/>
              <w:szCs w:val="24"/>
            </w:rPr>
            <w:t xml:space="preserve"> accounts to highlight each Appellant’s direct involvement in the operation, and their knowledge of, and control over, the controlled drugs at various points in time. An operation of this complexity required significant forward-planning and collective effort, and it is evident from the facts that the Appellants carried out acts preparatory to, and for the purpose of, drug trafficking</w:t>
          </w:r>
        </w:p>
        <w:p w:rsidR="007B2A20" w:rsidRDefault="007B2A20" w:rsidP="003F16E7">
          <w:pPr>
            <w:pStyle w:val="ListParagraph"/>
            <w:spacing w:line="360" w:lineRule="auto"/>
            <w:ind w:hanging="540"/>
            <w:jc w:val="both"/>
            <w:rPr>
              <w:sz w:val="24"/>
              <w:szCs w:val="24"/>
              <w:lang w:val="en-NZ"/>
            </w:rPr>
          </w:pPr>
        </w:p>
        <w:p w:rsidR="007B2A20" w:rsidRDefault="007B2A20" w:rsidP="003F16E7">
          <w:pPr>
            <w:pStyle w:val="heldsnonnumbered"/>
            <w:numPr>
              <w:ilvl w:val="0"/>
              <w:numId w:val="9"/>
            </w:numPr>
            <w:spacing w:before="0" w:line="360" w:lineRule="auto"/>
            <w:ind w:hanging="540"/>
            <w:rPr>
              <w:sz w:val="24"/>
              <w:szCs w:val="24"/>
            </w:rPr>
          </w:pPr>
          <w:r>
            <w:rPr>
              <w:sz w:val="24"/>
              <w:szCs w:val="24"/>
            </w:rPr>
            <w:t xml:space="preserve">Ultimately, when considering a charge of drug trafficking, once it has been established that the accused had both possession of the controlled drug and knowledge of that possession, circumstantial evidence may be admitted from which a reasonable inference may be drawn that the possession of the controlled drug was for the purposes of trafficking </w:t>
          </w:r>
          <w:bookmarkStart w:id="6" w:name="_Toc309893374"/>
          <w:bookmarkStart w:id="7" w:name="_Toc309828670"/>
          <w:bookmarkStart w:id="8" w:name="_Toc309825752"/>
          <w:bookmarkStart w:id="9" w:name="_Toc309820780"/>
          <w:bookmarkStart w:id="10" w:name="_Toc309724035"/>
          <w:r>
            <w:rPr>
              <w:sz w:val="24"/>
              <w:szCs w:val="24"/>
            </w:rPr>
            <w:t>(</w:t>
          </w:r>
          <w:r>
            <w:rPr>
              <w:i/>
              <w:sz w:val="24"/>
              <w:szCs w:val="24"/>
            </w:rPr>
            <w:t>R v Albert</w:t>
          </w:r>
          <w:r>
            <w:rPr>
              <w:sz w:val="24"/>
              <w:szCs w:val="24"/>
            </w:rPr>
            <w:t xml:space="preserve"> </w:t>
          </w:r>
          <w:bookmarkEnd w:id="6"/>
          <w:bookmarkEnd w:id="7"/>
          <w:bookmarkEnd w:id="8"/>
          <w:bookmarkEnd w:id="9"/>
          <w:bookmarkEnd w:id="10"/>
          <w:r>
            <w:rPr>
              <w:sz w:val="24"/>
              <w:szCs w:val="24"/>
            </w:rPr>
            <w:t>(1997) SLR 27).</w:t>
          </w:r>
        </w:p>
        <w:p w:rsidR="007B2A20" w:rsidRDefault="007B2A20" w:rsidP="003F16E7">
          <w:pPr>
            <w:pStyle w:val="ListParagraph"/>
            <w:spacing w:line="360" w:lineRule="auto"/>
            <w:ind w:hanging="540"/>
            <w:rPr>
              <w:sz w:val="24"/>
              <w:szCs w:val="24"/>
            </w:rPr>
          </w:pPr>
        </w:p>
        <w:p w:rsidR="007B2A20" w:rsidRDefault="007B2A20" w:rsidP="003F16E7">
          <w:pPr>
            <w:pStyle w:val="ListParagraph"/>
            <w:numPr>
              <w:ilvl w:val="0"/>
              <w:numId w:val="9"/>
            </w:numPr>
            <w:spacing w:line="360" w:lineRule="auto"/>
            <w:ind w:hanging="540"/>
            <w:jc w:val="both"/>
            <w:rPr>
              <w:sz w:val="24"/>
              <w:szCs w:val="24"/>
            </w:rPr>
          </w:pPr>
          <w:r>
            <w:rPr>
              <w:sz w:val="24"/>
              <w:szCs w:val="24"/>
            </w:rPr>
            <w:t>The statutory requirement for a presumption of trafficking under section 14 of the Act requires possession of more than 2 grams of heroin in its pure form (</w:t>
          </w:r>
          <w:r>
            <w:rPr>
              <w:i/>
              <w:sz w:val="24"/>
              <w:szCs w:val="24"/>
            </w:rPr>
            <w:t>Simeon v Republic</w:t>
          </w:r>
          <w:r>
            <w:rPr>
              <w:sz w:val="24"/>
              <w:szCs w:val="24"/>
            </w:rPr>
            <w:t xml:space="preserve"> (2010) SLR 195). The Government Analyst gave evidence that there was a total heroin weight of 746.9 grams, with a purity of 64%. An accused may raise a legal doubt in the prosecution’s argument concerning the accused’s state of mind in that the accused did not have knowledge of the drugs or their illicit nature, or that he or she had no reason to suspect illicit drugs (</w:t>
          </w:r>
          <w:proofErr w:type="spellStart"/>
          <w:r>
            <w:rPr>
              <w:i/>
              <w:sz w:val="24"/>
              <w:szCs w:val="24"/>
            </w:rPr>
            <w:t>Florine</w:t>
          </w:r>
          <w:proofErr w:type="spellEnd"/>
          <w:r>
            <w:rPr>
              <w:i/>
              <w:sz w:val="24"/>
              <w:szCs w:val="24"/>
            </w:rPr>
            <w:t xml:space="preserve"> v R,</w:t>
          </w:r>
          <w:r>
            <w:rPr>
              <w:sz w:val="24"/>
              <w:szCs w:val="24"/>
            </w:rPr>
            <w:t xml:space="preserve"> [supra]).</w:t>
          </w:r>
        </w:p>
        <w:p w:rsidR="007B2A20" w:rsidRPr="004638CD" w:rsidRDefault="007B2A20" w:rsidP="003F16E7">
          <w:pPr>
            <w:pStyle w:val="ListParagraph"/>
            <w:ind w:hanging="540"/>
            <w:rPr>
              <w:sz w:val="24"/>
              <w:szCs w:val="24"/>
            </w:rPr>
          </w:pPr>
        </w:p>
        <w:p w:rsidR="007B2A20" w:rsidRPr="00735433" w:rsidRDefault="007B2A20" w:rsidP="003F16E7">
          <w:pPr>
            <w:pStyle w:val="ListParagraph"/>
            <w:numPr>
              <w:ilvl w:val="0"/>
              <w:numId w:val="9"/>
            </w:numPr>
            <w:spacing w:line="360" w:lineRule="auto"/>
            <w:ind w:hanging="540"/>
            <w:jc w:val="both"/>
            <w:rPr>
              <w:sz w:val="24"/>
              <w:szCs w:val="24"/>
            </w:rPr>
          </w:pPr>
          <w:r w:rsidRPr="00735433">
            <w:rPr>
              <w:sz w:val="24"/>
              <w:szCs w:val="24"/>
            </w:rPr>
            <w:t xml:space="preserve">As Lord </w:t>
          </w:r>
          <w:proofErr w:type="spellStart"/>
          <w:r w:rsidRPr="00735433">
            <w:rPr>
              <w:sz w:val="24"/>
              <w:szCs w:val="24"/>
            </w:rPr>
            <w:t>Slyn</w:t>
          </w:r>
          <w:proofErr w:type="spellEnd"/>
          <w:r w:rsidRPr="00735433">
            <w:rPr>
              <w:sz w:val="24"/>
              <w:szCs w:val="24"/>
            </w:rPr>
            <w:t xml:space="preserve"> of Hadley stated in </w:t>
          </w:r>
          <w:r w:rsidRPr="00735433">
            <w:rPr>
              <w:i/>
              <w:sz w:val="24"/>
              <w:szCs w:val="24"/>
            </w:rPr>
            <w:t>Regina v Lambert</w:t>
          </w:r>
          <w:r w:rsidRPr="00735433">
            <w:rPr>
              <w:sz w:val="24"/>
              <w:szCs w:val="24"/>
            </w:rPr>
            <w:t xml:space="preserve"> [2001] UKHL 37 (where the accused claimed he did not know what was contained in a duffle bag he was carrying):</w:t>
          </w:r>
        </w:p>
        <w:p w:rsidR="007B2A20" w:rsidRPr="00735433" w:rsidRDefault="007B2A20" w:rsidP="007B2A20">
          <w:pPr>
            <w:pStyle w:val="ListParagraph"/>
            <w:spacing w:line="360" w:lineRule="auto"/>
            <w:jc w:val="both"/>
            <w:rPr>
              <w:sz w:val="24"/>
              <w:szCs w:val="24"/>
            </w:rPr>
          </w:pPr>
        </w:p>
        <w:p w:rsidR="007B2A20" w:rsidRPr="00FC49C1" w:rsidRDefault="007B2A20" w:rsidP="007B2A20">
          <w:pPr>
            <w:pStyle w:val="ListParagraph"/>
            <w:spacing w:line="360" w:lineRule="auto"/>
            <w:ind w:left="1440"/>
            <w:jc w:val="both"/>
            <w:rPr>
              <w:i/>
              <w:sz w:val="24"/>
              <w:szCs w:val="24"/>
            </w:rPr>
          </w:pPr>
          <w:r w:rsidRPr="00FC49C1">
            <w:rPr>
              <w:i/>
              <w:sz w:val="24"/>
              <w:szCs w:val="24"/>
            </w:rPr>
            <w:t>“The mental element involves proof of knowledge that the thing exists and that it is in his possession. Proof of knowledge that the thing is an article of a particular kind, quality or description is not required. It is not necessary for the prosecution to prove that the defendant knew that the thing was a controlled drug which the law makes it an offence to possess” (at 61).</w:t>
          </w:r>
        </w:p>
        <w:p w:rsidR="007B2A20" w:rsidRDefault="007B2A20" w:rsidP="003F16E7">
          <w:pPr>
            <w:pStyle w:val="ListParagraph"/>
            <w:numPr>
              <w:ilvl w:val="0"/>
              <w:numId w:val="9"/>
            </w:numPr>
            <w:spacing w:line="360" w:lineRule="auto"/>
            <w:ind w:hanging="540"/>
            <w:jc w:val="both"/>
            <w:rPr>
              <w:sz w:val="24"/>
              <w:szCs w:val="24"/>
            </w:rPr>
          </w:pPr>
          <w:r>
            <w:rPr>
              <w:sz w:val="24"/>
              <w:szCs w:val="24"/>
            </w:rPr>
            <w:lastRenderedPageBreak/>
            <w:t xml:space="preserve">In </w:t>
          </w:r>
          <w:r w:rsidRPr="009223E4">
            <w:rPr>
              <w:i/>
              <w:sz w:val="24"/>
              <w:szCs w:val="24"/>
            </w:rPr>
            <w:t>Clare v R</w:t>
          </w:r>
          <w:r>
            <w:rPr>
              <w:sz w:val="24"/>
              <w:szCs w:val="24"/>
            </w:rPr>
            <w:t xml:space="preserve"> [1994] 2 </w:t>
          </w:r>
          <w:proofErr w:type="spellStart"/>
          <w:r>
            <w:rPr>
              <w:sz w:val="24"/>
              <w:szCs w:val="24"/>
            </w:rPr>
            <w:t>Qd</w:t>
          </w:r>
          <w:proofErr w:type="spellEnd"/>
          <w:r>
            <w:rPr>
              <w:sz w:val="24"/>
              <w:szCs w:val="24"/>
            </w:rPr>
            <w:t xml:space="preserve"> R 619, Davies JA concluded (at 645): </w:t>
          </w:r>
        </w:p>
        <w:p w:rsidR="007B2A20" w:rsidRPr="006514EB" w:rsidRDefault="007B2A20" w:rsidP="007B2A20">
          <w:pPr>
            <w:spacing w:line="360" w:lineRule="auto"/>
            <w:ind w:left="360"/>
            <w:jc w:val="both"/>
            <w:rPr>
              <w:sz w:val="24"/>
              <w:szCs w:val="24"/>
            </w:rPr>
          </w:pPr>
        </w:p>
        <w:p w:rsidR="007B2A20" w:rsidRPr="006514EB" w:rsidRDefault="007B2A20" w:rsidP="007B2A20">
          <w:pPr>
            <w:spacing w:line="360" w:lineRule="auto"/>
            <w:ind w:left="1440"/>
            <w:jc w:val="both"/>
            <w:rPr>
              <w:sz w:val="24"/>
              <w:szCs w:val="24"/>
            </w:rPr>
          </w:pPr>
          <w:r w:rsidRPr="006514EB">
            <w:rPr>
              <w:i/>
              <w:sz w:val="24"/>
              <w:szCs w:val="24"/>
            </w:rPr>
            <w:t>“…I do not think that the element of knowledge which undoubtedly exists in that concept in its ordinary meaning, extends beyond knowledge, by the accused, of the existence and presence within his physical control of the object; it does not extend to knowledge of the nature of that object. There is nothing in the construction of the Drugs Misuse Act which would</w:t>
          </w:r>
          <w:r w:rsidRPr="006514EB">
            <w:rPr>
              <w:sz w:val="24"/>
              <w:szCs w:val="24"/>
            </w:rPr>
            <w:t xml:space="preserve"> </w:t>
          </w:r>
          <w:r w:rsidRPr="006514EB">
            <w:rPr>
              <w:i/>
              <w:sz w:val="24"/>
              <w:szCs w:val="24"/>
            </w:rPr>
            <w:t>suggest that ‘possession; is being used in other than its ordinary meaning.”</w:t>
          </w:r>
        </w:p>
        <w:p w:rsidR="007B2A20" w:rsidRPr="009223E4" w:rsidRDefault="007B2A20" w:rsidP="007B2A20">
          <w:pPr>
            <w:pStyle w:val="ListParagraph"/>
            <w:rPr>
              <w:sz w:val="24"/>
              <w:szCs w:val="24"/>
            </w:rPr>
          </w:pPr>
        </w:p>
        <w:p w:rsidR="007B2A20" w:rsidRDefault="007B2A20" w:rsidP="003F16E7">
          <w:pPr>
            <w:pStyle w:val="ListParagraph"/>
            <w:numPr>
              <w:ilvl w:val="0"/>
              <w:numId w:val="9"/>
            </w:numPr>
            <w:spacing w:line="360" w:lineRule="auto"/>
            <w:ind w:hanging="540"/>
            <w:jc w:val="both"/>
            <w:rPr>
              <w:sz w:val="24"/>
              <w:szCs w:val="24"/>
            </w:rPr>
          </w:pPr>
          <w:r>
            <w:rPr>
              <w:sz w:val="24"/>
              <w:szCs w:val="24"/>
            </w:rPr>
            <w:t xml:space="preserve">In </w:t>
          </w:r>
          <w:r w:rsidRPr="009223E4">
            <w:rPr>
              <w:i/>
              <w:sz w:val="24"/>
              <w:szCs w:val="24"/>
            </w:rPr>
            <w:t xml:space="preserve">He Kaw </w:t>
          </w:r>
          <w:proofErr w:type="spellStart"/>
          <w:r w:rsidRPr="009223E4">
            <w:rPr>
              <w:i/>
              <w:sz w:val="24"/>
              <w:szCs w:val="24"/>
            </w:rPr>
            <w:t>Teh</w:t>
          </w:r>
          <w:proofErr w:type="spellEnd"/>
          <w:r w:rsidRPr="009223E4">
            <w:rPr>
              <w:i/>
              <w:sz w:val="24"/>
              <w:szCs w:val="24"/>
            </w:rPr>
            <w:t xml:space="preserve"> v The Queen</w:t>
          </w:r>
          <w:r>
            <w:rPr>
              <w:sz w:val="24"/>
              <w:szCs w:val="24"/>
            </w:rPr>
            <w:t xml:space="preserve"> (1985) 157 CLR 523 at 536, the Court held:</w:t>
          </w:r>
        </w:p>
        <w:p w:rsidR="007B2A20" w:rsidRPr="009223E4" w:rsidRDefault="007B2A20" w:rsidP="007B2A20">
          <w:pPr>
            <w:pStyle w:val="ListParagraph"/>
            <w:rPr>
              <w:sz w:val="24"/>
              <w:szCs w:val="24"/>
            </w:rPr>
          </w:pPr>
        </w:p>
        <w:p w:rsidR="007B2A20" w:rsidRPr="006514EB" w:rsidRDefault="007B2A20" w:rsidP="007B2A20">
          <w:pPr>
            <w:pStyle w:val="ListParagraph"/>
            <w:spacing w:line="360" w:lineRule="auto"/>
            <w:ind w:left="1440"/>
            <w:jc w:val="both"/>
            <w:rPr>
              <w:i/>
              <w:sz w:val="24"/>
              <w:szCs w:val="24"/>
            </w:rPr>
          </w:pPr>
          <w:r w:rsidRPr="006514EB">
            <w:rPr>
              <w:i/>
              <w:sz w:val="24"/>
              <w:szCs w:val="24"/>
            </w:rPr>
            <w:t>“…if the suspicions of an incoming traveller are aroused, and he deliberately refrains from making any inquiries for fear that he may learn the truth, his wilful blindness may be treated as equivalent to knowledge. If he is given a bag or parcel to carry into Australia in suspicious circumstances, or if there is something suspicious about the appearance, feel or weight of his own baggage, and he deliberately fails to inquire further, the jury may well be satisfied that he wilfully shut his eyes to the probability that he was carrying narcotics and for that reason should be treated as having the necessary guilty knowledge.”</w:t>
          </w:r>
        </w:p>
        <w:p w:rsidR="007B2A20" w:rsidRPr="00673841" w:rsidRDefault="007B2A20" w:rsidP="007B2A20">
          <w:pPr>
            <w:pStyle w:val="JudgmentText"/>
            <w:numPr>
              <w:ilvl w:val="0"/>
              <w:numId w:val="0"/>
            </w:numPr>
            <w:ind w:left="720"/>
          </w:pPr>
        </w:p>
        <w:p w:rsidR="007B2A20" w:rsidRPr="00673841" w:rsidRDefault="007B2A20" w:rsidP="003F16E7">
          <w:pPr>
            <w:pStyle w:val="JudgmentText"/>
            <w:numPr>
              <w:ilvl w:val="0"/>
              <w:numId w:val="9"/>
            </w:numPr>
            <w:ind w:hanging="540"/>
          </w:pPr>
          <w:r>
            <w:rPr>
              <w:lang w:val="en-NZ"/>
            </w:rPr>
            <w:t xml:space="preserve">There is therefore no merit in the Appellants’ ground that the learned </w:t>
          </w:r>
          <w:r w:rsidR="00885E62">
            <w:rPr>
              <w:lang w:val="en-NZ"/>
            </w:rPr>
            <w:t>Trial Judge</w:t>
          </w:r>
          <w:r>
            <w:rPr>
              <w:lang w:val="en-NZ"/>
            </w:rPr>
            <w:t xml:space="preserve"> erred in concluding that the Appellants were guilty of trafficking on the date as per the charge sheet when the drugs were only seized on 28 March 2016. The evidence adduced at trial leaves this Court in no doubt that the gunny bags transported by the Appellants contained the same drugs which were later seized by the Authorities. The evidence of the Pools and the similar descriptions they provided of the drug packets they had retrieved from the gunny bags on the beach in comparison to the drug packets seized by the Authorities is compelling. </w:t>
          </w:r>
        </w:p>
        <w:p w:rsidR="007B2A20" w:rsidRDefault="007B2A20" w:rsidP="003F16E7">
          <w:pPr>
            <w:pStyle w:val="JudgmentText"/>
            <w:numPr>
              <w:ilvl w:val="0"/>
              <w:numId w:val="9"/>
            </w:numPr>
            <w:ind w:hanging="540"/>
          </w:pPr>
          <w:r>
            <w:t xml:space="preserve">In </w:t>
          </w:r>
          <w:r>
            <w:rPr>
              <w:i/>
            </w:rPr>
            <w:t xml:space="preserve">Republic v </w:t>
          </w:r>
          <w:proofErr w:type="spellStart"/>
          <w:r>
            <w:rPr>
              <w:i/>
            </w:rPr>
            <w:t>Liwasa</w:t>
          </w:r>
          <w:proofErr w:type="spellEnd"/>
          <w:r>
            <w:rPr>
              <w:i/>
            </w:rPr>
            <w:t xml:space="preserve"> </w:t>
          </w:r>
          <w:r>
            <w:t>[2016] SCSC 94, Dodin J held that:</w:t>
          </w:r>
        </w:p>
        <w:p w:rsidR="007B2A20" w:rsidRPr="0004168D" w:rsidRDefault="007B2A20" w:rsidP="003F16E7">
          <w:pPr>
            <w:pStyle w:val="JudgmentText"/>
            <w:numPr>
              <w:ilvl w:val="0"/>
              <w:numId w:val="0"/>
            </w:numPr>
            <w:ind w:left="1440"/>
          </w:pPr>
          <w:r>
            <w:t>“</w:t>
          </w:r>
          <w:r w:rsidRPr="006514EB">
            <w:rPr>
              <w:i/>
            </w:rPr>
            <w:t xml:space="preserve">A general rule concerning all criminal cases is that a person has to have a ‘guilty mind’ if he is to be convicted...In order to determine whether the accused had </w:t>
          </w:r>
          <w:r w:rsidRPr="006514EB">
            <w:rPr>
              <w:i/>
            </w:rPr>
            <w:lastRenderedPageBreak/>
            <w:t>knowledge or not ... the Court must look at the circumstances surrounding the action of the accused and his demeanour and conduct as observed and testified to in Court”.</w:t>
          </w:r>
          <w:r>
            <w:rPr>
              <w:rFonts w:eastAsia="Calibri"/>
              <w:lang w:val="en-NZ"/>
            </w:rPr>
            <w:t xml:space="preserve"> </w:t>
          </w:r>
        </w:p>
        <w:p w:rsidR="007B2A20" w:rsidRDefault="007B2A20" w:rsidP="003F16E7">
          <w:pPr>
            <w:pStyle w:val="JudgmentText"/>
            <w:numPr>
              <w:ilvl w:val="0"/>
              <w:numId w:val="9"/>
            </w:numPr>
            <w:ind w:hanging="540"/>
          </w:pPr>
          <w:r>
            <w:t xml:space="preserve">In the case of </w:t>
          </w:r>
          <w:proofErr w:type="spellStart"/>
          <w:r w:rsidR="009D19E1">
            <w:rPr>
              <w:i/>
            </w:rPr>
            <w:t>Ne</w:t>
          </w:r>
          <w:r>
            <w:rPr>
              <w:i/>
            </w:rPr>
            <w:t>dy</w:t>
          </w:r>
          <w:proofErr w:type="spellEnd"/>
          <w:r>
            <w:rPr>
              <w:i/>
            </w:rPr>
            <w:t xml:space="preserve"> </w:t>
          </w:r>
          <w:proofErr w:type="spellStart"/>
          <w:r>
            <w:rPr>
              <w:i/>
            </w:rPr>
            <w:t>Micock</w:t>
          </w:r>
          <w:proofErr w:type="spellEnd"/>
          <w:r>
            <w:rPr>
              <w:i/>
            </w:rPr>
            <w:t xml:space="preserve"> &amp; Anor v R </w:t>
          </w:r>
          <w:r>
            <w:t>[2019] SCCA 12 at [68] it was held that, “The element of “</w:t>
          </w:r>
          <w:r>
            <w:rPr>
              <w:rStyle w:val="highlight"/>
            </w:rPr>
            <w:t>knowledge</w:t>
          </w:r>
          <w:r>
            <w:t xml:space="preserve">” may likewise be inferred from the facts of the case…” </w:t>
          </w:r>
        </w:p>
        <w:p w:rsidR="007B2A20" w:rsidRDefault="007B2A20" w:rsidP="003F16E7">
          <w:pPr>
            <w:pStyle w:val="JudgmentText"/>
            <w:numPr>
              <w:ilvl w:val="0"/>
              <w:numId w:val="9"/>
            </w:numPr>
            <w:ind w:hanging="540"/>
          </w:pPr>
          <w:r>
            <w:t>In this regard, t</w:t>
          </w:r>
          <w:r>
            <w:rPr>
              <w:lang w:val="en-NZ"/>
            </w:rPr>
            <w:t>he 1</w:t>
          </w:r>
          <w:r>
            <w:rPr>
              <w:vertAlign w:val="superscript"/>
              <w:lang w:val="en-NZ"/>
            </w:rPr>
            <w:t>st</w:t>
          </w:r>
          <w:r>
            <w:rPr>
              <w:lang w:val="en-NZ"/>
            </w:rPr>
            <w:t xml:space="preserve"> Appellant’s attempt to ram the </w:t>
          </w:r>
          <w:proofErr w:type="spellStart"/>
          <w:r>
            <w:rPr>
              <w:lang w:val="en-NZ"/>
            </w:rPr>
            <w:t>Canapone</w:t>
          </w:r>
          <w:proofErr w:type="spellEnd"/>
          <w:r>
            <w:rPr>
              <w:lang w:val="en-NZ"/>
            </w:rPr>
            <w:t xml:space="preserve"> into the reef following his arrest is indicative of a ‘guilty mind’, and further that he had knowledge of the illicit nature of his cargo. </w:t>
          </w:r>
          <w:r>
            <w:t>Similarly, the 2</w:t>
          </w:r>
          <w:r w:rsidRPr="0004168D">
            <w:rPr>
              <w:vertAlign w:val="superscript"/>
            </w:rPr>
            <w:t>nd</w:t>
          </w:r>
          <w:r>
            <w:t xml:space="preserve"> Appellant informed the NDEA agents on the </w:t>
          </w:r>
          <w:proofErr w:type="spellStart"/>
          <w:r>
            <w:t>Canapone</w:t>
          </w:r>
          <w:proofErr w:type="spellEnd"/>
          <w:r>
            <w:t xml:space="preserve"> that he wanted protection, and that he would be killed by a man named Danny if he talked. He further stated that Danny had come on the </w:t>
          </w:r>
          <w:proofErr w:type="spellStart"/>
          <w:r>
            <w:t>Canapone</w:t>
          </w:r>
          <w:proofErr w:type="spellEnd"/>
          <w:r>
            <w:t xml:space="preserve"> with him and the 1</w:t>
          </w:r>
          <w:r>
            <w:rPr>
              <w:vertAlign w:val="superscript"/>
            </w:rPr>
            <w:t>st</w:t>
          </w:r>
          <w:r>
            <w:t xml:space="preserve"> Appellant, and that they had taken drugs from Indians in a </w:t>
          </w:r>
          <w:proofErr w:type="spellStart"/>
          <w:r>
            <w:t>multi-colored</w:t>
          </w:r>
          <w:proofErr w:type="spellEnd"/>
          <w:r>
            <w:t xml:space="preserve"> boat. The 3</w:t>
          </w:r>
          <w:r>
            <w:rPr>
              <w:vertAlign w:val="superscript"/>
            </w:rPr>
            <w:t>rd</w:t>
          </w:r>
          <w:r>
            <w:t xml:space="preserve"> Appellant informed Witness Michael </w:t>
          </w:r>
          <w:proofErr w:type="spellStart"/>
          <w:r>
            <w:t>Hissen</w:t>
          </w:r>
          <w:proofErr w:type="spellEnd"/>
          <w:r>
            <w:t xml:space="preserve"> while the gunny bags were being loaded on his boat that he must not be scared and that everything would be okay, a curious thing to say in any other context. </w:t>
          </w:r>
        </w:p>
        <w:p w:rsidR="007B2A20" w:rsidRDefault="007B2A20" w:rsidP="003F16E7">
          <w:pPr>
            <w:pStyle w:val="JudgmentText"/>
            <w:numPr>
              <w:ilvl w:val="0"/>
              <w:numId w:val="9"/>
            </w:numPr>
            <w:ind w:hanging="540"/>
          </w:pPr>
          <w:r>
            <w:t>When an accused is convicted of simple possession but found to be in possession of a substantial quantity of drugs, there is always a latent risk factor. This reflects the risk to society of the drugs finding their way into other hands apart from an offender’s. The latent risk will be determined from all the circumstances of the particular case, including the quantity of drugs involved and the circumstances of the offender (</w:t>
          </w:r>
          <w:r>
            <w:rPr>
              <w:i/>
            </w:rPr>
            <w:t>R v Anacoura</w:t>
          </w:r>
          <w:r>
            <w:t xml:space="preserve"> (2014) SLR 67)</w:t>
          </w:r>
        </w:p>
        <w:p w:rsidR="007B2A20" w:rsidRDefault="007B2A20" w:rsidP="003F16E7">
          <w:pPr>
            <w:pStyle w:val="JudgmentText"/>
            <w:numPr>
              <w:ilvl w:val="0"/>
              <w:numId w:val="9"/>
            </w:numPr>
            <w:ind w:hanging="540"/>
          </w:pPr>
          <w:r>
            <w:t xml:space="preserve">I therefore find no merit in the ground of appeal. </w:t>
          </w:r>
        </w:p>
        <w:p w:rsidR="007B2A20" w:rsidRDefault="007B2A20" w:rsidP="003F16E7">
          <w:pPr>
            <w:pStyle w:val="JudgmentText"/>
            <w:numPr>
              <w:ilvl w:val="0"/>
              <w:numId w:val="0"/>
            </w:numPr>
            <w:ind w:left="720"/>
            <w:rPr>
              <w:b/>
            </w:rPr>
          </w:pPr>
          <w:r>
            <w:rPr>
              <w:b/>
            </w:rPr>
            <w:t>Issue 2: Do the inconsistencies in the prosecution witnesses’ evidence amount to a reasonable doubt in the prosecution case?</w:t>
          </w:r>
        </w:p>
        <w:p w:rsidR="007B2A20" w:rsidRDefault="007B2A20" w:rsidP="003F16E7">
          <w:pPr>
            <w:pStyle w:val="ListParagraph"/>
            <w:numPr>
              <w:ilvl w:val="0"/>
              <w:numId w:val="9"/>
            </w:numPr>
            <w:spacing w:line="360" w:lineRule="auto"/>
            <w:ind w:hanging="540"/>
            <w:jc w:val="both"/>
            <w:rPr>
              <w:sz w:val="24"/>
              <w:szCs w:val="24"/>
            </w:rPr>
          </w:pPr>
          <w:r>
            <w:rPr>
              <w:sz w:val="24"/>
              <w:szCs w:val="24"/>
            </w:rPr>
            <w:t xml:space="preserve">With regard to inconsistencies in the evidence of witnesses generally, this Court stated in </w:t>
          </w:r>
          <w:proofErr w:type="spellStart"/>
          <w:r>
            <w:rPr>
              <w:i/>
              <w:sz w:val="24"/>
              <w:szCs w:val="24"/>
            </w:rPr>
            <w:t>Beeharry</w:t>
          </w:r>
          <w:proofErr w:type="spellEnd"/>
          <w:r>
            <w:rPr>
              <w:i/>
              <w:sz w:val="24"/>
              <w:szCs w:val="24"/>
            </w:rPr>
            <w:t xml:space="preserve"> v R</w:t>
          </w:r>
          <w:r>
            <w:rPr>
              <w:sz w:val="24"/>
              <w:szCs w:val="24"/>
            </w:rPr>
            <w:t xml:space="preserve"> (2012) SLR 71:</w:t>
          </w:r>
        </w:p>
        <w:p w:rsidR="007B2A20" w:rsidRPr="0031322C" w:rsidRDefault="007B2A20" w:rsidP="007B2A20">
          <w:pPr>
            <w:spacing w:line="360" w:lineRule="auto"/>
            <w:jc w:val="both"/>
            <w:rPr>
              <w:i/>
              <w:sz w:val="24"/>
              <w:szCs w:val="24"/>
            </w:rPr>
          </w:pPr>
        </w:p>
        <w:p w:rsidR="007B2A20" w:rsidRPr="0031322C" w:rsidRDefault="007B2A20" w:rsidP="007B2A20">
          <w:pPr>
            <w:spacing w:line="360" w:lineRule="auto"/>
            <w:ind w:left="1440"/>
            <w:jc w:val="both"/>
            <w:rPr>
              <w:rFonts w:eastAsia="Times New Roman"/>
              <w:i/>
              <w:sz w:val="24"/>
              <w:szCs w:val="24"/>
              <w:lang w:val="en" w:eastAsia="en-NZ"/>
            </w:rPr>
          </w:pPr>
          <w:r w:rsidRPr="0031322C">
            <w:rPr>
              <w:rFonts w:eastAsia="Times New Roman"/>
              <w:i/>
              <w:sz w:val="24"/>
              <w:szCs w:val="24"/>
              <w:lang w:val="en" w:eastAsia="en-NZ"/>
            </w:rPr>
            <w:t xml:space="preserve">“In all criminal cases discrepancies in the evidence of </w:t>
          </w:r>
          <w:r>
            <w:rPr>
              <w:rFonts w:eastAsia="Times New Roman"/>
              <w:i/>
              <w:sz w:val="24"/>
              <w:szCs w:val="24"/>
              <w:lang w:val="en" w:eastAsia="en-NZ"/>
            </w:rPr>
            <w:t>witness</w:t>
          </w:r>
          <w:r w:rsidRPr="0031322C">
            <w:rPr>
              <w:rFonts w:eastAsia="Times New Roman"/>
              <w:i/>
              <w:sz w:val="24"/>
              <w:szCs w:val="24"/>
              <w:lang w:val="en" w:eastAsia="en-NZ"/>
            </w:rPr>
            <w:t xml:space="preserve">es are bound to occur. The lapse of memory over time </w:t>
          </w:r>
          <w:proofErr w:type="spellStart"/>
          <w:r w:rsidRPr="0031322C">
            <w:rPr>
              <w:rFonts w:eastAsia="Times New Roman"/>
              <w:i/>
              <w:sz w:val="24"/>
              <w:szCs w:val="24"/>
              <w:lang w:val="en" w:eastAsia="en-NZ"/>
            </w:rPr>
            <w:t>coloured</w:t>
          </w:r>
          <w:proofErr w:type="spellEnd"/>
          <w:r w:rsidRPr="0031322C">
            <w:rPr>
              <w:rFonts w:eastAsia="Times New Roman"/>
              <w:i/>
              <w:sz w:val="24"/>
              <w:szCs w:val="24"/>
              <w:lang w:val="en" w:eastAsia="en-NZ"/>
            </w:rPr>
            <w:t xml:space="preserve"> by experiences of </w:t>
          </w:r>
          <w:r>
            <w:rPr>
              <w:rFonts w:eastAsia="Times New Roman"/>
              <w:i/>
              <w:sz w:val="24"/>
              <w:szCs w:val="24"/>
              <w:lang w:val="en" w:eastAsia="en-NZ"/>
            </w:rPr>
            <w:t>witness</w:t>
          </w:r>
          <w:r w:rsidRPr="0031322C">
            <w:rPr>
              <w:rFonts w:eastAsia="Times New Roman"/>
              <w:i/>
              <w:sz w:val="24"/>
              <w:szCs w:val="24"/>
              <w:lang w:val="en" w:eastAsia="en-NZ"/>
            </w:rPr>
            <w:t xml:space="preserve">es may lead to inconsistencies, contradictions or embellishments. The Court however on </w:t>
          </w:r>
          <w:r w:rsidRPr="0031322C">
            <w:rPr>
              <w:rFonts w:eastAsia="Times New Roman"/>
              <w:i/>
              <w:sz w:val="24"/>
              <w:szCs w:val="24"/>
              <w:lang w:val="en" w:eastAsia="en-NZ"/>
            </w:rPr>
            <w:lastRenderedPageBreak/>
            <w:t xml:space="preserve">many occasions is called upon to assess whether such discrepancies affect the very core of the prosecution case; whether they create a doubt as to the truthfulness of the </w:t>
          </w:r>
          <w:r>
            <w:rPr>
              <w:rFonts w:eastAsia="Times New Roman"/>
              <w:i/>
              <w:sz w:val="24"/>
              <w:szCs w:val="24"/>
              <w:lang w:val="en" w:eastAsia="en-NZ"/>
            </w:rPr>
            <w:t>witness</w:t>
          </w:r>
          <w:r w:rsidRPr="0031322C">
            <w:rPr>
              <w:rFonts w:eastAsia="Times New Roman"/>
              <w:i/>
              <w:sz w:val="24"/>
              <w:szCs w:val="24"/>
              <w:lang w:val="en" w:eastAsia="en-NZ"/>
            </w:rPr>
            <w:t>es and amount to a failure by the prosecution to discharge its legal burden.”</w:t>
          </w:r>
        </w:p>
        <w:p w:rsidR="007B2A20" w:rsidRDefault="007B2A20" w:rsidP="007B2A20">
          <w:pPr>
            <w:jc w:val="both"/>
            <w:rPr>
              <w:rFonts w:ascii="Arial" w:eastAsia="Times New Roman" w:hAnsi="Arial" w:cs="Arial"/>
              <w:sz w:val="24"/>
              <w:szCs w:val="24"/>
              <w:lang w:val="en" w:eastAsia="en-NZ"/>
            </w:rPr>
          </w:pPr>
        </w:p>
        <w:p w:rsidR="007B2A20" w:rsidRDefault="007B2A20" w:rsidP="003F16E7">
          <w:pPr>
            <w:pStyle w:val="ListParagraph"/>
            <w:numPr>
              <w:ilvl w:val="0"/>
              <w:numId w:val="9"/>
            </w:numPr>
            <w:spacing w:line="360" w:lineRule="auto"/>
            <w:ind w:hanging="540"/>
            <w:jc w:val="both"/>
            <w:rPr>
              <w:sz w:val="24"/>
              <w:szCs w:val="24"/>
              <w:lang w:val="en" w:eastAsia="en-NZ"/>
            </w:rPr>
          </w:pPr>
          <w:r>
            <w:rPr>
              <w:sz w:val="24"/>
              <w:szCs w:val="24"/>
              <w:lang w:val="en" w:eastAsia="en-NZ"/>
            </w:rPr>
            <w:t xml:space="preserve">The Appellants contend that the evidence of </w:t>
          </w:r>
          <w:proofErr w:type="spellStart"/>
          <w:r>
            <w:rPr>
              <w:sz w:val="24"/>
              <w:szCs w:val="24"/>
              <w:lang w:val="en" w:eastAsia="en-NZ"/>
            </w:rPr>
            <w:t>Jeannia</w:t>
          </w:r>
          <w:proofErr w:type="spellEnd"/>
          <w:r>
            <w:rPr>
              <w:sz w:val="24"/>
              <w:szCs w:val="24"/>
              <w:lang w:val="en" w:eastAsia="en-NZ"/>
            </w:rPr>
            <w:t xml:space="preserve"> and Xavier Pool were contradicted by that of </w:t>
          </w:r>
          <w:proofErr w:type="spellStart"/>
          <w:r>
            <w:rPr>
              <w:sz w:val="24"/>
              <w:szCs w:val="24"/>
              <w:lang w:val="en" w:eastAsia="en-NZ"/>
            </w:rPr>
            <w:t>Defence</w:t>
          </w:r>
          <w:proofErr w:type="spellEnd"/>
          <w:r>
            <w:rPr>
              <w:sz w:val="24"/>
              <w:szCs w:val="24"/>
              <w:lang w:val="en" w:eastAsia="en-NZ"/>
            </w:rPr>
            <w:t xml:space="preserve"> Witness Ryan </w:t>
          </w:r>
          <w:proofErr w:type="spellStart"/>
          <w:r>
            <w:rPr>
              <w:sz w:val="24"/>
              <w:szCs w:val="24"/>
              <w:lang w:val="en" w:eastAsia="en-NZ"/>
            </w:rPr>
            <w:t>Accouche</w:t>
          </w:r>
          <w:proofErr w:type="spellEnd"/>
          <w:r>
            <w:rPr>
              <w:sz w:val="24"/>
              <w:szCs w:val="24"/>
              <w:lang w:val="en" w:eastAsia="en-NZ"/>
            </w:rPr>
            <w:t>, who stated that he never saw the Pools on the date in question, nor did he see the 4</w:t>
          </w:r>
          <w:r>
            <w:rPr>
              <w:sz w:val="24"/>
              <w:szCs w:val="24"/>
              <w:vertAlign w:val="superscript"/>
              <w:lang w:val="en" w:eastAsia="en-NZ"/>
            </w:rPr>
            <w:t>th</w:t>
          </w:r>
          <w:r>
            <w:rPr>
              <w:sz w:val="24"/>
              <w:szCs w:val="24"/>
              <w:lang w:val="en" w:eastAsia="en-NZ"/>
            </w:rPr>
            <w:t xml:space="preserve"> Appellant. They further contend that the Pools were lying in their testimony as their claims were unsupported by the evidence adduced at trial. To this end, the </w:t>
          </w:r>
          <w:r w:rsidR="00885E62">
            <w:rPr>
              <w:sz w:val="24"/>
              <w:szCs w:val="24"/>
              <w:lang w:val="en" w:eastAsia="en-NZ"/>
            </w:rPr>
            <w:t>Trial Judge</w:t>
          </w:r>
          <w:r>
            <w:rPr>
              <w:sz w:val="24"/>
              <w:szCs w:val="24"/>
              <w:lang w:val="en" w:eastAsia="en-NZ"/>
            </w:rPr>
            <w:t xml:space="preserve"> held as follows:</w:t>
          </w:r>
        </w:p>
        <w:p w:rsidR="007B2A20" w:rsidRDefault="007B2A20" w:rsidP="007B2A20">
          <w:pPr>
            <w:pStyle w:val="ListParagraph"/>
            <w:spacing w:line="360" w:lineRule="auto"/>
            <w:jc w:val="both"/>
            <w:rPr>
              <w:sz w:val="24"/>
              <w:szCs w:val="24"/>
              <w:lang w:val="en" w:eastAsia="en-NZ"/>
            </w:rPr>
          </w:pPr>
        </w:p>
        <w:p w:rsidR="007B2A20" w:rsidRDefault="007B2A20" w:rsidP="007B2A20">
          <w:pPr>
            <w:pStyle w:val="ListParagraph"/>
            <w:spacing w:line="360" w:lineRule="auto"/>
            <w:ind w:left="1440"/>
            <w:jc w:val="both"/>
            <w:rPr>
              <w:i/>
              <w:sz w:val="24"/>
              <w:szCs w:val="24"/>
              <w:lang w:val="en" w:eastAsia="en-NZ"/>
            </w:rPr>
          </w:pPr>
          <w:r>
            <w:rPr>
              <w:i/>
              <w:sz w:val="24"/>
              <w:szCs w:val="24"/>
              <w:lang w:val="en" w:eastAsia="en-NZ"/>
            </w:rPr>
            <w:t xml:space="preserve">“[29] …Further, understandably Witness Ryan </w:t>
          </w:r>
          <w:proofErr w:type="spellStart"/>
          <w:r>
            <w:rPr>
              <w:i/>
              <w:sz w:val="24"/>
              <w:szCs w:val="24"/>
              <w:lang w:val="en" w:eastAsia="en-NZ"/>
            </w:rPr>
            <w:t>Accouche</w:t>
          </w:r>
          <w:proofErr w:type="spellEnd"/>
          <w:r>
            <w:rPr>
              <w:i/>
              <w:sz w:val="24"/>
              <w:szCs w:val="24"/>
              <w:lang w:val="en" w:eastAsia="en-NZ"/>
            </w:rPr>
            <w:t xml:space="preserve"> denied any knowledge of being in possession of Class A controlled drugs or any involvement in any of the incidents referred to by Witness Xavier Pool for fear of being prosecuted for same.”</w:t>
          </w:r>
        </w:p>
        <w:p w:rsidR="007B2A20" w:rsidRDefault="007B2A20" w:rsidP="003F16E7">
          <w:pPr>
            <w:ind w:left="720" w:hanging="540"/>
            <w:jc w:val="both"/>
            <w:rPr>
              <w:rFonts w:ascii="Arial" w:eastAsia="Times New Roman" w:hAnsi="Arial" w:cs="Arial"/>
              <w:sz w:val="24"/>
              <w:szCs w:val="24"/>
              <w:lang w:val="en" w:eastAsia="en-NZ"/>
            </w:rPr>
          </w:pPr>
        </w:p>
        <w:p w:rsidR="007B2A20" w:rsidRDefault="007B2A20" w:rsidP="003F16E7">
          <w:pPr>
            <w:pStyle w:val="JudgmentText"/>
            <w:numPr>
              <w:ilvl w:val="0"/>
              <w:numId w:val="9"/>
            </w:numPr>
            <w:ind w:hanging="540"/>
          </w:pPr>
          <w:r>
            <w:t xml:space="preserve">It is trite that the court accepts findings of facts that are supported by the evidence believed by the trial court unless the </w:t>
          </w:r>
          <w:r w:rsidR="00885E62">
            <w:t>trial Judge</w:t>
          </w:r>
          <w:r>
            <w:t>’s findings of credibility are perverse (</w:t>
          </w:r>
          <w:proofErr w:type="spellStart"/>
          <w:r>
            <w:rPr>
              <w:i/>
            </w:rPr>
            <w:t>Beeharry</w:t>
          </w:r>
          <w:proofErr w:type="spellEnd"/>
          <w:r>
            <w:rPr>
              <w:i/>
            </w:rPr>
            <w:t xml:space="preserve"> v R</w:t>
          </w:r>
          <w:r>
            <w:t xml:space="preserve"> [supra]). This Court agrees that the testimony by Witness </w:t>
          </w:r>
          <w:proofErr w:type="spellStart"/>
          <w:r>
            <w:t>Accouche</w:t>
          </w:r>
          <w:proofErr w:type="spellEnd"/>
          <w:r>
            <w:t xml:space="preserve"> was entirely self-serving and aimed towards absolving himself of any ties to the crime. </w:t>
          </w:r>
        </w:p>
        <w:p w:rsidR="007B2A20" w:rsidRDefault="007B2A20" w:rsidP="003F16E7">
          <w:pPr>
            <w:pStyle w:val="JudgmentText"/>
            <w:numPr>
              <w:ilvl w:val="0"/>
              <w:numId w:val="9"/>
            </w:numPr>
            <w:ind w:hanging="540"/>
            <w:rPr>
              <w:lang w:val="en-NZ"/>
            </w:rPr>
          </w:pPr>
          <w:r>
            <w:t>The Appellants in their grounds of appeal further allude to an inconsistency in terms of the date of the offence as per the charge sheet (26</w:t>
          </w:r>
          <w:r>
            <w:rPr>
              <w:vertAlign w:val="superscript"/>
            </w:rPr>
            <w:t>th</w:t>
          </w:r>
          <w:r>
            <w:t xml:space="preserve"> March 2016 in the initial charge sheet) and the date of the offence as per the evidence adduced during the trial (predominately 25</w:t>
          </w:r>
          <w:r>
            <w:rPr>
              <w:vertAlign w:val="superscript"/>
            </w:rPr>
            <w:t>th</w:t>
          </w:r>
          <w:r>
            <w:t xml:space="preserve"> March 2016). The particulars of the offences in the Amended Charge Sheet read “on or around the 26</w:t>
          </w:r>
          <w:r>
            <w:rPr>
              <w:vertAlign w:val="superscript"/>
            </w:rPr>
            <w:t>th</w:t>
          </w:r>
          <w:r>
            <w:t xml:space="preserve"> March 2016”, therefore this ground has no merit. </w:t>
          </w:r>
          <w:r>
            <w:rPr>
              <w:lang w:val="en-NZ"/>
            </w:rPr>
            <w:t>In any event, if the statement and particulars of an offence can be seen fairly to relate to a known criminal offence but have been pleaded in terms which are inaccurate, incomplete or otherwise imperfect, a conviction on that indictment can still be confirmed (</w:t>
          </w:r>
          <w:r>
            <w:rPr>
              <w:i/>
            </w:rPr>
            <w:t>Jules v R</w:t>
          </w:r>
          <w:r>
            <w:t xml:space="preserve"> (2006-2007) SCAR 77)</w:t>
          </w:r>
          <w:r>
            <w:rPr>
              <w:lang w:val="en-NZ"/>
            </w:rPr>
            <w:t>. Further, not every defect in a charge will result in quashing a conviction; the misstatement of the offence may be acceptable where it has not misled the appellant and has not caused a miscarriage of justice (</w:t>
          </w:r>
          <w:r>
            <w:rPr>
              <w:i/>
            </w:rPr>
            <w:t>Rene v R</w:t>
          </w:r>
          <w:r>
            <w:t xml:space="preserve"> (1998-1999) SCAR 233)</w:t>
          </w:r>
          <w:r>
            <w:rPr>
              <w:lang w:val="en-NZ"/>
            </w:rPr>
            <w:t xml:space="preserve">. </w:t>
          </w:r>
        </w:p>
        <w:p w:rsidR="007B2A20" w:rsidRDefault="007B2A20" w:rsidP="003F16E7">
          <w:pPr>
            <w:pStyle w:val="ListParagraph"/>
            <w:ind w:hanging="540"/>
            <w:rPr>
              <w:lang w:val="en-NZ"/>
            </w:rPr>
          </w:pPr>
        </w:p>
        <w:p w:rsidR="007B2A20" w:rsidRDefault="007B2A20" w:rsidP="003F16E7">
          <w:pPr>
            <w:pStyle w:val="JudgmentText"/>
            <w:numPr>
              <w:ilvl w:val="0"/>
              <w:numId w:val="9"/>
            </w:numPr>
            <w:ind w:hanging="540"/>
            <w:rPr>
              <w:lang w:val="en-NZ"/>
            </w:rPr>
          </w:pPr>
          <w:r>
            <w:lastRenderedPageBreak/>
            <w:t xml:space="preserve">The Appellants also contend that the court erred in law and fact in not considering that both </w:t>
          </w:r>
          <w:proofErr w:type="spellStart"/>
          <w:r>
            <w:t>Jeannia</w:t>
          </w:r>
          <w:proofErr w:type="spellEnd"/>
          <w:r>
            <w:t xml:space="preserve"> and Xavier Pool did not identify any gunny bags against pictures or video, and in not considering that the drugs were found at the residence of Delores </w:t>
          </w:r>
          <w:proofErr w:type="spellStart"/>
          <w:r>
            <w:t>Mounac</w:t>
          </w:r>
          <w:proofErr w:type="spellEnd"/>
          <w:r>
            <w:t xml:space="preserve">, and not on the beach. In this respect, the learned </w:t>
          </w:r>
          <w:r w:rsidR="00885E62">
            <w:t>Trial Judge</w:t>
          </w:r>
          <w:r>
            <w:t xml:space="preserve"> held as follows:</w:t>
          </w:r>
        </w:p>
        <w:p w:rsidR="007B2A20" w:rsidRDefault="007B2A20" w:rsidP="007B2A20">
          <w:pPr>
            <w:pStyle w:val="ListParagraph"/>
            <w:rPr>
              <w:lang w:val="en-NZ"/>
            </w:rPr>
          </w:pPr>
        </w:p>
        <w:p w:rsidR="007B2A20" w:rsidRDefault="007B2A20" w:rsidP="007B2A20">
          <w:pPr>
            <w:pStyle w:val="JudgmentText"/>
            <w:numPr>
              <w:ilvl w:val="0"/>
              <w:numId w:val="0"/>
            </w:numPr>
            <w:ind w:left="1440"/>
            <w:rPr>
              <w:i/>
              <w:lang w:val="en-NZ"/>
            </w:rPr>
          </w:pPr>
          <w:r>
            <w:rPr>
              <w:i/>
              <w:lang w:val="en-NZ"/>
            </w:rPr>
            <w:t>“[32]… The controlled drugs were produced as P6 (a), and (b) and P8 (a) to (f) and the contents and wrappings were identified by Witness Xavier Pool as that taken from the gunny bags unloaded by the 4</w:t>
          </w:r>
          <w:r>
            <w:rPr>
              <w:i/>
              <w:vertAlign w:val="superscript"/>
              <w:lang w:val="en-NZ"/>
            </w:rPr>
            <w:t>th</w:t>
          </w:r>
          <w:r>
            <w:rPr>
              <w:i/>
              <w:lang w:val="en-NZ"/>
            </w:rPr>
            <w:t xml:space="preserve"> accused Danny Sultan on the beach at Anse </w:t>
          </w:r>
          <w:proofErr w:type="spellStart"/>
          <w:r>
            <w:rPr>
              <w:i/>
              <w:lang w:val="en-NZ"/>
            </w:rPr>
            <w:t>Boudin</w:t>
          </w:r>
          <w:proofErr w:type="spellEnd"/>
          <w:r>
            <w:rPr>
              <w:i/>
              <w:lang w:val="en-NZ"/>
            </w:rPr>
            <w:t xml:space="preserve">. </w:t>
          </w:r>
          <w:proofErr w:type="spellStart"/>
          <w:r>
            <w:rPr>
              <w:i/>
              <w:lang w:val="en-NZ"/>
            </w:rPr>
            <w:t>Jeannia</w:t>
          </w:r>
          <w:proofErr w:type="spellEnd"/>
          <w:r>
            <w:rPr>
              <w:i/>
              <w:lang w:val="en-NZ"/>
            </w:rPr>
            <w:t xml:space="preserve"> too identified the contents of P8 (a) to (f) as one of the heroin packets brought by Ryan </w:t>
          </w:r>
          <w:proofErr w:type="spellStart"/>
          <w:r>
            <w:rPr>
              <w:i/>
              <w:lang w:val="en-NZ"/>
            </w:rPr>
            <w:t>Accouche</w:t>
          </w:r>
          <w:proofErr w:type="spellEnd"/>
          <w:r>
            <w:rPr>
              <w:i/>
              <w:lang w:val="en-NZ"/>
            </w:rPr>
            <w:t xml:space="preserve"> and Xavier Pool.”</w:t>
          </w:r>
        </w:p>
        <w:p w:rsidR="007B2A20" w:rsidRDefault="007B2A20" w:rsidP="007B2A20">
          <w:pPr>
            <w:pStyle w:val="JudgmentText"/>
            <w:numPr>
              <w:ilvl w:val="0"/>
              <w:numId w:val="0"/>
            </w:numPr>
            <w:ind w:left="1440"/>
            <w:rPr>
              <w:i/>
              <w:lang w:val="en-NZ"/>
            </w:rPr>
          </w:pPr>
          <w:r>
            <w:rPr>
              <w:i/>
              <w:lang w:val="en-NZ"/>
            </w:rPr>
            <w:t xml:space="preserve">“[33] It is to be borne in mind that Xavier Pool identifies his packet as having three 5’s on it. The packet produced in Court found in the melody tin P8 which was the packet Ryan </w:t>
          </w:r>
          <w:proofErr w:type="spellStart"/>
          <w:r>
            <w:rPr>
              <w:i/>
              <w:lang w:val="en-NZ"/>
            </w:rPr>
            <w:t>Accouche</w:t>
          </w:r>
          <w:proofErr w:type="spellEnd"/>
          <w:r>
            <w:rPr>
              <w:i/>
              <w:lang w:val="en-NZ"/>
            </w:rPr>
            <w:t xml:space="preserve"> had, as identified by </w:t>
          </w:r>
          <w:proofErr w:type="spellStart"/>
          <w:r>
            <w:rPr>
              <w:i/>
              <w:lang w:val="en-NZ"/>
            </w:rPr>
            <w:t>Jeannia</w:t>
          </w:r>
          <w:proofErr w:type="spellEnd"/>
          <w:r>
            <w:rPr>
              <w:i/>
              <w:lang w:val="en-NZ"/>
            </w:rPr>
            <w:t xml:space="preserve"> Pool in her evidence also had three 5’s on it, indicating the packets taken by both Ryan and Xavier from the same gunny bag were of very similar nature with similar marking.”</w:t>
          </w:r>
        </w:p>
        <w:p w:rsidR="007B2A20" w:rsidRDefault="007B2A20" w:rsidP="007B2A20">
          <w:pPr>
            <w:pStyle w:val="ListParagraph"/>
          </w:pPr>
        </w:p>
        <w:p w:rsidR="007B2A20" w:rsidRPr="00C23AB8" w:rsidRDefault="007B2A20" w:rsidP="003F16E7">
          <w:pPr>
            <w:pStyle w:val="JudgmentText"/>
            <w:numPr>
              <w:ilvl w:val="0"/>
              <w:numId w:val="9"/>
            </w:numPr>
            <w:ind w:hanging="540"/>
            <w:rPr>
              <w:lang w:val="en-NZ"/>
            </w:rPr>
          </w:pPr>
          <w:r>
            <w:rPr>
              <w:lang w:val="en-NZ"/>
            </w:rPr>
            <w:t xml:space="preserve">The court transcript reveals that photographs of the scarab and the drug packets were shown to Xavier Pool. The transcript further reveals that all the photographs in exhibit P8 were shown to </w:t>
          </w:r>
          <w:proofErr w:type="spellStart"/>
          <w:r>
            <w:rPr>
              <w:lang w:val="en-NZ"/>
            </w:rPr>
            <w:t>Jeannia</w:t>
          </w:r>
          <w:proofErr w:type="spellEnd"/>
          <w:r>
            <w:rPr>
              <w:lang w:val="en-NZ"/>
            </w:rPr>
            <w:t xml:space="preserve"> Pool and were identified. </w:t>
          </w:r>
          <w:r>
            <w:t xml:space="preserve">In light of the above, this Court does not find that much could be gained from showing these two witnesses the video and imagery of the gunny bags over and above their descriptions of the same. This would do little to strengthen the prosecution case. If the Defence was desirous of putting the video and imagery of the gunny bags to these Witnesses in furtherance of their defence strategy, they ought to have done so in cross-examination. It has also been borne sufficiently from the facts as narrated by the learned </w:t>
          </w:r>
          <w:r w:rsidR="00885E62">
            <w:t>trial Judge</w:t>
          </w:r>
          <w:r>
            <w:t xml:space="preserve"> that the drugs were initially found by Xavier Pool on the beach in white gunny bags, and he took a packet to his mother’s house to sample and hide it. </w:t>
          </w:r>
        </w:p>
        <w:p w:rsidR="007B2A20" w:rsidRDefault="007B2A20" w:rsidP="003F16E7">
          <w:pPr>
            <w:pStyle w:val="JudgmentText"/>
            <w:numPr>
              <w:ilvl w:val="0"/>
              <w:numId w:val="9"/>
            </w:numPr>
            <w:ind w:hanging="540"/>
            <w:rPr>
              <w:lang w:val="en-NZ"/>
            </w:rPr>
          </w:pPr>
          <w:r>
            <w:t xml:space="preserve">The Appellants further contend that Witness Michael </w:t>
          </w:r>
          <w:proofErr w:type="spellStart"/>
          <w:r>
            <w:t>Hissen</w:t>
          </w:r>
          <w:proofErr w:type="spellEnd"/>
          <w:r>
            <w:t xml:space="preserve"> could not identify the drugs as he never saw any heroin on the date in question, so this amounts to a relevant consideration that was also overlooked by the learned </w:t>
          </w:r>
          <w:r w:rsidR="00885E62">
            <w:t>trial Judge</w:t>
          </w:r>
          <w:r>
            <w:t xml:space="preserve">. </w:t>
          </w:r>
          <w:r>
            <w:rPr>
              <w:lang w:val="en-NZ"/>
            </w:rPr>
            <w:t xml:space="preserve">This Court is satisfied that there is enough circumstantial evidence to corroborate this witness’s evidence and to </w:t>
          </w:r>
          <w:r>
            <w:rPr>
              <w:lang w:val="en-NZ"/>
            </w:rPr>
            <w:lastRenderedPageBreak/>
            <w:t>prove that the gunny bags contained the same packets of heroin which wer</w:t>
          </w:r>
          <w:r w:rsidR="00D304D1">
            <w:rPr>
              <w:lang w:val="en-NZ"/>
            </w:rPr>
            <w:t>e later seized by the relevant A</w:t>
          </w:r>
          <w:r>
            <w:rPr>
              <w:lang w:val="en-NZ"/>
            </w:rPr>
            <w:t xml:space="preserve">uthorities. In </w:t>
          </w:r>
          <w:proofErr w:type="spellStart"/>
          <w:r>
            <w:rPr>
              <w:i/>
              <w:lang w:val="en-NZ"/>
            </w:rPr>
            <w:t>Onezime</w:t>
          </w:r>
          <w:proofErr w:type="spellEnd"/>
          <w:r>
            <w:rPr>
              <w:i/>
              <w:lang w:val="en-NZ"/>
            </w:rPr>
            <w:t xml:space="preserve"> v R </w:t>
          </w:r>
          <w:r>
            <w:rPr>
              <w:lang w:val="en-NZ"/>
            </w:rPr>
            <w:t xml:space="preserve">(1978) SLR 140, the Court held that for a conviction to be based on circumstantial evidence, the </w:t>
          </w:r>
          <w:proofErr w:type="spellStart"/>
          <w:r>
            <w:rPr>
              <w:lang w:val="en-NZ"/>
            </w:rPr>
            <w:t>inculpatory</w:t>
          </w:r>
          <w:proofErr w:type="spellEnd"/>
          <w:r>
            <w:rPr>
              <w:lang w:val="en-NZ"/>
            </w:rPr>
            <w:t xml:space="preserve"> facts must be incompatible with the innocence of the accused and incapable of explanation upon any other reasonable hypothesis than that of guilty. This Court is satisfied that this is the case here. </w:t>
          </w:r>
        </w:p>
        <w:p w:rsidR="007B2A20" w:rsidRDefault="007B2A20" w:rsidP="003F16E7">
          <w:pPr>
            <w:pStyle w:val="JudgmentText"/>
            <w:numPr>
              <w:ilvl w:val="0"/>
              <w:numId w:val="0"/>
            </w:numPr>
            <w:ind w:left="720" w:hanging="540"/>
          </w:pPr>
          <w:r>
            <w:rPr>
              <w:b/>
            </w:rPr>
            <w:t xml:space="preserve">Issue 3. Does the alleged lack of identification evidence by the </w:t>
          </w:r>
          <w:proofErr w:type="gramStart"/>
          <w:r>
            <w:rPr>
              <w:b/>
            </w:rPr>
            <w:t>witnesses</w:t>
          </w:r>
          <w:proofErr w:type="gramEnd"/>
          <w:r>
            <w:rPr>
              <w:b/>
            </w:rPr>
            <w:t xml:space="preserve"> amount to a reasonable doubt in the prosecution case? </w:t>
          </w:r>
        </w:p>
        <w:p w:rsidR="007B2A20" w:rsidRDefault="007B2A20" w:rsidP="003F16E7">
          <w:pPr>
            <w:pStyle w:val="JudgmentText"/>
            <w:numPr>
              <w:ilvl w:val="0"/>
              <w:numId w:val="9"/>
            </w:numPr>
            <w:ind w:hanging="540"/>
          </w:pPr>
          <w:r>
            <w:t xml:space="preserve">The Appellants contend in their grounds of appeal that there was no, or an insufficiency of, identification evidence to implicate them in the commission of the crimes for which they have been charged. From the outset, it is worth noting that this Court in </w:t>
          </w:r>
          <w:r>
            <w:rPr>
              <w:i/>
            </w:rPr>
            <w:t>Labrosse v R</w:t>
          </w:r>
          <w:r>
            <w:t xml:space="preserve"> SCA 27/2013</w:t>
          </w:r>
          <w:r w:rsidRPr="00B73D53">
            <w:t xml:space="preserve"> [2016] SCCA 35 (09 December 2016)</w:t>
          </w:r>
          <w:r>
            <w:t xml:space="preserve"> emphasised that evidence of identification must be approached with caution, citing the case of </w:t>
          </w:r>
          <w:r>
            <w:rPr>
              <w:i/>
            </w:rPr>
            <w:t xml:space="preserve">S v </w:t>
          </w:r>
          <w:proofErr w:type="spellStart"/>
          <w:r>
            <w:rPr>
              <w:i/>
            </w:rPr>
            <w:t>Mthetwa</w:t>
          </w:r>
          <w:proofErr w:type="spellEnd"/>
          <w:r>
            <w:t xml:space="preserve"> 1972 (3) SA 766 in which Holmes JA held:</w:t>
          </w:r>
        </w:p>
        <w:p w:rsidR="007B2A20" w:rsidRDefault="007B2A20" w:rsidP="007B2A20">
          <w:pPr>
            <w:pStyle w:val="JudgmentText"/>
            <w:numPr>
              <w:ilvl w:val="0"/>
              <w:numId w:val="0"/>
            </w:numPr>
            <w:ind w:left="1440" w:right="713"/>
          </w:pPr>
          <w:r w:rsidRPr="00B73D53">
            <w:rPr>
              <w:i/>
            </w:rPr>
            <w:t xml:space="preserve">“Because of the fallibility of human observation, evidence of identification is approached by the Courts with some caution.  It is not enough for the identifying </w:t>
          </w:r>
          <w:r>
            <w:rPr>
              <w:i/>
            </w:rPr>
            <w:t>witness</w:t>
          </w:r>
          <w:r w:rsidRPr="00B73D53">
            <w:rPr>
              <w:i/>
            </w:rPr>
            <w:t xml:space="preserve"> to be honest: the reliability of his observation must also be tested.  This depends on various factors, such as lighting, visibility, and eyesight; the proximity of the </w:t>
          </w:r>
          <w:r>
            <w:rPr>
              <w:i/>
            </w:rPr>
            <w:t>witness</w:t>
          </w:r>
          <w:r w:rsidRPr="00B73D53">
            <w:rPr>
              <w:i/>
            </w:rPr>
            <w:t>; his opportunity for observation, both as to time and situation; the extent of his prior knowledge of the accused; the mobility of the scene; corroboration; suggestibility; the accused’s face, voice, build, gait, and dress; the result of identification parades, if any; and, of course, the evidence</w:t>
          </w:r>
          <w:r>
            <w:t xml:space="preserve"> </w:t>
          </w:r>
          <w:r w:rsidRPr="00B73D53">
            <w:rPr>
              <w:i/>
            </w:rPr>
            <w:t>by or on behalf of the accused. The list is not exhaustive.”</w:t>
          </w:r>
        </w:p>
        <w:p w:rsidR="007B2A20" w:rsidRDefault="007B2A20" w:rsidP="003F16E7">
          <w:pPr>
            <w:pStyle w:val="JudgmentText"/>
            <w:numPr>
              <w:ilvl w:val="0"/>
              <w:numId w:val="9"/>
            </w:numPr>
            <w:ind w:hanging="540"/>
          </w:pPr>
          <w:r>
            <w:t>With respect to the 1</w:t>
          </w:r>
          <w:r>
            <w:rPr>
              <w:vertAlign w:val="superscript"/>
            </w:rPr>
            <w:t>st</w:t>
          </w:r>
          <w:r>
            <w:t xml:space="preserve"> Appellant, namely Francis Ernesta and the 2</w:t>
          </w:r>
          <w:r w:rsidRPr="00673841">
            <w:rPr>
              <w:vertAlign w:val="superscript"/>
            </w:rPr>
            <w:t>nd</w:t>
          </w:r>
          <w:r>
            <w:t xml:space="preserve"> Appellant, namely Brian </w:t>
          </w:r>
          <w:proofErr w:type="spellStart"/>
          <w:r>
            <w:t>Mothe</w:t>
          </w:r>
          <w:proofErr w:type="spellEnd"/>
          <w:r>
            <w:t xml:space="preserve">, it is not in dispute that these two Appellants were identified aboard the </w:t>
          </w:r>
          <w:proofErr w:type="spellStart"/>
          <w:r>
            <w:t>Canapone</w:t>
          </w:r>
          <w:proofErr w:type="spellEnd"/>
          <w:r>
            <w:t xml:space="preserve"> on the date in question by numerous witnesses, including Samir </w:t>
          </w:r>
          <w:proofErr w:type="spellStart"/>
          <w:r>
            <w:t>Ghislain</w:t>
          </w:r>
          <w:proofErr w:type="spellEnd"/>
          <w:r>
            <w:t xml:space="preserve"> and other NDEA Agents. </w:t>
          </w:r>
        </w:p>
        <w:p w:rsidR="007B2A20" w:rsidRDefault="007B2A20" w:rsidP="003F16E7">
          <w:pPr>
            <w:pStyle w:val="JudgmentText"/>
            <w:numPr>
              <w:ilvl w:val="0"/>
              <w:numId w:val="9"/>
            </w:numPr>
            <w:ind w:hanging="540"/>
            <w:rPr>
              <w:i/>
            </w:rPr>
          </w:pPr>
          <w:r>
            <w:lastRenderedPageBreak/>
            <w:t>With regard to the 3</w:t>
          </w:r>
          <w:r>
            <w:rPr>
              <w:vertAlign w:val="superscript"/>
            </w:rPr>
            <w:t>rd</w:t>
          </w:r>
          <w:r>
            <w:t xml:space="preserve"> Appellant, namely Kevin Quatre, Witness Michael </w:t>
          </w:r>
          <w:proofErr w:type="spellStart"/>
          <w:r>
            <w:t>Hissen</w:t>
          </w:r>
          <w:proofErr w:type="spellEnd"/>
          <w:r>
            <w:t xml:space="preserve"> gave detailed evidence concerning the 3</w:t>
          </w:r>
          <w:r w:rsidRPr="001A71C2">
            <w:rPr>
              <w:vertAlign w:val="superscript"/>
            </w:rPr>
            <w:t>rd</w:t>
          </w:r>
          <w:r>
            <w:t xml:space="preserve"> Appellant’s direct involvement in the orchestration of the offences. The two were childhood friends, and </w:t>
          </w:r>
          <w:proofErr w:type="spellStart"/>
          <w:r>
            <w:t>Hissen</w:t>
          </w:r>
          <w:proofErr w:type="spellEnd"/>
          <w:r>
            <w:t xml:space="preserve"> testified that the 3</w:t>
          </w:r>
          <w:r w:rsidRPr="001A71C2">
            <w:rPr>
              <w:vertAlign w:val="superscript"/>
            </w:rPr>
            <w:t>rd</w:t>
          </w:r>
          <w:r>
            <w:t xml:space="preserve"> Appellant arranged for them to go on a boat trip on the date in question, that the Appellant received a phone call once they were at sea and directed </w:t>
          </w:r>
          <w:proofErr w:type="spellStart"/>
          <w:r>
            <w:t>Hissen</w:t>
          </w:r>
          <w:proofErr w:type="spellEnd"/>
          <w:r>
            <w:t xml:space="preserve"> to the </w:t>
          </w:r>
          <w:proofErr w:type="spellStart"/>
          <w:r>
            <w:t>Canapone</w:t>
          </w:r>
          <w:proofErr w:type="spellEnd"/>
          <w:r>
            <w:t xml:space="preserve"> subsequently, only to then inform </w:t>
          </w:r>
          <w:proofErr w:type="spellStart"/>
          <w:r>
            <w:t>Hissen</w:t>
          </w:r>
          <w:proofErr w:type="spellEnd"/>
          <w:r>
            <w:t xml:space="preserve"> to not be scared as gunny bags were loaded onto his boat and they were joined by a ‘</w:t>
          </w:r>
          <w:proofErr w:type="spellStart"/>
          <w:r>
            <w:t>rasta</w:t>
          </w:r>
          <w:proofErr w:type="spellEnd"/>
          <w:r>
            <w:t xml:space="preserve"> man’. </w:t>
          </w:r>
        </w:p>
        <w:p w:rsidR="007B2A20" w:rsidRPr="00B73D53" w:rsidRDefault="007B2A20" w:rsidP="003F16E7">
          <w:pPr>
            <w:pStyle w:val="JudgmentText"/>
            <w:numPr>
              <w:ilvl w:val="0"/>
              <w:numId w:val="9"/>
            </w:numPr>
            <w:ind w:hanging="540"/>
            <w:rPr>
              <w:i/>
            </w:rPr>
          </w:pPr>
          <w:r>
            <w:t>In respect of the 4</w:t>
          </w:r>
          <w:r w:rsidRPr="00673841">
            <w:rPr>
              <w:vertAlign w:val="superscript"/>
            </w:rPr>
            <w:t>th</w:t>
          </w:r>
          <w:r>
            <w:t xml:space="preserve"> Appellant, namely Danny Sultan, the identification evidence by Xavier and </w:t>
          </w:r>
          <w:proofErr w:type="spellStart"/>
          <w:r>
            <w:t>Jeannia</w:t>
          </w:r>
          <w:proofErr w:type="spellEnd"/>
          <w:r>
            <w:t xml:space="preserve"> Pool serve to corroborate the evidence of Brian </w:t>
          </w:r>
          <w:proofErr w:type="spellStart"/>
          <w:r>
            <w:t>Mothe</w:t>
          </w:r>
          <w:proofErr w:type="spellEnd"/>
          <w:r>
            <w:t xml:space="preserve"> pertaining to one Danny from Les Mamelles. The facts reveal that the 4</w:t>
          </w:r>
          <w:r w:rsidRPr="00B46647">
            <w:rPr>
              <w:vertAlign w:val="superscript"/>
            </w:rPr>
            <w:t>th</w:t>
          </w:r>
          <w:r>
            <w:t xml:space="preserve"> Appellant used to reside on Praslin, then later moved to Les Mamelles on Mahe. </w:t>
          </w:r>
        </w:p>
        <w:p w:rsidR="007B2A20" w:rsidRDefault="007B2A20" w:rsidP="003F16E7">
          <w:pPr>
            <w:pStyle w:val="JudgmentText"/>
            <w:numPr>
              <w:ilvl w:val="0"/>
              <w:numId w:val="9"/>
            </w:numPr>
            <w:ind w:hanging="540"/>
            <w:rPr>
              <w:i/>
            </w:rPr>
          </w:pPr>
          <w:r>
            <w:t>Although the prosecution failed to make any obvious link between the 4</w:t>
          </w:r>
          <w:r w:rsidRPr="00673841">
            <w:rPr>
              <w:vertAlign w:val="superscript"/>
            </w:rPr>
            <w:t>th</w:t>
          </w:r>
          <w:r>
            <w:t xml:space="preserve"> Appellant and </w:t>
          </w:r>
          <w:proofErr w:type="spellStart"/>
          <w:r>
            <w:t>Hissen’s</w:t>
          </w:r>
          <w:proofErr w:type="spellEnd"/>
          <w:r>
            <w:t xml:space="preserve"> description of the ‘</w:t>
          </w:r>
          <w:proofErr w:type="spellStart"/>
          <w:r>
            <w:t>rasta</w:t>
          </w:r>
          <w:proofErr w:type="spellEnd"/>
          <w:r>
            <w:t xml:space="preserve"> man’, there is enough circumstantial evidence to prove beyond reasonable doubt that the two personas are one and the same. This is borne from the evidence of </w:t>
          </w:r>
          <w:proofErr w:type="spellStart"/>
          <w:r>
            <w:t>Mothe</w:t>
          </w:r>
          <w:proofErr w:type="spellEnd"/>
          <w:r>
            <w:t xml:space="preserve"> initially that one Danny had boarded the scarab with a Chinese man (</w:t>
          </w:r>
          <w:proofErr w:type="spellStart"/>
          <w:r>
            <w:t>Hissen</w:t>
          </w:r>
          <w:proofErr w:type="spellEnd"/>
          <w:r>
            <w:t xml:space="preserve">) and left with all the gunny bags of drugs, from the evidence of </w:t>
          </w:r>
          <w:proofErr w:type="spellStart"/>
          <w:r>
            <w:t>Hissen</w:t>
          </w:r>
          <w:proofErr w:type="spellEnd"/>
          <w:r>
            <w:t xml:space="preserve"> who stated that he captained the scarab at the material time and that a </w:t>
          </w:r>
          <w:proofErr w:type="spellStart"/>
          <w:r>
            <w:t>rasta</w:t>
          </w:r>
          <w:proofErr w:type="spellEnd"/>
          <w:r>
            <w:t xml:space="preserve"> man had boarded the boat along with 10 or so gunny bags, and that they had gone to Anse </w:t>
          </w:r>
          <w:proofErr w:type="spellStart"/>
          <w:r>
            <w:t>Boudin</w:t>
          </w:r>
          <w:proofErr w:type="spellEnd"/>
          <w:r>
            <w:t xml:space="preserve"> on Praslin, and from the evidence of the Pools who recognised Danny Sultan on the beach at Anse </w:t>
          </w:r>
          <w:proofErr w:type="spellStart"/>
          <w:r>
            <w:t>Boudin</w:t>
          </w:r>
          <w:proofErr w:type="spellEnd"/>
          <w:r>
            <w:t xml:space="preserve"> offloading gunny bags from a blue and white speedboat. Moreover, thermal imagery evidence adduced at trial corroborated the above evidence because it showed one passenger disembarking from the scarab and heading up the beach. </w:t>
          </w:r>
        </w:p>
        <w:p w:rsidR="007B2A20" w:rsidRDefault="007B2A20" w:rsidP="003F16E7">
          <w:pPr>
            <w:pStyle w:val="JudgmentText"/>
            <w:numPr>
              <w:ilvl w:val="0"/>
              <w:numId w:val="9"/>
            </w:numPr>
            <w:ind w:hanging="540"/>
          </w:pPr>
          <w:r>
            <w:t xml:space="preserve">The learned </w:t>
          </w:r>
          <w:r w:rsidR="00885E62">
            <w:t>Trial Judge</w:t>
          </w:r>
          <w:r>
            <w:t xml:space="preserve"> considered the following corroborative evidence in this respect:</w:t>
          </w:r>
        </w:p>
        <w:p w:rsidR="007B2A20" w:rsidRDefault="007B2A20" w:rsidP="007B2A20">
          <w:pPr>
            <w:pStyle w:val="JudgmentText"/>
            <w:numPr>
              <w:ilvl w:val="0"/>
              <w:numId w:val="0"/>
            </w:numPr>
            <w:ind w:left="1440"/>
            <w:rPr>
              <w:i/>
            </w:rPr>
          </w:pPr>
          <w:r>
            <w:rPr>
              <w:i/>
            </w:rPr>
            <w:t xml:space="preserve">“[27] This Court is of the view that the evidence of Michael </w:t>
          </w:r>
          <w:proofErr w:type="spellStart"/>
          <w:r>
            <w:rPr>
              <w:i/>
            </w:rPr>
            <w:t>Hissen</w:t>
          </w:r>
          <w:proofErr w:type="spellEnd"/>
          <w:r>
            <w:rPr>
              <w:i/>
            </w:rPr>
            <w:t xml:space="preserve"> was corroborated by the evidence of several witnesses namely the </w:t>
          </w:r>
          <w:proofErr w:type="spellStart"/>
          <w:r>
            <w:rPr>
              <w:i/>
            </w:rPr>
            <w:t>airforce</w:t>
          </w:r>
          <w:proofErr w:type="spellEnd"/>
          <w:r>
            <w:rPr>
              <w:i/>
            </w:rPr>
            <w:t xml:space="preserve"> officers who stated the scarab drew alongside the </w:t>
          </w:r>
          <w:proofErr w:type="spellStart"/>
          <w:r>
            <w:rPr>
              <w:i/>
            </w:rPr>
            <w:t>Canapone</w:t>
          </w:r>
          <w:proofErr w:type="spellEnd"/>
          <w:r>
            <w:rPr>
              <w:i/>
            </w:rPr>
            <w:t xml:space="preserve">. His evidence on the route taken by the speedboat thereafter was corroborated by the </w:t>
          </w:r>
          <w:proofErr w:type="spellStart"/>
          <w:r>
            <w:rPr>
              <w:i/>
            </w:rPr>
            <w:t>airforce</w:t>
          </w:r>
          <w:proofErr w:type="spellEnd"/>
          <w:r>
            <w:rPr>
              <w:i/>
            </w:rPr>
            <w:t xml:space="preserve"> officers and officers of the coast guard, the unloading of the gunny bags from the scarab also witnessed by Xavier Pool and his sister </w:t>
          </w:r>
          <w:proofErr w:type="spellStart"/>
          <w:r>
            <w:rPr>
              <w:i/>
            </w:rPr>
            <w:t>Jeannia</w:t>
          </w:r>
          <w:proofErr w:type="spellEnd"/>
          <w:r>
            <w:rPr>
              <w:i/>
            </w:rPr>
            <w:t xml:space="preserve"> Pool who further </w:t>
          </w:r>
          <w:proofErr w:type="spellStart"/>
          <w:r>
            <w:rPr>
              <w:i/>
            </w:rPr>
            <w:t>identif</w:t>
          </w:r>
          <w:proofErr w:type="spellEnd"/>
          <w:r>
            <w:rPr>
              <w:i/>
            </w:rPr>
            <w:t>[</w:t>
          </w:r>
          <w:proofErr w:type="spellStart"/>
          <w:r>
            <w:rPr>
              <w:i/>
            </w:rPr>
            <w:t>ied</w:t>
          </w:r>
          <w:proofErr w:type="spellEnd"/>
          <w:r>
            <w:rPr>
              <w:i/>
            </w:rPr>
            <w:t xml:space="preserve">] the speedboat or </w:t>
          </w:r>
          <w:r>
            <w:rPr>
              <w:i/>
            </w:rPr>
            <w:lastRenderedPageBreak/>
            <w:t xml:space="preserve">scarab as the </w:t>
          </w:r>
          <w:proofErr w:type="spellStart"/>
          <w:r>
            <w:rPr>
              <w:i/>
            </w:rPr>
            <w:t>Oceanwave</w:t>
          </w:r>
          <w:proofErr w:type="spellEnd"/>
          <w:r>
            <w:rPr>
              <w:i/>
            </w:rPr>
            <w:t xml:space="preserve"> which witness </w:t>
          </w:r>
          <w:proofErr w:type="spellStart"/>
          <w:r>
            <w:rPr>
              <w:i/>
            </w:rPr>
            <w:t>Hissen</w:t>
          </w:r>
          <w:proofErr w:type="spellEnd"/>
          <w:r>
            <w:rPr>
              <w:i/>
            </w:rPr>
            <w:t xml:space="preserve"> admits he used for the operation. Further the evidence of </w:t>
          </w:r>
          <w:proofErr w:type="spellStart"/>
          <w:r>
            <w:rPr>
              <w:i/>
            </w:rPr>
            <w:t>Hissen</w:t>
          </w:r>
          <w:proofErr w:type="spellEnd"/>
          <w:r>
            <w:rPr>
              <w:i/>
            </w:rPr>
            <w:t xml:space="preserve"> that a Rasta man unloaded the gunny bags from his speedboat, is also witnessed by Xavier Pool and </w:t>
          </w:r>
          <w:proofErr w:type="spellStart"/>
          <w:r>
            <w:rPr>
              <w:i/>
            </w:rPr>
            <w:t>Jeannia</w:t>
          </w:r>
          <w:proofErr w:type="spellEnd"/>
          <w:r>
            <w:rPr>
              <w:i/>
            </w:rPr>
            <w:t xml:space="preserve"> Pool who go further by identifying the Rasta man as Danny Sultan the 4</w:t>
          </w:r>
          <w:r>
            <w:rPr>
              <w:i/>
              <w:vertAlign w:val="superscript"/>
            </w:rPr>
            <w:t>th</w:t>
          </w:r>
          <w:r>
            <w:rPr>
              <w:i/>
            </w:rPr>
            <w:t xml:space="preserve"> accused. In any event it is the view of this Court that the evidence of Witness </w:t>
          </w:r>
          <w:proofErr w:type="spellStart"/>
          <w:r>
            <w:rPr>
              <w:i/>
            </w:rPr>
            <w:t>Hissen</w:t>
          </w:r>
          <w:proofErr w:type="spellEnd"/>
          <w:r>
            <w:rPr>
              <w:i/>
            </w:rPr>
            <w:t xml:space="preserve"> though subject to lengthy cross examination withstood the rigours of cross examination as no material contradictions or omissions were noted. I therefore refer to the case of Dominique Dugasse &amp; Ors v Republic SCA Cr 25, 26 and 30/20 and hold that on consideration of the sworn testimony given by Witness Michael </w:t>
          </w:r>
          <w:proofErr w:type="spellStart"/>
          <w:r>
            <w:rPr>
              <w:i/>
            </w:rPr>
            <w:t>Hissen</w:t>
          </w:r>
          <w:proofErr w:type="spellEnd"/>
          <w:r>
            <w:rPr>
              <w:i/>
            </w:rPr>
            <w:t>, I see no reason to look for corroboration even though in actual fact it exists, as I am satisfied even though he is an accomplice, his evidence even if it stands on its own, is acceptable to Court and there is no basis or shortcomings in his evidence to look for corroboration.”</w:t>
          </w:r>
        </w:p>
        <w:p w:rsidR="007B2A20" w:rsidRDefault="007B2A20" w:rsidP="003F16E7">
          <w:pPr>
            <w:pStyle w:val="ListParagraph"/>
            <w:numPr>
              <w:ilvl w:val="0"/>
              <w:numId w:val="9"/>
            </w:numPr>
            <w:spacing w:line="360" w:lineRule="auto"/>
            <w:ind w:hanging="540"/>
            <w:rPr>
              <w:sz w:val="24"/>
              <w:szCs w:val="24"/>
            </w:rPr>
          </w:pPr>
          <w:r>
            <w:rPr>
              <w:sz w:val="24"/>
              <w:szCs w:val="24"/>
            </w:rPr>
            <w:t xml:space="preserve">In light of the above, this Court finds no merit in this ground and the grounds of appeal as raised by the Appellants. </w:t>
          </w:r>
        </w:p>
        <w:p w:rsidR="007B2A20" w:rsidRDefault="007B2A20" w:rsidP="003F16E7">
          <w:pPr>
            <w:spacing w:line="360" w:lineRule="auto"/>
            <w:ind w:hanging="540"/>
            <w:rPr>
              <w:sz w:val="24"/>
              <w:szCs w:val="24"/>
            </w:rPr>
          </w:pPr>
        </w:p>
        <w:p w:rsidR="007B2A20" w:rsidRDefault="007B2A20" w:rsidP="003F16E7">
          <w:pPr>
            <w:pStyle w:val="JudgmentText"/>
            <w:numPr>
              <w:ilvl w:val="0"/>
              <w:numId w:val="9"/>
            </w:numPr>
            <w:ind w:hanging="540"/>
          </w:pPr>
          <w:r>
            <w:t xml:space="preserve">As I have indicated at the beginning of my decision, my brother Fernando raised issues </w:t>
          </w:r>
          <w:proofErr w:type="spellStart"/>
          <w:r w:rsidRPr="00FE2E95">
            <w:rPr>
              <w:i/>
            </w:rPr>
            <w:t>suo</w:t>
          </w:r>
          <w:proofErr w:type="spellEnd"/>
          <w:r w:rsidRPr="00FE2E95">
            <w:rPr>
              <w:i/>
            </w:rPr>
            <w:t xml:space="preserve"> </w:t>
          </w:r>
          <w:proofErr w:type="spellStart"/>
          <w:r w:rsidRPr="00FE2E95">
            <w:rPr>
              <w:i/>
            </w:rPr>
            <w:t>sponte</w:t>
          </w:r>
          <w:proofErr w:type="spellEnd"/>
          <w:r>
            <w:t xml:space="preserve"> in the course of this appeal. I distanced myself from this approach and I now give the reasons. I am aided by a comparative study of other jurisdictions.</w:t>
          </w:r>
        </w:p>
        <w:p w:rsidR="007B2A20" w:rsidRPr="00B22D7D" w:rsidRDefault="007B2A20" w:rsidP="003F16E7">
          <w:pPr>
            <w:pStyle w:val="JudgmentText"/>
            <w:numPr>
              <w:ilvl w:val="0"/>
              <w:numId w:val="9"/>
            </w:numPr>
            <w:ind w:hanging="540"/>
            <w:rPr>
              <w:i/>
            </w:rPr>
          </w:pPr>
          <w:r>
            <w:t xml:space="preserve">The European Commission for Democracy Through Law (The Venice Commission) in an Amicus Curiae Brief for Georgia on this issue reported in </w:t>
          </w:r>
          <w:r w:rsidRPr="00FE2E95">
            <w:t>Strasbourg</w:t>
          </w:r>
          <w:r>
            <w:t xml:space="preserve"> on </w:t>
          </w:r>
          <w:r w:rsidRPr="00FE2E95">
            <w:t>29 June 2015</w:t>
          </w:r>
          <w:r>
            <w:t xml:space="preserve"> in its conclusions that the </w:t>
          </w:r>
          <w:r w:rsidRPr="00B22D7D">
            <w:rPr>
              <w:i/>
            </w:rPr>
            <w:t>non</w:t>
          </w:r>
          <w:r>
            <w:t>-</w:t>
          </w:r>
          <w:r w:rsidRPr="00B22D7D">
            <w:rPr>
              <w:i/>
            </w:rPr>
            <w:t xml:space="preserve">ultra </w:t>
          </w:r>
          <w:proofErr w:type="spellStart"/>
          <w:r w:rsidRPr="00B22D7D">
            <w:rPr>
              <w:i/>
            </w:rPr>
            <w:t>petita</w:t>
          </w:r>
          <w:proofErr w:type="spellEnd"/>
          <w:r>
            <w:t xml:space="preserve"> rule enjoins the court to review a case within the limits of the questions of law or fact which have been raised by the parties to a di</w:t>
          </w:r>
          <w:r w:rsidR="00C70EB2">
            <w:t>spute. It adds that c</w:t>
          </w:r>
          <w:r>
            <w:t xml:space="preserve">ourts may intervene </w:t>
          </w:r>
          <w:proofErr w:type="spellStart"/>
          <w:r w:rsidRPr="00B22D7D">
            <w:rPr>
              <w:i/>
            </w:rPr>
            <w:t>suo</w:t>
          </w:r>
          <w:proofErr w:type="spellEnd"/>
          <w:r w:rsidRPr="00B22D7D">
            <w:rPr>
              <w:i/>
            </w:rPr>
            <w:t xml:space="preserve"> </w:t>
          </w:r>
          <w:proofErr w:type="spellStart"/>
          <w:r w:rsidRPr="00B22D7D">
            <w:rPr>
              <w:i/>
            </w:rPr>
            <w:t>sponte</w:t>
          </w:r>
          <w:proofErr w:type="spellEnd"/>
          <w:r w:rsidR="00C70EB2">
            <w:t>,</w:t>
          </w:r>
          <w:r>
            <w:t xml:space="preserve"> but “such an intervention must be exercised sparingly and in very specific circumstances, namely, errors of fact or law allegedly made by a lower court should not be addressed unless these infringe fundamental principles.” </w:t>
          </w:r>
        </w:p>
        <w:p w:rsidR="007B2A20" w:rsidRDefault="007B2A20" w:rsidP="003F16E7">
          <w:pPr>
            <w:pStyle w:val="JudgmentText"/>
            <w:numPr>
              <w:ilvl w:val="0"/>
              <w:numId w:val="9"/>
            </w:numPr>
            <w:ind w:hanging="540"/>
          </w:pPr>
          <w:r>
            <w:t xml:space="preserve">It recognised that the American Supreme Court has power to intervene for what it termed </w:t>
          </w:r>
          <w:r w:rsidR="00C70EB2">
            <w:t>“plain error” if the errors are</w:t>
          </w:r>
          <w:r>
            <w:t xml:space="preserve"> </w:t>
          </w:r>
          <w:r w:rsidR="00C70EB2">
            <w:t>“</w:t>
          </w:r>
          <w:r>
            <w:t>obvious, or if they otherwise seriously affect the fairness, integrity or public reputation of judicial proceedings” (</w:t>
          </w:r>
          <w:r w:rsidRPr="00B22D7D">
            <w:rPr>
              <w:i/>
            </w:rPr>
            <w:t>United States v. Atkinson</w:t>
          </w:r>
          <w:r>
            <w:t>, 297 U.S. 157, 160 (1936).</w:t>
          </w:r>
        </w:p>
        <w:p w:rsidR="007B2A20" w:rsidRDefault="007B2A20" w:rsidP="003F16E7">
          <w:pPr>
            <w:pStyle w:val="JudgmentText"/>
            <w:numPr>
              <w:ilvl w:val="0"/>
              <w:numId w:val="9"/>
            </w:numPr>
            <w:ind w:hanging="540"/>
          </w:pPr>
          <w:r>
            <w:lastRenderedPageBreak/>
            <w:t>It added that :</w:t>
          </w:r>
        </w:p>
        <w:p w:rsidR="007B2A20" w:rsidRPr="00514975" w:rsidRDefault="007B2A20" w:rsidP="007B2A20">
          <w:pPr>
            <w:pStyle w:val="JudgmentText"/>
            <w:numPr>
              <w:ilvl w:val="0"/>
              <w:numId w:val="0"/>
            </w:numPr>
            <w:ind w:left="1080"/>
            <w:rPr>
              <w:i/>
            </w:rPr>
          </w:pPr>
          <w:r w:rsidRPr="00EE15C7">
            <w:rPr>
              <w:i/>
            </w:rPr>
            <w:t xml:space="preserve">“On the European level, in the Case of </w:t>
          </w:r>
          <w:proofErr w:type="spellStart"/>
          <w:r w:rsidRPr="00EE15C7">
            <w:rPr>
              <w:i/>
            </w:rPr>
            <w:t>Foti</w:t>
          </w:r>
          <w:proofErr w:type="spellEnd"/>
          <w:r w:rsidRPr="00EE15C7">
            <w:rPr>
              <w:i/>
            </w:rPr>
            <w:t xml:space="preserve"> and Others v. Italy (1982), in which the applicants did not assert that the criminal proceedings against them were being unduly prolonged, the European Court of Human Rights has held that the international system of protection established by the ECHR functions on the basis of applications either by governments or by individuals alleging violations. This system does not enable the Court to take up a matter irrespective of how it came to know about it, to seize on facts that have not been adduced by the applicant and to examine whether they are compatible with the ECHR.”</w:t>
          </w:r>
        </w:p>
        <w:p w:rsidR="00514975" w:rsidRDefault="00514975" w:rsidP="00514975">
          <w:pPr>
            <w:pStyle w:val="JudgmentText"/>
            <w:numPr>
              <w:ilvl w:val="0"/>
              <w:numId w:val="9"/>
            </w:numPr>
          </w:pPr>
          <w:r>
            <w:t>In th</w:t>
          </w:r>
          <w:r w:rsidRPr="00514975">
            <w:t xml:space="preserve">e </w:t>
          </w:r>
          <w:r w:rsidRPr="00514975">
            <w:t>the case of</w:t>
          </w:r>
          <w:r w:rsidRPr="00514975">
            <w:rPr>
              <w:i/>
            </w:rPr>
            <w:t xml:space="preserve"> R v </w:t>
          </w:r>
          <w:proofErr w:type="spellStart"/>
          <w:r w:rsidRPr="00514975">
            <w:rPr>
              <w:i/>
            </w:rPr>
            <w:t>Mian</w:t>
          </w:r>
          <w:proofErr w:type="spellEnd"/>
          <w:r w:rsidRPr="00514975">
            <w:rPr>
              <w:i/>
            </w:rPr>
            <w:t xml:space="preserve"> </w:t>
          </w:r>
          <w:r w:rsidRPr="00514975">
            <w:t>[2014] 2 SCR 689</w:t>
          </w:r>
          <w:r>
            <w:t>,</w:t>
          </w:r>
          <w:r>
            <w:rPr>
              <w:i/>
            </w:rPr>
            <w:t xml:space="preserve"> </w:t>
          </w:r>
          <w:r w:rsidR="00CB62FC" w:rsidRPr="00514975">
            <w:t xml:space="preserve">the </w:t>
          </w:r>
          <w:r w:rsidR="00CB62FC" w:rsidRPr="00CB62FC">
            <w:t>Canadian</w:t>
          </w:r>
          <w:r w:rsidRPr="00CB62FC">
            <w:t xml:space="preserve"> </w:t>
          </w:r>
          <w:r w:rsidRPr="00514975">
            <w:t>Supreme Court attempted to strike a balance between</w:t>
          </w:r>
          <w:r w:rsidRPr="00514975">
            <w:rPr>
              <w:i/>
            </w:rPr>
            <w:t xml:space="preserve"> </w:t>
          </w:r>
          <w:r w:rsidRPr="00514975">
            <w:t xml:space="preserve">the competing roles for </w:t>
          </w:r>
          <w:r>
            <w:t xml:space="preserve">the </w:t>
          </w:r>
          <w:r w:rsidRPr="00514975">
            <w:t>appellate court, that of neutral arbiter and of justice-doer.</w:t>
          </w:r>
          <w:r>
            <w:t xml:space="preserve"> In its unanimous decision overturning the decision of the Court of Appeal of Alberta which had raised a new issue on appeal </w:t>
          </w:r>
          <w:proofErr w:type="spellStart"/>
          <w:r w:rsidRPr="00514975">
            <w:rPr>
              <w:i/>
            </w:rPr>
            <w:t>suo</w:t>
          </w:r>
          <w:proofErr w:type="spellEnd"/>
          <w:r w:rsidRPr="00514975">
            <w:rPr>
              <w:i/>
            </w:rPr>
            <w:t xml:space="preserve"> </w:t>
          </w:r>
          <w:proofErr w:type="spellStart"/>
          <w:r w:rsidRPr="00514975">
            <w:rPr>
              <w:i/>
            </w:rPr>
            <w:t>sponte</w:t>
          </w:r>
          <w:proofErr w:type="spellEnd"/>
          <w:r w:rsidRPr="00514975">
            <w:rPr>
              <w:i/>
            </w:rPr>
            <w:t xml:space="preserve"> </w:t>
          </w:r>
          <w:r>
            <w:t>it s</w:t>
          </w:r>
          <w:r w:rsidR="00CB62FC">
            <w:t>t</w:t>
          </w:r>
          <w:r>
            <w:t xml:space="preserve">ated: </w:t>
          </w:r>
        </w:p>
        <w:p w:rsidR="00514975" w:rsidRPr="00CB62FC" w:rsidRDefault="00514975" w:rsidP="00514975">
          <w:pPr>
            <w:pStyle w:val="JudgmentText"/>
            <w:numPr>
              <w:ilvl w:val="0"/>
              <w:numId w:val="0"/>
            </w:numPr>
            <w:ind w:left="1440"/>
            <w:rPr>
              <w:i/>
            </w:rPr>
          </w:pPr>
          <w:r w:rsidRPr="00CB62FC">
            <w:rPr>
              <w:i/>
            </w:rPr>
            <w:t>“[The courts represent an adversarial system] which relies on the parties to frame the issues on appeal, and reserves the role of neutral arbiter for the courts…” (</w:t>
          </w:r>
          <w:proofErr w:type="gramStart"/>
          <w:r w:rsidRPr="00CB62FC">
            <w:rPr>
              <w:i/>
            </w:rPr>
            <w:t>para</w:t>
          </w:r>
          <w:proofErr w:type="gramEnd"/>
          <w:r w:rsidRPr="00CB62FC">
            <w:rPr>
              <w:i/>
            </w:rPr>
            <w:t xml:space="preserve"> 1)…</w:t>
          </w:r>
        </w:p>
        <w:p w:rsidR="00514975" w:rsidRPr="00CB62FC" w:rsidRDefault="00514975" w:rsidP="00514975">
          <w:pPr>
            <w:pStyle w:val="JudgmentText"/>
            <w:numPr>
              <w:ilvl w:val="0"/>
              <w:numId w:val="0"/>
            </w:numPr>
            <w:ind w:left="1440"/>
            <w:rPr>
              <w:i/>
            </w:rPr>
          </w:pPr>
          <w:r w:rsidRPr="00CB62FC">
            <w:rPr>
              <w:i/>
            </w:rPr>
            <w:t>[</w:t>
          </w:r>
          <w:proofErr w:type="gramStart"/>
          <w:r w:rsidRPr="00CB62FC">
            <w:rPr>
              <w:i/>
            </w:rPr>
            <w:t>the</w:t>
          </w:r>
          <w:proofErr w:type="gramEnd"/>
          <w:r w:rsidRPr="00CB62FC">
            <w:rPr>
              <w:i/>
            </w:rPr>
            <w:t xml:space="preserve"> fundamental reason for preserving this system]is to ensure that judicial decision-makers remain independent and impartial and are seen to remain independent and impartial” (para 39).</w:t>
          </w:r>
        </w:p>
        <w:p w:rsidR="00514975" w:rsidRDefault="00514975" w:rsidP="00CB62FC">
          <w:pPr>
            <w:pStyle w:val="JudgmentText"/>
            <w:numPr>
              <w:ilvl w:val="0"/>
              <w:numId w:val="9"/>
            </w:numPr>
          </w:pPr>
          <w:r>
            <w:t>The Supreme Court of Canada recognised</w:t>
          </w:r>
          <w:r w:rsidR="00CB62FC">
            <w:t xml:space="preserve"> in </w:t>
          </w:r>
          <w:proofErr w:type="spellStart"/>
          <w:r w:rsidR="00CB62FC" w:rsidRPr="00CB62FC">
            <w:rPr>
              <w:i/>
            </w:rPr>
            <w:t>Mian</w:t>
          </w:r>
          <w:proofErr w:type="spellEnd"/>
          <w:r w:rsidR="00CB62FC">
            <w:t xml:space="preserve"> (following </w:t>
          </w:r>
          <w:r w:rsidR="00CB62FC" w:rsidRPr="00CB62FC">
            <w:rPr>
              <w:i/>
            </w:rPr>
            <w:t>R v Phillips</w:t>
          </w:r>
          <w:r w:rsidR="00CB62FC" w:rsidRPr="00CB62FC">
            <w:t xml:space="preserve"> </w:t>
          </w:r>
          <w:r w:rsidR="00CB62FC">
            <w:t>[</w:t>
          </w:r>
          <w:r w:rsidR="00CB62FC" w:rsidRPr="00CB62FC">
            <w:t>2003</w:t>
          </w:r>
          <w:r w:rsidR="00CB62FC">
            <w:t>]</w:t>
          </w:r>
          <w:r w:rsidR="00CB62FC" w:rsidRPr="00CB62FC">
            <w:t xml:space="preserve"> ABCA 4</w:t>
          </w:r>
          <w:r w:rsidR="00CB62FC">
            <w:t>) that</w:t>
          </w:r>
          <w:r>
            <w:t xml:space="preserve"> </w:t>
          </w:r>
          <w:r w:rsidR="00CB62FC" w:rsidRPr="00CB62FC">
            <w:t>i</w:t>
          </w:r>
          <w:r w:rsidR="00CB62FC">
            <w:t>f</w:t>
          </w:r>
          <w:r w:rsidR="00CB62FC" w:rsidRPr="00CB62FC">
            <w:t xml:space="preserve"> </w:t>
          </w:r>
          <w:r w:rsidR="00CB62FC">
            <w:t>the court intervenes, in the very limited cases where it is permitted to do so, it</w:t>
          </w:r>
          <w:r w:rsidR="00CB62FC" w:rsidRPr="00CB62FC">
            <w:t xml:space="preserve"> must remain unbiased and refrain from “descend[</w:t>
          </w:r>
          <w:proofErr w:type="spellStart"/>
          <w:r w:rsidR="00CB62FC" w:rsidRPr="00CB62FC">
            <w:t>ing</w:t>
          </w:r>
          <w:proofErr w:type="spellEnd"/>
          <w:r w:rsidR="00CB62FC" w:rsidRPr="00CB62FC">
            <w:t xml:space="preserve">] from the bench and </w:t>
          </w:r>
          <w:proofErr w:type="spellStart"/>
          <w:r w:rsidR="00CB62FC" w:rsidRPr="00CB62FC">
            <w:t>becom</w:t>
          </w:r>
          <w:proofErr w:type="spellEnd"/>
          <w:r w:rsidR="00CB62FC" w:rsidRPr="00CB62FC">
            <w:t>[</w:t>
          </w:r>
          <w:proofErr w:type="spellStart"/>
          <w:r w:rsidR="00CB62FC" w:rsidRPr="00CB62FC">
            <w:t>ing</w:t>
          </w:r>
          <w:proofErr w:type="spellEnd"/>
          <w:r w:rsidR="00CB62FC" w:rsidRPr="00CB62FC">
            <w:t>] a spectre at the accused’s counsel table, placing himself ‘in the impossible position of being both advocate and impartial arbiter’” (Phillips, para 24).</w:t>
          </w:r>
        </w:p>
        <w:p w:rsidR="00CB62FC" w:rsidRDefault="00CB62FC" w:rsidP="00CB62FC">
          <w:pPr>
            <w:pStyle w:val="JudgmentText"/>
            <w:numPr>
              <w:ilvl w:val="0"/>
              <w:numId w:val="9"/>
            </w:numPr>
          </w:pPr>
          <w:r>
            <w:t xml:space="preserve">Those very limited cases are set out in the test in </w:t>
          </w:r>
          <w:proofErr w:type="spellStart"/>
          <w:r w:rsidRPr="00CB62FC">
            <w:rPr>
              <w:i/>
            </w:rPr>
            <w:t>Mian</w:t>
          </w:r>
          <w:proofErr w:type="spellEnd"/>
          <w:r>
            <w:rPr>
              <w:i/>
            </w:rPr>
            <w:t xml:space="preserve">, </w:t>
          </w:r>
          <w:r>
            <w:t>namely, (</w:t>
          </w:r>
          <w:r w:rsidRPr="00CB62FC">
            <w:t>1) the issue must be a new issue (2) failing to raise a new issue would risk an injustice; and (3) the procedure followed by the court in raising the issue must be fair</w:t>
          </w:r>
          <w:r>
            <w:t>.</w:t>
          </w:r>
          <w:r w:rsidRPr="00CB62FC">
            <w:t xml:space="preserve"> </w:t>
          </w:r>
        </w:p>
        <w:p w:rsidR="007B2A20" w:rsidRDefault="007B2A20" w:rsidP="003F16E7">
          <w:pPr>
            <w:pStyle w:val="JudgmentText"/>
            <w:numPr>
              <w:ilvl w:val="0"/>
              <w:numId w:val="9"/>
            </w:numPr>
            <w:ind w:hanging="540"/>
          </w:pPr>
          <w:r>
            <w:lastRenderedPageBreak/>
            <w:t xml:space="preserve">I endorse these sentiments. </w:t>
          </w:r>
          <w:r w:rsidR="0008229D">
            <w:t>In civil cases, the courts in Seychelles in this regard, have applied the principles that a</w:t>
          </w:r>
          <w:r>
            <w:t xml:space="preserve"> court may not formulate a case for a party after listening to the evidence or grant relief not sought in the pleadings, nor may a judge adjudicate on issues that have not been raised in the pleadings. (See </w:t>
          </w:r>
          <w:proofErr w:type="spellStart"/>
          <w:r w:rsidRPr="000A7BE8">
            <w:rPr>
              <w:i/>
            </w:rPr>
            <w:t>Vel</w:t>
          </w:r>
          <w:proofErr w:type="spellEnd"/>
          <w:r w:rsidRPr="000A7BE8">
            <w:rPr>
              <w:i/>
            </w:rPr>
            <w:t xml:space="preserve"> v Knowles</w:t>
          </w:r>
          <w:r>
            <w:t xml:space="preserve"> (1998-1999) SCAR 157; </w:t>
          </w:r>
          <w:r w:rsidRPr="000A7BE8">
            <w:rPr>
              <w:i/>
            </w:rPr>
            <w:t>Tex Charlie v Marguerite Francoise</w:t>
          </w:r>
          <w:r w:rsidRPr="004C799D">
            <w:t xml:space="preserve"> Civil Appeal No. 12 of 1994 (unreported</w:t>
          </w:r>
          <w:r w:rsidRPr="000A7BE8">
            <w:rPr>
              <w:i/>
            </w:rPr>
            <w:t xml:space="preserve">), </w:t>
          </w:r>
          <w:r w:rsidRPr="00C51026">
            <w:rPr>
              <w:i/>
            </w:rPr>
            <w:t xml:space="preserve">Marie-Claire Lesperance v Jeffrey Larue </w:t>
          </w:r>
          <w:r w:rsidRPr="00C51026">
            <w:t>(Civil Appeal SCA15/2015) [2017] SCCA 46 (07 December 2017)</w:t>
          </w:r>
          <w:r>
            <w:t>).</w:t>
          </w:r>
        </w:p>
        <w:p w:rsidR="007B2A20" w:rsidRDefault="0008229D" w:rsidP="003F16E7">
          <w:pPr>
            <w:pStyle w:val="JudgmentText"/>
            <w:numPr>
              <w:ilvl w:val="0"/>
              <w:numId w:val="9"/>
            </w:numPr>
            <w:ind w:hanging="540"/>
          </w:pPr>
          <w:r>
            <w:t xml:space="preserve">In any case, </w:t>
          </w:r>
          <w:bookmarkStart w:id="11" w:name="_GoBack"/>
          <w:bookmarkEnd w:id="11"/>
          <w:r w:rsidR="007B2A20">
            <w:t>in view of the fact that the issue of import</w:t>
          </w:r>
          <w:r w:rsidR="00C70EB2">
            <w:t>ation has been raised from the B</w:t>
          </w:r>
          <w:r w:rsidR="007B2A20">
            <w:t>ench</w:t>
          </w:r>
          <w:r w:rsidR="00C70EB2">
            <w:t>,</w:t>
          </w:r>
          <w:r w:rsidR="007B2A20">
            <w:t xml:space="preserve"> I am duty bound to highlight the relevant strands of evidence supporting the finding of the learned </w:t>
          </w:r>
          <w:r w:rsidR="00885E62">
            <w:t>trial Judge</w:t>
          </w:r>
          <w:r w:rsidR="007B2A20">
            <w:t xml:space="preserve">. </w:t>
          </w:r>
        </w:p>
        <w:p w:rsidR="007B2A20" w:rsidRDefault="007B2A20" w:rsidP="003F16E7">
          <w:pPr>
            <w:pStyle w:val="JudgmentText"/>
            <w:numPr>
              <w:ilvl w:val="0"/>
              <w:numId w:val="9"/>
            </w:numPr>
            <w:ind w:hanging="540"/>
          </w:pPr>
          <w:r>
            <w:t xml:space="preserve"> Section 3 of the Misuse of Drugs Act (Cap 133) reads as follows:</w:t>
          </w:r>
        </w:p>
        <w:p w:rsidR="007B2A20" w:rsidRPr="00C51026" w:rsidRDefault="007B2A20" w:rsidP="007B2A20">
          <w:pPr>
            <w:pStyle w:val="JudgmentText"/>
            <w:numPr>
              <w:ilvl w:val="0"/>
              <w:numId w:val="0"/>
            </w:numPr>
            <w:ind w:left="1080" w:firstLine="360"/>
            <w:rPr>
              <w:i/>
            </w:rPr>
          </w:pPr>
          <w:r w:rsidRPr="00C51026">
            <w:rPr>
              <w:i/>
            </w:rPr>
            <w:t>“Subject to this Act, a person shall not import or export a controlled drug.”</w:t>
          </w:r>
        </w:p>
        <w:p w:rsidR="007B2A20" w:rsidRDefault="007B2A20" w:rsidP="003F16E7">
          <w:pPr>
            <w:pStyle w:val="JudgmentText"/>
            <w:numPr>
              <w:ilvl w:val="0"/>
              <w:numId w:val="9"/>
            </w:numPr>
            <w:ind w:hanging="540"/>
          </w:pPr>
          <w:r>
            <w:t>The term “import” is defined in section 22 of The Interpretation and General Provisions Act as follows:</w:t>
          </w:r>
        </w:p>
        <w:p w:rsidR="007B2A20" w:rsidRDefault="00C70EB2" w:rsidP="007B2A20">
          <w:pPr>
            <w:pStyle w:val="JudgmentText"/>
            <w:numPr>
              <w:ilvl w:val="0"/>
              <w:numId w:val="0"/>
            </w:numPr>
            <w:ind w:left="1080" w:firstLine="360"/>
          </w:pPr>
          <w:r>
            <w:t>“‘</w:t>
          </w:r>
          <w:r>
            <w:rPr>
              <w:i/>
            </w:rPr>
            <w:t>Import’</w:t>
          </w:r>
          <w:r w:rsidR="007B2A20" w:rsidRPr="00C51026">
            <w:rPr>
              <w:i/>
            </w:rPr>
            <w:t xml:space="preserve"> means to bring, or cause to be brought, into Seychelles.</w:t>
          </w:r>
          <w:r w:rsidR="007B2A20">
            <w:rPr>
              <w:i/>
            </w:rPr>
            <w:t>”</w:t>
          </w:r>
        </w:p>
        <w:p w:rsidR="007B2A20" w:rsidRDefault="007B2A20" w:rsidP="003F16E7">
          <w:pPr>
            <w:pStyle w:val="JudgmentText"/>
            <w:numPr>
              <w:ilvl w:val="0"/>
              <w:numId w:val="9"/>
            </w:numPr>
            <w:ind w:hanging="540"/>
          </w:pPr>
          <w:r>
            <w:t xml:space="preserve">The Court of Appeal in </w:t>
          </w:r>
          <w:proofErr w:type="spellStart"/>
          <w:r w:rsidRPr="00C70EB2">
            <w:rPr>
              <w:i/>
            </w:rPr>
            <w:t>Nedy</w:t>
          </w:r>
          <w:proofErr w:type="spellEnd"/>
          <w:r w:rsidRPr="00C70EB2">
            <w:rPr>
              <w:i/>
            </w:rPr>
            <w:t xml:space="preserve"> </w:t>
          </w:r>
          <w:proofErr w:type="spellStart"/>
          <w:r w:rsidRPr="00C70EB2">
            <w:rPr>
              <w:i/>
            </w:rPr>
            <w:t>Micock</w:t>
          </w:r>
          <w:proofErr w:type="spellEnd"/>
          <w:r w:rsidRPr="00C70EB2">
            <w:rPr>
              <w:i/>
            </w:rPr>
            <w:t xml:space="preserve"> &amp; Anor v R</w:t>
          </w:r>
          <w:r>
            <w:t xml:space="preserve"> [2019] SCCA 12 held that, “[t]here are necessarily components to the offence of importation of drugs: first, that there was an importation, secondly that the drugs were controlled by law, thirdly that the person committing the act of importation did so intentionally.” There is no dispute that heroin, which is a Class A drug, qualifies as a controlled drug, nor was there any dispute regarding the drugs having been imported intentionally.</w:t>
          </w:r>
        </w:p>
        <w:p w:rsidR="007B2A20" w:rsidRDefault="007B2A20" w:rsidP="003F16E7">
          <w:pPr>
            <w:pStyle w:val="JudgmentText"/>
            <w:numPr>
              <w:ilvl w:val="0"/>
              <w:numId w:val="9"/>
            </w:numPr>
            <w:ind w:hanging="540"/>
          </w:pPr>
          <w:r>
            <w:t xml:space="preserve">The Court in </w:t>
          </w:r>
          <w:proofErr w:type="spellStart"/>
          <w:r w:rsidRPr="00C51026">
            <w:rPr>
              <w:i/>
            </w:rPr>
            <w:t>Nedy</w:t>
          </w:r>
          <w:proofErr w:type="spellEnd"/>
          <w:r w:rsidRPr="00C51026">
            <w:rPr>
              <w:i/>
            </w:rPr>
            <w:t xml:space="preserve"> </w:t>
          </w:r>
          <w:proofErr w:type="spellStart"/>
          <w:r w:rsidRPr="00C51026">
            <w:rPr>
              <w:i/>
            </w:rPr>
            <w:t>Micock</w:t>
          </w:r>
          <w:proofErr w:type="spellEnd"/>
          <w:r w:rsidRPr="00C51026">
            <w:rPr>
              <w:i/>
            </w:rPr>
            <w:t xml:space="preserve"> &amp; Anor v R</w:t>
          </w:r>
          <w:r>
            <w:t xml:space="preserve"> [supra] at para [55] held as follows:</w:t>
          </w:r>
        </w:p>
        <w:p w:rsidR="007B2A20" w:rsidRPr="00C51026" w:rsidRDefault="007B2A20" w:rsidP="007B2A20">
          <w:pPr>
            <w:pStyle w:val="JudgmentText"/>
            <w:numPr>
              <w:ilvl w:val="0"/>
              <w:numId w:val="0"/>
            </w:numPr>
            <w:ind w:left="1080"/>
            <w:rPr>
              <w:i/>
            </w:rPr>
          </w:pPr>
          <w:r w:rsidRPr="00C51026">
            <w:rPr>
              <w:i/>
            </w:rPr>
            <w:t>“It would suffice therefore that for a substance to be imported that it arrives in Seychelles and is delivered to a point where it will remain in Seychelles. In the present case it was established and not disputed that the substance arrived into Seychelles on board EK707 on 20 March 2015 and remained in Seychelles.”</w:t>
          </w:r>
        </w:p>
        <w:p w:rsidR="007B2A20" w:rsidRDefault="007B2A20" w:rsidP="003F16E7">
          <w:pPr>
            <w:pStyle w:val="JudgmentText"/>
            <w:numPr>
              <w:ilvl w:val="0"/>
              <w:numId w:val="9"/>
            </w:numPr>
            <w:ind w:hanging="540"/>
          </w:pPr>
          <w:r>
            <w:lastRenderedPageBreak/>
            <w:t xml:space="preserve">Similarly, in the present case before the Court, there is no dispute that the drugs arrived in Seychelles by sea and remained in Seychelles. The Government Analyst confirmed that there was a total heroin weight of 746.9 grams, with a purity of 64%. The Defence made no suggestion, nor did they lead any evidence, to indicate that the drugs were sourced locally. In the case of </w:t>
          </w:r>
          <w:proofErr w:type="spellStart"/>
          <w:r w:rsidRPr="00C51026">
            <w:rPr>
              <w:i/>
            </w:rPr>
            <w:t>Beehary</w:t>
          </w:r>
          <w:proofErr w:type="spellEnd"/>
          <w:r w:rsidRPr="00C51026">
            <w:rPr>
              <w:i/>
            </w:rPr>
            <w:t xml:space="preserve"> v Republic</w:t>
          </w:r>
          <w:r>
            <w:t xml:space="preserve"> [2012] SCCA 1, the court held:</w:t>
          </w:r>
        </w:p>
        <w:p w:rsidR="007B2A20" w:rsidRPr="00C51026" w:rsidRDefault="007B2A20" w:rsidP="007B2A20">
          <w:pPr>
            <w:pStyle w:val="JudgmentText"/>
            <w:numPr>
              <w:ilvl w:val="0"/>
              <w:numId w:val="0"/>
            </w:numPr>
            <w:ind w:left="1080"/>
            <w:rPr>
              <w:i/>
            </w:rPr>
          </w:pPr>
          <w:r w:rsidRPr="00C51026">
            <w:rPr>
              <w:i/>
            </w:rPr>
            <w:t xml:space="preserve">“Nonetheless, once the prosecution has established a prima facie case, as has been done in the present case, the defence runs a serious tactical risk in not calling evidence to rebut it, not because the defendant is called upon to prove his innocence (which would be contrary to the rule in </w:t>
          </w:r>
          <w:proofErr w:type="spellStart"/>
          <w:r w:rsidRPr="00C51026">
            <w:rPr>
              <w:i/>
            </w:rPr>
            <w:t>Woolmington’s</w:t>
          </w:r>
          <w:proofErr w:type="spellEnd"/>
          <w:r w:rsidRPr="00C51026">
            <w:rPr>
              <w:i/>
            </w:rPr>
            <w:t xml:space="preserve"> case) ....... but because the court may exercise its entitlement to accept the uncontroverted prosecution evidence. … and although the prosecution must in all cases prove the guilt of the defendant, there is no rule that the defence cannot be required to bear the burden of proof on individual issues such as whether the drugs could have been planted by the police to foist a false case against the defendant, ....…  This does not require the appellant who stood charged with trafficking in drugs to prove his innocence.....”</w:t>
          </w:r>
        </w:p>
        <w:p w:rsidR="007B2A20" w:rsidRDefault="007B2A20" w:rsidP="003F16E7">
          <w:pPr>
            <w:pStyle w:val="JudgmentText"/>
            <w:numPr>
              <w:ilvl w:val="0"/>
              <w:numId w:val="9"/>
            </w:numPr>
            <w:ind w:hanging="540"/>
          </w:pPr>
          <w:r>
            <w:t>Similarly, in Australia, section 300.2 of the Criminal Code Act 1995 defines importing as including the bringing of the substance into Australia; and dealing with the substance in connection with its importation. It has been held that this covers arranging importation into Australia as well as physically bringing the drugs in (</w:t>
          </w:r>
          <w:r w:rsidRPr="00C51026">
            <w:rPr>
              <w:i/>
            </w:rPr>
            <w:t xml:space="preserve">R v </w:t>
          </w:r>
          <w:proofErr w:type="spellStart"/>
          <w:r w:rsidRPr="00C51026">
            <w:rPr>
              <w:i/>
            </w:rPr>
            <w:t>Handlen</w:t>
          </w:r>
          <w:proofErr w:type="spellEnd"/>
          <w:r w:rsidRPr="00C51026">
            <w:rPr>
              <w:i/>
            </w:rPr>
            <w:t xml:space="preserve"> &amp; </w:t>
          </w:r>
          <w:proofErr w:type="spellStart"/>
          <w:r w:rsidRPr="00C51026">
            <w:rPr>
              <w:i/>
            </w:rPr>
            <w:t>Paddison</w:t>
          </w:r>
          <w:proofErr w:type="spellEnd"/>
          <w:r>
            <w:t xml:space="preserve"> [2010] QCA 371; (2010) 247 FLR 261 at [47]). In </w:t>
          </w:r>
          <w:proofErr w:type="spellStart"/>
          <w:r w:rsidRPr="00C51026">
            <w:rPr>
              <w:i/>
            </w:rPr>
            <w:t>Handlen</w:t>
          </w:r>
          <w:proofErr w:type="spellEnd"/>
          <w:r>
            <w:t xml:space="preserve"> (supra), the Court held, “The act of importing is not something that occurs or ceases in a single moment.” </w:t>
          </w:r>
        </w:p>
        <w:p w:rsidR="007B2A20" w:rsidRDefault="007B2A20" w:rsidP="003F16E7">
          <w:pPr>
            <w:pStyle w:val="JudgmentText"/>
            <w:numPr>
              <w:ilvl w:val="0"/>
              <w:numId w:val="9"/>
            </w:numPr>
            <w:ind w:hanging="540"/>
          </w:pPr>
          <w:r>
            <w:t>In the same rega</w:t>
          </w:r>
          <w:r w:rsidR="00E66E66">
            <w:t xml:space="preserve">rd, in the Seychellois case of </w:t>
          </w:r>
          <w:r w:rsidRPr="00C51026">
            <w:rPr>
              <w:i/>
            </w:rPr>
            <w:t>R v Dubignon</w:t>
          </w:r>
          <w:r>
            <w:t xml:space="preserve"> (1998) SLR 52</w:t>
          </w:r>
          <w:r w:rsidR="00E66E66">
            <w:t>,</w:t>
          </w:r>
          <w:r>
            <w:t xml:space="preserve"> it was held that “Import” must be taken in the broader sense of “bring” or “cause to be brought” by air or sea, and that if the prosecution succeeds in proving a preparatory act was done by the accused or through an agent, the offence of importation can be maintained.</w:t>
          </w:r>
        </w:p>
        <w:p w:rsidR="007B2A20" w:rsidRDefault="007B2A20" w:rsidP="003F16E7">
          <w:pPr>
            <w:pStyle w:val="JudgmentText"/>
            <w:numPr>
              <w:ilvl w:val="0"/>
              <w:numId w:val="9"/>
            </w:numPr>
            <w:ind w:hanging="540"/>
          </w:pPr>
          <w:r>
            <w:t>So much for the law. With regard to the evidence of importation</w:t>
          </w:r>
          <w:r w:rsidR="00E66E66">
            <w:t>,</w:t>
          </w:r>
          <w:r>
            <w:t xml:space="preserve"> there is sufficient evidence on record to prove that the Appellants engaged in preparatory acts in furtherance of the offence of importation. The collective effort and forward planning required in </w:t>
          </w:r>
          <w:r>
            <w:lastRenderedPageBreak/>
            <w:t xml:space="preserve">orchestrating and carrying out an exploit such as the present one is abundantly clear from the evidence adduced during the trial. </w:t>
          </w:r>
        </w:p>
        <w:p w:rsidR="007B2A20" w:rsidRDefault="007B2A20" w:rsidP="003F16E7">
          <w:pPr>
            <w:pStyle w:val="JudgmentText"/>
            <w:numPr>
              <w:ilvl w:val="0"/>
              <w:numId w:val="9"/>
            </w:numPr>
            <w:ind w:hanging="540"/>
          </w:pPr>
          <w:r>
            <w:t xml:space="preserve">The transcript of proceedings (Vol I </w:t>
          </w:r>
          <w:proofErr w:type="spellStart"/>
          <w:r>
            <w:t>Pg</w:t>
          </w:r>
          <w:proofErr w:type="spellEnd"/>
          <w:r>
            <w:t xml:space="preserve"> 147) reveals the fol</w:t>
          </w:r>
          <w:r w:rsidR="00E66E66">
            <w:t>lowing exchange between the 2</w:t>
          </w:r>
          <w:r w:rsidR="00E66E66" w:rsidRPr="00E66E66">
            <w:rPr>
              <w:vertAlign w:val="superscript"/>
            </w:rPr>
            <w:t>nd</w:t>
          </w:r>
          <w:r w:rsidR="00E66E66">
            <w:t xml:space="preserve"> </w:t>
          </w:r>
          <w:r>
            <w:t xml:space="preserve">Appellant and former NDEA Investigator Samir </w:t>
          </w:r>
          <w:proofErr w:type="spellStart"/>
          <w:r>
            <w:t>Ghislain</w:t>
          </w:r>
          <w:proofErr w:type="spellEnd"/>
          <w:r>
            <w:t xml:space="preserve"> once the </w:t>
          </w:r>
          <w:proofErr w:type="spellStart"/>
          <w:r>
            <w:t>Canapone</w:t>
          </w:r>
          <w:proofErr w:type="spellEnd"/>
          <w:r>
            <w:t xml:space="preserve"> had been boarded: </w:t>
          </w:r>
        </w:p>
        <w:p w:rsidR="007B2A20" w:rsidRPr="00C51026" w:rsidRDefault="007B2A20" w:rsidP="007B2A20">
          <w:pPr>
            <w:pStyle w:val="JudgmentText"/>
            <w:numPr>
              <w:ilvl w:val="0"/>
              <w:numId w:val="0"/>
            </w:numPr>
            <w:ind w:left="1080" w:firstLine="360"/>
            <w:rPr>
              <w:i/>
            </w:rPr>
          </w:pPr>
          <w:r w:rsidRPr="00C51026">
            <w:rPr>
              <w:i/>
            </w:rPr>
            <w:t xml:space="preserve">“Q: Now can you tell the Court did Mr. </w:t>
          </w:r>
          <w:proofErr w:type="spellStart"/>
          <w:r w:rsidRPr="00C51026">
            <w:rPr>
              <w:i/>
            </w:rPr>
            <w:t>Mothe</w:t>
          </w:r>
          <w:proofErr w:type="spellEnd"/>
          <w:r w:rsidRPr="00C51026">
            <w:rPr>
              <w:i/>
            </w:rPr>
            <w:t xml:space="preserve"> talk to you?</w:t>
          </w:r>
        </w:p>
        <w:p w:rsidR="007B2A20" w:rsidRPr="00C51026" w:rsidRDefault="007B2A20" w:rsidP="007B2A20">
          <w:pPr>
            <w:pStyle w:val="JudgmentText"/>
            <w:numPr>
              <w:ilvl w:val="0"/>
              <w:numId w:val="0"/>
            </w:numPr>
            <w:ind w:left="1440"/>
            <w:rPr>
              <w:i/>
            </w:rPr>
          </w:pPr>
          <w:r w:rsidRPr="00C51026">
            <w:rPr>
              <w:i/>
            </w:rPr>
            <w:t xml:space="preserve">A: Yes I went with Agent </w:t>
          </w:r>
          <w:proofErr w:type="spellStart"/>
          <w:r w:rsidRPr="00C51026">
            <w:rPr>
              <w:i/>
            </w:rPr>
            <w:t>Ragain</w:t>
          </w:r>
          <w:proofErr w:type="spellEnd"/>
          <w:r w:rsidRPr="00C51026">
            <w:rPr>
              <w:i/>
            </w:rPr>
            <w:t xml:space="preserve"> and in the presence of Agent </w:t>
          </w:r>
          <w:proofErr w:type="spellStart"/>
          <w:r w:rsidRPr="00C51026">
            <w:rPr>
              <w:i/>
            </w:rPr>
            <w:t>Ragain</w:t>
          </w:r>
          <w:proofErr w:type="spellEnd"/>
          <w:r w:rsidRPr="00C51026">
            <w:rPr>
              <w:i/>
            </w:rPr>
            <w:t xml:space="preserve"> he asked me if the NDEA can provide him protection…I responded to him asking him why he thinks he needs protection so then he told me that it is true that they were transporting drugs and he told me that he wants to talk but he is afraid of Mr. Francis Ernesta and a guy named Danny that he does not know the surname might kill him. And he said Danny that he does not know the surname was a guy from Les Mamelles…He told me that … I was asked by Francis Ernesta and Danny to come along with them they took the drugs from Indians on the sea in a boat of multicolour… a blue and white speed boat came when we were at sea and Danny was accompanied by 2 other person[s]. Danny went with 2 person[s] [who] [were] on the speed boat and they took all the drugs.” </w:t>
          </w:r>
        </w:p>
        <w:p w:rsidR="007B2A20" w:rsidRDefault="007B2A20" w:rsidP="003F16E7">
          <w:pPr>
            <w:pStyle w:val="JudgmentText"/>
            <w:numPr>
              <w:ilvl w:val="0"/>
              <w:numId w:val="9"/>
            </w:numPr>
            <w:ind w:hanging="540"/>
          </w:pPr>
          <w:r>
            <w:t xml:space="preserve">Witness </w:t>
          </w:r>
          <w:proofErr w:type="spellStart"/>
          <w:r>
            <w:t>Ghislain</w:t>
          </w:r>
          <w:proofErr w:type="spellEnd"/>
          <w:r>
            <w:t xml:space="preserve"> then correctly identified the 1</w:t>
          </w:r>
          <w:r w:rsidRPr="00E66E66">
            <w:rPr>
              <w:vertAlign w:val="superscript"/>
            </w:rPr>
            <w:t>st</w:t>
          </w:r>
          <w:r>
            <w:t xml:space="preserve"> and 2</w:t>
          </w:r>
          <w:r w:rsidRPr="00E66E66">
            <w:rPr>
              <w:vertAlign w:val="superscript"/>
            </w:rPr>
            <w:t>nd</w:t>
          </w:r>
          <w:r>
            <w:t xml:space="preserve"> Appellants in the dock.</w:t>
          </w:r>
        </w:p>
        <w:p w:rsidR="007B2A20" w:rsidRDefault="007B2A20" w:rsidP="003F16E7">
          <w:pPr>
            <w:pStyle w:val="JudgmentText"/>
            <w:numPr>
              <w:ilvl w:val="0"/>
              <w:numId w:val="9"/>
            </w:numPr>
            <w:ind w:hanging="540"/>
          </w:pPr>
          <w:r>
            <w:t>The above was also reflected in the 2</w:t>
          </w:r>
          <w:r w:rsidRPr="00E66E66">
            <w:rPr>
              <w:vertAlign w:val="superscript"/>
            </w:rPr>
            <w:t>nd</w:t>
          </w:r>
          <w:r>
            <w:t xml:space="preserve"> Appellant’s Statements made to the police under caution, which were accepted into evidence following a Voir Dire. In respect of statements of an accused person being tendered into evidence, particularly when they have not given sworn evidence in court, the Court must determine whether the statements made to the police are more prejudicial than probative to the accused, in light of his right to a fair trial. Therefore:</w:t>
          </w:r>
        </w:p>
        <w:p w:rsidR="007B2A20" w:rsidRPr="0007568A" w:rsidRDefault="007B2A20" w:rsidP="003F16E7">
          <w:pPr>
            <w:pStyle w:val="JudgmentText"/>
            <w:numPr>
              <w:ilvl w:val="0"/>
              <w:numId w:val="0"/>
            </w:numPr>
            <w:ind w:left="1440"/>
            <w:rPr>
              <w:i/>
            </w:rPr>
          </w:pPr>
          <w:r w:rsidRPr="0007568A">
            <w:rPr>
              <w:i/>
            </w:rPr>
            <w:t xml:space="preserve">“…the question is whether it would be unfair to the accused to use his statement against him … Unfairness, in this sense, is concerned with the accused’s right to a fair trial, a right which may be jeopardised if a statement is obtained in </w:t>
          </w:r>
          <w:r w:rsidRPr="0007568A">
            <w:rPr>
              <w:i/>
            </w:rPr>
            <w:lastRenderedPageBreak/>
            <w:t>circumstances which affect the reliability of the statement” [Van der Meer v R [1988] 62 ALJR 656 at 666; 82 ALR 10 at 26].</w:t>
          </w:r>
        </w:p>
        <w:p w:rsidR="007B2A20" w:rsidRDefault="007B2A20" w:rsidP="003F16E7">
          <w:pPr>
            <w:pStyle w:val="JudgmentText"/>
            <w:numPr>
              <w:ilvl w:val="0"/>
              <w:numId w:val="9"/>
            </w:numPr>
            <w:ind w:hanging="540"/>
          </w:pPr>
          <w:r>
            <w:t xml:space="preserve">I see no reason to doubt the finding of the </w:t>
          </w:r>
          <w:r w:rsidR="00885E62">
            <w:t>trial Judge</w:t>
          </w:r>
          <w:r>
            <w:t xml:space="preserve"> that the statements were properly obtained and his ruling on their admissibility. This Court notes, as an aside, that it may be worthwhile to adopt the procedure in other jurisdictions, such as Australia, where confessions and admissions must generally be recorded in order to be admissible in court, and unrecorded confessions and admissions would be inadmissible unless the prosecution establishes one of a restricted number of excuses for non-recording. In light of the corroborative evidence, which shall be discussed further below, this Court finds the probative value of the statements to outweigh any prejudice caused to the 2</w:t>
          </w:r>
          <w:r w:rsidRPr="00E66E66">
            <w:rPr>
              <w:vertAlign w:val="superscript"/>
            </w:rPr>
            <w:t>nd</w:t>
          </w:r>
          <w:r>
            <w:t xml:space="preserve"> Appellant. </w:t>
          </w:r>
        </w:p>
        <w:p w:rsidR="007B2A20" w:rsidRDefault="007B2A20" w:rsidP="003F16E7">
          <w:pPr>
            <w:pStyle w:val="JudgmentText"/>
            <w:numPr>
              <w:ilvl w:val="0"/>
              <w:numId w:val="9"/>
            </w:numPr>
            <w:ind w:hanging="540"/>
          </w:pPr>
          <w:r>
            <w:t>The 2</w:t>
          </w:r>
          <w:r w:rsidRPr="00E66E66">
            <w:rPr>
              <w:vertAlign w:val="superscript"/>
            </w:rPr>
            <w:t>nd</w:t>
          </w:r>
          <w:r>
            <w:t xml:space="preserve"> Appellant’s evidence, though deemed admissible, must still be treated with caution. As stated in </w:t>
          </w:r>
          <w:proofErr w:type="spellStart"/>
          <w:r w:rsidRPr="0007568A">
            <w:rPr>
              <w:i/>
            </w:rPr>
            <w:t>Livette</w:t>
          </w:r>
          <w:proofErr w:type="spellEnd"/>
          <w:r w:rsidRPr="0007568A">
            <w:rPr>
              <w:i/>
            </w:rPr>
            <w:t xml:space="preserve"> </w:t>
          </w:r>
          <w:proofErr w:type="spellStart"/>
          <w:r w:rsidRPr="0007568A">
            <w:rPr>
              <w:i/>
            </w:rPr>
            <w:t>Assary</w:t>
          </w:r>
          <w:proofErr w:type="spellEnd"/>
          <w:r w:rsidRPr="0007568A">
            <w:rPr>
              <w:i/>
            </w:rPr>
            <w:t xml:space="preserve"> v The Republic</w:t>
          </w:r>
          <w:r>
            <w:t xml:space="preserve"> [2012] SCCA 33:</w:t>
          </w:r>
        </w:p>
        <w:p w:rsidR="007B2A20" w:rsidRPr="0007568A" w:rsidRDefault="007B2A20" w:rsidP="003F16E7">
          <w:pPr>
            <w:pStyle w:val="JudgmentText"/>
            <w:numPr>
              <w:ilvl w:val="0"/>
              <w:numId w:val="0"/>
            </w:numPr>
            <w:ind w:left="1350"/>
            <w:rPr>
              <w:i/>
            </w:rPr>
          </w:pPr>
          <w:r w:rsidRPr="0007568A">
            <w:rPr>
              <w:i/>
            </w:rPr>
            <w:t>“In law, an accomplice is a person who helps another person or other persons to commit a crime. In this regard, it follows that an accomplice may be a person with an interest to serve in a case. In spite of this, the course of justice would fail if the evidence of an accomplice were to be disregarded or ignored completely simply because one is an accomplice... It is however, in the general context of the foregoing that in law there is always a safeguard in dealing with the evidence of an accomplice. On this point therefore, the law in Seychelles is settled that it is dangerous to act on the uncorroborated evidence of an accomplice although the court may convict on such evidence after warning itself of the dangers of doing so. In practice however, the court does not act on</w:t>
          </w:r>
          <w:r>
            <w:t xml:space="preserve"> such evidence </w:t>
          </w:r>
          <w:r w:rsidRPr="0007568A">
            <w:rPr>
              <w:i/>
            </w:rPr>
            <w:t>without corroboration - See Republic vs. Marie (1981) SLR 74.”</w:t>
          </w:r>
        </w:p>
        <w:p w:rsidR="007B2A20" w:rsidRDefault="007B2A20" w:rsidP="003F16E7">
          <w:pPr>
            <w:pStyle w:val="JudgmentText"/>
            <w:numPr>
              <w:ilvl w:val="0"/>
              <w:numId w:val="9"/>
            </w:numPr>
            <w:ind w:hanging="540"/>
          </w:pPr>
          <w:r>
            <w:t xml:space="preserve">Further, in </w:t>
          </w:r>
          <w:r w:rsidRPr="0007568A">
            <w:rPr>
              <w:i/>
            </w:rPr>
            <w:t>Volcere v R</w:t>
          </w:r>
          <w:r>
            <w:t xml:space="preserve"> [2014] SCCA 41, Domah J held that, “Judicial appreciation of evidence is a scientific rationalization of facts in their coherent whole not a forensic dissection of every detail removed from its coherent whole.” There is sufficient corroborative evidence to support the version of events as narrated by the 2</w:t>
          </w:r>
          <w:r w:rsidRPr="00E66E66">
            <w:rPr>
              <w:vertAlign w:val="superscript"/>
            </w:rPr>
            <w:t>nd</w:t>
          </w:r>
          <w:r>
            <w:t xml:space="preserve"> Appellant, and to render his account reliable and trustworthy. There is evidence to show that the blue and white speed boat, which was sighted by witnesses from the Seychelles </w:t>
          </w:r>
          <w:proofErr w:type="spellStart"/>
          <w:r>
            <w:t>Airforce</w:t>
          </w:r>
          <w:proofErr w:type="spellEnd"/>
          <w:r>
            <w:t xml:space="preserve">, NDEA </w:t>
          </w:r>
          <w:r>
            <w:lastRenderedPageBreak/>
            <w:t xml:space="preserve">and Coast Guard, belonged to the father of Witness Michael </w:t>
          </w:r>
          <w:proofErr w:type="spellStart"/>
          <w:r>
            <w:t>Hissen</w:t>
          </w:r>
          <w:proofErr w:type="spellEnd"/>
          <w:r>
            <w:t xml:space="preserve">. Michael </w:t>
          </w:r>
          <w:proofErr w:type="spellStart"/>
          <w:r>
            <w:t>Hissen</w:t>
          </w:r>
          <w:proofErr w:type="spellEnd"/>
          <w:r>
            <w:t xml:space="preserve"> gave evidence that he captained the speed boat in question and collected white gunny bags from the fishing vessel. He stated that a ‘</w:t>
          </w:r>
          <w:proofErr w:type="spellStart"/>
          <w:r>
            <w:t>rasta</w:t>
          </w:r>
          <w:proofErr w:type="spellEnd"/>
          <w:r>
            <w:t xml:space="preserve"> man’ boarded his boat from the </w:t>
          </w:r>
          <w:proofErr w:type="spellStart"/>
          <w:r>
            <w:t>Canapone</w:t>
          </w:r>
          <w:proofErr w:type="spellEnd"/>
          <w:r>
            <w:t xml:space="preserve">.  </w:t>
          </w:r>
          <w:proofErr w:type="spellStart"/>
          <w:r>
            <w:t>Hissen</w:t>
          </w:r>
          <w:proofErr w:type="spellEnd"/>
          <w:r>
            <w:t xml:space="preserve"> gave further evidence that the gunny bags were offloaded from his boat at Anse </w:t>
          </w:r>
          <w:proofErr w:type="spellStart"/>
          <w:r>
            <w:t>Boudin</w:t>
          </w:r>
          <w:proofErr w:type="spellEnd"/>
          <w:r>
            <w:t xml:space="preserve"> on Praslin by the same </w:t>
          </w:r>
          <w:proofErr w:type="spellStart"/>
          <w:r>
            <w:t>rasta</w:t>
          </w:r>
          <w:proofErr w:type="spellEnd"/>
          <w:r>
            <w:t xml:space="preserve"> man. </w:t>
          </w:r>
        </w:p>
        <w:p w:rsidR="007B2A20" w:rsidRDefault="007B2A20" w:rsidP="003F16E7">
          <w:pPr>
            <w:pStyle w:val="JudgmentText"/>
            <w:numPr>
              <w:ilvl w:val="0"/>
              <w:numId w:val="9"/>
            </w:numPr>
            <w:ind w:hanging="540"/>
          </w:pPr>
          <w:r>
            <w:t xml:space="preserve">Further corroborative evidence was provided by </w:t>
          </w:r>
          <w:proofErr w:type="spellStart"/>
          <w:r>
            <w:t>Donn</w:t>
          </w:r>
          <w:proofErr w:type="spellEnd"/>
          <w:r>
            <w:t xml:space="preserve"> </w:t>
          </w:r>
          <w:proofErr w:type="spellStart"/>
          <w:r>
            <w:t>Zaaiman</w:t>
          </w:r>
          <w:proofErr w:type="spellEnd"/>
          <w:r>
            <w:t xml:space="preserve"> </w:t>
          </w:r>
          <w:proofErr w:type="spellStart"/>
          <w:r>
            <w:t>Dupreez</w:t>
          </w:r>
          <w:proofErr w:type="spellEnd"/>
          <w:r>
            <w:t>, Operations Officer and Chief Pilot Instructor for the Seychelles Air Force, who stated that on 24</w:t>
          </w:r>
          <w:r w:rsidRPr="00E66E66">
            <w:rPr>
              <w:vertAlign w:val="superscript"/>
            </w:rPr>
            <w:t>th</w:t>
          </w:r>
          <w:r>
            <w:t xml:space="preserve"> and 25</w:t>
          </w:r>
          <w:r w:rsidRPr="00E66E66">
            <w:rPr>
              <w:vertAlign w:val="superscript"/>
            </w:rPr>
            <w:t>th</w:t>
          </w:r>
          <w:r>
            <w:t xml:space="preserve"> March 2016, he and his crew tracked a suspicious vessel </w:t>
          </w:r>
          <w:r w:rsidRPr="00E66E66">
            <w:t>in bound</w:t>
          </w:r>
          <w:r>
            <w:t xml:space="preserve"> from the east approximately 200 nautical miles from Mahe (ref Vol 1 </w:t>
          </w:r>
          <w:proofErr w:type="spellStart"/>
          <w:r>
            <w:t>Pg</w:t>
          </w:r>
          <w:proofErr w:type="spellEnd"/>
          <w:r>
            <w:t xml:space="preserve"> 3). He stated that a warship was shadowing the vessel </w:t>
          </w:r>
          <w:proofErr w:type="spellStart"/>
          <w:r>
            <w:t>Canapone</w:t>
          </w:r>
          <w:proofErr w:type="spellEnd"/>
          <w:r>
            <w:t xml:space="preserve">, namely HMAS Darwin. He testified that the </w:t>
          </w:r>
          <w:proofErr w:type="spellStart"/>
          <w:r>
            <w:t>Canapone</w:t>
          </w:r>
          <w:proofErr w:type="spellEnd"/>
          <w:r>
            <w:t xml:space="preserve"> was deemed to be suspicious on account of the direction from which it was coming, the distance it was from Mahe, it was not flying a flag and it was under sail, which is unusual. Lieutenant Colonel Leslie Benoiton gave evidence that “[t]he 1</w:t>
          </w:r>
          <w:r w:rsidRPr="00E66E66">
            <w:rPr>
              <w:vertAlign w:val="superscript"/>
            </w:rPr>
            <w:t>st</w:t>
          </w:r>
          <w:r>
            <w:t xml:space="preserve"> location of </w:t>
          </w:r>
          <w:proofErr w:type="spellStart"/>
          <w:r>
            <w:t>Canapon</w:t>
          </w:r>
          <w:proofErr w:type="spellEnd"/>
          <w:r>
            <w:t xml:space="preserve">[e] was located at 74 nautical miles East of </w:t>
          </w:r>
          <w:proofErr w:type="spellStart"/>
          <w:r>
            <w:t>Fregate</w:t>
          </w:r>
          <w:proofErr w:type="spellEnd"/>
          <w:r>
            <w:t xml:space="preserve"> and by the time </w:t>
          </w:r>
          <w:proofErr w:type="spellStart"/>
          <w:r>
            <w:t>Constan</w:t>
          </w:r>
          <w:proofErr w:type="spellEnd"/>
          <w:r>
            <w:t xml:space="preserve">[ce] </w:t>
          </w:r>
          <w:proofErr w:type="spellStart"/>
          <w:r>
            <w:t>reache</w:t>
          </w:r>
          <w:proofErr w:type="spellEnd"/>
          <w:r>
            <w:t xml:space="preserve">[d] </w:t>
          </w:r>
          <w:proofErr w:type="spellStart"/>
          <w:r>
            <w:t>Canapon</w:t>
          </w:r>
          <w:proofErr w:type="spellEnd"/>
          <w:r>
            <w:t xml:space="preserve">[e] it was in 24 nautical miles.” Commander Tom Esticot from the Coast Guard confirmed that the vessel was intercepted 24 nautical miles outside </w:t>
          </w:r>
          <w:proofErr w:type="spellStart"/>
          <w:r>
            <w:t>Fregate</w:t>
          </w:r>
          <w:proofErr w:type="spellEnd"/>
          <w:r>
            <w:t xml:space="preserve"> Island, which is within the EEZ of Seychelles.</w:t>
          </w:r>
        </w:p>
        <w:p w:rsidR="007B2A20" w:rsidRDefault="007B2A20" w:rsidP="003F16E7">
          <w:pPr>
            <w:pStyle w:val="JudgmentText"/>
            <w:numPr>
              <w:ilvl w:val="0"/>
              <w:numId w:val="9"/>
            </w:numPr>
            <w:ind w:hanging="540"/>
          </w:pPr>
          <w:r>
            <w:t>Both the 1</w:t>
          </w:r>
          <w:r w:rsidRPr="00E66E66">
            <w:rPr>
              <w:vertAlign w:val="superscript"/>
            </w:rPr>
            <w:t>st</w:t>
          </w:r>
          <w:r>
            <w:t xml:space="preserve"> and 2</w:t>
          </w:r>
          <w:r w:rsidRPr="00E66E66">
            <w:rPr>
              <w:vertAlign w:val="superscript"/>
            </w:rPr>
            <w:t>nd</w:t>
          </w:r>
          <w:r>
            <w:t xml:space="preserve"> Appellants maintained that they had taken the vessel out to sea to test the engine. This is despite the 1</w:t>
          </w:r>
          <w:r w:rsidRPr="00E66E66">
            <w:rPr>
              <w:vertAlign w:val="superscript"/>
            </w:rPr>
            <w:t>st</w:t>
          </w:r>
          <w:r>
            <w:t xml:space="preserve"> Appellant having informed the NDEA agents aboard the vessel that he needed to test his vessel as it was under repair, and evidence revealing that the </w:t>
          </w:r>
          <w:proofErr w:type="spellStart"/>
          <w:r>
            <w:t>Canapone</w:t>
          </w:r>
          <w:proofErr w:type="spellEnd"/>
          <w:r>
            <w:t xml:space="preserve"> had initially been sighted 200 nautical miles from Mahe, which is a significant distance away from the mainland, particularly for an old vessel with alleged mechanical trouble. </w:t>
          </w:r>
        </w:p>
        <w:p w:rsidR="007B2A20" w:rsidRDefault="007B2A20" w:rsidP="003F16E7">
          <w:pPr>
            <w:pStyle w:val="JudgmentText"/>
            <w:numPr>
              <w:ilvl w:val="0"/>
              <w:numId w:val="9"/>
            </w:numPr>
            <w:ind w:hanging="540"/>
          </w:pPr>
          <w:r>
            <w:t xml:space="preserve">Witness </w:t>
          </w:r>
          <w:proofErr w:type="spellStart"/>
          <w:r>
            <w:t>Dupreez</w:t>
          </w:r>
          <w:proofErr w:type="spellEnd"/>
          <w:r>
            <w:t xml:space="preserve"> gave further evidence that a speedboat closed in on the suspicious vessel from the stern, did a U-turn and came up behind the vessel within a distance of a meter or less than half a meter. The speedboat remained in that position for five minutes then went to Anse </w:t>
          </w:r>
          <w:proofErr w:type="spellStart"/>
          <w:r>
            <w:t>Boudin</w:t>
          </w:r>
          <w:proofErr w:type="spellEnd"/>
          <w:r>
            <w:t xml:space="preserve"> on Praslin, where through thermal imagery technology, “it looked like one person disembarking from the high speed boat being met by a person from the shore.” This was also corroborated by the testimony of Witness Michael </w:t>
          </w:r>
          <w:proofErr w:type="spellStart"/>
          <w:r>
            <w:t>Hissen</w:t>
          </w:r>
          <w:proofErr w:type="spellEnd"/>
          <w:r>
            <w:t xml:space="preserve">. </w:t>
          </w:r>
        </w:p>
        <w:p w:rsidR="007B2A20" w:rsidRDefault="007B2A20" w:rsidP="003F16E7">
          <w:pPr>
            <w:pStyle w:val="JudgmentText"/>
            <w:numPr>
              <w:ilvl w:val="0"/>
              <w:numId w:val="9"/>
            </w:numPr>
            <w:ind w:hanging="540"/>
          </w:pPr>
          <w:r>
            <w:lastRenderedPageBreak/>
            <w:t xml:space="preserve">Commander Tom Esticot from the Coast Guard corroborated the version of events as narrated by </w:t>
          </w:r>
          <w:proofErr w:type="spellStart"/>
          <w:r>
            <w:t>Donn</w:t>
          </w:r>
          <w:proofErr w:type="spellEnd"/>
          <w:r>
            <w:t xml:space="preserve"> </w:t>
          </w:r>
          <w:proofErr w:type="spellStart"/>
          <w:r>
            <w:t>Dupreez</w:t>
          </w:r>
          <w:proofErr w:type="spellEnd"/>
          <w:r>
            <w:t>. He confirmed the presence of the 1</w:t>
          </w:r>
          <w:r w:rsidRPr="00E66E66">
            <w:rPr>
              <w:vertAlign w:val="superscript"/>
            </w:rPr>
            <w:t>st</w:t>
          </w:r>
          <w:r>
            <w:t xml:space="preserve"> Appellant on board the suspicious vessel, </w:t>
          </w:r>
          <w:proofErr w:type="spellStart"/>
          <w:r>
            <w:t>Canapone</w:t>
          </w:r>
          <w:proofErr w:type="spellEnd"/>
          <w:r>
            <w:t xml:space="preserve">, namely Francis Ernesta, whom he was also able to correctly identify in Court. Hans </w:t>
          </w:r>
          <w:proofErr w:type="spellStart"/>
          <w:r>
            <w:t>Redegonde</w:t>
          </w:r>
          <w:proofErr w:type="spellEnd"/>
          <w:r>
            <w:t xml:space="preserve">, commanding officer in the Coast Guard, also corroborated the account of </w:t>
          </w:r>
          <w:proofErr w:type="spellStart"/>
          <w:r>
            <w:t>Donn</w:t>
          </w:r>
          <w:proofErr w:type="spellEnd"/>
          <w:r>
            <w:t xml:space="preserve"> </w:t>
          </w:r>
          <w:proofErr w:type="spellStart"/>
          <w:r>
            <w:t>Dupreez</w:t>
          </w:r>
          <w:proofErr w:type="spellEnd"/>
          <w:r>
            <w:t xml:space="preserve">, as did Lieutenant Colonel Leslie Benoiton, Lieutenant Commander </w:t>
          </w:r>
          <w:proofErr w:type="spellStart"/>
          <w:r>
            <w:t>Amith</w:t>
          </w:r>
          <w:proofErr w:type="spellEnd"/>
          <w:r>
            <w:t xml:space="preserve"> Kumar of the Seychelles Air Force and Samir </w:t>
          </w:r>
          <w:proofErr w:type="spellStart"/>
          <w:r>
            <w:t>Ghislain</w:t>
          </w:r>
          <w:proofErr w:type="spellEnd"/>
          <w:r>
            <w:t xml:space="preserve">, former NDEA Investigator. </w:t>
          </w:r>
        </w:p>
        <w:p w:rsidR="007B2A20" w:rsidRDefault="007B2A20" w:rsidP="003F16E7">
          <w:pPr>
            <w:pStyle w:val="JudgmentText"/>
            <w:numPr>
              <w:ilvl w:val="0"/>
              <w:numId w:val="9"/>
            </w:numPr>
            <w:ind w:hanging="540"/>
          </w:pPr>
          <w:r>
            <w:t xml:space="preserve">Lieutenant Colonel Leslie Benoiton gave the following evidence in examination-in-chief (Vol 1 </w:t>
          </w:r>
          <w:proofErr w:type="spellStart"/>
          <w:r>
            <w:t>Pg</w:t>
          </w:r>
          <w:proofErr w:type="spellEnd"/>
          <w:r>
            <w:t xml:space="preserve"> 110): </w:t>
          </w:r>
        </w:p>
        <w:p w:rsidR="007B2A20" w:rsidRPr="0007568A" w:rsidRDefault="007B2A20" w:rsidP="007B2A20">
          <w:pPr>
            <w:pStyle w:val="JudgmentText"/>
            <w:numPr>
              <w:ilvl w:val="0"/>
              <w:numId w:val="0"/>
            </w:numPr>
            <w:ind w:left="1440"/>
            <w:rPr>
              <w:i/>
            </w:rPr>
          </w:pPr>
          <w:r w:rsidRPr="0007568A">
            <w:rPr>
              <w:i/>
            </w:rPr>
            <w:t xml:space="preserve">“Q: Sir would you mind telling again to the Court who informed you that scarab had reached Anse </w:t>
          </w:r>
          <w:proofErr w:type="spellStart"/>
          <w:r w:rsidRPr="0007568A">
            <w:rPr>
              <w:i/>
            </w:rPr>
            <w:t>Boudin</w:t>
          </w:r>
          <w:proofErr w:type="spellEnd"/>
          <w:r w:rsidRPr="0007568A">
            <w:rPr>
              <w:i/>
            </w:rPr>
            <w:t>?</w:t>
          </w:r>
        </w:p>
        <w:p w:rsidR="007B2A20" w:rsidRPr="0007568A" w:rsidRDefault="007B2A20" w:rsidP="007B2A20">
          <w:pPr>
            <w:pStyle w:val="JudgmentText"/>
            <w:numPr>
              <w:ilvl w:val="0"/>
              <w:numId w:val="0"/>
            </w:numPr>
            <w:ind w:left="1080" w:firstLine="360"/>
            <w:rPr>
              <w:i/>
            </w:rPr>
          </w:pPr>
          <w:r w:rsidRPr="0007568A">
            <w:rPr>
              <w:i/>
            </w:rPr>
            <w:t>A: The pilot of the SAF flight.</w:t>
          </w:r>
        </w:p>
        <w:p w:rsidR="007B2A20" w:rsidRPr="0007568A" w:rsidRDefault="007B2A20" w:rsidP="007B2A20">
          <w:pPr>
            <w:pStyle w:val="JudgmentText"/>
            <w:numPr>
              <w:ilvl w:val="0"/>
              <w:numId w:val="0"/>
            </w:numPr>
            <w:ind w:left="720" w:firstLine="720"/>
            <w:rPr>
              <w:i/>
            </w:rPr>
          </w:pPr>
          <w:r w:rsidRPr="0007568A">
            <w:rPr>
              <w:i/>
            </w:rPr>
            <w:t>Q: And did he say anything about passengers on the boat at that moment?</w:t>
          </w:r>
        </w:p>
        <w:p w:rsidR="007B2A20" w:rsidRPr="0007568A" w:rsidRDefault="007B2A20" w:rsidP="007B2A20">
          <w:pPr>
            <w:pStyle w:val="JudgmentText"/>
            <w:numPr>
              <w:ilvl w:val="0"/>
              <w:numId w:val="0"/>
            </w:numPr>
            <w:ind w:left="1440"/>
            <w:rPr>
              <w:i/>
            </w:rPr>
          </w:pPr>
          <w:r w:rsidRPr="0007568A">
            <w:rPr>
              <w:i/>
            </w:rPr>
            <w:t>A: Yes they informed us at that moment on the vessel the scarab stopped, the passenger jumped in the water and walked towards the beach. The pilot reported to me that the boat had stopped and someone has jumped in the water and walking towards the beach.”</w:t>
          </w:r>
        </w:p>
        <w:p w:rsidR="007B2A20" w:rsidRDefault="007B2A20" w:rsidP="003F16E7">
          <w:pPr>
            <w:pStyle w:val="JudgmentText"/>
            <w:numPr>
              <w:ilvl w:val="0"/>
              <w:numId w:val="9"/>
            </w:numPr>
            <w:ind w:hanging="540"/>
          </w:pPr>
          <w:r>
            <w:t xml:space="preserve">Lieutenant Commander </w:t>
          </w:r>
          <w:proofErr w:type="spellStart"/>
          <w:r>
            <w:t>Amith</w:t>
          </w:r>
          <w:proofErr w:type="spellEnd"/>
          <w:r>
            <w:t xml:space="preserve"> Kumar stated in evidence the following in reference to the scarab’s movements around Praslin (Vol I </w:t>
          </w:r>
          <w:proofErr w:type="spellStart"/>
          <w:r>
            <w:t>pgs</w:t>
          </w:r>
          <w:proofErr w:type="spellEnd"/>
          <w:r>
            <w:t xml:space="preserve"> 141-142): </w:t>
          </w:r>
        </w:p>
        <w:p w:rsidR="007B2A20" w:rsidRPr="0007568A" w:rsidRDefault="007B2A20" w:rsidP="007B2A20">
          <w:pPr>
            <w:pStyle w:val="JudgmentText"/>
            <w:numPr>
              <w:ilvl w:val="0"/>
              <w:numId w:val="0"/>
            </w:numPr>
            <w:ind w:left="1440"/>
            <w:rPr>
              <w:i/>
            </w:rPr>
          </w:pPr>
          <w:r w:rsidRPr="0007568A">
            <w:rPr>
              <w:i/>
            </w:rPr>
            <w:t>“This was the main action initially that fast boat approached the east coast of Praslin, it came very close, turned and somebody jumped from the boat and [went] to the coast. The distance was very close, maybe 5, 6 or 10 meters or even much lesser than that.”</w:t>
          </w:r>
        </w:p>
        <w:p w:rsidR="007B2A20" w:rsidRDefault="007B2A20" w:rsidP="003F16E7">
          <w:pPr>
            <w:pStyle w:val="JudgmentText"/>
            <w:numPr>
              <w:ilvl w:val="0"/>
              <w:numId w:val="9"/>
            </w:numPr>
            <w:ind w:hanging="540"/>
          </w:pPr>
          <w:r>
            <w:t>Xavier Pool gave evidence that on 25 March 2016 he had witnessed the gunny bags being unloaded from a blue and white boat by Danny Sultan, the 4</w:t>
          </w:r>
          <w:r w:rsidRPr="00E66E66">
            <w:rPr>
              <w:vertAlign w:val="superscript"/>
            </w:rPr>
            <w:t>th</w:t>
          </w:r>
          <w:r>
            <w:t xml:space="preserve"> Appellant, and kept on the shore. He recognised the 4</w:t>
          </w:r>
          <w:r w:rsidRPr="00E66E66">
            <w:rPr>
              <w:vertAlign w:val="superscript"/>
            </w:rPr>
            <w:t>th</w:t>
          </w:r>
          <w:r>
            <w:t xml:space="preserve"> Appellant as he had lived in the area for some time. He correctly identified the 4</w:t>
          </w:r>
          <w:r w:rsidRPr="00E66E66">
            <w:rPr>
              <w:vertAlign w:val="superscript"/>
            </w:rPr>
            <w:t>th</w:t>
          </w:r>
          <w:r>
            <w:t xml:space="preserve"> Appellant in Court. </w:t>
          </w:r>
        </w:p>
        <w:p w:rsidR="007B2A20" w:rsidRDefault="007B2A20" w:rsidP="003F16E7">
          <w:pPr>
            <w:pStyle w:val="JudgmentText"/>
            <w:numPr>
              <w:ilvl w:val="0"/>
              <w:numId w:val="9"/>
            </w:numPr>
            <w:ind w:hanging="540"/>
          </w:pPr>
          <w:r>
            <w:lastRenderedPageBreak/>
            <w:t xml:space="preserve">Xavier Pool gave further evidence that after Danny left, he and his friend, Ryan, approached the gunny bags, of which there were about ten or so, and found heroin packets inside. He recognised it to be heroin as he was a drug user. He brought a packet home. He stated that the drugs were packed in clear plastic with three number fives on the front. He identified the packets of drugs against the photographs exhibited, and the scarab. </w:t>
          </w:r>
        </w:p>
        <w:p w:rsidR="007B2A20" w:rsidRDefault="007B2A20" w:rsidP="003F16E7">
          <w:pPr>
            <w:pStyle w:val="JudgmentText"/>
            <w:numPr>
              <w:ilvl w:val="0"/>
              <w:numId w:val="9"/>
            </w:numPr>
            <w:ind w:hanging="540"/>
          </w:pPr>
          <w:proofErr w:type="spellStart"/>
          <w:r>
            <w:t>Jeannia</w:t>
          </w:r>
          <w:proofErr w:type="spellEnd"/>
          <w:r>
            <w:t xml:space="preserve"> Pool, his sister, corroborated his account and gave evidence that the colour of the packet was white and he had three number fives on it in blue. She stated that they sampled the contents and confirmed it to be heroin. Xavier Pool gave further evidence that the next morning, he returned to the beach and saw the 4</w:t>
          </w:r>
          <w:r w:rsidRPr="00E66E66">
            <w:rPr>
              <w:vertAlign w:val="superscript"/>
            </w:rPr>
            <w:t>th</w:t>
          </w:r>
          <w:r>
            <w:t xml:space="preserve"> Appellant and one Chang Leng taking the gunny bags in a vehicle. Their mother, Delores </w:t>
          </w:r>
          <w:proofErr w:type="spellStart"/>
          <w:r>
            <w:t>Mounac</w:t>
          </w:r>
          <w:proofErr w:type="spellEnd"/>
          <w:r>
            <w:t xml:space="preserve">, confirmed that Xavier and </w:t>
          </w:r>
          <w:proofErr w:type="spellStart"/>
          <w:r>
            <w:t>Jeannia</w:t>
          </w:r>
          <w:proofErr w:type="spellEnd"/>
          <w:r>
            <w:t xml:space="preserve"> Pool had informed her that they had witnessed the 4</w:t>
          </w:r>
          <w:r w:rsidRPr="00E66E66">
            <w:rPr>
              <w:vertAlign w:val="superscript"/>
            </w:rPr>
            <w:t>th</w:t>
          </w:r>
          <w:r>
            <w:t xml:space="preserve"> Appellant unloading gunny bags onto the beach.</w:t>
          </w:r>
        </w:p>
        <w:p w:rsidR="007B2A20" w:rsidRDefault="007B2A20" w:rsidP="003F16E7">
          <w:pPr>
            <w:pStyle w:val="JudgmentText"/>
            <w:numPr>
              <w:ilvl w:val="0"/>
              <w:numId w:val="9"/>
            </w:numPr>
            <w:ind w:hanging="540"/>
          </w:pPr>
          <w:r>
            <w:t xml:space="preserve">In light of the totality of the evidence, I do not see any reason to disturb the finding of the </w:t>
          </w:r>
          <w:r w:rsidR="00885E62">
            <w:t>trial Judge</w:t>
          </w:r>
          <w:r>
            <w:t xml:space="preserve"> that it was satisfied beyond reasonable doubt that the admissions made by the 2</w:t>
          </w:r>
          <w:r w:rsidRPr="00E66E66">
            <w:rPr>
              <w:vertAlign w:val="superscript"/>
            </w:rPr>
            <w:t>nd</w:t>
          </w:r>
          <w:r>
            <w:t xml:space="preserve"> Appellant are true, that the drugs were imported into Seychelles, and that the Appellants had carried out acts preparatory to and in facilitation of this importation. </w:t>
          </w:r>
        </w:p>
        <w:p w:rsidR="007B2A20" w:rsidRDefault="007B2A20" w:rsidP="003F16E7">
          <w:pPr>
            <w:pStyle w:val="JudgmentText"/>
            <w:numPr>
              <w:ilvl w:val="0"/>
              <w:numId w:val="9"/>
            </w:numPr>
            <w:ind w:hanging="540"/>
          </w:pPr>
          <w:r>
            <w:t>The appeal is dismissed in its entirety. The convictions are upheld.</w:t>
          </w:r>
          <w:r>
            <w:tab/>
          </w:r>
        </w:p>
        <w:p w:rsidR="0006489F" w:rsidRPr="005D088E" w:rsidRDefault="00B27D89" w:rsidP="00030259">
          <w:pPr>
            <w:pStyle w:val="JudgmentText"/>
            <w:numPr>
              <w:ilvl w:val="0"/>
              <w:numId w:val="0"/>
            </w:numPr>
          </w:pPr>
        </w:p>
      </w:sdtContent>
    </w:sdt>
    <w:p w:rsidR="00EF2051" w:rsidRDefault="009F30D2"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5F3AAB" w:rsidRDefault="005F3AAB" w:rsidP="00AD63F9">
      <w:pPr>
        <w:spacing w:before="120" w:line="480" w:lineRule="auto"/>
        <w:rPr>
          <w:sz w:val="24"/>
          <w:szCs w:val="24"/>
        </w:rPr>
      </w:pPr>
    </w:p>
    <w:p w:rsidR="00AD63F9" w:rsidRPr="00AD63F9" w:rsidRDefault="00B27D89" w:rsidP="00AD63F9">
      <w:pPr>
        <w:spacing w:line="480" w:lineRule="auto"/>
        <w:rPr>
          <w:b/>
          <w:sz w:val="28"/>
          <w:szCs w:val="28"/>
        </w:rPr>
      </w:pPr>
      <w:sdt>
        <w:sdtPr>
          <w:rPr>
            <w:b/>
            <w:sz w:val="24"/>
            <w:szCs w:val="24"/>
          </w:rPr>
          <w:id w:val="22920305"/>
          <w:placeholder>
            <w:docPart w:val="BBACE26354C34820848B33B2BB7BD85D"/>
          </w:placeholder>
          <w:comboBox>
            <w:listItem w:displayText="F. MacGregor (PCA)" w:value="F. MacGregor (PCA)"/>
            <w:listItem w:displayText="A.Fernando (J.A)" w:value="A.Fernando (J.A)"/>
            <w:listItem w:displayText="M. Twomey (J.A)" w:value="M. Twomey (J.A)"/>
            <w:listItem w:displayText="L. Tibatemwa-Ekirikubinza (J.A)" w:value="L. Tibatemwa-Ekirikubinza (J.A)"/>
            <w:listItem w:displayText="F. Robinson (J.A)" w:value="F. Robinson (J.A)"/>
          </w:comboBox>
        </w:sdtPr>
        <w:sdtEndPr/>
        <w:sdtContent>
          <w:r w:rsidR="00A323EE">
            <w:rPr>
              <w:b/>
              <w:sz w:val="24"/>
              <w:szCs w:val="24"/>
            </w:rPr>
            <w:t>M. Twomey (J.A)</w:t>
          </w:r>
        </w:sdtContent>
      </w:sdt>
    </w:p>
    <w:sdt>
      <w:sdtPr>
        <w:rPr>
          <w:b/>
          <w:sz w:val="28"/>
          <w:szCs w:val="28"/>
        </w:rPr>
        <w:id w:val="4919265"/>
        <w:placeholder>
          <w:docPart w:val="E9A3F1575EA74C4A909CD760EC1573F5"/>
        </w:placeholder>
        <w:docPartList>
          <w:docPartGallery w:val="Quick Parts"/>
        </w:docPartList>
      </w:sdtPr>
      <w:sdtEndPr>
        <w:rPr>
          <w:sz w:val="24"/>
          <w:szCs w:val="24"/>
        </w:rPr>
      </w:sdtEndPr>
      <w:sdtContent>
        <w:p w:rsidR="00AD63F9" w:rsidRPr="00484DA6" w:rsidRDefault="00B27D89" w:rsidP="00AD63F9">
          <w:pPr>
            <w:spacing w:before="360" w:after="240" w:line="480" w:lineRule="auto"/>
            <w:rPr>
              <w:b/>
              <w:sz w:val="24"/>
              <w:szCs w:val="24"/>
            </w:rPr>
          </w:pPr>
          <w:sdt>
            <w:sdtPr>
              <w:rPr>
                <w:b/>
                <w:sz w:val="24"/>
                <w:szCs w:val="24"/>
              </w:rPr>
              <w:id w:val="4919266"/>
              <w:placeholder>
                <w:docPart w:val="E30172DDBF4F456080E11F8BCF4A5320"/>
              </w:placeholder>
              <w:text/>
            </w:sdtPr>
            <w:sdtEndPr/>
            <w:sdtContent>
              <w:r w:rsidR="00AD63F9" w:rsidRPr="00484DA6">
                <w:rPr>
                  <w:b/>
                  <w:sz w:val="24"/>
                  <w:szCs w:val="24"/>
                </w:rPr>
                <w:t>I concur:.</w:t>
              </w:r>
            </w:sdtContent>
          </w:sdt>
          <w:r w:rsidR="00AD63F9" w:rsidRPr="00484DA6">
            <w:rPr>
              <w:b/>
              <w:sz w:val="24"/>
              <w:szCs w:val="24"/>
            </w:rPr>
            <w:tab/>
          </w:r>
          <w:r w:rsidR="00AD63F9" w:rsidRPr="00484DA6">
            <w:rPr>
              <w:b/>
              <w:sz w:val="24"/>
              <w:szCs w:val="24"/>
            </w:rPr>
            <w:tab/>
          </w:r>
          <w:r w:rsidR="00AD63F9" w:rsidRPr="00484DA6">
            <w:rPr>
              <w:b/>
              <w:sz w:val="24"/>
              <w:szCs w:val="24"/>
            </w:rPr>
            <w:tab/>
            <w:t>………………….</w:t>
          </w:r>
          <w:r w:rsidR="00AD63F9" w:rsidRPr="00484DA6">
            <w:rPr>
              <w:b/>
              <w:sz w:val="24"/>
              <w:szCs w:val="24"/>
            </w:rPr>
            <w:tab/>
          </w:r>
          <w:r w:rsidR="00AD63F9" w:rsidRPr="00484DA6">
            <w:rPr>
              <w:b/>
              <w:sz w:val="24"/>
              <w:szCs w:val="24"/>
            </w:rPr>
            <w:tab/>
          </w:r>
          <w:r w:rsidR="00AD63F9" w:rsidRPr="00484DA6">
            <w:rPr>
              <w:b/>
              <w:sz w:val="24"/>
              <w:szCs w:val="24"/>
            </w:rPr>
            <w:tab/>
          </w:r>
          <w:r w:rsidR="00AD63F9" w:rsidRPr="00484DA6">
            <w:rPr>
              <w:b/>
              <w:sz w:val="24"/>
              <w:szCs w:val="24"/>
            </w:rPr>
            <w:tab/>
          </w:r>
          <w:sdt>
            <w:sdtPr>
              <w:rPr>
                <w:sz w:val="24"/>
                <w:szCs w:val="24"/>
              </w:rPr>
              <w:id w:val="4919267"/>
              <w:placeholder>
                <w:docPart w:val="5DD11FCAC1514F448721D53F5E375A7E"/>
              </w:placeholder>
              <w:comboBox>
                <w:listItem w:displayText="F. MacGregor (PCA)" w:value="F. MacGregor (PCA)"/>
                <w:listItem w:displayText="A.Fernando (J.A)" w:value="A.Fernando (J.A)"/>
                <w:listItem w:displayText="M. Twomey (J.A)" w:value="M. Twomey (J.A)"/>
                <w:listItem w:displayText="L. Tibatemwa-Ekirikubinza (J.A)" w:value="L. Tibatemwa-Ekirikubinza (J.A)"/>
                <w:listItem w:displayText="F. Robinson (J.A)" w:value="F. Robinson (J.A)"/>
              </w:comboBox>
            </w:sdtPr>
            <w:sdtEndPr/>
            <w:sdtContent>
              <w:r w:rsidR="00A323EE">
                <w:rPr>
                  <w:sz w:val="24"/>
                  <w:szCs w:val="24"/>
                </w:rPr>
                <w:t>F. Robinson (J.A)</w:t>
              </w:r>
            </w:sdtContent>
          </w:sdt>
        </w:p>
      </w:sdtContent>
    </w:sdt>
    <w:p w:rsidR="0087722C" w:rsidRDefault="0087722C" w:rsidP="007F351F">
      <w:pPr>
        <w:rPr>
          <w:b/>
          <w:sz w:val="28"/>
          <w:szCs w:val="28"/>
        </w:rPr>
      </w:pPr>
    </w:p>
    <w:p w:rsidR="00204002" w:rsidRPr="005D088E" w:rsidRDefault="00B27D89" w:rsidP="00204002">
      <w:pPr>
        <w:pStyle w:val="ListParagraph"/>
        <w:widowControl/>
        <w:autoSpaceDE/>
        <w:autoSpaceDN/>
        <w:adjustRightInd/>
        <w:spacing w:after="240" w:line="360" w:lineRule="auto"/>
        <w:ind w:left="0"/>
        <w:contextualSpacing w:val="0"/>
        <w:rPr>
          <w:sz w:val="24"/>
          <w:szCs w:val="24"/>
        </w:rPr>
      </w:pPr>
      <w:sdt>
        <w:sdtPr>
          <w:rPr>
            <w:sz w:val="24"/>
            <w:szCs w:val="24"/>
          </w:rPr>
          <w:id w:val="8972175"/>
          <w:placeholder>
            <w:docPart w:val="DFCDF2F918704F768E5FCD72C74D5337"/>
          </w:placeholder>
          <w:docPartList>
            <w:docPartGallery w:val="Quick Parts"/>
          </w:docPartList>
        </w:sdtPr>
        <w:sdtEndPr/>
        <w:sdtContent>
          <w:r w:rsidR="00204002" w:rsidRPr="00782F7D">
            <w:rPr>
              <w:sz w:val="24"/>
              <w:szCs w:val="24"/>
            </w:rPr>
            <w:t xml:space="preserve">Signed, dated and delivered at </w:t>
          </w:r>
          <w:r w:rsidR="00484DA6">
            <w:rPr>
              <w:sz w:val="24"/>
              <w:szCs w:val="24"/>
            </w:rPr>
            <w:t xml:space="preserve">Palais de Justice, </w:t>
          </w:r>
          <w:r w:rsidR="00204002" w:rsidRPr="00782F7D">
            <w:rPr>
              <w:sz w:val="24"/>
              <w:szCs w:val="24"/>
            </w:rPr>
            <w:t>Ile du Port on</w:t>
          </w:r>
        </w:sdtContent>
      </w:sdt>
      <w:r w:rsidR="00204002">
        <w:rPr>
          <w:sz w:val="24"/>
          <w:szCs w:val="24"/>
        </w:rPr>
        <w:t xml:space="preserve"> </w:t>
      </w:r>
      <w:sdt>
        <w:sdtPr>
          <w:rPr>
            <w:sz w:val="24"/>
            <w:szCs w:val="24"/>
          </w:rPr>
          <w:id w:val="8972185"/>
          <w:placeholder>
            <w:docPart w:val="4E61EA1C195F4419822603011D4D5185"/>
          </w:placeholder>
          <w:date w:fullDate="2019-12-17T00:00:00Z">
            <w:dateFormat w:val="dd MMMM yyyy"/>
            <w:lid w:val="en-GB"/>
            <w:storeMappedDataAs w:val="dateTime"/>
            <w:calendar w:val="gregorian"/>
          </w:date>
        </w:sdtPr>
        <w:sdtEndPr/>
        <w:sdtContent>
          <w:r w:rsidR="00A323EE">
            <w:rPr>
              <w:sz w:val="24"/>
              <w:szCs w:val="24"/>
            </w:rPr>
            <w:t>17 December 2019</w:t>
          </w:r>
        </w:sdtContent>
      </w:sdt>
    </w:p>
    <w:p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D89" w:rsidRDefault="00B27D89" w:rsidP="00DB6D34">
      <w:r>
        <w:separator/>
      </w:r>
    </w:p>
  </w:endnote>
  <w:endnote w:type="continuationSeparator" w:id="0">
    <w:p w:rsidR="00B27D89" w:rsidRDefault="00B27D89"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8C2" w:rsidRDefault="00A05004">
    <w:pPr>
      <w:pStyle w:val="Footer"/>
      <w:jc w:val="center"/>
    </w:pPr>
    <w:r>
      <w:fldChar w:fldCharType="begin"/>
    </w:r>
    <w:r>
      <w:instrText xml:space="preserve"> PAGE   \* MERGEFORMAT </w:instrText>
    </w:r>
    <w:r>
      <w:fldChar w:fldCharType="separate"/>
    </w:r>
    <w:r w:rsidR="0008229D">
      <w:rPr>
        <w:noProof/>
      </w:rPr>
      <w:t>14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D89" w:rsidRDefault="00B27D89" w:rsidP="00DB6D34">
      <w:r>
        <w:separator/>
      </w:r>
    </w:p>
  </w:footnote>
  <w:footnote w:type="continuationSeparator" w:id="0">
    <w:p w:rsidR="00B27D89" w:rsidRDefault="00B27D89" w:rsidP="00DB6D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5A67"/>
    <w:multiLevelType w:val="multilevel"/>
    <w:tmpl w:val="1CC89892"/>
    <w:numStyleLink w:val="Judgments"/>
  </w:abstractNum>
  <w:abstractNum w:abstractNumId="1" w15:restartNumberingAfterBreak="0">
    <w:nsid w:val="29927D06"/>
    <w:multiLevelType w:val="hybridMultilevel"/>
    <w:tmpl w:val="3E8E3DE4"/>
    <w:lvl w:ilvl="0" w:tplc="62B2DE4C">
      <w:start w:val="1"/>
      <w:numFmt w:val="decimal"/>
      <w:lvlText w:val="[%1]"/>
      <w:lvlJc w:val="left"/>
      <w:pPr>
        <w:ind w:left="720" w:hanging="360"/>
      </w:pPr>
      <w:rPr>
        <w:rFonts w:ascii="Times New Roman" w:hAnsi="Times New Roman" w:cs="Times New Roman" w:hint="default"/>
        <w:b w:val="0"/>
        <w:i w:val="0"/>
        <w:sz w:val="24"/>
      </w:rPr>
    </w:lvl>
    <w:lvl w:ilvl="1" w:tplc="08090019">
      <w:start w:val="1"/>
      <w:numFmt w:val="lowerLetter"/>
      <w:lvlText w:val="%2."/>
      <w:lvlJc w:val="left"/>
      <w:pPr>
        <w:ind w:left="1440" w:hanging="360"/>
      </w:pPr>
    </w:lvl>
    <w:lvl w:ilvl="2" w:tplc="0409000F">
      <w:start w:val="1"/>
      <w:numFmt w:val="decimal"/>
      <w:lvlText w:val="%3."/>
      <w:lvlJc w:val="left"/>
      <w:pPr>
        <w:ind w:left="81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07542D2"/>
    <w:multiLevelType w:val="multilevel"/>
    <w:tmpl w:val="1CC89892"/>
    <w:numStyleLink w:val="Judgments"/>
  </w:abstractNum>
  <w:abstractNum w:abstractNumId="3"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15:restartNumberingAfterBreak="0">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E74820"/>
    <w:multiLevelType w:val="multilevel"/>
    <w:tmpl w:val="1CC89892"/>
    <w:numStyleLink w:val="Judgments"/>
  </w:abstractNum>
  <w:abstractNum w:abstractNumId="6" w15:restartNumberingAfterBreak="0">
    <w:nsid w:val="59782143"/>
    <w:multiLevelType w:val="hybridMultilevel"/>
    <w:tmpl w:val="3D74DE36"/>
    <w:lvl w:ilvl="0" w:tplc="0409000F">
      <w:start w:val="1"/>
      <w:numFmt w:val="decimal"/>
      <w:lvlText w:val="%1."/>
      <w:lvlJc w:val="left"/>
      <w:pPr>
        <w:ind w:left="720" w:hanging="360"/>
      </w:pPr>
      <w:rPr>
        <w:rFonts w:hint="default"/>
        <w:b w:val="0"/>
        <w:i w:val="0"/>
        <w:sz w:val="24"/>
      </w:rPr>
    </w:lvl>
    <w:lvl w:ilvl="1" w:tplc="08090019">
      <w:start w:val="1"/>
      <w:numFmt w:val="lowerLetter"/>
      <w:lvlText w:val="%2."/>
      <w:lvlJc w:val="left"/>
      <w:pPr>
        <w:ind w:left="1440" w:hanging="360"/>
      </w:pPr>
    </w:lvl>
    <w:lvl w:ilvl="2" w:tplc="0809001B">
      <w:start w:val="1"/>
      <w:numFmt w:val="lowerRoman"/>
      <w:lvlText w:val="%3."/>
      <w:lvlJc w:val="right"/>
      <w:pPr>
        <w:ind w:left="81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7"/>
  </w:num>
  <w:num w:numId="3">
    <w:abstractNumId w:val="0"/>
  </w:num>
  <w:num w:numId="4">
    <w:abstractNumId w:val="3"/>
  </w:num>
  <w:num w:numId="5">
    <w:abstractNumId w:val="5"/>
  </w:num>
  <w:num w:numId="6">
    <w:abstractNumId w:val="2"/>
  </w:num>
  <w:num w:numId="7">
    <w:abstractNumId w:va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A20"/>
    <w:rsid w:val="00002269"/>
    <w:rsid w:val="0000251A"/>
    <w:rsid w:val="000043B1"/>
    <w:rsid w:val="00005BEF"/>
    <w:rsid w:val="00017F12"/>
    <w:rsid w:val="0002497E"/>
    <w:rsid w:val="00030259"/>
    <w:rsid w:val="00030C81"/>
    <w:rsid w:val="000510D0"/>
    <w:rsid w:val="000641ED"/>
    <w:rsid w:val="0006489F"/>
    <w:rsid w:val="00075573"/>
    <w:rsid w:val="0008229D"/>
    <w:rsid w:val="00091036"/>
    <w:rsid w:val="00097B9A"/>
    <w:rsid w:val="000A10B8"/>
    <w:rsid w:val="000C5AB2"/>
    <w:rsid w:val="000D1DD3"/>
    <w:rsid w:val="000E39A5"/>
    <w:rsid w:val="000E62C2"/>
    <w:rsid w:val="000E7400"/>
    <w:rsid w:val="000E79DC"/>
    <w:rsid w:val="000F1C37"/>
    <w:rsid w:val="000F2C04"/>
    <w:rsid w:val="001008BC"/>
    <w:rsid w:val="00101D12"/>
    <w:rsid w:val="00102EE1"/>
    <w:rsid w:val="00117CBF"/>
    <w:rsid w:val="00126A10"/>
    <w:rsid w:val="001376AB"/>
    <w:rsid w:val="00144612"/>
    <w:rsid w:val="001535B9"/>
    <w:rsid w:val="0016510C"/>
    <w:rsid w:val="0016616A"/>
    <w:rsid w:val="00171F06"/>
    <w:rsid w:val="00180158"/>
    <w:rsid w:val="00185139"/>
    <w:rsid w:val="00186F92"/>
    <w:rsid w:val="00197E07"/>
    <w:rsid w:val="001A4F07"/>
    <w:rsid w:val="001B6E9A"/>
    <w:rsid w:val="001C7109"/>
    <w:rsid w:val="001E3539"/>
    <w:rsid w:val="001E4ED8"/>
    <w:rsid w:val="001E576A"/>
    <w:rsid w:val="00201C0E"/>
    <w:rsid w:val="0020244B"/>
    <w:rsid w:val="00204002"/>
    <w:rsid w:val="00231C17"/>
    <w:rsid w:val="00236AAC"/>
    <w:rsid w:val="0024353F"/>
    <w:rsid w:val="00260567"/>
    <w:rsid w:val="00290E14"/>
    <w:rsid w:val="002939B3"/>
    <w:rsid w:val="002A0937"/>
    <w:rsid w:val="002A7376"/>
    <w:rsid w:val="002B2255"/>
    <w:rsid w:val="002C7560"/>
    <w:rsid w:val="002D06AA"/>
    <w:rsid w:val="002D67FC"/>
    <w:rsid w:val="002E6963"/>
    <w:rsid w:val="002F40A1"/>
    <w:rsid w:val="002F4DD2"/>
    <w:rsid w:val="00301D88"/>
    <w:rsid w:val="00304E76"/>
    <w:rsid w:val="00315456"/>
    <w:rsid w:val="003437DF"/>
    <w:rsid w:val="003647E7"/>
    <w:rsid w:val="0037270D"/>
    <w:rsid w:val="00377341"/>
    <w:rsid w:val="0038006D"/>
    <w:rsid w:val="003838CC"/>
    <w:rsid w:val="003862CB"/>
    <w:rsid w:val="0038700C"/>
    <w:rsid w:val="003A059B"/>
    <w:rsid w:val="003B461C"/>
    <w:rsid w:val="003B4C19"/>
    <w:rsid w:val="003D2A22"/>
    <w:rsid w:val="003D58AA"/>
    <w:rsid w:val="003D7B97"/>
    <w:rsid w:val="003E2ABC"/>
    <w:rsid w:val="003F0A70"/>
    <w:rsid w:val="003F0F8D"/>
    <w:rsid w:val="003F16E7"/>
    <w:rsid w:val="004156B9"/>
    <w:rsid w:val="00422293"/>
    <w:rsid w:val="00445BFA"/>
    <w:rsid w:val="00452BB6"/>
    <w:rsid w:val="0046133B"/>
    <w:rsid w:val="004639C0"/>
    <w:rsid w:val="00470598"/>
    <w:rsid w:val="004706DB"/>
    <w:rsid w:val="00484DA6"/>
    <w:rsid w:val="004873AB"/>
    <w:rsid w:val="004A2A8B"/>
    <w:rsid w:val="004A63DA"/>
    <w:rsid w:val="004B76F8"/>
    <w:rsid w:val="004C3D80"/>
    <w:rsid w:val="004D0AC2"/>
    <w:rsid w:val="004D1718"/>
    <w:rsid w:val="004E065C"/>
    <w:rsid w:val="004E5515"/>
    <w:rsid w:val="004F2B34"/>
    <w:rsid w:val="004F3823"/>
    <w:rsid w:val="004F409A"/>
    <w:rsid w:val="0051033B"/>
    <w:rsid w:val="00514975"/>
    <w:rsid w:val="005207C8"/>
    <w:rsid w:val="00521100"/>
    <w:rsid w:val="00530663"/>
    <w:rsid w:val="005404FF"/>
    <w:rsid w:val="005460DE"/>
    <w:rsid w:val="00547C35"/>
    <w:rsid w:val="0055036F"/>
    <w:rsid w:val="005514D6"/>
    <w:rsid w:val="00552704"/>
    <w:rsid w:val="00560A16"/>
    <w:rsid w:val="0056460A"/>
    <w:rsid w:val="00572AB3"/>
    <w:rsid w:val="005836AC"/>
    <w:rsid w:val="00583C6D"/>
    <w:rsid w:val="00584583"/>
    <w:rsid w:val="00587C5B"/>
    <w:rsid w:val="00594FAC"/>
    <w:rsid w:val="005D088E"/>
    <w:rsid w:val="005F3AAB"/>
    <w:rsid w:val="005F58E5"/>
    <w:rsid w:val="005F5FB0"/>
    <w:rsid w:val="00606587"/>
    <w:rsid w:val="00606EEA"/>
    <w:rsid w:val="00616597"/>
    <w:rsid w:val="006174DB"/>
    <w:rsid w:val="006179EC"/>
    <w:rsid w:val="00621984"/>
    <w:rsid w:val="0064007C"/>
    <w:rsid w:val="0064023C"/>
    <w:rsid w:val="006578C2"/>
    <w:rsid w:val="00666D33"/>
    <w:rsid w:val="0068552E"/>
    <w:rsid w:val="00692AAB"/>
    <w:rsid w:val="006A2C88"/>
    <w:rsid w:val="006A58E4"/>
    <w:rsid w:val="006D0D9B"/>
    <w:rsid w:val="006D36C9"/>
    <w:rsid w:val="006D62D0"/>
    <w:rsid w:val="0071190B"/>
    <w:rsid w:val="007175A6"/>
    <w:rsid w:val="007436C9"/>
    <w:rsid w:val="00744508"/>
    <w:rsid w:val="00760665"/>
    <w:rsid w:val="00763535"/>
    <w:rsid w:val="00766505"/>
    <w:rsid w:val="00770970"/>
    <w:rsid w:val="007820CB"/>
    <w:rsid w:val="00782F7D"/>
    <w:rsid w:val="007A47DC"/>
    <w:rsid w:val="007B10E8"/>
    <w:rsid w:val="007B2A20"/>
    <w:rsid w:val="007B6178"/>
    <w:rsid w:val="007C2809"/>
    <w:rsid w:val="007D416E"/>
    <w:rsid w:val="007E5472"/>
    <w:rsid w:val="007E7DA5"/>
    <w:rsid w:val="007F351F"/>
    <w:rsid w:val="007F41EF"/>
    <w:rsid w:val="0080050A"/>
    <w:rsid w:val="00801F57"/>
    <w:rsid w:val="00807411"/>
    <w:rsid w:val="00814CF5"/>
    <w:rsid w:val="00816425"/>
    <w:rsid w:val="00816D6E"/>
    <w:rsid w:val="00821758"/>
    <w:rsid w:val="00823079"/>
    <w:rsid w:val="00823890"/>
    <w:rsid w:val="00825A96"/>
    <w:rsid w:val="0083298A"/>
    <w:rsid w:val="00841387"/>
    <w:rsid w:val="00845DCB"/>
    <w:rsid w:val="008472B3"/>
    <w:rsid w:val="008478D6"/>
    <w:rsid w:val="008500B8"/>
    <w:rsid w:val="00861993"/>
    <w:rsid w:val="00861F83"/>
    <w:rsid w:val="0087722C"/>
    <w:rsid w:val="00885E62"/>
    <w:rsid w:val="008A5208"/>
    <w:rsid w:val="008A58A5"/>
    <w:rsid w:val="008C0FD6"/>
    <w:rsid w:val="008E1DB1"/>
    <w:rsid w:val="008E512C"/>
    <w:rsid w:val="008E7749"/>
    <w:rsid w:val="008E7F92"/>
    <w:rsid w:val="008F0C10"/>
    <w:rsid w:val="008F311B"/>
    <w:rsid w:val="008F38F7"/>
    <w:rsid w:val="00902D3C"/>
    <w:rsid w:val="00922CDD"/>
    <w:rsid w:val="00926D09"/>
    <w:rsid w:val="009336BA"/>
    <w:rsid w:val="00934A7B"/>
    <w:rsid w:val="00937FB4"/>
    <w:rsid w:val="0094087C"/>
    <w:rsid w:val="00951EC0"/>
    <w:rsid w:val="0096041D"/>
    <w:rsid w:val="00967719"/>
    <w:rsid w:val="00981287"/>
    <w:rsid w:val="00983045"/>
    <w:rsid w:val="0099672E"/>
    <w:rsid w:val="009C5D65"/>
    <w:rsid w:val="009D0041"/>
    <w:rsid w:val="009D04B1"/>
    <w:rsid w:val="009D15F5"/>
    <w:rsid w:val="009D19E1"/>
    <w:rsid w:val="009D3796"/>
    <w:rsid w:val="009D4271"/>
    <w:rsid w:val="009E05E5"/>
    <w:rsid w:val="009F1B68"/>
    <w:rsid w:val="009F30D2"/>
    <w:rsid w:val="009F4DC4"/>
    <w:rsid w:val="00A05004"/>
    <w:rsid w:val="00A11166"/>
    <w:rsid w:val="00A14038"/>
    <w:rsid w:val="00A2322F"/>
    <w:rsid w:val="00A24FBF"/>
    <w:rsid w:val="00A323EE"/>
    <w:rsid w:val="00A3626F"/>
    <w:rsid w:val="00A36CEB"/>
    <w:rsid w:val="00A42850"/>
    <w:rsid w:val="00A53837"/>
    <w:rsid w:val="00A551C8"/>
    <w:rsid w:val="00A602E0"/>
    <w:rsid w:val="00A63090"/>
    <w:rsid w:val="00A80E4E"/>
    <w:rsid w:val="00A936E2"/>
    <w:rsid w:val="00AB1DE9"/>
    <w:rsid w:val="00AB2D12"/>
    <w:rsid w:val="00AC3885"/>
    <w:rsid w:val="00AC4950"/>
    <w:rsid w:val="00AD03C3"/>
    <w:rsid w:val="00AD63F9"/>
    <w:rsid w:val="00AD75CD"/>
    <w:rsid w:val="00AE3237"/>
    <w:rsid w:val="00AF3661"/>
    <w:rsid w:val="00B0414B"/>
    <w:rsid w:val="00B05D6E"/>
    <w:rsid w:val="00B119B1"/>
    <w:rsid w:val="00B14612"/>
    <w:rsid w:val="00B23E73"/>
    <w:rsid w:val="00B26028"/>
    <w:rsid w:val="00B27D89"/>
    <w:rsid w:val="00B40898"/>
    <w:rsid w:val="00B4124C"/>
    <w:rsid w:val="00B444D1"/>
    <w:rsid w:val="00B4625E"/>
    <w:rsid w:val="00B605B4"/>
    <w:rsid w:val="00B66B63"/>
    <w:rsid w:val="00B75AE2"/>
    <w:rsid w:val="00B82071"/>
    <w:rsid w:val="00B86CA1"/>
    <w:rsid w:val="00B9148E"/>
    <w:rsid w:val="00B94805"/>
    <w:rsid w:val="00BA6027"/>
    <w:rsid w:val="00BB74C8"/>
    <w:rsid w:val="00BC1D95"/>
    <w:rsid w:val="00BD03E6"/>
    <w:rsid w:val="00BD0BE9"/>
    <w:rsid w:val="00BD4287"/>
    <w:rsid w:val="00BD5359"/>
    <w:rsid w:val="00BD60D5"/>
    <w:rsid w:val="00BE1D00"/>
    <w:rsid w:val="00BE30D4"/>
    <w:rsid w:val="00BE3628"/>
    <w:rsid w:val="00BE424C"/>
    <w:rsid w:val="00BF5CC9"/>
    <w:rsid w:val="00BF7190"/>
    <w:rsid w:val="00C036A5"/>
    <w:rsid w:val="00C065A3"/>
    <w:rsid w:val="00C124EC"/>
    <w:rsid w:val="00C14327"/>
    <w:rsid w:val="00C22967"/>
    <w:rsid w:val="00C35333"/>
    <w:rsid w:val="00C55FDF"/>
    <w:rsid w:val="00C5739F"/>
    <w:rsid w:val="00C70EB2"/>
    <w:rsid w:val="00C87FCA"/>
    <w:rsid w:val="00CA1B0C"/>
    <w:rsid w:val="00CA7795"/>
    <w:rsid w:val="00CA7F40"/>
    <w:rsid w:val="00CB3C7E"/>
    <w:rsid w:val="00CB62FC"/>
    <w:rsid w:val="00CC6B5C"/>
    <w:rsid w:val="00CD0C18"/>
    <w:rsid w:val="00CD68C9"/>
    <w:rsid w:val="00CE0CDA"/>
    <w:rsid w:val="00CE5888"/>
    <w:rsid w:val="00CF77E2"/>
    <w:rsid w:val="00D03314"/>
    <w:rsid w:val="00D06A0F"/>
    <w:rsid w:val="00D23B56"/>
    <w:rsid w:val="00D304D1"/>
    <w:rsid w:val="00D7785E"/>
    <w:rsid w:val="00D82047"/>
    <w:rsid w:val="00DA292E"/>
    <w:rsid w:val="00DB6D34"/>
    <w:rsid w:val="00DC07AA"/>
    <w:rsid w:val="00DD311F"/>
    <w:rsid w:val="00DD4E02"/>
    <w:rsid w:val="00DE08C1"/>
    <w:rsid w:val="00DF0662"/>
    <w:rsid w:val="00DF2970"/>
    <w:rsid w:val="00DF303A"/>
    <w:rsid w:val="00DF69E4"/>
    <w:rsid w:val="00E0467F"/>
    <w:rsid w:val="00E0505F"/>
    <w:rsid w:val="00E30B60"/>
    <w:rsid w:val="00E33F35"/>
    <w:rsid w:val="00E35862"/>
    <w:rsid w:val="00E41E94"/>
    <w:rsid w:val="00E55C69"/>
    <w:rsid w:val="00E57D4D"/>
    <w:rsid w:val="00E60B68"/>
    <w:rsid w:val="00E6492F"/>
    <w:rsid w:val="00E65691"/>
    <w:rsid w:val="00E66E66"/>
    <w:rsid w:val="00E67D1B"/>
    <w:rsid w:val="00E7522F"/>
    <w:rsid w:val="00E7573E"/>
    <w:rsid w:val="00E86753"/>
    <w:rsid w:val="00E91FA1"/>
    <w:rsid w:val="00E944E2"/>
    <w:rsid w:val="00E94E48"/>
    <w:rsid w:val="00EA6F17"/>
    <w:rsid w:val="00EC12D0"/>
    <w:rsid w:val="00EC2355"/>
    <w:rsid w:val="00EC6290"/>
    <w:rsid w:val="00EE3CD1"/>
    <w:rsid w:val="00EF2051"/>
    <w:rsid w:val="00EF3834"/>
    <w:rsid w:val="00F00A19"/>
    <w:rsid w:val="00F03B36"/>
    <w:rsid w:val="00F23197"/>
    <w:rsid w:val="00F338B0"/>
    <w:rsid w:val="00F3686A"/>
    <w:rsid w:val="00F7059D"/>
    <w:rsid w:val="00F74500"/>
    <w:rsid w:val="00F804CC"/>
    <w:rsid w:val="00F82A83"/>
    <w:rsid w:val="00F83B3D"/>
    <w:rsid w:val="00F96768"/>
    <w:rsid w:val="00FB0AFB"/>
    <w:rsid w:val="00FB2453"/>
    <w:rsid w:val="00FB39BA"/>
    <w:rsid w:val="00FB62FC"/>
    <w:rsid w:val="00FC61E3"/>
    <w:rsid w:val="00FD51E7"/>
    <w:rsid w:val="00FE379D"/>
    <w:rsid w:val="00FF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8E2A1"/>
  <w15:docId w15:val="{82A7D35F-774A-491E-8D83-82B138AB3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character" w:styleId="Strong">
    <w:name w:val="Strong"/>
    <w:basedOn w:val="DefaultParagraphFont"/>
    <w:uiPriority w:val="22"/>
    <w:qFormat/>
    <w:rsid w:val="009D4271"/>
    <w:rPr>
      <w:b/>
      <w:bCs/>
    </w:rPr>
  </w:style>
  <w:style w:type="character" w:customStyle="1" w:styleId="heldsnonnumberedChar">
    <w:name w:val="helds non numbered Char"/>
    <w:basedOn w:val="DefaultParagraphFont"/>
    <w:link w:val="heldsnonnumbered"/>
    <w:locked/>
    <w:rsid w:val="007B2A20"/>
    <w:rPr>
      <w:rFonts w:ascii="Times New Roman" w:eastAsia="SimSun" w:hAnsi="Times New Roman"/>
      <w:sz w:val="21"/>
      <w:lang w:val="en-NZ" w:eastAsia="en-GB"/>
    </w:rPr>
  </w:style>
  <w:style w:type="paragraph" w:customStyle="1" w:styleId="heldsnonnumbered">
    <w:name w:val="helds non numbered"/>
    <w:basedOn w:val="Normal"/>
    <w:link w:val="heldsnonnumberedChar"/>
    <w:qFormat/>
    <w:rsid w:val="007B2A20"/>
    <w:pPr>
      <w:widowControl/>
      <w:autoSpaceDE/>
      <w:autoSpaceDN/>
      <w:adjustRightInd/>
      <w:spacing w:before="60" w:line="276" w:lineRule="auto"/>
      <w:jc w:val="both"/>
    </w:pPr>
    <w:rPr>
      <w:rFonts w:eastAsia="SimSun"/>
      <w:sz w:val="21"/>
      <w:lang w:val="en-NZ" w:eastAsia="en-GB"/>
    </w:rPr>
  </w:style>
  <w:style w:type="character" w:customStyle="1" w:styleId="highlight">
    <w:name w:val="highlight"/>
    <w:basedOn w:val="DefaultParagraphFont"/>
    <w:rsid w:val="007B2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julie\Documents\COURT%20OF%20APPEAL%20DOCS\COURT%20OF%20APPEAL%20REGISTRY%20DOCS\COA%20TEMPLATES\Crimina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E24AE5F4574AAAA0851472B19E57A4"/>
        <w:category>
          <w:name w:val="General"/>
          <w:gallery w:val="placeholder"/>
        </w:category>
        <w:types>
          <w:type w:val="bbPlcHdr"/>
        </w:types>
        <w:behaviors>
          <w:behavior w:val="content"/>
        </w:behaviors>
        <w:guid w:val="{CEBCD2DE-6116-4498-8A18-1A89CD52FF06}"/>
      </w:docPartPr>
      <w:docPartBody>
        <w:p w:rsidR="00CF6CD1" w:rsidRDefault="00AD1927">
          <w:pPr>
            <w:pStyle w:val="18E24AE5F4574AAAA0851472B19E57A4"/>
          </w:pPr>
          <w:r w:rsidRPr="002A0FDF">
            <w:rPr>
              <w:rStyle w:val="PlaceholderText"/>
            </w:rPr>
            <w:t>Click here to enter text.</w:t>
          </w:r>
        </w:p>
      </w:docPartBody>
    </w:docPart>
    <w:docPart>
      <w:docPartPr>
        <w:name w:val="97F55BDF867B4CDEBB45AEE29F10F3AD"/>
        <w:category>
          <w:name w:val="General"/>
          <w:gallery w:val="placeholder"/>
        </w:category>
        <w:types>
          <w:type w:val="bbPlcHdr"/>
        </w:types>
        <w:behaviors>
          <w:behavior w:val="content"/>
        </w:behaviors>
        <w:guid w:val="{D910B502-C3A6-4989-89D9-B2F151A3D5BC}"/>
      </w:docPartPr>
      <w:docPartBody>
        <w:p w:rsidR="00CF6CD1" w:rsidRDefault="00AD1927">
          <w:pPr>
            <w:pStyle w:val="97F55BDF867B4CDEBB45AEE29F10F3AD"/>
          </w:pPr>
          <w:r w:rsidRPr="002A0FDF">
            <w:rPr>
              <w:rStyle w:val="PlaceholderText"/>
            </w:rPr>
            <w:t>Choose a building block.</w:t>
          </w:r>
        </w:p>
      </w:docPartBody>
    </w:docPart>
    <w:docPart>
      <w:docPartPr>
        <w:name w:val="76126B5A7CA04545BC161F3583888D86"/>
        <w:category>
          <w:name w:val="General"/>
          <w:gallery w:val="placeholder"/>
        </w:category>
        <w:types>
          <w:type w:val="bbPlcHdr"/>
        </w:types>
        <w:behaviors>
          <w:behavior w:val="content"/>
        </w:behaviors>
        <w:guid w:val="{32E11164-7664-43F5-AAE0-86481BB07675}"/>
      </w:docPartPr>
      <w:docPartBody>
        <w:p w:rsidR="00CF6CD1" w:rsidRDefault="00AD1927">
          <w:pPr>
            <w:pStyle w:val="76126B5A7CA04545BC161F3583888D86"/>
          </w:pPr>
          <w:r w:rsidRPr="006E09BE">
            <w:rPr>
              <w:rStyle w:val="PlaceholderText"/>
            </w:rPr>
            <w:t>Click here to enter text.</w:t>
          </w:r>
        </w:p>
      </w:docPartBody>
    </w:docPart>
    <w:docPart>
      <w:docPartPr>
        <w:name w:val="17674C742517402C8999B15056C8742D"/>
        <w:category>
          <w:name w:val="General"/>
          <w:gallery w:val="placeholder"/>
        </w:category>
        <w:types>
          <w:type w:val="bbPlcHdr"/>
        </w:types>
        <w:behaviors>
          <w:behavior w:val="content"/>
        </w:behaviors>
        <w:guid w:val="{3F693179-FE3D-4FE8-B2FB-16C65162E598}"/>
      </w:docPartPr>
      <w:docPartBody>
        <w:p w:rsidR="00CF6CD1" w:rsidRDefault="00AD1927">
          <w:pPr>
            <w:pStyle w:val="17674C742517402C8999B15056C8742D"/>
          </w:pPr>
          <w:r w:rsidRPr="00E56144">
            <w:rPr>
              <w:rStyle w:val="PlaceholderText"/>
            </w:rPr>
            <w:t>.</w:t>
          </w:r>
        </w:p>
      </w:docPartBody>
    </w:docPart>
    <w:docPart>
      <w:docPartPr>
        <w:name w:val="398F3747C8BD4FE28C9C39A8EBAF9E55"/>
        <w:category>
          <w:name w:val="General"/>
          <w:gallery w:val="placeholder"/>
        </w:category>
        <w:types>
          <w:type w:val="bbPlcHdr"/>
        </w:types>
        <w:behaviors>
          <w:behavior w:val="content"/>
        </w:behaviors>
        <w:guid w:val="{A1D769B5-D412-4CFE-926E-98B36F8C1587}"/>
      </w:docPartPr>
      <w:docPartBody>
        <w:p w:rsidR="00CF6CD1" w:rsidRDefault="00AD1927">
          <w:pPr>
            <w:pStyle w:val="398F3747C8BD4FE28C9C39A8EBAF9E55"/>
          </w:pPr>
          <w:r w:rsidRPr="00E56144">
            <w:rPr>
              <w:rStyle w:val="PlaceholderText"/>
            </w:rPr>
            <w:t>.</w:t>
          </w:r>
        </w:p>
      </w:docPartBody>
    </w:docPart>
    <w:docPart>
      <w:docPartPr>
        <w:name w:val="271F297EF7E545A29425F9CD7C4D687D"/>
        <w:category>
          <w:name w:val="General"/>
          <w:gallery w:val="placeholder"/>
        </w:category>
        <w:types>
          <w:type w:val="bbPlcHdr"/>
        </w:types>
        <w:behaviors>
          <w:behavior w:val="content"/>
        </w:behaviors>
        <w:guid w:val="{80272E78-29C3-4270-9A30-D9DEB83220BA}"/>
      </w:docPartPr>
      <w:docPartBody>
        <w:p w:rsidR="00CF6CD1" w:rsidRDefault="00AD1927">
          <w:pPr>
            <w:pStyle w:val="271F297EF7E545A29425F9CD7C4D687D"/>
          </w:pPr>
          <w:r w:rsidRPr="00E56144">
            <w:rPr>
              <w:rStyle w:val="PlaceholderText"/>
            </w:rPr>
            <w:t>.</w:t>
          </w:r>
        </w:p>
      </w:docPartBody>
    </w:docPart>
    <w:docPart>
      <w:docPartPr>
        <w:name w:val="4167543B0C544DBA814E82D63AD4681D"/>
        <w:category>
          <w:name w:val="General"/>
          <w:gallery w:val="placeholder"/>
        </w:category>
        <w:types>
          <w:type w:val="bbPlcHdr"/>
        </w:types>
        <w:behaviors>
          <w:behavior w:val="content"/>
        </w:behaviors>
        <w:guid w:val="{4B5F7CB6-D07B-4861-9A3A-394FC54D130A}"/>
      </w:docPartPr>
      <w:docPartBody>
        <w:p w:rsidR="00CF6CD1" w:rsidRDefault="00AD1927">
          <w:pPr>
            <w:pStyle w:val="4167543B0C544DBA814E82D63AD4681D"/>
          </w:pPr>
          <w:r w:rsidRPr="00EE5BC4">
            <w:rPr>
              <w:rStyle w:val="PlaceholderText"/>
            </w:rPr>
            <w:t>Click here to enter text.</w:t>
          </w:r>
        </w:p>
      </w:docPartBody>
    </w:docPart>
    <w:docPart>
      <w:docPartPr>
        <w:name w:val="FE6B66D0D2244C38A3A5E78DB97A64A5"/>
        <w:category>
          <w:name w:val="General"/>
          <w:gallery w:val="placeholder"/>
        </w:category>
        <w:types>
          <w:type w:val="bbPlcHdr"/>
        </w:types>
        <w:behaviors>
          <w:behavior w:val="content"/>
        </w:behaviors>
        <w:guid w:val="{78997F1C-E3FF-40AB-BF07-11A0DC337940}"/>
      </w:docPartPr>
      <w:docPartBody>
        <w:p w:rsidR="00CF6CD1" w:rsidRDefault="00AD1927">
          <w:pPr>
            <w:pStyle w:val="FE6B66D0D2244C38A3A5E78DB97A64A5"/>
          </w:pPr>
          <w:r w:rsidRPr="009D4271">
            <w:rPr>
              <w:rStyle w:val="Strong"/>
            </w:rPr>
            <w:t>Choose party type</w:t>
          </w:r>
        </w:p>
      </w:docPartBody>
    </w:docPart>
    <w:docPart>
      <w:docPartPr>
        <w:name w:val="F89681ED65444AD8951B5BC1143EE345"/>
        <w:category>
          <w:name w:val="General"/>
          <w:gallery w:val="placeholder"/>
        </w:category>
        <w:types>
          <w:type w:val="bbPlcHdr"/>
        </w:types>
        <w:behaviors>
          <w:behavior w:val="content"/>
        </w:behaviors>
        <w:guid w:val="{B6943155-6237-4EF7-B731-112359689069}"/>
      </w:docPartPr>
      <w:docPartBody>
        <w:p w:rsidR="00CF6CD1" w:rsidRDefault="00AD1927">
          <w:pPr>
            <w:pStyle w:val="F89681ED65444AD8951B5BC1143EE345"/>
          </w:pPr>
          <w:r w:rsidRPr="009D4271">
            <w:rPr>
              <w:rStyle w:val="Strong"/>
            </w:rPr>
            <w:t>Choose party type</w:t>
          </w:r>
        </w:p>
      </w:docPartBody>
    </w:docPart>
    <w:docPart>
      <w:docPartPr>
        <w:name w:val="DEF83CCFD2984EBDA46CD6524C1076F5"/>
        <w:category>
          <w:name w:val="General"/>
          <w:gallery w:val="placeholder"/>
        </w:category>
        <w:types>
          <w:type w:val="bbPlcHdr"/>
        </w:types>
        <w:behaviors>
          <w:behavior w:val="content"/>
        </w:behaviors>
        <w:guid w:val="{4936B44A-D576-416D-B494-EDB539286BB5}"/>
      </w:docPartPr>
      <w:docPartBody>
        <w:p w:rsidR="00CF6CD1" w:rsidRDefault="00AD1927">
          <w:pPr>
            <w:pStyle w:val="DEF83CCFD2984EBDA46CD6524C1076F5"/>
          </w:pPr>
          <w:r w:rsidRPr="009D4271">
            <w:rPr>
              <w:rStyle w:val="Strong"/>
            </w:rPr>
            <w:t>Choose party type</w:t>
          </w:r>
        </w:p>
      </w:docPartBody>
    </w:docPart>
    <w:docPart>
      <w:docPartPr>
        <w:name w:val="A8B13723D183468FA9617C80EB5777D2"/>
        <w:category>
          <w:name w:val="General"/>
          <w:gallery w:val="placeholder"/>
        </w:category>
        <w:types>
          <w:type w:val="bbPlcHdr"/>
        </w:types>
        <w:behaviors>
          <w:behavior w:val="content"/>
        </w:behaviors>
        <w:guid w:val="{57587FA9-B834-456E-BE36-B9A33DBDAB9F}"/>
      </w:docPartPr>
      <w:docPartBody>
        <w:p w:rsidR="00CF6CD1" w:rsidRDefault="00AD1927">
          <w:pPr>
            <w:pStyle w:val="A8B13723D183468FA9617C80EB5777D2"/>
          </w:pPr>
          <w:r w:rsidRPr="009D4271">
            <w:rPr>
              <w:rStyle w:val="Strong"/>
            </w:rPr>
            <w:t>Choose party type</w:t>
          </w:r>
        </w:p>
      </w:docPartBody>
    </w:docPart>
    <w:docPart>
      <w:docPartPr>
        <w:name w:val="A4833A4F14DB42A695F8A9B772130F94"/>
        <w:category>
          <w:name w:val="General"/>
          <w:gallery w:val="placeholder"/>
        </w:category>
        <w:types>
          <w:type w:val="bbPlcHdr"/>
        </w:types>
        <w:behaviors>
          <w:behavior w:val="content"/>
        </w:behaviors>
        <w:guid w:val="{63430238-EF73-45D2-B9BD-37FB00220807}"/>
      </w:docPartPr>
      <w:docPartBody>
        <w:p w:rsidR="00CF6CD1" w:rsidRDefault="00AD1927">
          <w:pPr>
            <w:pStyle w:val="A4833A4F14DB42A695F8A9B772130F94"/>
          </w:pPr>
          <w:r w:rsidRPr="00EE5BC4">
            <w:rPr>
              <w:rStyle w:val="PlaceholderText"/>
            </w:rPr>
            <w:t>Click here to enter text.</w:t>
          </w:r>
        </w:p>
      </w:docPartBody>
    </w:docPart>
    <w:docPart>
      <w:docPartPr>
        <w:name w:val="50B320B481BB490EACF48C841090B87E"/>
        <w:category>
          <w:name w:val="General"/>
          <w:gallery w:val="placeholder"/>
        </w:category>
        <w:types>
          <w:type w:val="bbPlcHdr"/>
        </w:types>
        <w:behaviors>
          <w:behavior w:val="content"/>
        </w:behaviors>
        <w:guid w:val="{09DC7A53-7A4C-4530-A86F-AF58787DFE2E}"/>
      </w:docPartPr>
      <w:docPartBody>
        <w:p w:rsidR="00CF6CD1" w:rsidRDefault="00AD1927">
          <w:pPr>
            <w:pStyle w:val="50B320B481BB490EACF48C841090B87E"/>
          </w:pPr>
          <w:r w:rsidRPr="00B26028">
            <w:rPr>
              <w:rStyle w:val="PlaceholderText"/>
            </w:rPr>
            <w:t>Click here to enter text.</w:t>
          </w:r>
        </w:p>
      </w:docPartBody>
    </w:docPart>
    <w:docPart>
      <w:docPartPr>
        <w:name w:val="DD97BA0B501D42FA9FE3BCE44261CEBD"/>
        <w:category>
          <w:name w:val="General"/>
          <w:gallery w:val="placeholder"/>
        </w:category>
        <w:types>
          <w:type w:val="bbPlcHdr"/>
        </w:types>
        <w:behaviors>
          <w:behavior w:val="content"/>
        </w:behaviors>
        <w:guid w:val="{08E77C63-70A2-4664-8A5D-A7D87513797D}"/>
      </w:docPartPr>
      <w:docPartBody>
        <w:p w:rsidR="00CF6CD1" w:rsidRDefault="00AD1927">
          <w:pPr>
            <w:pStyle w:val="DD97BA0B501D42FA9FE3BCE44261CEBD"/>
          </w:pPr>
          <w:r w:rsidRPr="009D4271">
            <w:rPr>
              <w:rStyle w:val="Strong"/>
            </w:rPr>
            <w:t>Choose party type</w:t>
          </w:r>
        </w:p>
      </w:docPartBody>
    </w:docPart>
    <w:docPart>
      <w:docPartPr>
        <w:name w:val="6555993862A540F78E02953CC5C69094"/>
        <w:category>
          <w:name w:val="General"/>
          <w:gallery w:val="placeholder"/>
        </w:category>
        <w:types>
          <w:type w:val="bbPlcHdr"/>
        </w:types>
        <w:behaviors>
          <w:behavior w:val="content"/>
        </w:behaviors>
        <w:guid w:val="{933C4C6E-778A-4729-8EE8-5B2B1556345C}"/>
      </w:docPartPr>
      <w:docPartBody>
        <w:p w:rsidR="00CF6CD1" w:rsidRDefault="00AD1927">
          <w:pPr>
            <w:pStyle w:val="6555993862A540F78E02953CC5C69094"/>
          </w:pPr>
          <w:r w:rsidRPr="005D088E">
            <w:rPr>
              <w:rStyle w:val="PlaceholderText"/>
            </w:rPr>
            <w:t>Click here to enter a date.</w:t>
          </w:r>
        </w:p>
      </w:docPartBody>
    </w:docPart>
    <w:docPart>
      <w:docPartPr>
        <w:name w:val="34E192534253465FBBB434CDA782AEEC"/>
        <w:category>
          <w:name w:val="General"/>
          <w:gallery w:val="placeholder"/>
        </w:category>
        <w:types>
          <w:type w:val="bbPlcHdr"/>
        </w:types>
        <w:behaviors>
          <w:behavior w:val="content"/>
        </w:behaviors>
        <w:guid w:val="{3E38EC47-5A2E-49D4-B94A-58D4CD64DA49}"/>
      </w:docPartPr>
      <w:docPartBody>
        <w:p w:rsidR="00CF6CD1" w:rsidRDefault="00AD1927">
          <w:pPr>
            <w:pStyle w:val="34E192534253465FBBB434CDA782AEEC"/>
          </w:pPr>
          <w:r w:rsidRPr="005D088E">
            <w:rPr>
              <w:rStyle w:val="PlaceholderText"/>
            </w:rPr>
            <w:t>Click here to enter text.</w:t>
          </w:r>
        </w:p>
      </w:docPartBody>
    </w:docPart>
    <w:docPart>
      <w:docPartPr>
        <w:name w:val="0C39E7CE231C45BB83B32A721707C313"/>
        <w:category>
          <w:name w:val="General"/>
          <w:gallery w:val="placeholder"/>
        </w:category>
        <w:types>
          <w:type w:val="bbPlcHdr"/>
        </w:types>
        <w:behaviors>
          <w:behavior w:val="content"/>
        </w:behaviors>
        <w:guid w:val="{E73B7892-0AD8-4EF0-9F3F-C5A88112F260}"/>
      </w:docPartPr>
      <w:docPartBody>
        <w:p w:rsidR="00CF6CD1" w:rsidRDefault="00AD1927">
          <w:pPr>
            <w:pStyle w:val="0C39E7CE231C45BB83B32A721707C313"/>
          </w:pPr>
          <w:r w:rsidRPr="006E09BE">
            <w:rPr>
              <w:rStyle w:val="PlaceholderText"/>
            </w:rPr>
            <w:t>Click here to enter a date.</w:t>
          </w:r>
        </w:p>
      </w:docPartBody>
    </w:docPart>
    <w:docPart>
      <w:docPartPr>
        <w:name w:val="0A114152B81F4A4097678AE0DD252C21"/>
        <w:category>
          <w:name w:val="General"/>
          <w:gallery w:val="placeholder"/>
        </w:category>
        <w:types>
          <w:type w:val="bbPlcHdr"/>
        </w:types>
        <w:behaviors>
          <w:behavior w:val="content"/>
        </w:behaviors>
        <w:guid w:val="{D58165DE-743B-416F-BB13-8A90ED7722BE}"/>
      </w:docPartPr>
      <w:docPartBody>
        <w:p w:rsidR="00CF6CD1" w:rsidRDefault="00AD1927">
          <w:pPr>
            <w:pStyle w:val="0A114152B81F4A4097678AE0DD252C21"/>
          </w:pPr>
          <w:r w:rsidRPr="00E56144">
            <w:rPr>
              <w:rStyle w:val="PlaceholderText"/>
            </w:rPr>
            <w:t>.</w:t>
          </w:r>
        </w:p>
      </w:docPartBody>
    </w:docPart>
    <w:docPart>
      <w:docPartPr>
        <w:name w:val="F8C05912296E4BD89582F24A076C4DBC"/>
        <w:category>
          <w:name w:val="General"/>
          <w:gallery w:val="placeholder"/>
        </w:category>
        <w:types>
          <w:type w:val="bbPlcHdr"/>
        </w:types>
        <w:behaviors>
          <w:behavior w:val="content"/>
        </w:behaviors>
        <w:guid w:val="{13389649-13F2-4224-8B80-F2DD8B6909D1}"/>
      </w:docPartPr>
      <w:docPartBody>
        <w:p w:rsidR="00CF6CD1" w:rsidRDefault="00AD1927">
          <w:pPr>
            <w:pStyle w:val="F8C05912296E4BD89582F24A076C4DBC"/>
          </w:pPr>
          <w:r w:rsidRPr="005D088E">
            <w:rPr>
              <w:rStyle w:val="PlaceholderText"/>
            </w:rPr>
            <w:t xml:space="preserve">Click here to enter text. here to enter text here to enter text here to enter text here to the court of appeal judgment. </w:t>
          </w:r>
        </w:p>
      </w:docPartBody>
    </w:docPart>
    <w:docPart>
      <w:docPartPr>
        <w:name w:val="BBACE26354C34820848B33B2BB7BD85D"/>
        <w:category>
          <w:name w:val="General"/>
          <w:gallery w:val="placeholder"/>
        </w:category>
        <w:types>
          <w:type w:val="bbPlcHdr"/>
        </w:types>
        <w:behaviors>
          <w:behavior w:val="content"/>
        </w:behaviors>
        <w:guid w:val="{E55D0700-6F4F-4CEF-81EC-74DFCC1A0F6A}"/>
      </w:docPartPr>
      <w:docPartBody>
        <w:p w:rsidR="00CF6CD1" w:rsidRDefault="00AD1927">
          <w:pPr>
            <w:pStyle w:val="BBACE26354C34820848B33B2BB7BD85D"/>
          </w:pPr>
          <w:r w:rsidRPr="00E56144">
            <w:rPr>
              <w:rStyle w:val="PlaceholderText"/>
            </w:rPr>
            <w:t>.</w:t>
          </w:r>
        </w:p>
      </w:docPartBody>
    </w:docPart>
    <w:docPart>
      <w:docPartPr>
        <w:name w:val="E9A3F1575EA74C4A909CD760EC1573F5"/>
        <w:category>
          <w:name w:val="General"/>
          <w:gallery w:val="placeholder"/>
        </w:category>
        <w:types>
          <w:type w:val="bbPlcHdr"/>
        </w:types>
        <w:behaviors>
          <w:behavior w:val="content"/>
        </w:behaviors>
        <w:guid w:val="{8AE4FB51-4BEC-48EA-8C1F-B8A69A5EB432}"/>
      </w:docPartPr>
      <w:docPartBody>
        <w:p w:rsidR="00CF6CD1" w:rsidRDefault="00AD1927">
          <w:pPr>
            <w:pStyle w:val="E9A3F1575EA74C4A909CD760EC1573F5"/>
          </w:pPr>
          <w:r w:rsidRPr="002A0FDF">
            <w:rPr>
              <w:rStyle w:val="PlaceholderText"/>
            </w:rPr>
            <w:t>Choose a building block.</w:t>
          </w:r>
        </w:p>
      </w:docPartBody>
    </w:docPart>
    <w:docPart>
      <w:docPartPr>
        <w:name w:val="E30172DDBF4F456080E11F8BCF4A5320"/>
        <w:category>
          <w:name w:val="General"/>
          <w:gallery w:val="placeholder"/>
        </w:category>
        <w:types>
          <w:type w:val="bbPlcHdr"/>
        </w:types>
        <w:behaviors>
          <w:behavior w:val="content"/>
        </w:behaviors>
        <w:guid w:val="{7ECE4623-16C8-466F-9781-850A3BD6867A}"/>
      </w:docPartPr>
      <w:docPartBody>
        <w:p w:rsidR="00CF6CD1" w:rsidRDefault="00AD1927">
          <w:pPr>
            <w:pStyle w:val="E30172DDBF4F456080E11F8BCF4A5320"/>
          </w:pPr>
          <w:r w:rsidRPr="006E09BE">
            <w:rPr>
              <w:rStyle w:val="PlaceholderText"/>
            </w:rPr>
            <w:t>Click here to enter text.</w:t>
          </w:r>
        </w:p>
      </w:docPartBody>
    </w:docPart>
    <w:docPart>
      <w:docPartPr>
        <w:name w:val="5DD11FCAC1514F448721D53F5E375A7E"/>
        <w:category>
          <w:name w:val="General"/>
          <w:gallery w:val="placeholder"/>
        </w:category>
        <w:types>
          <w:type w:val="bbPlcHdr"/>
        </w:types>
        <w:behaviors>
          <w:behavior w:val="content"/>
        </w:behaviors>
        <w:guid w:val="{8D69BC40-38B1-4B3D-AD59-110E7FF38CE2}"/>
      </w:docPartPr>
      <w:docPartBody>
        <w:p w:rsidR="00CF6CD1" w:rsidRDefault="00AD1927">
          <w:pPr>
            <w:pStyle w:val="5DD11FCAC1514F448721D53F5E375A7E"/>
          </w:pPr>
          <w:r w:rsidRPr="00E56144">
            <w:rPr>
              <w:rStyle w:val="PlaceholderText"/>
            </w:rPr>
            <w:t>.</w:t>
          </w:r>
        </w:p>
      </w:docPartBody>
    </w:docPart>
    <w:docPart>
      <w:docPartPr>
        <w:name w:val="DFCDF2F918704F768E5FCD72C74D5337"/>
        <w:category>
          <w:name w:val="General"/>
          <w:gallery w:val="placeholder"/>
        </w:category>
        <w:types>
          <w:type w:val="bbPlcHdr"/>
        </w:types>
        <w:behaviors>
          <w:behavior w:val="content"/>
        </w:behaviors>
        <w:guid w:val="{48D95294-EF78-47D3-AE83-4C514BE55EA5}"/>
      </w:docPartPr>
      <w:docPartBody>
        <w:p w:rsidR="00CF6CD1" w:rsidRDefault="00AD1927">
          <w:pPr>
            <w:pStyle w:val="DFCDF2F918704F768E5FCD72C74D5337"/>
          </w:pPr>
          <w:r w:rsidRPr="006E09BE">
            <w:rPr>
              <w:rStyle w:val="PlaceholderText"/>
            </w:rPr>
            <w:t>Choose a building block.</w:t>
          </w:r>
        </w:p>
      </w:docPartBody>
    </w:docPart>
    <w:docPart>
      <w:docPartPr>
        <w:name w:val="4E61EA1C195F4419822603011D4D5185"/>
        <w:category>
          <w:name w:val="General"/>
          <w:gallery w:val="placeholder"/>
        </w:category>
        <w:types>
          <w:type w:val="bbPlcHdr"/>
        </w:types>
        <w:behaviors>
          <w:behavior w:val="content"/>
        </w:behaviors>
        <w:guid w:val="{4A5E5288-6396-4869-A10A-83D9EBC78095}"/>
      </w:docPartPr>
      <w:docPartBody>
        <w:p w:rsidR="00CF6CD1" w:rsidRDefault="00AD1927">
          <w:pPr>
            <w:pStyle w:val="4E61EA1C195F4419822603011D4D5185"/>
          </w:pPr>
          <w:r w:rsidRPr="005D088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927"/>
    <w:rsid w:val="001E01DD"/>
    <w:rsid w:val="00650000"/>
    <w:rsid w:val="008F4D0E"/>
    <w:rsid w:val="00AD1927"/>
    <w:rsid w:val="00BB1FD2"/>
    <w:rsid w:val="00CF6CD1"/>
    <w:rsid w:val="00E81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8E24AE5F4574AAAA0851472B19E57A4">
    <w:name w:val="18E24AE5F4574AAAA0851472B19E57A4"/>
  </w:style>
  <w:style w:type="paragraph" w:customStyle="1" w:styleId="97F55BDF867B4CDEBB45AEE29F10F3AD">
    <w:name w:val="97F55BDF867B4CDEBB45AEE29F10F3AD"/>
  </w:style>
  <w:style w:type="paragraph" w:customStyle="1" w:styleId="76126B5A7CA04545BC161F3583888D86">
    <w:name w:val="76126B5A7CA04545BC161F3583888D86"/>
  </w:style>
  <w:style w:type="paragraph" w:customStyle="1" w:styleId="17674C742517402C8999B15056C8742D">
    <w:name w:val="17674C742517402C8999B15056C8742D"/>
  </w:style>
  <w:style w:type="paragraph" w:customStyle="1" w:styleId="398F3747C8BD4FE28C9C39A8EBAF9E55">
    <w:name w:val="398F3747C8BD4FE28C9C39A8EBAF9E55"/>
  </w:style>
  <w:style w:type="paragraph" w:customStyle="1" w:styleId="271F297EF7E545A29425F9CD7C4D687D">
    <w:name w:val="271F297EF7E545A29425F9CD7C4D687D"/>
  </w:style>
  <w:style w:type="paragraph" w:customStyle="1" w:styleId="43A6EFB5D8F44706A7FCD98D4EBD15B7">
    <w:name w:val="43A6EFB5D8F44706A7FCD98D4EBD15B7"/>
  </w:style>
  <w:style w:type="paragraph" w:customStyle="1" w:styleId="4EB48DF487224B5F8AD33F55632FECCE">
    <w:name w:val="4EB48DF487224B5F8AD33F55632FECCE"/>
  </w:style>
  <w:style w:type="paragraph" w:customStyle="1" w:styleId="4167543B0C544DBA814E82D63AD4681D">
    <w:name w:val="4167543B0C544DBA814E82D63AD4681D"/>
  </w:style>
  <w:style w:type="paragraph" w:customStyle="1" w:styleId="27EFB1639AE74E149ED7B135149CD486">
    <w:name w:val="27EFB1639AE74E149ED7B135149CD486"/>
  </w:style>
  <w:style w:type="character" w:styleId="Strong">
    <w:name w:val="Strong"/>
    <w:basedOn w:val="DefaultParagraphFont"/>
    <w:uiPriority w:val="22"/>
    <w:qFormat/>
    <w:rPr>
      <w:b/>
      <w:bCs/>
    </w:rPr>
  </w:style>
  <w:style w:type="paragraph" w:customStyle="1" w:styleId="FE6B66D0D2244C38A3A5E78DB97A64A5">
    <w:name w:val="FE6B66D0D2244C38A3A5E78DB97A64A5"/>
  </w:style>
  <w:style w:type="paragraph" w:customStyle="1" w:styleId="F89681ED65444AD8951B5BC1143EE345">
    <w:name w:val="F89681ED65444AD8951B5BC1143EE345"/>
  </w:style>
  <w:style w:type="paragraph" w:customStyle="1" w:styleId="DEF83CCFD2984EBDA46CD6524C1076F5">
    <w:name w:val="DEF83CCFD2984EBDA46CD6524C1076F5"/>
  </w:style>
  <w:style w:type="paragraph" w:customStyle="1" w:styleId="A8B13723D183468FA9617C80EB5777D2">
    <w:name w:val="A8B13723D183468FA9617C80EB5777D2"/>
  </w:style>
  <w:style w:type="paragraph" w:customStyle="1" w:styleId="E1B75A36695D4C38A2CE2263AF151069">
    <w:name w:val="E1B75A36695D4C38A2CE2263AF151069"/>
  </w:style>
  <w:style w:type="paragraph" w:customStyle="1" w:styleId="CCBE06CB83B943B9A5871B0F5AA3999A">
    <w:name w:val="CCBE06CB83B943B9A5871B0F5AA3999A"/>
  </w:style>
  <w:style w:type="paragraph" w:customStyle="1" w:styleId="1380026D0D66456EB65C42F4C95AAE62">
    <w:name w:val="1380026D0D66456EB65C42F4C95AAE62"/>
  </w:style>
  <w:style w:type="paragraph" w:customStyle="1" w:styleId="0D7ABB19798D4B8896BF25C071310754">
    <w:name w:val="0D7ABB19798D4B8896BF25C071310754"/>
  </w:style>
  <w:style w:type="paragraph" w:customStyle="1" w:styleId="1361E9762F904EE6A86EB29CC4B19EB3">
    <w:name w:val="1361E9762F904EE6A86EB29CC4B19EB3"/>
  </w:style>
  <w:style w:type="paragraph" w:customStyle="1" w:styleId="317559F630F34BF295F4A3EAD9E134B9">
    <w:name w:val="317559F630F34BF295F4A3EAD9E134B9"/>
  </w:style>
  <w:style w:type="paragraph" w:customStyle="1" w:styleId="A4833A4F14DB42A695F8A9B772130F94">
    <w:name w:val="A4833A4F14DB42A695F8A9B772130F94"/>
  </w:style>
  <w:style w:type="paragraph" w:customStyle="1" w:styleId="50B320B481BB490EACF48C841090B87E">
    <w:name w:val="50B320B481BB490EACF48C841090B87E"/>
  </w:style>
  <w:style w:type="paragraph" w:customStyle="1" w:styleId="DD97BA0B501D42FA9FE3BCE44261CEBD">
    <w:name w:val="DD97BA0B501D42FA9FE3BCE44261CEBD"/>
  </w:style>
  <w:style w:type="paragraph" w:customStyle="1" w:styleId="6555993862A540F78E02953CC5C69094">
    <w:name w:val="6555993862A540F78E02953CC5C69094"/>
  </w:style>
  <w:style w:type="paragraph" w:customStyle="1" w:styleId="34E192534253465FBBB434CDA782AEEC">
    <w:name w:val="34E192534253465FBBB434CDA782AEEC"/>
  </w:style>
  <w:style w:type="paragraph" w:customStyle="1" w:styleId="0C39E7CE231C45BB83B32A721707C313">
    <w:name w:val="0C39E7CE231C45BB83B32A721707C313"/>
  </w:style>
  <w:style w:type="paragraph" w:customStyle="1" w:styleId="0A114152B81F4A4097678AE0DD252C21">
    <w:name w:val="0A114152B81F4A4097678AE0DD252C21"/>
  </w:style>
  <w:style w:type="paragraph" w:customStyle="1" w:styleId="F8C05912296E4BD89582F24A076C4DBC">
    <w:name w:val="F8C05912296E4BD89582F24A076C4DBC"/>
  </w:style>
  <w:style w:type="paragraph" w:customStyle="1" w:styleId="BBACE26354C34820848B33B2BB7BD85D">
    <w:name w:val="BBACE26354C34820848B33B2BB7BD85D"/>
  </w:style>
  <w:style w:type="paragraph" w:customStyle="1" w:styleId="E9A3F1575EA74C4A909CD760EC1573F5">
    <w:name w:val="E9A3F1575EA74C4A909CD760EC1573F5"/>
  </w:style>
  <w:style w:type="paragraph" w:customStyle="1" w:styleId="E30172DDBF4F456080E11F8BCF4A5320">
    <w:name w:val="E30172DDBF4F456080E11F8BCF4A5320"/>
  </w:style>
  <w:style w:type="paragraph" w:customStyle="1" w:styleId="5DD11FCAC1514F448721D53F5E375A7E">
    <w:name w:val="5DD11FCAC1514F448721D53F5E375A7E"/>
  </w:style>
  <w:style w:type="paragraph" w:customStyle="1" w:styleId="87723D5BB2034429AF681853B81676CF">
    <w:name w:val="87723D5BB2034429AF681853B81676CF"/>
  </w:style>
  <w:style w:type="paragraph" w:customStyle="1" w:styleId="FE83BFA3686B442B902FACFDCD11B4F6">
    <w:name w:val="FE83BFA3686B442B902FACFDCD11B4F6"/>
  </w:style>
  <w:style w:type="paragraph" w:customStyle="1" w:styleId="6ED9DD0687304E6AAECBBD6F05C7EA2F">
    <w:name w:val="6ED9DD0687304E6AAECBBD6F05C7EA2F"/>
  </w:style>
  <w:style w:type="paragraph" w:customStyle="1" w:styleId="E8584F1E00C2492BB3B32AE926CE1975">
    <w:name w:val="E8584F1E00C2492BB3B32AE926CE1975"/>
  </w:style>
  <w:style w:type="paragraph" w:customStyle="1" w:styleId="38176025FECC47FC94C6F2052B642CA5">
    <w:name w:val="38176025FECC47FC94C6F2052B642CA5"/>
  </w:style>
  <w:style w:type="paragraph" w:customStyle="1" w:styleId="1E54604DFE074D7A9AD783EEC75FE776">
    <w:name w:val="1E54604DFE074D7A9AD783EEC75FE776"/>
  </w:style>
  <w:style w:type="paragraph" w:customStyle="1" w:styleId="E4FEF0F23D7048D1A94E63B751A6293C">
    <w:name w:val="E4FEF0F23D7048D1A94E63B751A6293C"/>
  </w:style>
  <w:style w:type="paragraph" w:customStyle="1" w:styleId="46A9FB503E5A42ADA051438F863E4D60">
    <w:name w:val="46A9FB503E5A42ADA051438F863E4D60"/>
  </w:style>
  <w:style w:type="paragraph" w:customStyle="1" w:styleId="A10DB6534C224C24A89C2F862BF568CC">
    <w:name w:val="A10DB6534C224C24A89C2F862BF568CC"/>
  </w:style>
  <w:style w:type="paragraph" w:customStyle="1" w:styleId="DFCDF2F918704F768E5FCD72C74D5337">
    <w:name w:val="DFCDF2F918704F768E5FCD72C74D5337"/>
  </w:style>
  <w:style w:type="paragraph" w:customStyle="1" w:styleId="4E61EA1C195F4419822603011D4D5185">
    <w:name w:val="4E61EA1C195F4419822603011D4D51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63CC2-0D53-4101-8778-C3F857724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Appeal Template</Template>
  <TotalTime>3</TotalTime>
  <Pages>19</Pages>
  <Words>5817</Words>
  <Characters>33158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Marie-Claire Julie</dc:creator>
  <cp:lastModifiedBy>Mathilda Twomey</cp:lastModifiedBy>
  <cp:revision>2</cp:revision>
  <cp:lastPrinted>2019-12-16T09:18:00Z</cp:lastPrinted>
  <dcterms:created xsi:type="dcterms:W3CDTF">2019-12-16T09:21:00Z</dcterms:created>
  <dcterms:modified xsi:type="dcterms:W3CDTF">2019-12-16T09:21:00Z</dcterms:modified>
</cp:coreProperties>
</file>