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D854B1"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COURT OF APPEAL</w:t>
      </w:r>
      <w:r w:rsidR="001D33D2" w:rsidRPr="004A2599">
        <w:rPr>
          <w:rFonts w:ascii="Times New Roman" w:hAnsi="Times New Roman" w:cs="Times New Roman"/>
          <w:b/>
          <w:sz w:val="24"/>
          <w:szCs w:val="24"/>
        </w:rPr>
        <w:t xml:space="preserve">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CC4C21"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D01A26">
        <w:rPr>
          <w:rFonts w:ascii="Times New Roman" w:hAnsi="Times New Roman" w:cs="Times New Roman"/>
          <w:sz w:val="24"/>
          <w:szCs w:val="24"/>
        </w:rPr>
        <w:t>20</w:t>
      </w:r>
      <w:r>
        <w:rPr>
          <w:rFonts w:ascii="Times New Roman" w:hAnsi="Times New Roman" w:cs="Times New Roman"/>
          <w:sz w:val="24"/>
          <w:szCs w:val="24"/>
        </w:rPr>
        <w:t>] SC</w:t>
      </w:r>
      <w:r w:rsidR="00821506">
        <w:rPr>
          <w:rFonts w:ascii="Times New Roman" w:hAnsi="Times New Roman" w:cs="Times New Roman"/>
          <w:sz w:val="24"/>
          <w:szCs w:val="24"/>
        </w:rPr>
        <w:t>CA</w:t>
      </w:r>
      <w:r>
        <w:rPr>
          <w:rFonts w:ascii="Times New Roman" w:hAnsi="Times New Roman" w:cs="Times New Roman"/>
          <w:sz w:val="24"/>
          <w:szCs w:val="24"/>
        </w:rPr>
        <w:t xml:space="preserve"> …</w:t>
      </w:r>
    </w:p>
    <w:p w:rsidR="002E2AE3" w:rsidRPr="004A2599" w:rsidRDefault="006F5ABA"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w:t>
      </w:r>
      <w:r w:rsidR="0024493D">
        <w:rPr>
          <w:rFonts w:ascii="Times New Roman" w:hAnsi="Times New Roman" w:cs="Times New Roman"/>
          <w:sz w:val="24"/>
          <w:szCs w:val="24"/>
        </w:rPr>
        <w:t>7</w:t>
      </w:r>
      <w:r w:rsidR="002E2AE3" w:rsidRPr="004A2599">
        <w:rPr>
          <w:rFonts w:ascii="Times New Roman" w:hAnsi="Times New Roman" w:cs="Times New Roman"/>
          <w:sz w:val="24"/>
          <w:szCs w:val="24"/>
        </w:rPr>
        <w:t>/20</w:t>
      </w:r>
      <w:r>
        <w:rPr>
          <w:rFonts w:ascii="Times New Roman" w:hAnsi="Times New Roman" w:cs="Times New Roman"/>
          <w:sz w:val="24"/>
          <w:szCs w:val="24"/>
        </w:rPr>
        <w:t>1</w:t>
      </w:r>
      <w:r w:rsidR="0024493D">
        <w:rPr>
          <w:rFonts w:ascii="Times New Roman" w:hAnsi="Times New Roman" w:cs="Times New Roman"/>
          <w:sz w:val="24"/>
          <w:szCs w:val="24"/>
        </w:rPr>
        <w:t>8</w:t>
      </w:r>
      <w:r>
        <w:rPr>
          <w:rFonts w:ascii="Times New Roman" w:hAnsi="Times New Roman" w:cs="Times New Roman"/>
          <w:sz w:val="24"/>
          <w:szCs w:val="24"/>
        </w:rPr>
        <w:t xml:space="preserve"> </w:t>
      </w:r>
    </w:p>
    <w:p w:rsidR="006A68E2" w:rsidRPr="004A2599" w:rsidRDefault="006A68E2" w:rsidP="00483C69">
      <w:pPr>
        <w:tabs>
          <w:tab w:val="left" w:pos="5670"/>
        </w:tabs>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rsidR="0024493D" w:rsidRDefault="00483C69" w:rsidP="00483C69">
      <w:pPr>
        <w:pStyle w:val="Partynames"/>
      </w:pPr>
      <w:r>
        <w:t xml:space="preserve">1. </w:t>
      </w:r>
      <w:r w:rsidR="0024493D">
        <w:t>LUCILLE ALBERT</w:t>
      </w:r>
    </w:p>
    <w:p w:rsidR="002E2AE3" w:rsidRPr="00214DB4" w:rsidRDefault="00483C69" w:rsidP="00483C69">
      <w:pPr>
        <w:pStyle w:val="Partynames"/>
      </w:pPr>
      <w:r>
        <w:t xml:space="preserve">2. </w:t>
      </w:r>
      <w:r w:rsidR="0024493D">
        <w:t>RENNIC MATHIOT</w:t>
      </w:r>
      <w:r w:rsidR="006F5ABA">
        <w:tab/>
        <w:t>Appellant</w:t>
      </w:r>
      <w:r w:rsidR="0024493D">
        <w:t>s</w:t>
      </w:r>
      <w:r w:rsidR="006F5ABA" w:rsidRPr="00214DB4">
        <w:tab/>
      </w:r>
    </w:p>
    <w:p w:rsidR="002E2AE3" w:rsidRPr="00214DB4" w:rsidRDefault="002E2AE3" w:rsidP="00214DB4">
      <w:pPr>
        <w:pStyle w:val="Attorneysnames"/>
      </w:pPr>
      <w:r w:rsidRPr="00214DB4">
        <w:t>(</w:t>
      </w:r>
      <w:proofErr w:type="gramStart"/>
      <w:r w:rsidRPr="00214DB4">
        <w:t>rep</w:t>
      </w:r>
      <w:proofErr w:type="gramEnd"/>
      <w:r w:rsidRPr="00214DB4">
        <w:t>.</w:t>
      </w:r>
      <w:r w:rsidR="006F5ABA">
        <w:t xml:space="preserve"> by </w:t>
      </w:r>
      <w:r w:rsidR="0024493D">
        <w:t>Clifford Andre</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4493D" w:rsidP="00214DB4">
      <w:pPr>
        <w:tabs>
          <w:tab w:val="left" w:pos="540"/>
          <w:tab w:val="left" w:pos="4092"/>
          <w:tab w:val="left" w:pos="5580"/>
        </w:tabs>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2D4EB8" w:rsidRPr="004A2599">
        <w:rPr>
          <w:rFonts w:ascii="Times New Roman" w:hAnsi="Times New Roman" w:cs="Times New Roman"/>
          <w:sz w:val="24"/>
          <w:szCs w:val="24"/>
        </w:rPr>
        <w:t>and</w:t>
      </w:r>
      <w:proofErr w:type="gramEnd"/>
    </w:p>
    <w:p w:rsidR="00F33B83" w:rsidRPr="006F5ABA"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6F5ABA" w:rsidRDefault="0024493D" w:rsidP="00214DB4">
      <w:pPr>
        <w:pStyle w:val="Partynames"/>
      </w:pPr>
      <w:r>
        <w:t>SALLY VIELLE</w:t>
      </w:r>
      <w:r w:rsidR="002E2AE3" w:rsidRPr="006F5ABA">
        <w:tab/>
      </w:r>
      <w:r w:rsidR="006F5ABA" w:rsidRPr="006F5ABA">
        <w:t>Respondent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6F5ABA">
        <w:rPr>
          <w:rFonts w:ascii="Times New Roman" w:hAnsi="Times New Roman" w:cs="Times New Roman"/>
          <w:i/>
          <w:sz w:val="24"/>
          <w:szCs w:val="24"/>
        </w:rPr>
        <w:t>(</w:t>
      </w:r>
      <w:proofErr w:type="gramStart"/>
      <w:r w:rsidRPr="006F5ABA">
        <w:rPr>
          <w:rFonts w:ascii="Times New Roman" w:hAnsi="Times New Roman" w:cs="Times New Roman"/>
          <w:i/>
          <w:sz w:val="24"/>
          <w:szCs w:val="24"/>
        </w:rPr>
        <w:t>rep</w:t>
      </w:r>
      <w:proofErr w:type="gramEnd"/>
      <w:r w:rsidRPr="006F5ABA">
        <w:rPr>
          <w:rFonts w:ascii="Times New Roman" w:hAnsi="Times New Roman" w:cs="Times New Roman"/>
          <w:i/>
          <w:sz w:val="24"/>
          <w:szCs w:val="24"/>
        </w:rPr>
        <w:t xml:space="preserve">. by </w:t>
      </w:r>
      <w:r w:rsidR="0024493D">
        <w:rPr>
          <w:rFonts w:ascii="Times New Roman" w:hAnsi="Times New Roman" w:cs="Times New Roman"/>
          <w:i/>
          <w:sz w:val="24"/>
          <w:szCs w:val="24"/>
        </w:rPr>
        <w:t>Frank Elizabeth</w:t>
      </w:r>
      <w:r w:rsidRPr="004A2599">
        <w:rPr>
          <w:rFonts w:ascii="Times New Roman" w:hAnsi="Times New Roman" w:cs="Times New Roman"/>
          <w:i/>
          <w:sz w:val="24"/>
          <w:szCs w:val="24"/>
        </w:rPr>
        <w:t>)</w:t>
      </w:r>
    </w:p>
    <w:p w:rsidR="00BB1A3E" w:rsidRPr="00BB1A3E" w:rsidRDefault="00BB1A3E" w:rsidP="008821CA">
      <w:pPr>
        <w:pBdr>
          <w:bottom w:val="single" w:sz="4" w:space="0"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050392">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24493D">
        <w:rPr>
          <w:rFonts w:ascii="Times New Roman" w:hAnsi="Times New Roman" w:cs="Times New Roman"/>
          <w:i/>
          <w:sz w:val="24"/>
          <w:szCs w:val="24"/>
        </w:rPr>
        <w:t xml:space="preserve">Albert &amp; </w:t>
      </w:r>
      <w:proofErr w:type="spellStart"/>
      <w:r w:rsidR="0024493D">
        <w:rPr>
          <w:rFonts w:ascii="Times New Roman" w:hAnsi="Times New Roman" w:cs="Times New Roman"/>
          <w:i/>
          <w:sz w:val="24"/>
          <w:szCs w:val="24"/>
        </w:rPr>
        <w:t>anor</w:t>
      </w:r>
      <w:proofErr w:type="spellEnd"/>
      <w:r w:rsidR="0024493D">
        <w:rPr>
          <w:rFonts w:ascii="Times New Roman" w:hAnsi="Times New Roman" w:cs="Times New Roman"/>
          <w:i/>
          <w:sz w:val="24"/>
          <w:szCs w:val="24"/>
        </w:rPr>
        <w:t xml:space="preserve"> v Vielle</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6F5ABA" w:rsidRPr="006F5ABA">
        <w:rPr>
          <w:rFonts w:ascii="Times New Roman" w:hAnsi="Times New Roman" w:cs="Times New Roman"/>
          <w:sz w:val="24"/>
          <w:szCs w:val="24"/>
        </w:rPr>
        <w:t>SCA</w:t>
      </w:r>
      <w:r w:rsidR="0024493D">
        <w:rPr>
          <w:rFonts w:ascii="Times New Roman" w:hAnsi="Times New Roman" w:cs="Times New Roman"/>
          <w:sz w:val="24"/>
          <w:szCs w:val="24"/>
        </w:rPr>
        <w:t>7</w:t>
      </w:r>
      <w:r w:rsidR="006F5ABA" w:rsidRPr="006F5ABA">
        <w:rPr>
          <w:rFonts w:ascii="Times New Roman" w:hAnsi="Times New Roman" w:cs="Times New Roman"/>
          <w:sz w:val="24"/>
          <w:szCs w:val="24"/>
        </w:rPr>
        <w:t>/201</w:t>
      </w:r>
      <w:r w:rsidR="0024493D">
        <w:rPr>
          <w:rFonts w:ascii="Times New Roman" w:hAnsi="Times New Roman" w:cs="Times New Roman"/>
          <w:sz w:val="24"/>
          <w:szCs w:val="24"/>
        </w:rPr>
        <w:t>8</w:t>
      </w:r>
      <w:r w:rsidR="00B837E4">
        <w:rPr>
          <w:rFonts w:ascii="Times New Roman" w:hAnsi="Times New Roman" w:cs="Times New Roman"/>
          <w:sz w:val="24"/>
          <w:szCs w:val="24"/>
        </w:rPr>
        <w:t>) [20</w:t>
      </w:r>
      <w:r w:rsidR="006F5ABA">
        <w:rPr>
          <w:rFonts w:ascii="Times New Roman" w:hAnsi="Times New Roman" w:cs="Times New Roman"/>
          <w:sz w:val="24"/>
          <w:szCs w:val="24"/>
        </w:rPr>
        <w:t>2</w:t>
      </w:r>
      <w:r w:rsidR="0024493D">
        <w:rPr>
          <w:rFonts w:ascii="Times New Roman" w:hAnsi="Times New Roman" w:cs="Times New Roman"/>
          <w:sz w:val="24"/>
          <w:szCs w:val="24"/>
        </w:rPr>
        <w:t>0</w:t>
      </w:r>
      <w:r w:rsidR="00D31F1B" w:rsidRPr="004A2599">
        <w:rPr>
          <w:rFonts w:ascii="Times New Roman" w:hAnsi="Times New Roman" w:cs="Times New Roman"/>
          <w:sz w:val="24"/>
          <w:szCs w:val="24"/>
        </w:rPr>
        <w:t>] SC</w:t>
      </w:r>
      <w:r w:rsidR="002F6B9B">
        <w:rPr>
          <w:rFonts w:ascii="Times New Roman" w:hAnsi="Times New Roman" w:cs="Times New Roman"/>
          <w:sz w:val="24"/>
          <w:szCs w:val="24"/>
        </w:rPr>
        <w:t>CA</w:t>
      </w:r>
      <w:bookmarkStart w:id="0" w:name="_GoBack"/>
      <w:bookmarkEnd w:id="0"/>
      <w:r w:rsidR="00D31F1B" w:rsidRPr="004A2599">
        <w:rPr>
          <w:rFonts w:ascii="Times New Roman" w:hAnsi="Times New Roman" w:cs="Times New Roman"/>
          <w:sz w:val="24"/>
          <w:szCs w:val="24"/>
        </w:rPr>
        <w:t xml:space="preserve"> </w:t>
      </w:r>
      <w:r w:rsidR="00877F00">
        <w:rPr>
          <w:rFonts w:ascii="Times New Roman" w:hAnsi="Times New Roman" w:cs="Times New Roman"/>
          <w:sz w:val="24"/>
          <w:szCs w:val="24"/>
        </w:rPr>
        <w:t xml:space="preserve">  </w:t>
      </w:r>
      <w:r w:rsidR="001500CF">
        <w:rPr>
          <w:rFonts w:ascii="Times New Roman" w:hAnsi="Times New Roman" w:cs="Times New Roman"/>
          <w:sz w:val="24"/>
          <w:szCs w:val="24"/>
        </w:rPr>
        <w:t xml:space="preserve"> </w:t>
      </w:r>
      <w:r w:rsidR="00877F00">
        <w:rPr>
          <w:rFonts w:ascii="Times New Roman" w:hAnsi="Times New Roman" w:cs="Times New Roman"/>
          <w:sz w:val="24"/>
          <w:szCs w:val="24"/>
        </w:rPr>
        <w:t xml:space="preserve"> </w:t>
      </w:r>
      <w:r w:rsidR="00050392">
        <w:rPr>
          <w:rFonts w:ascii="Times New Roman" w:hAnsi="Times New Roman" w:cs="Times New Roman"/>
          <w:sz w:val="24"/>
          <w:szCs w:val="24"/>
        </w:rPr>
        <w:t xml:space="preserve"> </w:t>
      </w:r>
      <w:r w:rsidR="006F5ABA">
        <w:rPr>
          <w:rFonts w:ascii="Times New Roman" w:hAnsi="Times New Roman" w:cs="Times New Roman"/>
          <w:sz w:val="24"/>
          <w:szCs w:val="24"/>
        </w:rPr>
        <w:t>21 August</w:t>
      </w:r>
      <w:r w:rsidR="00B837E4">
        <w:rPr>
          <w:rFonts w:ascii="Times New Roman" w:hAnsi="Times New Roman" w:cs="Times New Roman"/>
          <w:sz w:val="24"/>
          <w:szCs w:val="24"/>
        </w:rPr>
        <w:t xml:space="preserve"> 20</w:t>
      </w:r>
      <w:r w:rsidR="00D01A26">
        <w:rPr>
          <w:rFonts w:ascii="Times New Roman" w:hAnsi="Times New Roman" w:cs="Times New Roman"/>
          <w:sz w:val="24"/>
          <w:szCs w:val="24"/>
        </w:rPr>
        <w:t>20</w:t>
      </w:r>
    </w:p>
    <w:p w:rsidR="0024493D"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4493D" w:rsidRPr="0024493D">
        <w:rPr>
          <w:rFonts w:ascii="Times New Roman" w:hAnsi="Times New Roman" w:cs="Times New Roman"/>
          <w:sz w:val="24"/>
          <w:szCs w:val="24"/>
        </w:rPr>
        <w:t>Fernando PCA,</w:t>
      </w:r>
      <w:r w:rsidR="0024493D">
        <w:rPr>
          <w:rFonts w:ascii="Times New Roman" w:hAnsi="Times New Roman" w:cs="Times New Roman"/>
          <w:b/>
          <w:sz w:val="24"/>
          <w:szCs w:val="24"/>
        </w:rPr>
        <w:t xml:space="preserve"> </w:t>
      </w:r>
      <w:r w:rsidR="002E2AE3" w:rsidRPr="00F33B83">
        <w:rPr>
          <w:rFonts w:ascii="Times New Roman" w:hAnsi="Times New Roman" w:cs="Times New Roman"/>
          <w:sz w:val="24"/>
          <w:szCs w:val="24"/>
        </w:rPr>
        <w:t xml:space="preserve">Twomey </w:t>
      </w:r>
      <w:r w:rsidR="006F5ABA">
        <w:rPr>
          <w:rFonts w:ascii="Times New Roman" w:hAnsi="Times New Roman" w:cs="Times New Roman"/>
          <w:sz w:val="24"/>
          <w:szCs w:val="24"/>
        </w:rPr>
        <w:t xml:space="preserve">JA, Robinson JA </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24493D">
        <w:rPr>
          <w:rFonts w:ascii="Times New Roman" w:hAnsi="Times New Roman" w:cs="Times New Roman"/>
          <w:sz w:val="24"/>
          <w:szCs w:val="24"/>
        </w:rPr>
        <w:t xml:space="preserve">nuisance- noise- troubles du </w:t>
      </w:r>
      <w:proofErr w:type="spellStart"/>
      <w:r w:rsidR="0024493D">
        <w:rPr>
          <w:rFonts w:ascii="Times New Roman" w:hAnsi="Times New Roman" w:cs="Times New Roman"/>
          <w:sz w:val="24"/>
          <w:szCs w:val="24"/>
        </w:rPr>
        <w:t>voisinage</w:t>
      </w:r>
      <w:proofErr w:type="spellEnd"/>
      <w:r w:rsidR="0024493D">
        <w:rPr>
          <w:rFonts w:ascii="Times New Roman" w:hAnsi="Times New Roman" w:cs="Times New Roman"/>
          <w:sz w:val="24"/>
          <w:szCs w:val="24"/>
        </w:rPr>
        <w:t>- as</w:t>
      </w:r>
      <w:r w:rsidR="001500CF">
        <w:rPr>
          <w:rFonts w:ascii="Times New Roman" w:hAnsi="Times New Roman" w:cs="Times New Roman"/>
          <w:sz w:val="24"/>
          <w:szCs w:val="24"/>
        </w:rPr>
        <w:t>s</w:t>
      </w:r>
      <w:r w:rsidR="0024493D">
        <w:rPr>
          <w:rFonts w:ascii="Times New Roman" w:hAnsi="Times New Roman" w:cs="Times New Roman"/>
          <w:sz w:val="24"/>
          <w:szCs w:val="24"/>
        </w:rPr>
        <w:t>essment</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24493D">
        <w:rPr>
          <w:rFonts w:ascii="Times New Roman" w:hAnsi="Times New Roman" w:cs="Times New Roman"/>
          <w:sz w:val="24"/>
          <w:szCs w:val="24"/>
        </w:rPr>
        <w:t>7</w:t>
      </w:r>
      <w:r w:rsidR="006F5ABA">
        <w:rPr>
          <w:rFonts w:ascii="Times New Roman" w:hAnsi="Times New Roman" w:cs="Times New Roman"/>
          <w:sz w:val="24"/>
          <w:szCs w:val="24"/>
        </w:rPr>
        <w:t xml:space="preserve"> August 2020</w:t>
      </w:r>
      <w:r w:rsidR="00D01A26">
        <w:rPr>
          <w:rFonts w:ascii="Times New Roman" w:hAnsi="Times New Roman" w:cs="Times New Roman"/>
          <w:sz w:val="24"/>
          <w:szCs w:val="24"/>
        </w:rPr>
        <w:t xml:space="preserve"> </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6F5ABA">
        <w:rPr>
          <w:rFonts w:ascii="Times New Roman" w:hAnsi="Times New Roman" w:cs="Times New Roman"/>
          <w:sz w:val="24"/>
          <w:szCs w:val="24"/>
        </w:rPr>
        <w:t>21</w:t>
      </w:r>
      <w:r w:rsidR="00D01A26">
        <w:rPr>
          <w:rFonts w:ascii="Times New Roman" w:hAnsi="Times New Roman" w:cs="Times New Roman"/>
          <w:sz w:val="24"/>
          <w:szCs w:val="24"/>
        </w:rPr>
        <w:t xml:space="preserve"> </w:t>
      </w:r>
      <w:r w:rsidR="006F5ABA">
        <w:rPr>
          <w:rFonts w:ascii="Times New Roman" w:hAnsi="Times New Roman" w:cs="Times New Roman"/>
          <w:sz w:val="24"/>
          <w:szCs w:val="24"/>
        </w:rPr>
        <w:t xml:space="preserve">August </w:t>
      </w:r>
      <w:r w:rsidR="00D01A26">
        <w:rPr>
          <w:rFonts w:ascii="Times New Roman" w:hAnsi="Times New Roman" w:cs="Times New Roman"/>
          <w:sz w:val="24"/>
          <w:szCs w:val="24"/>
        </w:rPr>
        <w:t>20</w:t>
      </w:r>
      <w:r w:rsidR="006F5ABA">
        <w:rPr>
          <w:rFonts w:ascii="Times New Roman" w:hAnsi="Times New Roman" w:cs="Times New Roman"/>
          <w:sz w:val="24"/>
          <w:szCs w:val="24"/>
        </w:rPr>
        <w:t>20</w:t>
      </w:r>
    </w:p>
    <w:p w:rsid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0D6415" w:rsidRDefault="006F5ABA" w:rsidP="000D6415">
      <w:pPr>
        <w:pBdr>
          <w:top w:val="single" w:sz="4" w:space="1" w:color="auto"/>
          <w:bottom w:val="single" w:sz="4" w:space="1" w:color="auto"/>
        </w:pBdr>
        <w:tabs>
          <w:tab w:val="left" w:pos="2892"/>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ORDER</w:t>
      </w:r>
    </w:p>
    <w:p w:rsidR="0016071D" w:rsidRPr="0016071D" w:rsidRDefault="0016071D" w:rsidP="0016071D">
      <w:pPr>
        <w:pBdr>
          <w:top w:val="single" w:sz="4" w:space="1" w:color="auto"/>
          <w:bottom w:val="single" w:sz="4" w:space="1" w:color="auto"/>
        </w:pBdr>
        <w:tabs>
          <w:tab w:val="left" w:pos="2892"/>
        </w:tabs>
        <w:spacing w:after="0" w:line="276" w:lineRule="auto"/>
        <w:jc w:val="both"/>
        <w:rPr>
          <w:rFonts w:ascii="Times New Roman" w:hAnsi="Times New Roman" w:cs="Times New Roman"/>
          <w:sz w:val="24"/>
          <w:szCs w:val="24"/>
        </w:rPr>
      </w:pPr>
      <w:r w:rsidRPr="0016071D">
        <w:rPr>
          <w:rFonts w:ascii="Times New Roman" w:hAnsi="Times New Roman" w:cs="Times New Roman"/>
          <w:sz w:val="24"/>
          <w:szCs w:val="24"/>
        </w:rPr>
        <w:t xml:space="preserve">The appeal </w:t>
      </w:r>
      <w:proofErr w:type="gramStart"/>
      <w:r w:rsidRPr="0016071D">
        <w:rPr>
          <w:rFonts w:ascii="Times New Roman" w:hAnsi="Times New Roman" w:cs="Times New Roman"/>
          <w:sz w:val="24"/>
          <w:szCs w:val="24"/>
        </w:rPr>
        <w:t>is therefore dismissed</w:t>
      </w:r>
      <w:proofErr w:type="gramEnd"/>
      <w:r w:rsidRPr="0016071D">
        <w:rPr>
          <w:rFonts w:ascii="Times New Roman" w:hAnsi="Times New Roman" w:cs="Times New Roman"/>
          <w:sz w:val="24"/>
          <w:szCs w:val="24"/>
        </w:rPr>
        <w:t xml:space="preserve"> in its entirety with costs to the Respondents.</w:t>
      </w:r>
    </w:p>
    <w:p w:rsidR="000D6415" w:rsidRPr="006F5ABA" w:rsidRDefault="000D6415"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6F5ABA" w:rsidRDefault="006F5ABA" w:rsidP="006F5ABA">
      <w:pPr>
        <w:jc w:val="center"/>
        <w:rPr>
          <w:rFonts w:ascii="Times New Roman" w:hAnsi="Times New Roman" w:cs="Times New Roman"/>
          <w:b/>
          <w:sz w:val="24"/>
          <w:szCs w:val="24"/>
        </w:rPr>
      </w:pPr>
    </w:p>
    <w:p w:rsidR="00722761" w:rsidRPr="006F5ABA" w:rsidRDefault="006F5ABA" w:rsidP="006F5ABA">
      <w:pPr>
        <w:jc w:val="center"/>
        <w:rPr>
          <w:rFonts w:ascii="Times New Roman" w:hAnsi="Times New Roman" w:cs="Times New Roman"/>
          <w:b/>
          <w:sz w:val="24"/>
          <w:szCs w:val="24"/>
        </w:rPr>
      </w:pPr>
      <w:r w:rsidRPr="006F5ABA">
        <w:rPr>
          <w:rFonts w:ascii="Times New Roman" w:hAnsi="Times New Roman" w:cs="Times New Roman"/>
          <w:b/>
          <w:sz w:val="24"/>
          <w:szCs w:val="24"/>
        </w:rPr>
        <w:t>JUDGMENT</w:t>
      </w:r>
    </w:p>
    <w:p w:rsidR="006F5ABA" w:rsidRPr="006F5ABA" w:rsidRDefault="006F5ABA" w:rsidP="005B12AA">
      <w:pPr>
        <w:pStyle w:val="JudgmentText"/>
        <w:numPr>
          <w:ilvl w:val="0"/>
          <w:numId w:val="0"/>
        </w:numPr>
        <w:spacing w:line="480" w:lineRule="auto"/>
        <w:ind w:left="720" w:hanging="720"/>
        <w:rPr>
          <w:b/>
        </w:rPr>
      </w:pPr>
      <w:r w:rsidRPr="006F5ABA">
        <w:rPr>
          <w:b/>
        </w:rPr>
        <w:t>______________________________________________________________________________</w:t>
      </w:r>
    </w:p>
    <w:p w:rsidR="005B12AA" w:rsidRPr="005B12AA" w:rsidRDefault="005B12AA" w:rsidP="005B12AA">
      <w:pPr>
        <w:pStyle w:val="JudgmentText"/>
        <w:numPr>
          <w:ilvl w:val="0"/>
          <w:numId w:val="0"/>
        </w:numPr>
        <w:spacing w:line="480" w:lineRule="auto"/>
        <w:ind w:left="720" w:hanging="720"/>
        <w:rPr>
          <w:b/>
        </w:rPr>
      </w:pPr>
      <w:r w:rsidRPr="005B12AA">
        <w:rPr>
          <w:b/>
        </w:rPr>
        <w:t xml:space="preserve">TWOMEY </w:t>
      </w:r>
      <w:r w:rsidR="006F5ABA">
        <w:rPr>
          <w:b/>
        </w:rPr>
        <w:t>JA</w:t>
      </w:r>
    </w:p>
    <w:p w:rsidR="0024493D" w:rsidRDefault="00DF59FB" w:rsidP="0024493D">
      <w:pPr>
        <w:pStyle w:val="JudgmentText"/>
      </w:pPr>
      <w:r>
        <w:t>The</w:t>
      </w:r>
      <w:r w:rsidR="00483C69">
        <w:t xml:space="preserve"> </w:t>
      </w:r>
      <w:r w:rsidR="0024493D">
        <w:t>Plaintiff</w:t>
      </w:r>
      <w:r w:rsidR="00483C69">
        <w:t xml:space="preserve"> </w:t>
      </w:r>
      <w:r w:rsidR="0024493D">
        <w:t>(now the Respondent) and the Defendants (now the Appellants) were neighbours in a housing estate at Perseverance. During the presidential election campaign at the end of 2015, the Respondent complained that the Appellants w</w:t>
      </w:r>
      <w:r>
        <w:t>ere</w:t>
      </w:r>
      <w:r w:rsidR="0024493D">
        <w:t xml:space="preserve"> </w:t>
      </w:r>
      <w:r w:rsidR="00483C69">
        <w:t xml:space="preserve">repeatedly </w:t>
      </w:r>
      <w:r w:rsidR="0024493D">
        <w:t xml:space="preserve">playing loud music usually with political overtones </w:t>
      </w:r>
      <w:r w:rsidR="00483C69">
        <w:t>causing</w:t>
      </w:r>
      <w:r w:rsidR="0024493D">
        <w:t xml:space="preserve"> serious disturbance to the </w:t>
      </w:r>
      <w:r>
        <w:t>neighbourhood</w:t>
      </w:r>
      <w:r w:rsidR="0024493D">
        <w:t xml:space="preserve">. </w:t>
      </w:r>
    </w:p>
    <w:p w:rsidR="0024493D" w:rsidRDefault="00483C69" w:rsidP="0024493D">
      <w:pPr>
        <w:pStyle w:val="JudgmentText"/>
      </w:pPr>
      <w:r>
        <w:lastRenderedPageBreak/>
        <w:t xml:space="preserve">It was the Respondent’s case that </w:t>
      </w:r>
      <w:r w:rsidR="001500CF">
        <w:t xml:space="preserve">whenever </w:t>
      </w:r>
      <w:r>
        <w:t>c</w:t>
      </w:r>
      <w:r w:rsidR="0024493D">
        <w:t xml:space="preserve">omplaints were made to the </w:t>
      </w:r>
      <w:proofErr w:type="gramStart"/>
      <w:r w:rsidR="0024493D">
        <w:t>police</w:t>
      </w:r>
      <w:r w:rsidR="0076591B">
        <w:t>,</w:t>
      </w:r>
      <w:proofErr w:type="gramEnd"/>
      <w:r w:rsidR="0024493D">
        <w:t xml:space="preserve"> the </w:t>
      </w:r>
      <w:r w:rsidR="0076591B">
        <w:t xml:space="preserve">volume of the </w:t>
      </w:r>
      <w:r w:rsidR="0024493D">
        <w:t xml:space="preserve">music would be turned down as soon as the Appellants would be aware that the police had arrived but as soon as they left it would be turned up again. </w:t>
      </w:r>
    </w:p>
    <w:p w:rsidR="0024493D" w:rsidRDefault="0024493D" w:rsidP="0024493D">
      <w:pPr>
        <w:pStyle w:val="JudgmentText"/>
      </w:pPr>
      <w:r>
        <w:t xml:space="preserve">The Respondent claimed that she was living in a state of constant fear because apart from the loud music, the Second Appellant had attempted to assault a neighbour whom she suspected had reported her </w:t>
      </w:r>
      <w:r w:rsidR="00EA620E">
        <w:t xml:space="preserve">to the police </w:t>
      </w:r>
      <w:r>
        <w:t>about the noise</w:t>
      </w:r>
      <w:r w:rsidR="00EA620E">
        <w:t>.</w:t>
      </w:r>
      <w:r>
        <w:t xml:space="preserve"> After she obtained interim relief by a court order in April 2016 and the subsequent related contempt order, the situation improved. The Respondent therefore prayed for the interim injunction to </w:t>
      </w:r>
      <w:proofErr w:type="gramStart"/>
      <w:r>
        <w:t>be made</w:t>
      </w:r>
      <w:proofErr w:type="gramEnd"/>
      <w:r>
        <w:t xml:space="preserve"> permanent and for damages to be awarded for the inconvenience, anguish and trauma she had been subjected to.</w:t>
      </w:r>
    </w:p>
    <w:p w:rsidR="0024493D" w:rsidRDefault="0024493D" w:rsidP="0024493D">
      <w:pPr>
        <w:pStyle w:val="JudgmentText"/>
      </w:pPr>
      <w:proofErr w:type="gramStart"/>
      <w:r>
        <w:t xml:space="preserve">In his decision in the court a quo, the learned trial judge agreed with the principles adopted in relation to the issue of nuisance in the cases of </w:t>
      </w:r>
      <w:proofErr w:type="spellStart"/>
      <w:r w:rsidRPr="00483C69">
        <w:rPr>
          <w:i/>
        </w:rPr>
        <w:t>Hallock</w:t>
      </w:r>
      <w:proofErr w:type="spellEnd"/>
      <w:r w:rsidRPr="00483C69">
        <w:rPr>
          <w:i/>
        </w:rPr>
        <w:t xml:space="preserve"> v Green</w:t>
      </w:r>
      <w:r>
        <w:t xml:space="preserve"> (1979) SLR 72, </w:t>
      </w:r>
      <w:proofErr w:type="spellStart"/>
      <w:r w:rsidRPr="00483C69">
        <w:rPr>
          <w:i/>
        </w:rPr>
        <w:t>Bouchereau</w:t>
      </w:r>
      <w:proofErr w:type="spellEnd"/>
      <w:r w:rsidRPr="00483C69">
        <w:rPr>
          <w:i/>
        </w:rPr>
        <w:t xml:space="preserve"> v Francois</w:t>
      </w:r>
      <w:r>
        <w:t xml:space="preserve"> (1980) SLR 80, </w:t>
      </w:r>
      <w:r w:rsidRPr="00483C69">
        <w:rPr>
          <w:i/>
        </w:rPr>
        <w:t>De Silva v UCPS</w:t>
      </w:r>
      <w:r>
        <w:t xml:space="preserve"> (1996) SLR 74, </w:t>
      </w:r>
      <w:proofErr w:type="spellStart"/>
      <w:r w:rsidRPr="00483C69">
        <w:rPr>
          <w:i/>
        </w:rPr>
        <w:t>Laporte</w:t>
      </w:r>
      <w:proofErr w:type="spellEnd"/>
      <w:r w:rsidRPr="00483C69">
        <w:rPr>
          <w:i/>
        </w:rPr>
        <w:t xml:space="preserve"> v Berjaya</w:t>
      </w:r>
      <w:r>
        <w:t xml:space="preserve"> (2002-2003) SCAR 135, namely, that the tort of nuisance is proved if the acts complained of exceed the ordinary standards of the </w:t>
      </w:r>
      <w:r w:rsidR="00483C69">
        <w:t>neighbourhood;</w:t>
      </w:r>
      <w:r>
        <w:t xml:space="preserve"> the character of the </w:t>
      </w:r>
      <w:r w:rsidR="00483C69">
        <w:t>neighbourhood</w:t>
      </w:r>
      <w:r>
        <w:t xml:space="preserve"> determines the acceptable duties of each neighbour and is relevant in this assessment</w:t>
      </w:r>
      <w:r w:rsidR="00EA620E">
        <w:t>.</w:t>
      </w:r>
      <w:proofErr w:type="gramEnd"/>
      <w:r>
        <w:t xml:space="preserve"> </w:t>
      </w:r>
      <w:r w:rsidR="00EA620E">
        <w:t xml:space="preserve">There </w:t>
      </w:r>
      <w:r>
        <w:t xml:space="preserve">is no absolute standard for nuisance by noise or smell and it is a question of degree whether the interference with comfort or inconvenience is sufficiently serious to constitute a nuisance. </w:t>
      </w:r>
    </w:p>
    <w:p w:rsidR="0024493D" w:rsidRDefault="0024493D" w:rsidP="0024493D">
      <w:pPr>
        <w:pStyle w:val="JudgmentText"/>
      </w:pPr>
      <w:r>
        <w:t xml:space="preserve">In considering the </w:t>
      </w:r>
      <w:r w:rsidR="00483C69">
        <w:t>above authorities</w:t>
      </w:r>
      <w:r>
        <w:t xml:space="preserve">, the learned trial judge added that noise </w:t>
      </w:r>
      <w:proofErr w:type="gramStart"/>
      <w:r>
        <w:t>can</w:t>
      </w:r>
      <w:proofErr w:type="gramEnd"/>
      <w:r>
        <w:t xml:space="preserve"> become a nuisance if it becomes an unlawful interference with a person’</w:t>
      </w:r>
      <w:r w:rsidR="00483C69">
        <w:t>s</w:t>
      </w:r>
      <w:r>
        <w:t xml:space="preserve"> use or enjoyment of land or of some right over, or in connection with it. He added that the process of determining what level of noise constitutes a nuisance </w:t>
      </w:r>
      <w:proofErr w:type="gramStart"/>
      <w:r>
        <w:t>can</w:t>
      </w:r>
      <w:proofErr w:type="gramEnd"/>
      <w:r>
        <w:t xml:space="preserve"> be quite subjective. Ultimately, he found that the Respondent and her witnesses had been truthful and consistent in their testimony and </w:t>
      </w:r>
      <w:r w:rsidR="00483C69">
        <w:t xml:space="preserve">that </w:t>
      </w:r>
      <w:r>
        <w:t>the Second Appellant</w:t>
      </w:r>
      <w:r w:rsidR="00483C69">
        <w:t>, the sole witness for the Appellant’s case was evasive,</w:t>
      </w:r>
      <w:r>
        <w:t xml:space="preserve"> lacking in consistency in his answers and altogether not at all convincing</w:t>
      </w:r>
      <w:r w:rsidR="00483C69">
        <w:t xml:space="preserve">. He concluded </w:t>
      </w:r>
      <w:r>
        <w:t xml:space="preserve">that the Respondent had succeeded in proving </w:t>
      </w:r>
      <w:r w:rsidR="00483C69">
        <w:t xml:space="preserve">her case </w:t>
      </w:r>
      <w:r>
        <w:t xml:space="preserve">that the Appellants had played loud music </w:t>
      </w:r>
      <w:r w:rsidR="00483C69">
        <w:t>ca</w:t>
      </w:r>
      <w:r w:rsidR="0076591B">
        <w:t>u</w:t>
      </w:r>
      <w:r w:rsidR="00483C69">
        <w:t xml:space="preserve">sing a nuisance </w:t>
      </w:r>
      <w:r>
        <w:t xml:space="preserve">during the period in question and were therefore liable. He awarded the sum of SR 65,000 in total for damages suffered and ordered a permanent injunction against </w:t>
      </w:r>
      <w:r>
        <w:lastRenderedPageBreak/>
        <w:t xml:space="preserve">the Appellants prohibiting them from playing loud amplified music unless authorised by the Court or the Commissioner of </w:t>
      </w:r>
      <w:r w:rsidR="00483C69">
        <w:t>P</w:t>
      </w:r>
      <w:r>
        <w:t xml:space="preserve">olice for a special occasion.  </w:t>
      </w:r>
    </w:p>
    <w:p w:rsidR="0024493D" w:rsidRDefault="0024493D" w:rsidP="0024493D">
      <w:pPr>
        <w:pStyle w:val="JudgmentText"/>
      </w:pPr>
      <w:r>
        <w:t>From this decision the Appellants have appealed on the following grounds:</w:t>
      </w:r>
    </w:p>
    <w:p w:rsidR="0024493D" w:rsidRDefault="0024493D" w:rsidP="00436E54">
      <w:pPr>
        <w:pStyle w:val="Unnumberedquote"/>
      </w:pPr>
      <w:r>
        <w:t>1. The learned judge erred when he made a finding that the Respondent had proved her case against the Appellants despite the lack of expert evidence establishing whether the interference with comfort or inconvenience was sufficiently ser</w:t>
      </w:r>
      <w:r w:rsidR="00436E54">
        <w:t>i</w:t>
      </w:r>
      <w:r>
        <w:t>ous to constitute a nuisance.</w:t>
      </w:r>
    </w:p>
    <w:p w:rsidR="0024493D" w:rsidRDefault="0024493D" w:rsidP="00436E54">
      <w:pPr>
        <w:pStyle w:val="Unnumberedquote"/>
      </w:pPr>
      <w:r>
        <w:t xml:space="preserve">2. No expert </w:t>
      </w:r>
      <w:proofErr w:type="gramStart"/>
      <w:r>
        <w:t>having been called</w:t>
      </w:r>
      <w:proofErr w:type="gramEnd"/>
      <w:r>
        <w:t xml:space="preserve"> to measure the level of noise complained of by the Respondent, the judge erred in holding the Appellants liable for the tort of nuisance without proof that “damage exceeded the measure of the ordinary obligations of the </w:t>
      </w:r>
      <w:r w:rsidR="00436E54">
        <w:t>neighbourhood</w:t>
      </w:r>
      <w:r>
        <w:t xml:space="preserve">”.   </w:t>
      </w:r>
    </w:p>
    <w:p w:rsidR="0024493D" w:rsidRDefault="0024493D" w:rsidP="00436E54">
      <w:pPr>
        <w:pStyle w:val="Unnumberedquote"/>
      </w:pPr>
      <w:r>
        <w:t xml:space="preserve">3. The learned judge erred in finding the Appellants liable for the tort of nuisance without first satisfying himself that it is a question of degree whether the interference with comfort or convenience is sufficiently serious to constitute a nuisance in the absence of expert evidence. </w:t>
      </w:r>
    </w:p>
    <w:p w:rsidR="00436E54" w:rsidRDefault="0024493D" w:rsidP="00436E54">
      <w:pPr>
        <w:pStyle w:val="Unnumberedquote"/>
      </w:pPr>
      <w:r>
        <w:t xml:space="preserve">4. The learned judge failed to objectively consider and evaluate the testimony of the Plaintiff for inconsistencies and also failed to evaluate and consider the testimony of Mrs. Brioche and that of Officer </w:t>
      </w:r>
      <w:proofErr w:type="spellStart"/>
      <w:r>
        <w:t>Aimable</w:t>
      </w:r>
      <w:proofErr w:type="spellEnd"/>
      <w:r>
        <w:t xml:space="preserve"> </w:t>
      </w:r>
      <w:proofErr w:type="gramStart"/>
      <w:r>
        <w:t>and also</w:t>
      </w:r>
      <w:proofErr w:type="gramEnd"/>
      <w:r>
        <w:t xml:space="preserve"> failed to objectively evaluate and consider the entire evidence in the case.</w:t>
      </w:r>
    </w:p>
    <w:p w:rsidR="0024493D" w:rsidRDefault="0024493D" w:rsidP="00436E54">
      <w:pPr>
        <w:pStyle w:val="Unnumberedquote"/>
      </w:pPr>
      <w:r>
        <w:t xml:space="preserve"> </w:t>
      </w:r>
    </w:p>
    <w:p w:rsidR="0024493D" w:rsidRDefault="00BE78C4" w:rsidP="0024493D">
      <w:pPr>
        <w:pStyle w:val="JudgmentText"/>
      </w:pPr>
      <w:r>
        <w:t xml:space="preserve">The grounds of appeal </w:t>
      </w:r>
      <w:proofErr w:type="gramStart"/>
      <w:r>
        <w:t>are all considered</w:t>
      </w:r>
      <w:proofErr w:type="gramEnd"/>
      <w:r>
        <w:t xml:space="preserve"> together as they are inextricably linked. They </w:t>
      </w:r>
      <w:r w:rsidR="0024493D">
        <w:t xml:space="preserve">are to </w:t>
      </w:r>
      <w:r w:rsidR="00436E54">
        <w:t>the effect that in cases of nuisance occasioned by noise</w:t>
      </w:r>
      <w:r w:rsidR="00B37C18">
        <w:t>,</w:t>
      </w:r>
      <w:r w:rsidR="00436E54">
        <w:t xml:space="preserve"> it is necessary that an expert be called as to the level of noise emanating for the </w:t>
      </w:r>
      <w:proofErr w:type="spellStart"/>
      <w:r w:rsidR="00436E54">
        <w:t>tortfeasor</w:t>
      </w:r>
      <w:proofErr w:type="spellEnd"/>
      <w:r>
        <w:t xml:space="preserve"> and that the learned trial judge did not objectively evaluate the </w:t>
      </w:r>
      <w:r w:rsidR="0076591B">
        <w:t xml:space="preserve">test for nuisance with the </w:t>
      </w:r>
      <w:r>
        <w:t xml:space="preserve">evidence </w:t>
      </w:r>
      <w:r w:rsidR="0076591B">
        <w:t>adduced.</w:t>
      </w:r>
      <w:r w:rsidR="00436E54">
        <w:t xml:space="preserve"> </w:t>
      </w:r>
    </w:p>
    <w:p w:rsidR="00FF37E3" w:rsidRDefault="00436E54" w:rsidP="007F5DFE">
      <w:pPr>
        <w:pStyle w:val="JudgmentText"/>
      </w:pPr>
      <w:r>
        <w:t xml:space="preserve">Counsel for the Appellants has not produced any authority </w:t>
      </w:r>
      <w:proofErr w:type="gramStart"/>
      <w:r>
        <w:t>for his submissions on th</w:t>
      </w:r>
      <w:r w:rsidR="00BE78C4">
        <w:t>e necessity for an expert witness in cases of nuisance</w:t>
      </w:r>
      <w:proofErr w:type="gramEnd"/>
      <w:r w:rsidR="00BE78C4">
        <w:t>.</w:t>
      </w:r>
      <w:r>
        <w:t xml:space="preserve"> </w:t>
      </w:r>
      <w:proofErr w:type="gramStart"/>
      <w:r>
        <w:t>However</w:t>
      </w:r>
      <w:r w:rsidR="00FF37E3">
        <w:t>,</w:t>
      </w:r>
      <w:r>
        <w:t xml:space="preserve"> the court notes </w:t>
      </w:r>
      <w:r w:rsidR="00B37C18">
        <w:t>and there was a discussion on this issue during the hearing of the appeal</w:t>
      </w:r>
      <w:r w:rsidR="00CC1F1B">
        <w:t>,</w:t>
      </w:r>
      <w:r w:rsidR="00B37C18">
        <w:t xml:space="preserve"> </w:t>
      </w:r>
      <w:r>
        <w:t xml:space="preserve">that </w:t>
      </w:r>
      <w:r w:rsidR="00FF37E3">
        <w:t xml:space="preserve">pursuant to section 29 of the Environment Protection Act, a person emitting noise in excess of the noise emission standards established under the Act without authorisation is guilty of an offence </w:t>
      </w:r>
      <w:r w:rsidR="001500CF">
        <w:t>and</w:t>
      </w:r>
      <w:r w:rsidR="00FF37E3">
        <w:t xml:space="preserve"> liable on conviction, to imprisonment for one year and a fine of R50,000 and, if the offence is continued after conviction, is liable to a further fine of R5000 for each day during which the offence is so continued.</w:t>
      </w:r>
      <w:proofErr w:type="gramEnd"/>
      <w:r w:rsidR="001500CF">
        <w:t xml:space="preserve"> There are noise emission standards provided under the </w:t>
      </w:r>
      <w:r w:rsidR="00FF37E3">
        <w:t>Environment Protection (Noise Emission Standards) Regulations</w:t>
      </w:r>
      <w:r w:rsidR="001500CF">
        <w:t>.</w:t>
      </w:r>
    </w:p>
    <w:p w:rsidR="00436E54" w:rsidRDefault="0076591B" w:rsidP="0024493D">
      <w:pPr>
        <w:pStyle w:val="JudgmentText"/>
      </w:pPr>
      <w:r>
        <w:lastRenderedPageBreak/>
        <w:t>It is clear that t</w:t>
      </w:r>
      <w:r w:rsidR="001500CF">
        <w:t xml:space="preserve">hese </w:t>
      </w:r>
      <w:r w:rsidR="00EC758A">
        <w:t xml:space="preserve">laws and </w:t>
      </w:r>
      <w:r w:rsidR="001500CF">
        <w:t xml:space="preserve">regulations are </w:t>
      </w:r>
      <w:r w:rsidR="00EA620E">
        <w:t xml:space="preserve">only </w:t>
      </w:r>
      <w:r w:rsidR="001500CF">
        <w:t>applicable to criminal convictions for public nuisance</w:t>
      </w:r>
      <w:r>
        <w:t xml:space="preserve">. However, it does </w:t>
      </w:r>
      <w:r w:rsidR="0011030B">
        <w:t>not extend</w:t>
      </w:r>
      <w:r w:rsidR="001500CF">
        <w:t xml:space="preserve"> to cases </w:t>
      </w:r>
      <w:r w:rsidR="0085532A">
        <w:t>in private law</w:t>
      </w:r>
      <w:r>
        <w:t xml:space="preserve">, which applicable law </w:t>
      </w:r>
      <w:proofErr w:type="gramStart"/>
      <w:r>
        <w:t>is found</w:t>
      </w:r>
      <w:proofErr w:type="gramEnd"/>
      <w:r>
        <w:t xml:space="preserve"> in the Civil Code and the </w:t>
      </w:r>
      <w:r w:rsidRPr="0076591B">
        <w:rPr>
          <w:i/>
        </w:rPr>
        <w:t xml:space="preserve">jurisprudence </w:t>
      </w:r>
      <w:proofErr w:type="spellStart"/>
      <w:r w:rsidRPr="0076591B">
        <w:rPr>
          <w:i/>
        </w:rPr>
        <w:t>constante</w:t>
      </w:r>
      <w:proofErr w:type="spellEnd"/>
      <w:r>
        <w:t>.</w:t>
      </w:r>
      <w:r w:rsidR="0085532A">
        <w:t xml:space="preserve"> </w:t>
      </w:r>
    </w:p>
    <w:p w:rsidR="0085532A" w:rsidRDefault="0085532A" w:rsidP="002D14B9">
      <w:pPr>
        <w:pStyle w:val="JudgmentText"/>
        <w:numPr>
          <w:ilvl w:val="0"/>
          <w:numId w:val="18"/>
        </w:numPr>
      </w:pPr>
      <w:r>
        <w:t xml:space="preserve">The law relating </w:t>
      </w:r>
      <w:r w:rsidR="00CC1F1B">
        <w:t xml:space="preserve">to </w:t>
      </w:r>
      <w:r w:rsidR="00B37C18">
        <w:t xml:space="preserve">delict </w:t>
      </w:r>
      <w:r w:rsidR="00CC1F1B">
        <w:t>generally</w:t>
      </w:r>
      <w:r w:rsidR="0011030B">
        <w:t>,</w:t>
      </w:r>
      <w:r w:rsidR="00CC1F1B">
        <w:t xml:space="preserve"> </w:t>
      </w:r>
      <w:r w:rsidR="00B37C18">
        <w:t xml:space="preserve">and </w:t>
      </w:r>
      <w:r>
        <w:t xml:space="preserve">private nuisance </w:t>
      </w:r>
      <w:r w:rsidR="00CC1F1B">
        <w:t>specifically</w:t>
      </w:r>
      <w:r w:rsidR="0011030B">
        <w:t>,</w:t>
      </w:r>
      <w:r w:rsidR="00CC1F1B">
        <w:t xml:space="preserve"> </w:t>
      </w:r>
      <w:r>
        <w:t>is found in Article 1382 of the Civil Code which provides:</w:t>
      </w:r>
    </w:p>
    <w:p w:rsidR="0085532A" w:rsidRDefault="0085532A" w:rsidP="0085532A">
      <w:pPr>
        <w:pStyle w:val="Unnumberedquote"/>
      </w:pPr>
      <w:r>
        <w:t>“1. Every act whatever of man that causes damage to another obliges him by whose fault it occurs to repair it.</w:t>
      </w:r>
    </w:p>
    <w:p w:rsidR="0085532A" w:rsidRDefault="0085532A" w:rsidP="0085532A">
      <w:pPr>
        <w:pStyle w:val="Unnumberedquote"/>
      </w:pPr>
    </w:p>
    <w:p w:rsidR="0085532A" w:rsidRDefault="0085532A" w:rsidP="0085532A">
      <w:pPr>
        <w:pStyle w:val="Unnumberedquote"/>
      </w:pPr>
      <w:r>
        <w:t xml:space="preserve">2. Fault is an error of </w:t>
      </w:r>
      <w:proofErr w:type="gramStart"/>
      <w:r>
        <w:t>conduct which</w:t>
      </w:r>
      <w:proofErr w:type="gramEnd"/>
      <w:r>
        <w:t xml:space="preserve"> would not have been committed by a prudent person in the special circumstances in which the damage was caused. It may be the result of a positive act or an omission.</w:t>
      </w:r>
    </w:p>
    <w:p w:rsidR="0085532A" w:rsidRDefault="0085532A" w:rsidP="0085532A">
      <w:pPr>
        <w:pStyle w:val="Unnumberedquote"/>
      </w:pPr>
    </w:p>
    <w:p w:rsidR="0085532A" w:rsidRDefault="0085532A" w:rsidP="0085532A">
      <w:pPr>
        <w:pStyle w:val="Unnumberedquote"/>
      </w:pPr>
      <w:r>
        <w:t>3. Fault may also consist of an act or an omission the dominant purpose of which is to cause harm to another, even if it appears to have been done in the exercise of a legitimate interest.”</w:t>
      </w:r>
    </w:p>
    <w:p w:rsidR="0085532A" w:rsidRPr="00FE34E0" w:rsidRDefault="0085532A" w:rsidP="0085532A">
      <w:pPr>
        <w:pStyle w:val="Unnumberedquote"/>
      </w:pPr>
    </w:p>
    <w:p w:rsidR="00CF3B02" w:rsidRDefault="00CC1F1B" w:rsidP="00341C0E">
      <w:pPr>
        <w:pStyle w:val="JudgmentText"/>
      </w:pPr>
      <w:r>
        <w:t xml:space="preserve">As confirmed by </w:t>
      </w:r>
      <w:proofErr w:type="spellStart"/>
      <w:r>
        <w:t>Sauz</w:t>
      </w:r>
      <w:r w:rsidR="00BE78C4">
        <w:t>i</w:t>
      </w:r>
      <w:r>
        <w:t>er</w:t>
      </w:r>
      <w:proofErr w:type="spellEnd"/>
      <w:r>
        <w:t xml:space="preserve"> J in the landmark case of </w:t>
      </w:r>
      <w:proofErr w:type="spellStart"/>
      <w:r w:rsidRPr="00341C0E">
        <w:rPr>
          <w:i/>
        </w:rPr>
        <w:t>Desaubin</w:t>
      </w:r>
      <w:proofErr w:type="spellEnd"/>
      <w:r w:rsidRPr="00341C0E">
        <w:rPr>
          <w:i/>
        </w:rPr>
        <w:t xml:space="preserve"> v United Concrete Products (Seychelles) </w:t>
      </w:r>
      <w:proofErr w:type="gramStart"/>
      <w:r w:rsidRPr="00341C0E">
        <w:rPr>
          <w:i/>
        </w:rPr>
        <w:t>Limited</w:t>
      </w:r>
      <w:proofErr w:type="gramEnd"/>
      <w:r w:rsidRPr="00CC1F1B">
        <w:t xml:space="preserve"> (1977) SLR 164</w:t>
      </w:r>
      <w:r w:rsidR="0011030B">
        <w:t>,</w:t>
      </w:r>
      <w:r w:rsidRPr="00CC1F1B">
        <w:t xml:space="preserve"> </w:t>
      </w:r>
      <w:r>
        <w:t xml:space="preserve">these provisions codified French jurisprudence on certain elements of fault including those relating to nuisance. </w:t>
      </w:r>
      <w:r w:rsidR="0083384B">
        <w:t>Specifically, the</w:t>
      </w:r>
      <w:r>
        <w:t xml:space="preserve"> </w:t>
      </w:r>
      <w:proofErr w:type="gramStart"/>
      <w:r w:rsidRPr="00341C0E">
        <w:rPr>
          <w:i/>
        </w:rPr>
        <w:t>trouble</w:t>
      </w:r>
      <w:r w:rsidR="00BE78C4" w:rsidRPr="00341C0E">
        <w:rPr>
          <w:i/>
        </w:rPr>
        <w:t>s</w:t>
      </w:r>
      <w:r w:rsidRPr="00341C0E">
        <w:rPr>
          <w:i/>
        </w:rPr>
        <w:t xml:space="preserve"> de </w:t>
      </w:r>
      <w:proofErr w:type="spellStart"/>
      <w:r w:rsidRPr="00341C0E">
        <w:rPr>
          <w:i/>
        </w:rPr>
        <w:t>voisinage</w:t>
      </w:r>
      <w:proofErr w:type="spellEnd"/>
      <w:r>
        <w:t xml:space="preserve"> (neighbourhood disturbance</w:t>
      </w:r>
      <w:r w:rsidR="00BE78C4">
        <w:t>s</w:t>
      </w:r>
      <w:r>
        <w:t>) was invented by the Court de Cassation of France</w:t>
      </w:r>
      <w:proofErr w:type="gramEnd"/>
      <w:r>
        <w:t xml:space="preserve"> in the nineteenth century (see the authority of </w:t>
      </w:r>
      <w:r w:rsidR="0083384B" w:rsidRPr="0083384B">
        <w:t xml:space="preserve">Cass. civ., 27 </w:t>
      </w:r>
      <w:proofErr w:type="spellStart"/>
      <w:r w:rsidR="0083384B" w:rsidRPr="0083384B">
        <w:t>nov.</w:t>
      </w:r>
      <w:proofErr w:type="spellEnd"/>
      <w:r w:rsidR="0083384B" w:rsidRPr="0083384B">
        <w:t xml:space="preserve"> 1844.</w:t>
      </w:r>
      <w:r>
        <w:t>)</w:t>
      </w:r>
      <w:r w:rsidRPr="00B37C18">
        <w:t xml:space="preserve"> </w:t>
      </w:r>
      <w:r w:rsidR="0076591B">
        <w:t xml:space="preserve">with </w:t>
      </w:r>
      <w:r w:rsidR="0083384B">
        <w:t xml:space="preserve">the principle </w:t>
      </w:r>
      <w:r>
        <w:t xml:space="preserve">that: </w:t>
      </w:r>
      <w:proofErr w:type="spellStart"/>
      <w:r w:rsidRPr="00341C0E">
        <w:rPr>
          <w:i/>
        </w:rPr>
        <w:t>nul</w:t>
      </w:r>
      <w:proofErr w:type="spellEnd"/>
      <w:r w:rsidRPr="00341C0E">
        <w:rPr>
          <w:i/>
        </w:rPr>
        <w:t xml:space="preserve"> ne </w:t>
      </w:r>
      <w:proofErr w:type="spellStart"/>
      <w:r w:rsidRPr="00341C0E">
        <w:rPr>
          <w:i/>
        </w:rPr>
        <w:t>doit</w:t>
      </w:r>
      <w:proofErr w:type="spellEnd"/>
      <w:r w:rsidRPr="00341C0E">
        <w:rPr>
          <w:i/>
        </w:rPr>
        <w:t xml:space="preserve"> causer à </w:t>
      </w:r>
      <w:proofErr w:type="spellStart"/>
      <w:r w:rsidRPr="00341C0E">
        <w:rPr>
          <w:i/>
        </w:rPr>
        <w:t>autrui</w:t>
      </w:r>
      <w:proofErr w:type="spellEnd"/>
      <w:r w:rsidRPr="00341C0E">
        <w:rPr>
          <w:i/>
        </w:rPr>
        <w:t xml:space="preserve"> </w:t>
      </w:r>
      <w:proofErr w:type="gramStart"/>
      <w:r w:rsidRPr="00341C0E">
        <w:rPr>
          <w:i/>
        </w:rPr>
        <w:t>un</w:t>
      </w:r>
      <w:proofErr w:type="gramEnd"/>
      <w:r w:rsidRPr="00341C0E">
        <w:rPr>
          <w:i/>
        </w:rPr>
        <w:t xml:space="preserve"> trouble </w:t>
      </w:r>
      <w:proofErr w:type="spellStart"/>
      <w:r w:rsidRPr="00341C0E">
        <w:rPr>
          <w:i/>
        </w:rPr>
        <w:t>anormal</w:t>
      </w:r>
      <w:proofErr w:type="spellEnd"/>
      <w:r w:rsidRPr="00341C0E">
        <w:rPr>
          <w:i/>
        </w:rPr>
        <w:t xml:space="preserve"> de</w:t>
      </w:r>
      <w:r>
        <w:t xml:space="preserve"> </w:t>
      </w:r>
      <w:proofErr w:type="spellStart"/>
      <w:r>
        <w:t>voisinage</w:t>
      </w:r>
      <w:proofErr w:type="spellEnd"/>
      <w:r>
        <w:t xml:space="preserve"> (</w:t>
      </w:r>
      <w:r w:rsidRPr="00B37C18">
        <w:t xml:space="preserve">no one may cause an abnormal neighbourhood disturbance to </w:t>
      </w:r>
      <w:r>
        <w:t>another)</w:t>
      </w:r>
      <w:r w:rsidRPr="00B37C18">
        <w:t>"</w:t>
      </w:r>
      <w:r w:rsidR="0083384B">
        <w:t>.</w:t>
      </w:r>
      <w:r>
        <w:t xml:space="preserve"> </w:t>
      </w:r>
      <w:proofErr w:type="gramStart"/>
      <w:r w:rsidR="008B3391">
        <w:t xml:space="preserve">The Court de Cassation </w:t>
      </w:r>
      <w:r w:rsidR="00F07F1F">
        <w:t xml:space="preserve">of France </w:t>
      </w:r>
      <w:r w:rsidR="008B3391">
        <w:t xml:space="preserve">fudged the application of both Articles 1382 and 544 of the Code civil in this </w:t>
      </w:r>
      <w:r w:rsidR="00341C0E">
        <w:t>respect and</w:t>
      </w:r>
      <w:r w:rsidR="008B3391">
        <w:t xml:space="preserve"> did so in a number of subsequent cases finding that even the legitimate exercise of </w:t>
      </w:r>
      <w:r w:rsidR="0011030B">
        <w:t>one’s</w:t>
      </w:r>
      <w:r w:rsidR="008B3391">
        <w:t xml:space="preserve"> right to property could generate a disturbance for the neighbourhood when it exceeded the measure of </w:t>
      </w:r>
      <w:r w:rsidR="00341C0E" w:rsidRPr="00341C0E">
        <w:t>the ordinary obligations of neighbourhood</w:t>
      </w:r>
      <w:r w:rsidR="00341C0E">
        <w:t xml:space="preserve"> (See </w:t>
      </w:r>
      <w:r w:rsidR="00341C0E" w:rsidRPr="00341C0E">
        <w:t xml:space="preserve">req., 3 </w:t>
      </w:r>
      <w:proofErr w:type="spellStart"/>
      <w:r w:rsidR="00341C0E" w:rsidRPr="00341C0E">
        <w:t>janv</w:t>
      </w:r>
      <w:proofErr w:type="spellEnd"/>
      <w:r w:rsidR="00341C0E" w:rsidRPr="00341C0E">
        <w:t>. 1887</w:t>
      </w:r>
      <w:r w:rsidR="00341C0E">
        <w:t xml:space="preserve">, </w:t>
      </w:r>
      <w:r w:rsidR="00341C0E" w:rsidRPr="00341C0E">
        <w:t>2e civ. 24 mars 1966, n°64-10737</w:t>
      </w:r>
      <w:r w:rsidR="00341C0E">
        <w:t>,</w:t>
      </w:r>
      <w:r w:rsidR="00341C0E" w:rsidRPr="00341C0E">
        <w:t xml:space="preserve"> 3e civ. 3 </w:t>
      </w:r>
      <w:proofErr w:type="spellStart"/>
      <w:r w:rsidR="00341C0E" w:rsidRPr="00341C0E">
        <w:t>janv</w:t>
      </w:r>
      <w:proofErr w:type="spellEnd"/>
      <w:r w:rsidR="00341C0E" w:rsidRPr="00341C0E">
        <w:t>. 1969)</w:t>
      </w:r>
      <w:r w:rsidR="00341C0E">
        <w:t>.</w:t>
      </w:r>
      <w:proofErr w:type="gramEnd"/>
      <w:r w:rsidR="00341C0E">
        <w:t xml:space="preserve"> The principle of </w:t>
      </w:r>
      <w:r w:rsidR="00341C0E" w:rsidRPr="0011030B">
        <w:rPr>
          <w:i/>
        </w:rPr>
        <w:t xml:space="preserve">troubles de </w:t>
      </w:r>
      <w:proofErr w:type="spellStart"/>
      <w:r w:rsidR="00341C0E" w:rsidRPr="0011030B">
        <w:rPr>
          <w:i/>
        </w:rPr>
        <w:t>voisinage</w:t>
      </w:r>
      <w:proofErr w:type="spellEnd"/>
      <w:r w:rsidR="00341C0E">
        <w:t xml:space="preserve"> </w:t>
      </w:r>
      <w:r w:rsidR="0011030B">
        <w:t>independent of</w:t>
      </w:r>
      <w:r w:rsidR="00341C0E">
        <w:t xml:space="preserve"> both Articles 1382 and 544 </w:t>
      </w:r>
      <w:proofErr w:type="gramStart"/>
      <w:r w:rsidR="00341C0E">
        <w:t>were firmly established</w:t>
      </w:r>
      <w:proofErr w:type="gramEnd"/>
      <w:r w:rsidR="00341C0E">
        <w:t xml:space="preserve"> in a number of subsequent ca</w:t>
      </w:r>
      <w:r w:rsidR="0011030B">
        <w:t>s</w:t>
      </w:r>
      <w:r w:rsidR="00341C0E">
        <w:t>e</w:t>
      </w:r>
      <w:r w:rsidR="0011030B">
        <w:t>s</w:t>
      </w:r>
      <w:r w:rsidR="00341C0E">
        <w:t xml:space="preserve">, </w:t>
      </w:r>
      <w:r w:rsidR="0011030B">
        <w:t xml:space="preserve">namely the </w:t>
      </w:r>
      <w:proofErr w:type="spellStart"/>
      <w:r w:rsidR="0011030B" w:rsidRPr="00341C0E">
        <w:t>arrêt</w:t>
      </w:r>
      <w:proofErr w:type="spellEnd"/>
      <w:r w:rsidR="0011030B" w:rsidRPr="00341C0E">
        <w:t xml:space="preserve"> </w:t>
      </w:r>
      <w:r w:rsidR="0011030B">
        <w:t xml:space="preserve">of </w:t>
      </w:r>
      <w:r w:rsidR="00341C0E" w:rsidRPr="00341C0E">
        <w:t xml:space="preserve">Cass. 2e civ. 19 </w:t>
      </w:r>
      <w:proofErr w:type="spellStart"/>
      <w:proofErr w:type="gramStart"/>
      <w:r w:rsidR="00341C0E" w:rsidRPr="00341C0E">
        <w:t>nov</w:t>
      </w:r>
      <w:proofErr w:type="gramEnd"/>
      <w:r w:rsidR="00341C0E" w:rsidRPr="00341C0E">
        <w:t>.</w:t>
      </w:r>
      <w:proofErr w:type="spellEnd"/>
      <w:r w:rsidR="00341C0E" w:rsidRPr="00341C0E">
        <w:t xml:space="preserve"> </w:t>
      </w:r>
      <w:proofErr w:type="gramStart"/>
      <w:r w:rsidR="00341C0E" w:rsidRPr="00341C0E">
        <w:t>1986</w:t>
      </w:r>
      <w:proofErr w:type="gramEnd"/>
      <w:r w:rsidR="00341C0E" w:rsidRPr="00341C0E">
        <w:t>, n°84-</w:t>
      </w:r>
      <w:r w:rsidR="0011030B" w:rsidRPr="00341C0E">
        <w:t>16379</w:t>
      </w:r>
      <w:r w:rsidR="0011030B">
        <w:t>.</w:t>
      </w:r>
    </w:p>
    <w:p w:rsidR="00015A76" w:rsidRDefault="00015A76" w:rsidP="00015A76">
      <w:pPr>
        <w:pStyle w:val="JudgmentText"/>
      </w:pPr>
      <w:proofErr w:type="spellStart"/>
      <w:r>
        <w:lastRenderedPageBreak/>
        <w:t>Sauzier</w:t>
      </w:r>
      <w:proofErr w:type="spellEnd"/>
      <w:r>
        <w:t xml:space="preserve"> J </w:t>
      </w:r>
      <w:r w:rsidR="00CF3B02">
        <w:t xml:space="preserve">in </w:t>
      </w:r>
      <w:proofErr w:type="spellStart"/>
      <w:r w:rsidR="00CF3B02" w:rsidRPr="00CF3B02">
        <w:rPr>
          <w:i/>
        </w:rPr>
        <w:t>Desaubin</w:t>
      </w:r>
      <w:proofErr w:type="spellEnd"/>
      <w:r w:rsidR="00CF3B02">
        <w:t xml:space="preserve"> (supra) </w:t>
      </w:r>
      <w:r>
        <w:t>expresses th</w:t>
      </w:r>
      <w:r w:rsidR="00341C0E">
        <w:t xml:space="preserve">e </w:t>
      </w:r>
      <w:r w:rsidR="0011030B">
        <w:t xml:space="preserve">principle developed by </w:t>
      </w:r>
      <w:r w:rsidR="00341C0E">
        <w:t>French jurisprudence</w:t>
      </w:r>
      <w:r w:rsidR="0011030B">
        <w:t>,</w:t>
      </w:r>
      <w:r w:rsidR="00341C0E">
        <w:t xml:space="preserve"> although basing it in </w:t>
      </w:r>
      <w:r w:rsidR="0011030B">
        <w:t>tort, finding</w:t>
      </w:r>
      <w:r w:rsidR="00341C0E">
        <w:t xml:space="preserve"> that the </w:t>
      </w:r>
      <w:proofErr w:type="spellStart"/>
      <w:r w:rsidR="00341C0E">
        <w:t>tortfeasor</w:t>
      </w:r>
      <w:proofErr w:type="spellEnd"/>
      <w:r w:rsidR="00341C0E">
        <w:t xml:space="preserve"> is liable for </w:t>
      </w:r>
      <w:r>
        <w:t xml:space="preserve">behaviour </w:t>
      </w:r>
      <w:r w:rsidR="00341C0E">
        <w:t>which</w:t>
      </w:r>
      <w:r>
        <w:t xml:space="preserve"> go</w:t>
      </w:r>
      <w:r w:rsidR="00341C0E">
        <w:t>es</w:t>
      </w:r>
      <w:r w:rsidRPr="00A62AF3">
        <w:t xml:space="preserve"> over and beyond what would be expected for ordinary neighbourly relations</w:t>
      </w:r>
      <w:r>
        <w:t>, at 166-167:</w:t>
      </w:r>
    </w:p>
    <w:p w:rsidR="00015A76" w:rsidRDefault="00015A76" w:rsidP="00015A76">
      <w:pPr>
        <w:pStyle w:val="Unnumberedquote"/>
        <w:rPr>
          <w:i w:val="0"/>
        </w:rPr>
      </w:pPr>
      <w:r>
        <w:t xml:space="preserve">“Under the Civil Code [of France], the jurisprudence was settled in France, Mauritius and Seychelles. The principle evolved in cases where the plaintiff complains of noise, smoke, smell or dust is that the defendant is liable in </w:t>
      </w:r>
      <w:r w:rsidRPr="00FE34E0">
        <w:rPr>
          <w:u w:val="single"/>
        </w:rPr>
        <w:t>tort only if the damage exceeds the measure of the ordinary obligations of neighbourhood</w:t>
      </w:r>
      <w:r>
        <w:t xml:space="preserve">….  It is not necessary that the author of the nuisance should have been negligent or imprudent in not taking the necessary precautions to prevent it. Liability arises even in cases where it is proved that the author of the nuisance has taken every permissible precaution and all the means not to harm or inconvenience his neighbours and that his failure is due to the fact that the damage is the inevitable consequence of the exercise of the industry.” </w:t>
      </w:r>
      <w:r w:rsidRPr="00FE34E0">
        <w:rPr>
          <w:i w:val="0"/>
        </w:rPr>
        <w:t>(Emphasis added)</w:t>
      </w:r>
    </w:p>
    <w:p w:rsidR="00015A76" w:rsidRDefault="00015A76" w:rsidP="00015A76">
      <w:pPr>
        <w:pStyle w:val="Unnumberedquote"/>
      </w:pPr>
    </w:p>
    <w:p w:rsidR="00FD0897" w:rsidRDefault="00FD0897" w:rsidP="00FD0897">
      <w:pPr>
        <w:pStyle w:val="JudgmentText"/>
        <w:spacing w:after="112"/>
        <w:ind w:right="179"/>
      </w:pPr>
      <w:r w:rsidRPr="00FD0897">
        <w:t xml:space="preserve">In distinguishing between the law applicable under the old provisions of the Code civil and the new Civil Code of Seychelles </w:t>
      </w:r>
      <w:proofErr w:type="spellStart"/>
      <w:r w:rsidRPr="00FD0897">
        <w:t>Sauzier</w:t>
      </w:r>
      <w:proofErr w:type="spellEnd"/>
      <w:r w:rsidRPr="00FD0897">
        <w:t xml:space="preserve"> J f</w:t>
      </w:r>
      <w:r w:rsidR="0011030B">
        <w:t>inds</w:t>
      </w:r>
      <w:r w:rsidRPr="00FD0897">
        <w:t xml:space="preserve"> that </w:t>
      </w:r>
      <w:r w:rsidR="00F0514E">
        <w:t xml:space="preserve">the former </w:t>
      </w:r>
      <w:r w:rsidR="00F0514E" w:rsidRPr="00FD0897">
        <w:t>recognised</w:t>
      </w:r>
      <w:r w:rsidRPr="00FD0897">
        <w:t xml:space="preserve"> the principle that there is </w:t>
      </w:r>
      <w:proofErr w:type="spellStart"/>
      <w:r w:rsidRPr="00F0514E">
        <w:rPr>
          <w:i/>
        </w:rPr>
        <w:t>faute</w:t>
      </w:r>
      <w:proofErr w:type="spellEnd"/>
      <w:r w:rsidRPr="00FD0897">
        <w:t xml:space="preserve"> if the damage suffered exceeds the measure of the ordinary obligations of the neighbourhood. After examining the provisions of Article 1382 of our Civil Code, he conclude</w:t>
      </w:r>
      <w:r w:rsidR="00341C0E">
        <w:t>s</w:t>
      </w:r>
      <w:r w:rsidRPr="00FD0897">
        <w:t xml:space="preserve"> that although an attempt had been made to restrict the definition of </w:t>
      </w:r>
      <w:proofErr w:type="spellStart"/>
      <w:r w:rsidRPr="00BE78C4">
        <w:rPr>
          <w:i/>
        </w:rPr>
        <w:t>faute</w:t>
      </w:r>
      <w:proofErr w:type="spellEnd"/>
      <w:r w:rsidRPr="00FD0897">
        <w:t xml:space="preserve"> the opposite effect had been achieve</w:t>
      </w:r>
      <w:r w:rsidR="0011030B">
        <w:t>d</w:t>
      </w:r>
      <w:r w:rsidRPr="00FD0897">
        <w:t>, that of expanding the definition of fault</w:t>
      </w:r>
      <w:r w:rsidR="00341C0E">
        <w:t xml:space="preserve"> in Seychelles</w:t>
      </w:r>
      <w:r w:rsidRPr="00FD0897">
        <w:t xml:space="preserve">.  </w:t>
      </w:r>
    </w:p>
    <w:p w:rsidR="00001AAA" w:rsidRDefault="00904930" w:rsidP="00904930">
      <w:pPr>
        <w:pStyle w:val="JudgmentText"/>
        <w:spacing w:after="112"/>
        <w:ind w:right="179"/>
      </w:pPr>
      <w:r>
        <w:t>The Court of Appeal</w:t>
      </w:r>
      <w:r w:rsidRPr="002D14B9">
        <w:rPr>
          <w:i/>
        </w:rPr>
        <w:t xml:space="preserve"> </w:t>
      </w:r>
      <w:r>
        <w:t>in</w:t>
      </w:r>
      <w:r w:rsidRPr="002D14B9">
        <w:rPr>
          <w:i/>
        </w:rPr>
        <w:t xml:space="preserve"> Green v </w:t>
      </w:r>
      <w:proofErr w:type="spellStart"/>
      <w:r w:rsidRPr="002D14B9">
        <w:rPr>
          <w:i/>
        </w:rPr>
        <w:t>Hallock</w:t>
      </w:r>
      <w:proofErr w:type="spellEnd"/>
      <w:r w:rsidRPr="002D14B9">
        <w:rPr>
          <w:i/>
        </w:rPr>
        <w:t xml:space="preserve"> </w:t>
      </w:r>
      <w:r w:rsidRPr="002D14B9">
        <w:t xml:space="preserve">(1979) SCAR </w:t>
      </w:r>
      <w:r w:rsidR="00015A76" w:rsidRPr="00015A76">
        <w:t>approv</w:t>
      </w:r>
      <w:r>
        <w:t xml:space="preserve">ed </w:t>
      </w:r>
      <w:proofErr w:type="spellStart"/>
      <w:r w:rsidR="00015A76" w:rsidRPr="002D14B9">
        <w:rPr>
          <w:i/>
        </w:rPr>
        <w:t>Desaubin</w:t>
      </w:r>
      <w:proofErr w:type="spellEnd"/>
      <w:r w:rsidR="00015A76" w:rsidRPr="002D14B9">
        <w:rPr>
          <w:i/>
        </w:rPr>
        <w:t xml:space="preserve"> </w:t>
      </w:r>
      <w:r w:rsidR="00015A76" w:rsidRPr="00015A76">
        <w:t>(supra)</w:t>
      </w:r>
      <w:r w:rsidR="00015A76">
        <w:t xml:space="preserve"> </w:t>
      </w:r>
      <w:r>
        <w:t>finding that</w:t>
      </w:r>
      <w:r w:rsidR="00001AAA">
        <w:t>:</w:t>
      </w:r>
    </w:p>
    <w:p w:rsidR="00015A76" w:rsidRDefault="00904930" w:rsidP="00001AAA">
      <w:pPr>
        <w:pStyle w:val="Unnumberedquote"/>
      </w:pPr>
      <w:r>
        <w:t xml:space="preserve"> “it is common ground that the relevant provisions of the Civil Code correspond with those of the French </w:t>
      </w:r>
      <w:r w:rsidR="00001AAA">
        <w:t>C</w:t>
      </w:r>
      <w:r>
        <w:t xml:space="preserve">ode civil, </w:t>
      </w:r>
      <w:r w:rsidR="00001AAA">
        <w:t>which</w:t>
      </w:r>
      <w:r>
        <w:t xml:space="preserve"> app</w:t>
      </w:r>
      <w:r w:rsidR="00001AAA">
        <w:t>l</w:t>
      </w:r>
      <w:r>
        <w:t>ied previously and that French deci</w:t>
      </w:r>
      <w:r w:rsidR="00001AAA">
        <w:t>sions</w:t>
      </w:r>
      <w:r>
        <w:t xml:space="preserve"> are </w:t>
      </w:r>
      <w:r w:rsidR="00001AAA">
        <w:t>r</w:t>
      </w:r>
      <w:r>
        <w:t>el</w:t>
      </w:r>
      <w:r w:rsidR="00001AAA">
        <w:t>e</w:t>
      </w:r>
      <w:r>
        <w:t>v</w:t>
      </w:r>
      <w:r w:rsidR="00001AAA">
        <w:t>a</w:t>
      </w:r>
      <w:r>
        <w:t xml:space="preserve">nt </w:t>
      </w:r>
      <w:r w:rsidR="00001AAA">
        <w:t>and persuasive” (at p.145).</w:t>
      </w:r>
    </w:p>
    <w:p w:rsidR="00001AAA" w:rsidRPr="002D14B9" w:rsidRDefault="00001AAA" w:rsidP="00001AAA">
      <w:pPr>
        <w:pStyle w:val="Unnumberedquote"/>
      </w:pPr>
    </w:p>
    <w:p w:rsidR="00CF3B02" w:rsidRDefault="00341C0E" w:rsidP="0085532A">
      <w:pPr>
        <w:pStyle w:val="JudgmentText"/>
      </w:pPr>
      <w:r>
        <w:t>It appears</w:t>
      </w:r>
      <w:r w:rsidR="00D45E5E">
        <w:t>,</w:t>
      </w:r>
      <w:r>
        <w:t xml:space="preserve"> therefore</w:t>
      </w:r>
      <w:r w:rsidR="00D45E5E">
        <w:t>,</w:t>
      </w:r>
      <w:r>
        <w:t xml:space="preserve"> that the French principles of </w:t>
      </w:r>
      <w:r w:rsidRPr="00341C0E">
        <w:rPr>
          <w:i/>
        </w:rPr>
        <w:t xml:space="preserve">troubles de </w:t>
      </w:r>
      <w:proofErr w:type="spellStart"/>
      <w:r w:rsidRPr="00341C0E">
        <w:rPr>
          <w:i/>
        </w:rPr>
        <w:t>voisinage</w:t>
      </w:r>
      <w:proofErr w:type="spellEnd"/>
      <w:r>
        <w:t xml:space="preserve"> </w:t>
      </w:r>
      <w:proofErr w:type="gramStart"/>
      <w:r>
        <w:t>have been conflated</w:t>
      </w:r>
      <w:proofErr w:type="gramEnd"/>
      <w:r>
        <w:t xml:space="preserve"> under our provisions of Article 1382. </w:t>
      </w:r>
    </w:p>
    <w:p w:rsidR="0085532A" w:rsidRDefault="0083384B" w:rsidP="0085532A">
      <w:pPr>
        <w:pStyle w:val="JudgmentText"/>
      </w:pPr>
      <w:r>
        <w:t xml:space="preserve">With regard to </w:t>
      </w:r>
      <w:proofErr w:type="spellStart"/>
      <w:r w:rsidRPr="00C26010">
        <w:rPr>
          <w:color w:val="000000"/>
          <w:lang w:eastAsia="en-GB"/>
        </w:rPr>
        <w:t>delictual</w:t>
      </w:r>
      <w:proofErr w:type="spellEnd"/>
      <w:r w:rsidRPr="00C26010">
        <w:rPr>
          <w:color w:val="000000"/>
          <w:lang w:eastAsia="en-GB"/>
        </w:rPr>
        <w:t xml:space="preserve"> liability</w:t>
      </w:r>
      <w:r>
        <w:rPr>
          <w:color w:val="000000"/>
          <w:lang w:eastAsia="en-GB"/>
        </w:rPr>
        <w:t xml:space="preserve"> generally</w:t>
      </w:r>
      <w:r w:rsidR="00DE6521">
        <w:rPr>
          <w:color w:val="000000"/>
          <w:lang w:eastAsia="en-GB"/>
        </w:rPr>
        <w:t>,</w:t>
      </w:r>
      <w:r w:rsidR="001A7A89">
        <w:rPr>
          <w:color w:val="000000"/>
          <w:lang w:eastAsia="en-GB"/>
        </w:rPr>
        <w:t xml:space="preserve"> the provisions of Article 1382 clearly establish </w:t>
      </w:r>
      <w:r>
        <w:rPr>
          <w:color w:val="000000"/>
          <w:lang w:eastAsia="en-GB"/>
        </w:rPr>
        <w:t xml:space="preserve">that </w:t>
      </w:r>
      <w:r w:rsidR="0085532A" w:rsidRPr="00C26010">
        <w:rPr>
          <w:color w:val="000000"/>
          <w:lang w:eastAsia="en-GB"/>
        </w:rPr>
        <w:t xml:space="preserve">three elements </w:t>
      </w:r>
      <w:r>
        <w:rPr>
          <w:color w:val="000000"/>
          <w:lang w:eastAsia="en-GB"/>
        </w:rPr>
        <w:t xml:space="preserve">are </w:t>
      </w:r>
      <w:r w:rsidR="0085532A" w:rsidRPr="00C26010">
        <w:rPr>
          <w:color w:val="000000"/>
          <w:lang w:eastAsia="en-GB"/>
        </w:rPr>
        <w:t xml:space="preserve">necessary to establish </w:t>
      </w:r>
      <w:r>
        <w:rPr>
          <w:color w:val="000000"/>
          <w:lang w:eastAsia="en-GB"/>
        </w:rPr>
        <w:t>an action:</w:t>
      </w:r>
      <w:r w:rsidR="0085532A">
        <w:t xml:space="preserve"> </w:t>
      </w:r>
      <w:r w:rsidR="0085532A" w:rsidRPr="0085532A">
        <w:t>fault, damage and causality</w:t>
      </w:r>
      <w:r w:rsidR="00595C6D">
        <w:t>.</w:t>
      </w:r>
      <w:r w:rsidR="00CC1F1B">
        <w:t xml:space="preserve"> </w:t>
      </w:r>
      <w:r>
        <w:t xml:space="preserve">Additionally, </w:t>
      </w:r>
      <w:r w:rsidR="005B4055">
        <w:t>F</w:t>
      </w:r>
      <w:r w:rsidR="00FD0897">
        <w:t xml:space="preserve">rench </w:t>
      </w:r>
      <w:r>
        <w:t xml:space="preserve">jurisprudence has established four cumulative conditions </w:t>
      </w:r>
      <w:r w:rsidR="00FD0897">
        <w:t xml:space="preserve">to establish liability for </w:t>
      </w:r>
      <w:r w:rsidR="00CC1F1B">
        <w:t xml:space="preserve">neighbourhood disturbances:  </w:t>
      </w:r>
    </w:p>
    <w:p w:rsidR="00EC758A" w:rsidRDefault="00EC758A" w:rsidP="00CC1F1B">
      <w:pPr>
        <w:pStyle w:val="Unnumberedquote"/>
      </w:pPr>
      <w:proofErr w:type="gramStart"/>
      <w:r>
        <w:lastRenderedPageBreak/>
        <w:t>Il</w:t>
      </w:r>
      <w:proofErr w:type="gramEnd"/>
      <w:r>
        <w:t xml:space="preserve"> </w:t>
      </w:r>
      <w:proofErr w:type="spellStart"/>
      <w:r>
        <w:t>doit</w:t>
      </w:r>
      <w:proofErr w:type="spellEnd"/>
      <w:r>
        <w:t xml:space="preserve"> </w:t>
      </w:r>
      <w:proofErr w:type="spellStart"/>
      <w:r>
        <w:t>exister</w:t>
      </w:r>
      <w:proofErr w:type="spellEnd"/>
      <w:r>
        <w:t xml:space="preserve"> </w:t>
      </w:r>
      <w:proofErr w:type="spellStart"/>
      <w:r>
        <w:t>une</w:t>
      </w:r>
      <w:proofErr w:type="spellEnd"/>
      <w:r>
        <w:t xml:space="preserve"> relation de </w:t>
      </w:r>
      <w:proofErr w:type="spellStart"/>
      <w:r>
        <w:t>voisinage</w:t>
      </w:r>
      <w:proofErr w:type="spellEnd"/>
      <w:r>
        <w:t xml:space="preserve"> entre </w:t>
      </w:r>
      <w:proofErr w:type="spellStart"/>
      <w:r>
        <w:t>l’auteur</w:t>
      </w:r>
      <w:proofErr w:type="spellEnd"/>
      <w:r>
        <w:t xml:space="preserve"> de </w:t>
      </w:r>
      <w:proofErr w:type="spellStart"/>
      <w:r>
        <w:t>ce</w:t>
      </w:r>
      <w:proofErr w:type="spellEnd"/>
      <w:r>
        <w:t xml:space="preserve"> trouble et </w:t>
      </w:r>
      <w:proofErr w:type="spellStart"/>
      <w:r>
        <w:t>sa</w:t>
      </w:r>
      <w:proofErr w:type="spellEnd"/>
      <w:r>
        <w:t xml:space="preserve"> </w:t>
      </w:r>
      <w:proofErr w:type="spellStart"/>
      <w:r>
        <w:t>victime</w:t>
      </w:r>
      <w:proofErr w:type="spellEnd"/>
      <w:r>
        <w:t xml:space="preserve"> </w:t>
      </w:r>
      <w:proofErr w:type="spellStart"/>
      <w:r>
        <w:t>c’est</w:t>
      </w:r>
      <w:proofErr w:type="spellEnd"/>
      <w:r>
        <w:t xml:space="preserve">-à-dire que </w:t>
      </w:r>
      <w:proofErr w:type="spellStart"/>
      <w:r>
        <w:t>celle</w:t>
      </w:r>
      <w:proofErr w:type="spellEnd"/>
      <w:r>
        <w:t xml:space="preserve">-ci </w:t>
      </w:r>
      <w:proofErr w:type="spellStart"/>
      <w:r>
        <w:t>doit</w:t>
      </w:r>
      <w:proofErr w:type="spellEnd"/>
      <w:r>
        <w:t xml:space="preserve"> se </w:t>
      </w:r>
      <w:proofErr w:type="spellStart"/>
      <w:r>
        <w:t>trouver</w:t>
      </w:r>
      <w:proofErr w:type="spellEnd"/>
      <w:r>
        <w:t xml:space="preserve"> </w:t>
      </w:r>
      <w:proofErr w:type="spellStart"/>
      <w:r>
        <w:t>dans</w:t>
      </w:r>
      <w:proofErr w:type="spellEnd"/>
      <w:r>
        <w:t xml:space="preserve"> le </w:t>
      </w:r>
      <w:proofErr w:type="spellStart"/>
      <w:r>
        <w:t>voisinage</w:t>
      </w:r>
      <w:proofErr w:type="spellEnd"/>
      <w:r>
        <w:t xml:space="preserve"> de </w:t>
      </w:r>
      <w:proofErr w:type="spellStart"/>
      <w:r>
        <w:t>l’auteur</w:t>
      </w:r>
      <w:proofErr w:type="spellEnd"/>
      <w:r>
        <w:t xml:space="preserve">, à </w:t>
      </w:r>
      <w:proofErr w:type="spellStart"/>
      <w:r>
        <w:t>une</w:t>
      </w:r>
      <w:proofErr w:type="spellEnd"/>
      <w:r>
        <w:t xml:space="preserve"> distance </w:t>
      </w:r>
      <w:r w:rsidR="00FD0897">
        <w:t>reasonable</w:t>
      </w:r>
      <w:r>
        <w:t>;</w:t>
      </w:r>
    </w:p>
    <w:p w:rsidR="00EC758A" w:rsidRDefault="00EC758A" w:rsidP="00CC1F1B">
      <w:pPr>
        <w:pStyle w:val="Unnumberedquote"/>
      </w:pPr>
      <w:r>
        <w:t xml:space="preserve">La </w:t>
      </w:r>
      <w:proofErr w:type="spellStart"/>
      <w:r>
        <w:t>victime</w:t>
      </w:r>
      <w:proofErr w:type="spellEnd"/>
      <w:r>
        <w:t xml:space="preserve"> </w:t>
      </w:r>
      <w:proofErr w:type="spellStart"/>
      <w:r>
        <w:t>doit</w:t>
      </w:r>
      <w:proofErr w:type="spellEnd"/>
      <w:r>
        <w:t xml:space="preserve"> faire </w:t>
      </w:r>
      <w:proofErr w:type="spellStart"/>
      <w:r>
        <w:t>état</w:t>
      </w:r>
      <w:proofErr w:type="spellEnd"/>
      <w:r>
        <w:t xml:space="preserve"> d’un </w:t>
      </w:r>
      <w:proofErr w:type="spellStart"/>
      <w:r>
        <w:t>préjudice</w:t>
      </w:r>
      <w:proofErr w:type="spellEnd"/>
      <w:r>
        <w:t xml:space="preserve">, </w:t>
      </w:r>
      <w:proofErr w:type="spellStart"/>
      <w:r>
        <w:t>préjudice</w:t>
      </w:r>
      <w:proofErr w:type="spellEnd"/>
      <w:r>
        <w:t xml:space="preserve"> de </w:t>
      </w:r>
      <w:proofErr w:type="spellStart"/>
      <w:r>
        <w:t>jouissance</w:t>
      </w:r>
      <w:proofErr w:type="spellEnd"/>
      <w:r>
        <w:t xml:space="preserve"> </w:t>
      </w:r>
      <w:proofErr w:type="spellStart"/>
      <w:r>
        <w:t>ou</w:t>
      </w:r>
      <w:proofErr w:type="spellEnd"/>
      <w:r>
        <w:t xml:space="preserve"> </w:t>
      </w:r>
      <w:proofErr w:type="spellStart"/>
      <w:r>
        <w:t>préjudice</w:t>
      </w:r>
      <w:proofErr w:type="spellEnd"/>
      <w:r>
        <w:t xml:space="preserve"> de santé par </w:t>
      </w:r>
      <w:proofErr w:type="spellStart"/>
      <w:r>
        <w:t>exemple</w:t>
      </w:r>
      <w:proofErr w:type="spellEnd"/>
      <w:r>
        <w:t xml:space="preserve"> du fait du </w:t>
      </w:r>
      <w:r w:rsidR="002D14B9">
        <w:t>trouble;</w:t>
      </w:r>
    </w:p>
    <w:p w:rsidR="00EC758A" w:rsidRDefault="00EC758A" w:rsidP="00CC1F1B">
      <w:pPr>
        <w:pStyle w:val="Unnumberedquote"/>
      </w:pPr>
      <w:proofErr w:type="spellStart"/>
      <w:r>
        <w:t>Troisième</w:t>
      </w:r>
      <w:proofErr w:type="spellEnd"/>
      <w:r>
        <w:t xml:space="preserve"> condition </w:t>
      </w:r>
      <w:proofErr w:type="spellStart"/>
      <w:r>
        <w:t>il</w:t>
      </w:r>
      <w:proofErr w:type="spellEnd"/>
      <w:r>
        <w:t xml:space="preserve"> </w:t>
      </w:r>
      <w:proofErr w:type="spellStart"/>
      <w:r>
        <w:t>doit</w:t>
      </w:r>
      <w:proofErr w:type="spellEnd"/>
      <w:r>
        <w:t xml:space="preserve"> </w:t>
      </w:r>
      <w:proofErr w:type="spellStart"/>
      <w:r>
        <w:t>exister</w:t>
      </w:r>
      <w:proofErr w:type="spellEnd"/>
      <w:r>
        <w:t xml:space="preserve"> un lien de </w:t>
      </w:r>
      <w:proofErr w:type="spellStart"/>
      <w:r>
        <w:t>causalité</w:t>
      </w:r>
      <w:proofErr w:type="spellEnd"/>
      <w:r>
        <w:t xml:space="preserve"> entre le trouble et le </w:t>
      </w:r>
      <w:proofErr w:type="spellStart"/>
      <w:proofErr w:type="gramStart"/>
      <w:r>
        <w:t>préjudice</w:t>
      </w:r>
      <w:proofErr w:type="spellEnd"/>
      <w:r>
        <w:t xml:space="preserve"> ;</w:t>
      </w:r>
      <w:proofErr w:type="gramEnd"/>
    </w:p>
    <w:p w:rsidR="00C1160E" w:rsidRDefault="00EC758A" w:rsidP="005B4055">
      <w:pPr>
        <w:pStyle w:val="Unnumberedquote"/>
      </w:pPr>
      <w:proofErr w:type="spellStart"/>
      <w:r>
        <w:t>Enfin</w:t>
      </w:r>
      <w:proofErr w:type="spellEnd"/>
      <w:r>
        <w:t xml:space="preserve"> le trouble </w:t>
      </w:r>
      <w:proofErr w:type="spellStart"/>
      <w:r>
        <w:t>doit</w:t>
      </w:r>
      <w:proofErr w:type="spellEnd"/>
      <w:r>
        <w:t xml:space="preserve"> </w:t>
      </w:r>
      <w:proofErr w:type="spellStart"/>
      <w:r>
        <w:t>véritablement</w:t>
      </w:r>
      <w:proofErr w:type="spellEnd"/>
      <w:r>
        <w:t xml:space="preserve"> </w:t>
      </w:r>
      <w:proofErr w:type="spellStart"/>
      <w:r>
        <w:t>être</w:t>
      </w:r>
      <w:proofErr w:type="spellEnd"/>
      <w:r>
        <w:t xml:space="preserve"> </w:t>
      </w:r>
      <w:proofErr w:type="spellStart"/>
      <w:r>
        <w:t>anormal</w:t>
      </w:r>
      <w:proofErr w:type="spellEnd"/>
      <w:r>
        <w:t xml:space="preserve"> </w:t>
      </w:r>
      <w:proofErr w:type="spellStart"/>
      <w:r>
        <w:t>c’est</w:t>
      </w:r>
      <w:proofErr w:type="spellEnd"/>
      <w:r>
        <w:t xml:space="preserve">-à-dire </w:t>
      </w:r>
      <w:proofErr w:type="spellStart"/>
      <w:r>
        <w:t>être</w:t>
      </w:r>
      <w:proofErr w:type="spellEnd"/>
      <w:r>
        <w:t xml:space="preserve"> </w:t>
      </w:r>
      <w:proofErr w:type="spellStart"/>
      <w:r>
        <w:t>bien</w:t>
      </w:r>
      <w:proofErr w:type="spellEnd"/>
      <w:r>
        <w:t xml:space="preserve"> </w:t>
      </w:r>
      <w:proofErr w:type="spellStart"/>
      <w:r>
        <w:t>supérieur</w:t>
      </w:r>
      <w:proofErr w:type="spellEnd"/>
      <w:r>
        <w:t xml:space="preserve"> aux </w:t>
      </w:r>
      <w:proofErr w:type="spellStart"/>
      <w:r>
        <w:t>inconvénients</w:t>
      </w:r>
      <w:proofErr w:type="spellEnd"/>
      <w:r>
        <w:t xml:space="preserve"> </w:t>
      </w:r>
      <w:proofErr w:type="spellStart"/>
      <w:r>
        <w:t>dits</w:t>
      </w:r>
      <w:proofErr w:type="spellEnd"/>
      <w:r>
        <w:t xml:space="preserve"> </w:t>
      </w:r>
      <w:proofErr w:type="spellStart"/>
      <w:r>
        <w:t>normaux</w:t>
      </w:r>
      <w:proofErr w:type="spellEnd"/>
      <w:r>
        <w:t xml:space="preserve"> que tout un </w:t>
      </w:r>
      <w:proofErr w:type="spellStart"/>
      <w:r>
        <w:t>chacun</w:t>
      </w:r>
      <w:proofErr w:type="spellEnd"/>
      <w:r>
        <w:t xml:space="preserve"> </w:t>
      </w:r>
      <w:proofErr w:type="spellStart"/>
      <w:r>
        <w:t>doit</w:t>
      </w:r>
      <w:proofErr w:type="spellEnd"/>
      <w:r>
        <w:t xml:space="preserve"> </w:t>
      </w:r>
      <w:proofErr w:type="spellStart"/>
      <w:r>
        <w:t>pouvoir</w:t>
      </w:r>
      <w:proofErr w:type="spellEnd"/>
      <w:r>
        <w:t xml:space="preserve"> supporter </w:t>
      </w:r>
      <w:proofErr w:type="spellStart"/>
      <w:r>
        <w:t>dans</w:t>
      </w:r>
      <w:proofErr w:type="spellEnd"/>
      <w:r>
        <w:t xml:space="preserve"> </w:t>
      </w:r>
      <w:proofErr w:type="spellStart"/>
      <w:r>
        <w:t>une</w:t>
      </w:r>
      <w:proofErr w:type="spellEnd"/>
      <w:r>
        <w:t xml:space="preserve"> </w:t>
      </w:r>
      <w:proofErr w:type="spellStart"/>
      <w:r>
        <w:t>société</w:t>
      </w:r>
      <w:proofErr w:type="spellEnd"/>
      <w:r>
        <w:t xml:space="preserve"> vis-à-vis du </w:t>
      </w:r>
      <w:proofErr w:type="spellStart"/>
      <w:r>
        <w:t>voisinage</w:t>
      </w:r>
      <w:proofErr w:type="spellEnd"/>
      <w:r w:rsidR="00C1160E">
        <w:t xml:space="preserve"> </w:t>
      </w:r>
      <w:r w:rsidR="005B4055">
        <w:t>(</w:t>
      </w:r>
      <w:r w:rsidR="00C1160E">
        <w:t>See</w:t>
      </w:r>
      <w:r w:rsidR="00C1160E" w:rsidRPr="00C1160E">
        <w:t xml:space="preserve"> Christophe </w:t>
      </w:r>
      <w:proofErr w:type="spellStart"/>
      <w:r w:rsidR="00C1160E" w:rsidRPr="00C1160E">
        <w:t>S</w:t>
      </w:r>
      <w:r w:rsidR="00C1160E">
        <w:t>anson</w:t>
      </w:r>
      <w:proofErr w:type="spellEnd"/>
      <w:r w:rsidR="00C1160E">
        <w:t xml:space="preserve"> </w:t>
      </w:r>
      <w:hyperlink r:id="rId7" w:history="1">
        <w:r w:rsidR="00C1160E" w:rsidRPr="009879B9">
          <w:rPr>
            <w:rStyle w:val="Hyperlink"/>
          </w:rPr>
          <w:t>https://www.christophe-sanson-avocat.fr/publications/video-n0-6-quappelle-t-on-un-trouble-anormal-de-voisinage</w:t>
        </w:r>
      </w:hyperlink>
      <w:r w:rsidR="00C1160E">
        <w:t xml:space="preserve">, </w:t>
      </w:r>
      <w:hyperlink r:id="rId8" w:history="1">
        <w:r w:rsidR="00C1160E" w:rsidRPr="009879B9">
          <w:rPr>
            <w:rStyle w:val="Hyperlink"/>
          </w:rPr>
          <w:t>https://youtu.be/4hysioPSngQ</w:t>
        </w:r>
      </w:hyperlink>
      <w:r w:rsidR="00C1160E">
        <w:t xml:space="preserve"> </w:t>
      </w:r>
    </w:p>
    <w:p w:rsidR="002D14B9" w:rsidRDefault="002D14B9" w:rsidP="00CC1F1B">
      <w:pPr>
        <w:pStyle w:val="Unnumberedquote"/>
      </w:pPr>
    </w:p>
    <w:p w:rsidR="002D14B9" w:rsidRDefault="002D14B9" w:rsidP="00AC3EB1">
      <w:pPr>
        <w:pStyle w:val="JudgmentText"/>
      </w:pPr>
      <w:r>
        <w:t>In other words</w:t>
      </w:r>
      <w:r w:rsidR="005B4055">
        <w:t>, first,</w:t>
      </w:r>
      <w:r>
        <w:t xml:space="preserve"> </w:t>
      </w:r>
      <w:r w:rsidR="005B4055">
        <w:t>there must be neighbourly relations between the perpetrator of the disturbance and the victim, in other words the latter should be in proximity to the former, at a reasonable distance</w:t>
      </w:r>
      <w:r w:rsidR="000B4C7E">
        <w:t>.</w:t>
      </w:r>
      <w:r w:rsidR="005B4055">
        <w:t xml:space="preserve"> </w:t>
      </w:r>
      <w:r w:rsidR="000B4C7E">
        <w:t>S</w:t>
      </w:r>
      <w:r w:rsidR="005B4055">
        <w:t>econdly, t</w:t>
      </w:r>
      <w:r>
        <w:t>he victim must establish the prejudice – for example, prejudice of their right of enjoyment of a noise-free environment or prejudice to their health</w:t>
      </w:r>
      <w:r w:rsidR="005B4055">
        <w:t xml:space="preserve"> </w:t>
      </w:r>
      <w:proofErr w:type="gramStart"/>
      <w:r>
        <w:t>as a result</w:t>
      </w:r>
      <w:proofErr w:type="gramEnd"/>
      <w:r>
        <w:t xml:space="preserve"> of the disturbance</w:t>
      </w:r>
      <w:r w:rsidR="000B4C7E">
        <w:t>.</w:t>
      </w:r>
      <w:r w:rsidR="005B4055">
        <w:t xml:space="preserve"> </w:t>
      </w:r>
      <w:r w:rsidR="000B4C7E">
        <w:t>T</w:t>
      </w:r>
      <w:r w:rsidR="005B4055">
        <w:t xml:space="preserve">hirdly, </w:t>
      </w:r>
      <w:r>
        <w:t>there should be a link of causality between the disturbance and the prejudice</w:t>
      </w:r>
      <w:r w:rsidR="000B4C7E">
        <w:t>.</w:t>
      </w:r>
      <w:r w:rsidR="005B4055">
        <w:t xml:space="preserve"> </w:t>
      </w:r>
      <w:proofErr w:type="gramStart"/>
      <w:r w:rsidR="000B4C7E">
        <w:t>F</w:t>
      </w:r>
      <w:r w:rsidR="005B4055">
        <w:t>ourthly</w:t>
      </w:r>
      <w:proofErr w:type="gramEnd"/>
      <w:r w:rsidR="005B4055">
        <w:t xml:space="preserve"> </w:t>
      </w:r>
      <w:r>
        <w:t xml:space="preserve">the disturbance must, without doubt, be of an abnormal nature – in other words, it must be over and beyond the inconveniences considered as normal, which everyone should be able to tolerate in a community insofar as neighbourhood relations are concerned.      </w:t>
      </w:r>
    </w:p>
    <w:p w:rsidR="00595C6D" w:rsidRDefault="00595C6D" w:rsidP="00595C6D">
      <w:pPr>
        <w:pStyle w:val="JudgmentText"/>
      </w:pPr>
      <w:proofErr w:type="spellStart"/>
      <w:r>
        <w:t>Cadiet</w:t>
      </w:r>
      <w:proofErr w:type="spellEnd"/>
      <w:r>
        <w:t xml:space="preserve"> </w:t>
      </w:r>
      <w:proofErr w:type="spellStart"/>
      <w:r>
        <w:t>Loïc</w:t>
      </w:r>
      <w:proofErr w:type="spellEnd"/>
      <w:r>
        <w:t xml:space="preserve"> in his “</w:t>
      </w:r>
      <w:proofErr w:type="spellStart"/>
      <w:r>
        <w:t>Theorie</w:t>
      </w:r>
      <w:proofErr w:type="spellEnd"/>
      <w:r>
        <w:t xml:space="preserve"> des </w:t>
      </w:r>
      <w:proofErr w:type="spellStart"/>
      <w:r>
        <w:t>inconvenients</w:t>
      </w:r>
      <w:proofErr w:type="spellEnd"/>
      <w:r>
        <w:t xml:space="preserve"> </w:t>
      </w:r>
      <w:proofErr w:type="spellStart"/>
      <w:r>
        <w:t>anormaux</w:t>
      </w:r>
      <w:proofErr w:type="spellEnd"/>
      <w:r>
        <w:t xml:space="preserve"> de </w:t>
      </w:r>
      <w:proofErr w:type="spellStart"/>
      <w:r>
        <w:t>voisinage</w:t>
      </w:r>
      <w:proofErr w:type="spellEnd"/>
      <w:r>
        <w:t xml:space="preserve"> et droit </w:t>
      </w:r>
      <w:proofErr w:type="spellStart"/>
      <w:r>
        <w:t>commun</w:t>
      </w:r>
      <w:proofErr w:type="spellEnd"/>
      <w:r>
        <w:t xml:space="preserve"> de la </w:t>
      </w:r>
      <w:proofErr w:type="spellStart"/>
      <w:r>
        <w:t>responsabilité</w:t>
      </w:r>
      <w:proofErr w:type="spellEnd"/>
      <w:r>
        <w:t xml:space="preserve"> (Revue </w:t>
      </w:r>
      <w:proofErr w:type="spellStart"/>
      <w:r>
        <w:t>Judiciaire</w:t>
      </w:r>
      <w:proofErr w:type="spellEnd"/>
      <w:r>
        <w:t xml:space="preserve"> 1983-1 pp</w:t>
      </w:r>
      <w:r w:rsidR="0011030B">
        <w:t xml:space="preserve"> </w:t>
      </w:r>
      <w:r>
        <w:t xml:space="preserve">33-51) </w:t>
      </w:r>
      <w:r w:rsidR="0011030B">
        <w:t>sums up the test for nuisance as follows:</w:t>
      </w:r>
    </w:p>
    <w:p w:rsidR="00595C6D" w:rsidRPr="00595C6D" w:rsidRDefault="00595C6D" w:rsidP="00595C6D">
      <w:pPr>
        <w:pStyle w:val="Unnumberedquote"/>
      </w:pPr>
      <w:r w:rsidRPr="00595C6D">
        <w:t xml:space="preserve">“La </w:t>
      </w:r>
      <w:proofErr w:type="spellStart"/>
      <w:r w:rsidRPr="00595C6D">
        <w:t>responsabilité</w:t>
      </w:r>
      <w:proofErr w:type="spellEnd"/>
      <w:r w:rsidRPr="00595C6D">
        <w:t xml:space="preserve"> du </w:t>
      </w:r>
      <w:proofErr w:type="spellStart"/>
      <w:r w:rsidRPr="00595C6D">
        <w:t>voisin</w:t>
      </w:r>
      <w:proofErr w:type="spellEnd"/>
      <w:r w:rsidRPr="00595C6D">
        <w:t xml:space="preserve"> qui </w:t>
      </w:r>
      <w:proofErr w:type="spellStart"/>
      <w:r w:rsidRPr="00595C6D">
        <w:t>crée</w:t>
      </w:r>
      <w:proofErr w:type="spellEnd"/>
      <w:r w:rsidRPr="00595C6D">
        <w:t xml:space="preserve"> les </w:t>
      </w:r>
      <w:proofErr w:type="gramStart"/>
      <w:r w:rsidRPr="00595C6D">
        <w:t>nuisances</w:t>
      </w:r>
      <w:proofErr w:type="gramEnd"/>
      <w:r w:rsidRPr="00595C6D">
        <w:t xml:space="preserve"> </w:t>
      </w:r>
      <w:proofErr w:type="spellStart"/>
      <w:r w:rsidRPr="00595C6D">
        <w:t>naît</w:t>
      </w:r>
      <w:proofErr w:type="spellEnd"/>
      <w:r w:rsidRPr="00595C6D">
        <w:t xml:space="preserve"> </w:t>
      </w:r>
      <w:proofErr w:type="spellStart"/>
      <w:r w:rsidRPr="00595C6D">
        <w:t>précisément</w:t>
      </w:r>
      <w:proofErr w:type="spellEnd"/>
      <w:r w:rsidRPr="00595C6D">
        <w:t xml:space="preserve"> de la violation du devoir de ne causer à </w:t>
      </w:r>
      <w:proofErr w:type="spellStart"/>
      <w:r w:rsidRPr="00595C6D">
        <w:t>autrui</w:t>
      </w:r>
      <w:proofErr w:type="spellEnd"/>
      <w:r w:rsidRPr="00595C6D">
        <w:t xml:space="preserve"> </w:t>
      </w:r>
      <w:proofErr w:type="spellStart"/>
      <w:r w:rsidRPr="00595C6D">
        <w:t>aucun</w:t>
      </w:r>
      <w:proofErr w:type="spellEnd"/>
      <w:r w:rsidRPr="00595C6D">
        <w:t xml:space="preserve"> trouble </w:t>
      </w:r>
      <w:proofErr w:type="spellStart"/>
      <w:r w:rsidRPr="00595C6D">
        <w:t>dépassant</w:t>
      </w:r>
      <w:proofErr w:type="spellEnd"/>
      <w:r w:rsidRPr="00595C6D">
        <w:t xml:space="preserve"> les </w:t>
      </w:r>
      <w:proofErr w:type="spellStart"/>
      <w:r w:rsidRPr="00595C6D">
        <w:t>inconvenients</w:t>
      </w:r>
      <w:proofErr w:type="spellEnd"/>
      <w:r w:rsidRPr="00595C6D">
        <w:t xml:space="preserve"> </w:t>
      </w:r>
      <w:proofErr w:type="spellStart"/>
      <w:r w:rsidRPr="00595C6D">
        <w:t>ordinaires</w:t>
      </w:r>
      <w:proofErr w:type="spellEnd"/>
      <w:r w:rsidRPr="00595C6D">
        <w:t xml:space="preserve"> </w:t>
      </w:r>
      <w:proofErr w:type="spellStart"/>
      <w:r w:rsidRPr="00595C6D">
        <w:t>nés</w:t>
      </w:r>
      <w:proofErr w:type="spellEnd"/>
      <w:r w:rsidRPr="00595C6D">
        <w:t xml:space="preserve"> du </w:t>
      </w:r>
      <w:proofErr w:type="spellStart"/>
      <w:r w:rsidRPr="00595C6D">
        <w:t>voisinage</w:t>
      </w:r>
      <w:proofErr w:type="spellEnd"/>
      <w:r w:rsidRPr="00595C6D">
        <w:t xml:space="preserve">. Elle se </w:t>
      </w:r>
      <w:proofErr w:type="spellStart"/>
      <w:r w:rsidRPr="00595C6D">
        <w:t>déduit</w:t>
      </w:r>
      <w:proofErr w:type="spellEnd"/>
      <w:r w:rsidRPr="00595C6D">
        <w:t xml:space="preserve">, </w:t>
      </w:r>
      <w:proofErr w:type="spellStart"/>
      <w:r w:rsidRPr="00595C6D">
        <w:t>objectivement</w:t>
      </w:r>
      <w:proofErr w:type="spellEnd"/>
      <w:r w:rsidRPr="00595C6D">
        <w:t xml:space="preserve">, </w:t>
      </w:r>
      <w:proofErr w:type="spellStart"/>
      <w:r w:rsidRPr="00595C6D">
        <w:t>indépendamment</w:t>
      </w:r>
      <w:proofErr w:type="spellEnd"/>
      <w:r w:rsidRPr="00595C6D">
        <w:t xml:space="preserve">, de la demonstration </w:t>
      </w:r>
      <w:proofErr w:type="spellStart"/>
      <w:r w:rsidRPr="00595C6D">
        <w:t>d’une</w:t>
      </w:r>
      <w:proofErr w:type="spellEnd"/>
      <w:r w:rsidRPr="00595C6D">
        <w:t xml:space="preserve"> </w:t>
      </w:r>
      <w:proofErr w:type="spellStart"/>
      <w:r w:rsidRPr="00595C6D">
        <w:t>malveillance</w:t>
      </w:r>
      <w:proofErr w:type="spellEnd"/>
      <w:r w:rsidRPr="00595C6D">
        <w:t xml:space="preserve"> </w:t>
      </w:r>
      <w:proofErr w:type="spellStart"/>
      <w:r w:rsidRPr="00595C6D">
        <w:t>ou</w:t>
      </w:r>
      <w:proofErr w:type="spellEnd"/>
      <w:r w:rsidRPr="00595C6D">
        <w:t xml:space="preserve"> </w:t>
      </w:r>
      <w:proofErr w:type="spellStart"/>
      <w:r w:rsidRPr="00595C6D">
        <w:t>d’une</w:t>
      </w:r>
      <w:proofErr w:type="spellEnd"/>
      <w:r w:rsidRPr="00595C6D">
        <w:t xml:space="preserve"> negligence, de </w:t>
      </w:r>
      <w:proofErr w:type="spellStart"/>
      <w:r w:rsidRPr="00595C6D">
        <w:t>l’obervation</w:t>
      </w:r>
      <w:proofErr w:type="spellEnd"/>
      <w:r w:rsidRPr="00595C6D">
        <w:t xml:space="preserve"> </w:t>
      </w:r>
      <w:proofErr w:type="spellStart"/>
      <w:r w:rsidRPr="00595C6D">
        <w:t>d’une</w:t>
      </w:r>
      <w:proofErr w:type="spellEnd"/>
      <w:r w:rsidRPr="00595C6D">
        <w:t xml:space="preserve"> nuisance </w:t>
      </w:r>
      <w:proofErr w:type="spellStart"/>
      <w:r w:rsidRPr="00595C6D">
        <w:t>anormale</w:t>
      </w:r>
      <w:proofErr w:type="spellEnd"/>
      <w:r w:rsidRPr="00595C6D">
        <w:t xml:space="preserve">.” </w:t>
      </w:r>
    </w:p>
    <w:p w:rsidR="00FE34E0" w:rsidRDefault="00FE34E0" w:rsidP="00FE34E0">
      <w:pPr>
        <w:pStyle w:val="Unnumberedquote"/>
      </w:pPr>
    </w:p>
    <w:p w:rsidR="0085532A" w:rsidRDefault="00C1160E" w:rsidP="002F6C76">
      <w:pPr>
        <w:pStyle w:val="JudgmentText"/>
      </w:pPr>
      <w:r>
        <w:t>The test</w:t>
      </w:r>
      <w:r w:rsidR="00001AAA">
        <w:t>,</w:t>
      </w:r>
      <w:r>
        <w:t xml:space="preserve"> </w:t>
      </w:r>
      <w:r w:rsidR="00001AAA">
        <w:t xml:space="preserve">therefore, </w:t>
      </w:r>
      <w:r w:rsidR="00312B7F">
        <w:t xml:space="preserve">for the abnormal nature of the disturbance </w:t>
      </w:r>
      <w:r>
        <w:t>is not</w:t>
      </w:r>
      <w:r w:rsidR="00312B7F">
        <w:t xml:space="preserve"> by way of an</w:t>
      </w:r>
      <w:r>
        <w:t xml:space="preserve"> expert </w:t>
      </w:r>
      <w:r w:rsidR="00312B7F">
        <w:t>establishing</w:t>
      </w:r>
      <w:r>
        <w:t xml:space="preserve"> what number of decibels of noise was registered and </w:t>
      </w:r>
      <w:r w:rsidR="00312B7F">
        <w:t xml:space="preserve">whether it </w:t>
      </w:r>
      <w:r>
        <w:t>create</w:t>
      </w:r>
      <w:r w:rsidR="00312B7F">
        <w:t>d</w:t>
      </w:r>
      <w:r>
        <w:t xml:space="preserve"> a disturbance for which damages are liable. Rather</w:t>
      </w:r>
      <w:r w:rsidR="00312B7F">
        <w:t>,</w:t>
      </w:r>
      <w:r>
        <w:t xml:space="preserve"> the test is one of appreciation by the trial </w:t>
      </w:r>
      <w:r>
        <w:lastRenderedPageBreak/>
        <w:t xml:space="preserve">judge of the abnormality of the </w:t>
      </w:r>
      <w:r w:rsidR="000F7527">
        <w:t>disturbance</w:t>
      </w:r>
      <w:r w:rsidR="00312B7F">
        <w:t xml:space="preserve"> in</w:t>
      </w:r>
      <w:r>
        <w:t xml:space="preserve"> each case in its own circumstances. </w:t>
      </w:r>
      <w:proofErr w:type="gramStart"/>
      <w:r>
        <w:t>Hence</w:t>
      </w:r>
      <w:proofErr w:type="gramEnd"/>
      <w:r>
        <w:t xml:space="preserve"> the </w:t>
      </w:r>
      <w:proofErr w:type="spellStart"/>
      <w:r>
        <w:t>repeatedness</w:t>
      </w:r>
      <w:proofErr w:type="spellEnd"/>
      <w:r>
        <w:t xml:space="preserve"> of the disturbance, for example playing the same CD over and over </w:t>
      </w:r>
      <w:r w:rsidR="00312B7F">
        <w:t>may be</w:t>
      </w:r>
      <w:r>
        <w:t xml:space="preserve"> as disturbing as playing loud music. In </w:t>
      </w:r>
      <w:proofErr w:type="spellStart"/>
      <w:r w:rsidRPr="00312B7F">
        <w:rPr>
          <w:i/>
        </w:rPr>
        <w:t>Bouchereau</w:t>
      </w:r>
      <w:proofErr w:type="spellEnd"/>
      <w:r w:rsidRPr="00312B7F">
        <w:rPr>
          <w:i/>
        </w:rPr>
        <w:t xml:space="preserve"> v Francois</w:t>
      </w:r>
      <w:r>
        <w:t xml:space="preserve"> (1980) SLR 80</w:t>
      </w:r>
      <w:r w:rsidR="00312B7F">
        <w:t>,</w:t>
      </w:r>
      <w:r>
        <w:t xml:space="preserve"> the </w:t>
      </w:r>
      <w:r w:rsidR="00312B7F">
        <w:t>court</w:t>
      </w:r>
      <w:r>
        <w:t xml:space="preserve"> s</w:t>
      </w:r>
      <w:r w:rsidR="00312B7F">
        <w:t>t</w:t>
      </w:r>
      <w:r>
        <w:t xml:space="preserve">ated that nuisance by </w:t>
      </w:r>
      <w:r w:rsidR="00312B7F">
        <w:t>noise</w:t>
      </w:r>
      <w:r>
        <w:t xml:space="preserve"> is something for </w:t>
      </w:r>
      <w:r w:rsidR="00312B7F">
        <w:t>which</w:t>
      </w:r>
      <w:r>
        <w:t xml:space="preserve"> no </w:t>
      </w:r>
      <w:r w:rsidR="00312B7F">
        <w:t>absolute</w:t>
      </w:r>
      <w:r>
        <w:t xml:space="preserve"> standard </w:t>
      </w:r>
      <w:proofErr w:type="gramStart"/>
      <w:r>
        <w:t>can be applied</w:t>
      </w:r>
      <w:proofErr w:type="gramEnd"/>
      <w:r>
        <w:t xml:space="preserve"> a</w:t>
      </w:r>
      <w:r w:rsidR="00312B7F">
        <w:t>n</w:t>
      </w:r>
      <w:r>
        <w:t xml:space="preserve">d that it is a </w:t>
      </w:r>
      <w:r w:rsidR="00312B7F">
        <w:t>question</w:t>
      </w:r>
      <w:r>
        <w:t xml:space="preserve"> of degree </w:t>
      </w:r>
      <w:r w:rsidR="00312B7F">
        <w:t>whether</w:t>
      </w:r>
      <w:r>
        <w:t xml:space="preserve"> the interference with comfort and convenience is suffic</w:t>
      </w:r>
      <w:r w:rsidR="00312B7F">
        <w:t>iently</w:t>
      </w:r>
      <w:r>
        <w:t xml:space="preserve"> se</w:t>
      </w:r>
      <w:r w:rsidR="00312B7F">
        <w:t>rious</w:t>
      </w:r>
      <w:r>
        <w:t xml:space="preserve"> to const</w:t>
      </w:r>
      <w:r w:rsidR="00312B7F">
        <w:t>it</w:t>
      </w:r>
      <w:r>
        <w:t>ute a nu</w:t>
      </w:r>
      <w:r w:rsidR="00312B7F">
        <w:t>i</w:t>
      </w:r>
      <w:r>
        <w:t>sance</w:t>
      </w:r>
      <w:r w:rsidR="00312B7F">
        <w:t>.</w:t>
      </w:r>
      <w:r>
        <w:t xml:space="preserve"> </w:t>
      </w:r>
    </w:p>
    <w:p w:rsidR="00FE34E0" w:rsidRDefault="00312B7F" w:rsidP="00FE34E0">
      <w:pPr>
        <w:pStyle w:val="JudgmentText"/>
      </w:pPr>
      <w:r>
        <w:t xml:space="preserve">It is apparent in this case that the learned trial judge accepted the evidence of the Respondent and her witnesses including that of the </w:t>
      </w:r>
      <w:r w:rsidR="000F7527">
        <w:t>Sub Inspector of Police who investigated the disturbance and interviewed five neighbours who confirmed the Respondent’s narrative.</w:t>
      </w:r>
      <w:r w:rsidR="00D45E5E">
        <w:t xml:space="preserve"> Based on this evidence and in view of the test of degree of comfort and convenience as stated in </w:t>
      </w:r>
      <w:proofErr w:type="spellStart"/>
      <w:r w:rsidR="00D45E5E" w:rsidRPr="00D45E5E">
        <w:rPr>
          <w:i/>
        </w:rPr>
        <w:t>Bouchereau</w:t>
      </w:r>
      <w:proofErr w:type="spellEnd"/>
      <w:r w:rsidR="00D45E5E">
        <w:t xml:space="preserve"> (supra)</w:t>
      </w:r>
      <w:r w:rsidR="000B4C7E">
        <w:t>,</w:t>
      </w:r>
      <w:r w:rsidR="000F7527">
        <w:t xml:space="preserve"> </w:t>
      </w:r>
      <w:r>
        <w:t xml:space="preserve">I cannot find fault with his appraisal of the evidence as a whole including finding the Respondent and her neighbours more credible than the Second Appellant who was the only person to testify for the Appellants. I </w:t>
      </w:r>
      <w:r w:rsidR="000F7527">
        <w:t>therefore</w:t>
      </w:r>
      <w:r>
        <w:t xml:space="preserve"> see no r</w:t>
      </w:r>
      <w:r w:rsidR="000F7527">
        <w:t>e</w:t>
      </w:r>
      <w:r>
        <w:t xml:space="preserve">ason </w:t>
      </w:r>
      <w:r w:rsidR="000F7527">
        <w:t>to</w:t>
      </w:r>
      <w:r>
        <w:t xml:space="preserve"> interfere with his findings</w:t>
      </w:r>
      <w:r w:rsidR="00D45E5E">
        <w:t>.</w:t>
      </w:r>
      <w:r w:rsidR="000F7527">
        <w:t xml:space="preserve"> </w:t>
      </w:r>
    </w:p>
    <w:p w:rsidR="00E351DA" w:rsidRDefault="00E351DA" w:rsidP="00E351DA">
      <w:pPr>
        <w:pStyle w:val="JudgmentText"/>
      </w:pPr>
      <w:r>
        <w:t xml:space="preserve">Counsel for the Appellants tried to raise a ground on the quantum of damages at the appeal. He relied on Rule 31(4) of the Seychelles court of Appeal Rules. I stated at the hearing that he </w:t>
      </w:r>
      <w:proofErr w:type="gramStart"/>
      <w:r w:rsidR="0035519F">
        <w:t>c</w:t>
      </w:r>
      <w:r>
        <w:t>ould not be permitted</w:t>
      </w:r>
      <w:proofErr w:type="gramEnd"/>
      <w:r>
        <w:t xml:space="preserve"> to do so as </w:t>
      </w:r>
      <w:r w:rsidR="0035519F">
        <w:t xml:space="preserve">the issue </w:t>
      </w:r>
      <w:r>
        <w:t>was not canvassed in the appeal grounds.</w:t>
      </w:r>
      <w:r w:rsidRPr="0049534F">
        <w:t xml:space="preserve"> </w:t>
      </w:r>
      <w:r>
        <w:t>I emphasize that the rule he has referred to is one granting discretionary power to the Court of Appeal</w:t>
      </w:r>
      <w:r w:rsidR="0035519F">
        <w:t xml:space="preserve"> to hear further evidence in certain cases.</w:t>
      </w:r>
      <w:r>
        <w:t xml:space="preserve"> It certainly </w:t>
      </w:r>
      <w:proofErr w:type="gramStart"/>
      <w:r>
        <w:t>is not meant</w:t>
      </w:r>
      <w:proofErr w:type="gramEnd"/>
      <w:r>
        <w:t xml:space="preserve"> to result in a breach to party’s right to a fair hearing. When a ground </w:t>
      </w:r>
      <w:proofErr w:type="gramStart"/>
      <w:r>
        <w:t>has not been canvassed</w:t>
      </w:r>
      <w:proofErr w:type="gramEnd"/>
      <w:r>
        <w:t xml:space="preserve"> in a notice of appeal</w:t>
      </w:r>
      <w:r w:rsidR="0035519F">
        <w:t>,</w:t>
      </w:r>
      <w:r>
        <w:t xml:space="preserve"> the other party is ambushed. In any case a </w:t>
      </w:r>
      <w:r w:rsidR="0035519F">
        <w:t xml:space="preserve">decided issue which has not been </w:t>
      </w:r>
      <w:r>
        <w:t xml:space="preserve">appealed </w:t>
      </w:r>
      <w:r w:rsidR="0035519F">
        <w:t xml:space="preserve">against </w:t>
      </w:r>
      <w:r>
        <w:t>is taken</w:t>
      </w:r>
      <w:r w:rsidR="0035519F">
        <w:t xml:space="preserve"> to be </w:t>
      </w:r>
      <w:r w:rsidR="0035519F" w:rsidRPr="0035519F">
        <w:rPr>
          <w:i/>
        </w:rPr>
        <w:t xml:space="preserve">res judicata </w:t>
      </w:r>
      <w:r w:rsidR="0035519F">
        <w:t>(</w:t>
      </w:r>
      <w:proofErr w:type="spellStart"/>
      <w:r w:rsidR="0035519F">
        <w:t>l’autorité</w:t>
      </w:r>
      <w:proofErr w:type="spellEnd"/>
      <w:r w:rsidR="0035519F" w:rsidRPr="0049534F">
        <w:rPr>
          <w:i/>
        </w:rPr>
        <w:t xml:space="preserve"> de la chose </w:t>
      </w:r>
      <w:proofErr w:type="spellStart"/>
      <w:r w:rsidR="0035519F" w:rsidRPr="0049534F">
        <w:rPr>
          <w:i/>
        </w:rPr>
        <w:t>jugée</w:t>
      </w:r>
      <w:proofErr w:type="spellEnd"/>
      <w:r w:rsidR="0035519F">
        <w:rPr>
          <w:i/>
        </w:rPr>
        <w:t>).</w:t>
      </w:r>
      <w:r w:rsidR="0035519F">
        <w:t xml:space="preserve"> </w:t>
      </w:r>
      <w:r>
        <w:t xml:space="preserve">I </w:t>
      </w:r>
      <w:proofErr w:type="gramStart"/>
      <w:r>
        <w:t>am supported</w:t>
      </w:r>
      <w:proofErr w:type="gramEnd"/>
      <w:r>
        <w:t xml:space="preserve"> in this view by jurisprudence and doctrine. In the Mauritian case of </w:t>
      </w:r>
      <w:proofErr w:type="spellStart"/>
      <w:r w:rsidRPr="0049534F">
        <w:rPr>
          <w:i/>
        </w:rPr>
        <w:t>Gilbride</w:t>
      </w:r>
      <w:proofErr w:type="spellEnd"/>
      <w:r w:rsidRPr="0049534F">
        <w:rPr>
          <w:i/>
        </w:rPr>
        <w:t xml:space="preserve"> v </w:t>
      </w:r>
      <w:proofErr w:type="spellStart"/>
      <w:r w:rsidRPr="0049534F">
        <w:rPr>
          <w:i/>
        </w:rPr>
        <w:t>Desvaux</w:t>
      </w:r>
      <w:proofErr w:type="spellEnd"/>
      <w:r w:rsidRPr="0049534F">
        <w:rPr>
          <w:i/>
        </w:rPr>
        <w:t xml:space="preserve"> de </w:t>
      </w:r>
      <w:proofErr w:type="spellStart"/>
      <w:r w:rsidRPr="0049534F">
        <w:rPr>
          <w:i/>
        </w:rPr>
        <w:t>Marigny</w:t>
      </w:r>
      <w:proofErr w:type="spellEnd"/>
      <w:r>
        <w:t xml:space="preserve"> [1972] MR 224, which citing French authorities stated: </w:t>
      </w:r>
    </w:p>
    <w:p w:rsidR="00E351DA" w:rsidRDefault="00E351DA" w:rsidP="00E351DA">
      <w:pPr>
        <w:pStyle w:val="Unnumberedquote"/>
      </w:pPr>
      <w:r>
        <w:t xml:space="preserve">″un </w:t>
      </w:r>
      <w:proofErr w:type="spellStart"/>
      <w:r>
        <w:t>jugment</w:t>
      </w:r>
      <w:proofErr w:type="spellEnd"/>
      <w:r>
        <w:t xml:space="preserve"> </w:t>
      </w:r>
      <w:proofErr w:type="spellStart"/>
      <w:r>
        <w:t>si</w:t>
      </w:r>
      <w:proofErr w:type="spellEnd"/>
      <w:r>
        <w:t xml:space="preserve"> grave … </w:t>
      </w:r>
      <w:proofErr w:type="spellStart"/>
      <w:r>
        <w:t>n’en</w:t>
      </w:r>
      <w:proofErr w:type="spellEnd"/>
      <w:r>
        <w:t xml:space="preserve"> a pas </w:t>
      </w:r>
      <w:proofErr w:type="spellStart"/>
      <w:r>
        <w:t>moins</w:t>
      </w:r>
      <w:proofErr w:type="spellEnd"/>
      <w:r>
        <w:t xml:space="preserve"> </w:t>
      </w:r>
      <w:proofErr w:type="spellStart"/>
      <w:r>
        <w:t>l’autorité</w:t>
      </w:r>
      <w:proofErr w:type="spellEnd"/>
      <w:r>
        <w:t xml:space="preserve"> de la chose </w:t>
      </w:r>
      <w:proofErr w:type="spellStart"/>
      <w:r>
        <w:t>jugée</w:t>
      </w:r>
      <w:proofErr w:type="spellEnd"/>
      <w:r>
        <w:t xml:space="preserve">, </w:t>
      </w:r>
      <w:proofErr w:type="spellStart"/>
      <w:r>
        <w:t>aussi</w:t>
      </w:r>
      <w:proofErr w:type="spellEnd"/>
      <w:r>
        <w:t xml:space="preserve"> </w:t>
      </w:r>
      <w:proofErr w:type="spellStart"/>
      <w:r>
        <w:t>longtemps</w:t>
      </w:r>
      <w:proofErr w:type="spellEnd"/>
      <w:r>
        <w:t xml:space="preserve"> </w:t>
      </w:r>
      <w:proofErr w:type="spellStart"/>
      <w:r>
        <w:t>qu’il</w:t>
      </w:r>
      <w:proofErr w:type="spellEnd"/>
      <w:r>
        <w:t xml:space="preserve"> </w:t>
      </w:r>
      <w:proofErr w:type="spellStart"/>
      <w:r>
        <w:t>n’a</w:t>
      </w:r>
      <w:proofErr w:type="spellEnd"/>
      <w:r>
        <w:t xml:space="preserve"> pas </w:t>
      </w:r>
      <w:proofErr w:type="spellStart"/>
      <w:r>
        <w:t>été</w:t>
      </w:r>
      <w:proofErr w:type="spellEnd"/>
      <w:r>
        <w:t xml:space="preserve"> </w:t>
      </w:r>
      <w:proofErr w:type="spellStart"/>
      <w:r>
        <w:t>attaqué</w:t>
      </w:r>
      <w:proofErr w:type="spellEnd"/>
      <w:r>
        <w:t xml:space="preserve"> par </w:t>
      </w:r>
      <w:proofErr w:type="spellStart"/>
      <w:r>
        <w:t>une</w:t>
      </w:r>
      <w:proofErr w:type="spellEnd"/>
      <w:r>
        <w:t xml:space="preserve"> </w:t>
      </w:r>
      <w:proofErr w:type="spellStart"/>
      <w:r>
        <w:t>voie</w:t>
      </w:r>
      <w:proofErr w:type="spellEnd"/>
      <w:r>
        <w:t xml:space="preserve"> de </w:t>
      </w:r>
      <w:proofErr w:type="spellStart"/>
      <w:r>
        <w:t>recours</w:t>
      </w:r>
      <w:proofErr w:type="spellEnd"/>
      <w:r>
        <w:t>″.</w:t>
      </w:r>
    </w:p>
    <w:p w:rsidR="00E351DA" w:rsidRDefault="00E351DA" w:rsidP="00E351DA">
      <w:pPr>
        <w:pStyle w:val="Unnumberedquote"/>
      </w:pPr>
    </w:p>
    <w:p w:rsidR="00E351DA" w:rsidRDefault="00E351DA" w:rsidP="00E351DA">
      <w:pPr>
        <w:pStyle w:val="JudgmentText"/>
      </w:pPr>
      <w:proofErr w:type="spellStart"/>
      <w:r w:rsidRPr="0049534F">
        <w:rPr>
          <w:i/>
        </w:rPr>
        <w:t>Gilbride</w:t>
      </w:r>
      <w:proofErr w:type="spellEnd"/>
      <w:r>
        <w:t xml:space="preserve"> (supra), cited note 2185 from </w:t>
      </w:r>
      <w:proofErr w:type="spellStart"/>
      <w:r>
        <w:t>Ripert</w:t>
      </w:r>
      <w:proofErr w:type="spellEnd"/>
      <w:r>
        <w:t xml:space="preserve"> et Boulanger, II ―</w:t>
      </w:r>
    </w:p>
    <w:p w:rsidR="00E351DA" w:rsidRDefault="00E351DA" w:rsidP="00E351DA">
      <w:pPr>
        <w:pStyle w:val="Unnumberedquote"/>
      </w:pPr>
      <w:proofErr w:type="gramStart"/>
      <w:r>
        <w:t>306</w:t>
      </w:r>
      <w:proofErr w:type="gramEnd"/>
      <w:r>
        <w:t xml:space="preserve"> […]</w:t>
      </w:r>
    </w:p>
    <w:p w:rsidR="00E351DA" w:rsidRDefault="00E351DA" w:rsidP="00E351DA">
      <w:pPr>
        <w:pStyle w:val="Unnumberedquote"/>
      </w:pPr>
      <w:r>
        <w:t xml:space="preserve">No3. ― </w:t>
      </w:r>
      <w:proofErr w:type="spellStart"/>
      <w:r>
        <w:t>Identité</w:t>
      </w:r>
      <w:proofErr w:type="spellEnd"/>
      <w:r>
        <w:t xml:space="preserve"> </w:t>
      </w:r>
      <w:proofErr w:type="spellStart"/>
      <w:r>
        <w:t>d’objet</w:t>
      </w:r>
      <w:proofErr w:type="spellEnd"/>
      <w:r>
        <w:t>.</w:t>
      </w:r>
    </w:p>
    <w:p w:rsidR="00E351DA" w:rsidRDefault="00E351DA" w:rsidP="00E351DA">
      <w:pPr>
        <w:pStyle w:val="Unnumberedquote"/>
      </w:pPr>
      <w:proofErr w:type="spellStart"/>
      <w:r>
        <w:lastRenderedPageBreak/>
        <w:t>L’appel</w:t>
      </w:r>
      <w:proofErr w:type="spellEnd"/>
      <w:r>
        <w:t xml:space="preserve">, </w:t>
      </w:r>
      <w:proofErr w:type="spellStart"/>
      <w:r>
        <w:t>en</w:t>
      </w:r>
      <w:proofErr w:type="spellEnd"/>
      <w:r>
        <w:t xml:space="preserve"> </w:t>
      </w:r>
      <w:proofErr w:type="spellStart"/>
      <w:r>
        <w:t>effet</w:t>
      </w:r>
      <w:proofErr w:type="spellEnd"/>
      <w:r>
        <w:t xml:space="preserve">, </w:t>
      </w:r>
      <w:proofErr w:type="spellStart"/>
      <w:r>
        <w:t>peut</w:t>
      </w:r>
      <w:proofErr w:type="spellEnd"/>
      <w:r>
        <w:t xml:space="preserve"> ne point porter sur </w:t>
      </w:r>
      <w:proofErr w:type="spellStart"/>
      <w:r>
        <w:t>tous</w:t>
      </w:r>
      <w:proofErr w:type="spellEnd"/>
      <w:r>
        <w:t xml:space="preserve"> les chefs de la decision </w:t>
      </w:r>
      <w:proofErr w:type="spellStart"/>
      <w:r>
        <w:t>rendue</w:t>
      </w:r>
      <w:proofErr w:type="spellEnd"/>
      <w:r>
        <w:t xml:space="preserve"> par les </w:t>
      </w:r>
      <w:proofErr w:type="gramStart"/>
      <w:r>
        <w:t>premiers</w:t>
      </w:r>
      <w:proofErr w:type="gramEnd"/>
      <w:r>
        <w:t xml:space="preserve"> </w:t>
      </w:r>
      <w:proofErr w:type="spellStart"/>
      <w:r>
        <w:t>juges</w:t>
      </w:r>
      <w:proofErr w:type="spellEnd"/>
      <w:r>
        <w:t xml:space="preserve">. </w:t>
      </w:r>
      <w:proofErr w:type="spellStart"/>
      <w:r>
        <w:t>Dans</w:t>
      </w:r>
      <w:proofErr w:type="spellEnd"/>
      <w:r>
        <w:t xml:space="preserve"> </w:t>
      </w:r>
      <w:proofErr w:type="spellStart"/>
      <w:proofErr w:type="gramStart"/>
      <w:r>
        <w:t>ce</w:t>
      </w:r>
      <w:proofErr w:type="spellEnd"/>
      <w:proofErr w:type="gramEnd"/>
      <w:r>
        <w:t xml:space="preserve"> </w:t>
      </w:r>
      <w:proofErr w:type="spellStart"/>
      <w:r>
        <w:t>cas</w:t>
      </w:r>
      <w:proofErr w:type="spellEnd"/>
      <w:r>
        <w:t xml:space="preserve"> les points sur </w:t>
      </w:r>
      <w:proofErr w:type="spellStart"/>
      <w:r>
        <w:t>lesquels</w:t>
      </w:r>
      <w:proofErr w:type="spellEnd"/>
      <w:r>
        <w:t xml:space="preserve"> </w:t>
      </w:r>
      <w:proofErr w:type="spellStart"/>
      <w:r>
        <w:t>il</w:t>
      </w:r>
      <w:proofErr w:type="spellEnd"/>
      <w:r>
        <w:t xml:space="preserve"> </w:t>
      </w:r>
      <w:proofErr w:type="spellStart"/>
      <w:r>
        <w:t>n’a</w:t>
      </w:r>
      <w:proofErr w:type="spellEnd"/>
      <w:r>
        <w:t xml:space="preserve"> pas </w:t>
      </w:r>
      <w:proofErr w:type="spellStart"/>
      <w:r>
        <w:t>été</w:t>
      </w:r>
      <w:proofErr w:type="spellEnd"/>
      <w:r>
        <w:t xml:space="preserve"> </w:t>
      </w:r>
      <w:proofErr w:type="spellStart"/>
      <w:r>
        <w:t>appelé</w:t>
      </w:r>
      <w:proofErr w:type="spellEnd"/>
      <w:r>
        <w:t xml:space="preserve"> </w:t>
      </w:r>
      <w:proofErr w:type="spellStart"/>
      <w:r>
        <w:t>acquièrent</w:t>
      </w:r>
      <w:proofErr w:type="spellEnd"/>
      <w:r>
        <w:t xml:space="preserve"> </w:t>
      </w:r>
      <w:proofErr w:type="spellStart"/>
      <w:r>
        <w:t>définitivement</w:t>
      </w:r>
      <w:proofErr w:type="spellEnd"/>
      <w:r>
        <w:t xml:space="preserve"> </w:t>
      </w:r>
      <w:proofErr w:type="spellStart"/>
      <w:r>
        <w:t>l’autorité</w:t>
      </w:r>
      <w:proofErr w:type="spellEnd"/>
      <w:r>
        <w:t xml:space="preserve"> de la chose </w:t>
      </w:r>
      <w:proofErr w:type="spellStart"/>
      <w:r>
        <w:t>jugée</w:t>
      </w:r>
      <w:proofErr w:type="spellEnd"/>
      <w:r>
        <w:t xml:space="preserve">, et ne </w:t>
      </w:r>
      <w:proofErr w:type="spellStart"/>
      <w:r>
        <w:t>peuvent</w:t>
      </w:r>
      <w:proofErr w:type="spellEnd"/>
      <w:r>
        <w:t xml:space="preserve"> plus </w:t>
      </w:r>
      <w:proofErr w:type="spellStart"/>
      <w:r>
        <w:t>être</w:t>
      </w:r>
      <w:proofErr w:type="spellEnd"/>
      <w:r>
        <w:t xml:space="preserve"> </w:t>
      </w:r>
      <w:proofErr w:type="spellStart"/>
      <w:r>
        <w:t>réformés</w:t>
      </w:r>
      <w:proofErr w:type="spellEnd"/>
      <w:r>
        <w:t xml:space="preserve"> </w:t>
      </w:r>
      <w:proofErr w:type="spellStart"/>
      <w:r>
        <w:t>en</w:t>
      </w:r>
      <w:proofErr w:type="spellEnd"/>
      <w:r>
        <w:t xml:space="preserve"> </w:t>
      </w:r>
      <w:proofErr w:type="spellStart"/>
      <w:r>
        <w:t>appel</w:t>
      </w:r>
      <w:proofErr w:type="spellEnd"/>
      <w:r>
        <w:t xml:space="preserve">.  […]. </w:t>
      </w:r>
      <w:proofErr w:type="spellStart"/>
      <w:r>
        <w:t>Dans</w:t>
      </w:r>
      <w:proofErr w:type="spellEnd"/>
      <w:r>
        <w:t xml:space="preserve"> le </w:t>
      </w:r>
      <w:proofErr w:type="spellStart"/>
      <w:r>
        <w:t>même</w:t>
      </w:r>
      <w:proofErr w:type="spellEnd"/>
      <w:r>
        <w:t xml:space="preserve"> </w:t>
      </w:r>
      <w:proofErr w:type="spellStart"/>
      <w:r>
        <w:t>ordre</w:t>
      </w:r>
      <w:proofErr w:type="spellEnd"/>
      <w:r>
        <w:t xml:space="preserve"> </w:t>
      </w:r>
      <w:proofErr w:type="spellStart"/>
      <w:r>
        <w:t>d’idées</w:t>
      </w:r>
      <w:proofErr w:type="spellEnd"/>
      <w:r>
        <w:t xml:space="preserve">, </w:t>
      </w:r>
      <w:proofErr w:type="spellStart"/>
      <w:r>
        <w:t>il</w:t>
      </w:r>
      <w:proofErr w:type="spellEnd"/>
      <w:r>
        <w:t xml:space="preserve"> </w:t>
      </w:r>
      <w:proofErr w:type="spellStart"/>
      <w:r>
        <w:t>faut</w:t>
      </w:r>
      <w:proofErr w:type="spellEnd"/>
      <w:r>
        <w:t xml:space="preserve"> </w:t>
      </w:r>
      <w:proofErr w:type="spellStart"/>
      <w:r>
        <w:t>remarquer</w:t>
      </w:r>
      <w:proofErr w:type="spellEnd"/>
      <w:r>
        <w:t xml:space="preserve"> que les </w:t>
      </w:r>
      <w:proofErr w:type="spellStart"/>
      <w:r>
        <w:t>juges</w:t>
      </w:r>
      <w:proofErr w:type="spellEnd"/>
      <w:r>
        <w:t xml:space="preserve"> du second </w:t>
      </w:r>
      <w:proofErr w:type="spellStart"/>
      <w:r>
        <w:t>degré</w:t>
      </w:r>
      <w:proofErr w:type="spellEnd"/>
      <w:r>
        <w:t xml:space="preserve"> ne </w:t>
      </w:r>
      <w:proofErr w:type="spellStart"/>
      <w:r>
        <w:t>peuvent</w:t>
      </w:r>
      <w:proofErr w:type="spellEnd"/>
      <w:r>
        <w:t xml:space="preserve"> pas reformer la decision des premiers </w:t>
      </w:r>
      <w:proofErr w:type="spellStart"/>
      <w:r>
        <w:t>juges</w:t>
      </w:r>
      <w:proofErr w:type="spellEnd"/>
      <w:r>
        <w:t xml:space="preserve">, </w:t>
      </w:r>
      <w:proofErr w:type="spellStart"/>
      <w:r>
        <w:t>dans</w:t>
      </w:r>
      <w:proofErr w:type="spellEnd"/>
      <w:r>
        <w:t xml:space="preserve"> </w:t>
      </w:r>
      <w:proofErr w:type="spellStart"/>
      <w:r>
        <w:t>l’intérêt</w:t>
      </w:r>
      <w:proofErr w:type="spellEnd"/>
      <w:r>
        <w:t xml:space="preserve"> de </w:t>
      </w:r>
      <w:proofErr w:type="spellStart"/>
      <w:r>
        <w:t>l’intimité</w:t>
      </w:r>
      <w:proofErr w:type="spellEnd"/>
      <w:r>
        <w:t xml:space="preserve">, </w:t>
      </w:r>
      <w:proofErr w:type="spellStart"/>
      <w:r>
        <w:t>quand</w:t>
      </w:r>
      <w:proofErr w:type="spellEnd"/>
      <w:r>
        <w:t xml:space="preserve"> </w:t>
      </w:r>
      <w:proofErr w:type="spellStart"/>
      <w:r>
        <w:t>celui</w:t>
      </w:r>
      <w:proofErr w:type="spellEnd"/>
      <w:r>
        <w:t xml:space="preserve">-ci </w:t>
      </w:r>
      <w:proofErr w:type="spellStart"/>
      <w:r>
        <w:t>n’a</w:t>
      </w:r>
      <w:proofErr w:type="spellEnd"/>
      <w:r>
        <w:t xml:space="preserve"> pas </w:t>
      </w:r>
      <w:proofErr w:type="spellStart"/>
      <w:r>
        <w:t>relevé</w:t>
      </w:r>
      <w:proofErr w:type="spellEnd"/>
      <w:r>
        <w:t xml:space="preserve"> </w:t>
      </w:r>
      <w:proofErr w:type="spellStart"/>
      <w:r>
        <w:t>appel</w:t>
      </w:r>
      <w:proofErr w:type="spellEnd"/>
      <w:r>
        <w:t xml:space="preserve"> incident…″ </w:t>
      </w:r>
    </w:p>
    <w:p w:rsidR="00E351DA" w:rsidRDefault="00E351DA" w:rsidP="00E351DA">
      <w:pPr>
        <w:pStyle w:val="Unnumberedquote"/>
      </w:pPr>
    </w:p>
    <w:p w:rsidR="00E351DA" w:rsidRDefault="00E351DA" w:rsidP="00E351DA">
      <w:pPr>
        <w:pStyle w:val="JudgmentText"/>
      </w:pPr>
      <w:r>
        <w:t xml:space="preserve">The authorities and French doctrine on the subject state that </w:t>
      </w:r>
      <w:proofErr w:type="spellStart"/>
      <w:r w:rsidRPr="0049534F">
        <w:rPr>
          <w:i/>
        </w:rPr>
        <w:t>l’autorité</w:t>
      </w:r>
      <w:proofErr w:type="spellEnd"/>
      <w:r w:rsidRPr="0049534F">
        <w:rPr>
          <w:i/>
        </w:rPr>
        <w:t xml:space="preserve"> de la chose </w:t>
      </w:r>
      <w:proofErr w:type="spellStart"/>
      <w:r w:rsidRPr="0049534F">
        <w:rPr>
          <w:i/>
        </w:rPr>
        <w:t>jugée</w:t>
      </w:r>
      <w:proofErr w:type="spellEnd"/>
      <w:r>
        <w:t xml:space="preserve"> appl</w:t>
      </w:r>
      <w:r w:rsidR="0035519F">
        <w:t>y</w:t>
      </w:r>
      <w:r>
        <w:t xml:space="preserve"> to the matters on which parties do not appeal against. </w:t>
      </w:r>
    </w:p>
    <w:p w:rsidR="00E351DA" w:rsidRDefault="00E351DA" w:rsidP="00E351DA">
      <w:pPr>
        <w:pStyle w:val="JudgmentText"/>
      </w:pPr>
      <w:r>
        <w:t xml:space="preserve">The ground of appeal </w:t>
      </w:r>
      <w:proofErr w:type="gramStart"/>
      <w:r>
        <w:t>is therefore dismissed</w:t>
      </w:r>
      <w:proofErr w:type="gramEnd"/>
      <w:r>
        <w:t xml:space="preserve"> and the relief granted by the learned trial judge therefore stands.</w:t>
      </w:r>
    </w:p>
    <w:p w:rsidR="00E351DA" w:rsidRPr="00FE34E0" w:rsidRDefault="00E351DA" w:rsidP="00E351DA">
      <w:pPr>
        <w:pStyle w:val="JudgmentText"/>
      </w:pPr>
      <w:r>
        <w:t>In the circumstances</w:t>
      </w:r>
      <w:r w:rsidR="0035519F">
        <w:t>,</w:t>
      </w:r>
      <w:r>
        <w:t xml:space="preserve"> the appeal </w:t>
      </w:r>
      <w:proofErr w:type="gramStart"/>
      <w:r>
        <w:t>is dismissed</w:t>
      </w:r>
      <w:proofErr w:type="gramEnd"/>
      <w:r>
        <w:t xml:space="preserve"> in its entirety with costs to the Respondents. </w:t>
      </w:r>
    </w:p>
    <w:p w:rsidR="00001AAA" w:rsidRDefault="00001AAA" w:rsidP="008577B7">
      <w:pPr>
        <w:keepNext/>
        <w:rPr>
          <w:rFonts w:ascii="Times New Roman" w:hAnsi="Times New Roman" w:cs="Times New Roman"/>
          <w:sz w:val="24"/>
          <w:szCs w:val="24"/>
        </w:rPr>
      </w:pPr>
    </w:p>
    <w:p w:rsidR="00001AAA" w:rsidRDefault="00001AAA" w:rsidP="008577B7">
      <w:pPr>
        <w:keepNext/>
        <w:rPr>
          <w:rFonts w:ascii="Times New Roman" w:hAnsi="Times New Roman" w:cs="Times New Roman"/>
          <w:sz w:val="24"/>
          <w:szCs w:val="24"/>
        </w:rPr>
      </w:pPr>
      <w:r w:rsidRPr="00001AAA">
        <w:rPr>
          <w:rFonts w:ascii="Times New Roman" w:hAnsi="Times New Roman" w:cs="Times New Roman"/>
          <w:sz w:val="24"/>
          <w:szCs w:val="24"/>
        </w:rPr>
        <w:t xml:space="preserve">Signed, dated and delivered at Ile du Port on 21 </w:t>
      </w:r>
      <w:r>
        <w:rPr>
          <w:rFonts w:ascii="Times New Roman" w:hAnsi="Times New Roman" w:cs="Times New Roman"/>
          <w:sz w:val="24"/>
          <w:szCs w:val="24"/>
        </w:rPr>
        <w:t>August</w:t>
      </w:r>
      <w:r w:rsidRPr="00001AAA">
        <w:rPr>
          <w:rFonts w:ascii="Times New Roman" w:hAnsi="Times New Roman" w:cs="Times New Roman"/>
          <w:sz w:val="24"/>
          <w:szCs w:val="24"/>
        </w:rPr>
        <w:t xml:space="preserve"> </w:t>
      </w:r>
      <w:r>
        <w:rPr>
          <w:rFonts w:ascii="Times New Roman" w:hAnsi="Times New Roman" w:cs="Times New Roman"/>
          <w:sz w:val="24"/>
          <w:szCs w:val="24"/>
        </w:rPr>
        <w:t>2020</w:t>
      </w:r>
    </w:p>
    <w:p w:rsidR="00A75AEB" w:rsidRDefault="00A75AEB" w:rsidP="008577B7">
      <w:pPr>
        <w:keepNext/>
        <w:rPr>
          <w:rFonts w:ascii="Times New Roman" w:hAnsi="Times New Roman" w:cs="Times New Roman"/>
          <w:sz w:val="24"/>
          <w:szCs w:val="24"/>
        </w:rPr>
      </w:pPr>
    </w:p>
    <w:p w:rsidR="00A75AEB" w:rsidRDefault="00A75AEB"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w:t>
      </w:r>
      <w:r w:rsidR="00001AAA">
        <w:rPr>
          <w:rFonts w:ascii="Times New Roman" w:hAnsi="Times New Roman" w:cs="Times New Roman"/>
          <w:sz w:val="24"/>
          <w:szCs w:val="24"/>
        </w:rPr>
        <w:t>___</w:t>
      </w:r>
    </w:p>
    <w:p w:rsidR="00235626" w:rsidRDefault="000D6415" w:rsidP="008577B7">
      <w:pPr>
        <w:keepNext/>
        <w:rPr>
          <w:rFonts w:ascii="Times New Roman" w:hAnsi="Times New Roman" w:cs="Times New Roman"/>
          <w:sz w:val="24"/>
          <w:szCs w:val="24"/>
        </w:rPr>
      </w:pPr>
      <w:r>
        <w:rPr>
          <w:rFonts w:ascii="Times New Roman" w:hAnsi="Times New Roman" w:cs="Times New Roman"/>
          <w:sz w:val="24"/>
          <w:szCs w:val="24"/>
        </w:rPr>
        <w:t xml:space="preserve">Twomey </w:t>
      </w:r>
      <w:r w:rsidR="00682172">
        <w:rPr>
          <w:rFonts w:ascii="Times New Roman" w:hAnsi="Times New Roman" w:cs="Times New Roman"/>
          <w:sz w:val="24"/>
          <w:szCs w:val="24"/>
        </w:rPr>
        <w:t>JA</w:t>
      </w:r>
    </w:p>
    <w:p w:rsidR="00682172" w:rsidRDefault="00682172" w:rsidP="008577B7">
      <w:pPr>
        <w:keepNext/>
        <w:rPr>
          <w:rFonts w:ascii="Times New Roman" w:hAnsi="Times New Roman" w:cs="Times New Roman"/>
          <w:sz w:val="24"/>
          <w:szCs w:val="24"/>
        </w:rPr>
      </w:pPr>
    </w:p>
    <w:p w:rsidR="00001AAA" w:rsidRDefault="00001AAA" w:rsidP="008577B7">
      <w:pPr>
        <w:keepNext/>
        <w:rPr>
          <w:rFonts w:ascii="Times New Roman" w:hAnsi="Times New Roman" w:cs="Times New Roman"/>
          <w:sz w:val="24"/>
          <w:szCs w:val="24"/>
        </w:rPr>
      </w:pPr>
    </w:p>
    <w:p w:rsidR="00001AAA" w:rsidRDefault="00682172" w:rsidP="008577B7">
      <w:pPr>
        <w:keepNext/>
        <w:rPr>
          <w:rFonts w:ascii="Times New Roman" w:hAnsi="Times New Roman" w:cs="Times New Roman"/>
          <w:sz w:val="24"/>
          <w:szCs w:val="24"/>
        </w:rPr>
      </w:pPr>
      <w:r>
        <w:rPr>
          <w:rFonts w:ascii="Times New Roman" w:hAnsi="Times New Roman" w:cs="Times New Roman"/>
          <w:sz w:val="24"/>
          <w:szCs w:val="24"/>
        </w:rPr>
        <w:t>I concur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1AAA">
        <w:rPr>
          <w:rFonts w:ascii="Times New Roman" w:hAnsi="Times New Roman" w:cs="Times New Roman"/>
          <w:sz w:val="24"/>
          <w:szCs w:val="24"/>
        </w:rPr>
        <w:t>____________</w:t>
      </w:r>
    </w:p>
    <w:p w:rsidR="00682172" w:rsidRDefault="00001AAA" w:rsidP="00001AAA">
      <w:pPr>
        <w:keepNext/>
        <w:ind w:left="2160" w:firstLine="720"/>
        <w:rPr>
          <w:rFonts w:ascii="Times New Roman" w:hAnsi="Times New Roman" w:cs="Times New Roman"/>
          <w:sz w:val="24"/>
          <w:szCs w:val="24"/>
        </w:rPr>
      </w:pPr>
      <w:r>
        <w:rPr>
          <w:rFonts w:ascii="Times New Roman" w:hAnsi="Times New Roman" w:cs="Times New Roman"/>
          <w:sz w:val="24"/>
          <w:szCs w:val="24"/>
        </w:rPr>
        <w:t xml:space="preserve">Fernando </w:t>
      </w:r>
      <w:r w:rsidR="00D854B1">
        <w:rPr>
          <w:rFonts w:ascii="Times New Roman" w:hAnsi="Times New Roman" w:cs="Times New Roman"/>
          <w:sz w:val="24"/>
          <w:szCs w:val="24"/>
        </w:rPr>
        <w:t>PCA</w:t>
      </w:r>
    </w:p>
    <w:p w:rsidR="00682172" w:rsidRDefault="00682172" w:rsidP="008577B7">
      <w:pPr>
        <w:keepNext/>
        <w:rPr>
          <w:rFonts w:ascii="Times New Roman" w:hAnsi="Times New Roman" w:cs="Times New Roman"/>
          <w:sz w:val="24"/>
          <w:szCs w:val="24"/>
        </w:rPr>
      </w:pPr>
    </w:p>
    <w:p w:rsidR="00001AAA" w:rsidRDefault="00001AAA" w:rsidP="008577B7">
      <w:pPr>
        <w:keepNext/>
        <w:rPr>
          <w:rFonts w:ascii="Times New Roman" w:hAnsi="Times New Roman" w:cs="Times New Roman"/>
          <w:sz w:val="24"/>
          <w:szCs w:val="24"/>
        </w:rPr>
      </w:pPr>
    </w:p>
    <w:p w:rsidR="00001AAA" w:rsidRDefault="00682172" w:rsidP="008577B7">
      <w:pPr>
        <w:keepNext/>
        <w:rPr>
          <w:rFonts w:ascii="Times New Roman" w:hAnsi="Times New Roman" w:cs="Times New Roman"/>
          <w:sz w:val="24"/>
          <w:szCs w:val="24"/>
        </w:rPr>
      </w:pPr>
      <w:r>
        <w:rPr>
          <w:rFonts w:ascii="Times New Roman" w:hAnsi="Times New Roman" w:cs="Times New Roman"/>
          <w:sz w:val="24"/>
          <w:szCs w:val="24"/>
        </w:rPr>
        <w:t xml:space="preserve">I concur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1AAA">
        <w:rPr>
          <w:rFonts w:ascii="Times New Roman" w:hAnsi="Times New Roman" w:cs="Times New Roman"/>
          <w:sz w:val="24"/>
          <w:szCs w:val="24"/>
        </w:rPr>
        <w:t>____________</w:t>
      </w:r>
    </w:p>
    <w:p w:rsidR="00682172" w:rsidRDefault="00001AAA" w:rsidP="00001AAA">
      <w:pPr>
        <w:keepNext/>
        <w:ind w:left="2160" w:firstLine="720"/>
        <w:rPr>
          <w:rFonts w:ascii="Times New Roman" w:hAnsi="Times New Roman" w:cs="Times New Roman"/>
          <w:sz w:val="24"/>
          <w:szCs w:val="24"/>
        </w:rPr>
      </w:pPr>
      <w:r>
        <w:rPr>
          <w:rFonts w:ascii="Times New Roman" w:hAnsi="Times New Roman" w:cs="Times New Roman"/>
          <w:sz w:val="24"/>
          <w:szCs w:val="24"/>
        </w:rPr>
        <w:t>Robinson JA</w:t>
      </w:r>
    </w:p>
    <w:p w:rsidR="00682172" w:rsidRPr="00235626" w:rsidRDefault="00682172" w:rsidP="008577B7">
      <w:pPr>
        <w:keepNext/>
        <w:rPr>
          <w:rFonts w:ascii="Times New Roman" w:hAnsi="Times New Roman" w:cs="Times New Roman"/>
          <w:sz w:val="24"/>
          <w:szCs w:val="24"/>
        </w:rPr>
      </w:pPr>
    </w:p>
    <w:sectPr w:rsidR="00682172" w:rsidRPr="00235626" w:rsidSect="009B495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593" w:rsidRDefault="00220593" w:rsidP="006A68E2">
      <w:pPr>
        <w:spacing w:after="0" w:line="240" w:lineRule="auto"/>
      </w:pPr>
      <w:r>
        <w:separator/>
      </w:r>
    </w:p>
  </w:endnote>
  <w:endnote w:type="continuationSeparator" w:id="0">
    <w:p w:rsidR="00220593" w:rsidRDefault="00220593"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E11829" w:rsidRDefault="00E11829">
        <w:pPr>
          <w:pStyle w:val="Footer"/>
          <w:jc w:val="center"/>
        </w:pPr>
        <w:r>
          <w:fldChar w:fldCharType="begin"/>
        </w:r>
        <w:r>
          <w:instrText xml:space="preserve"> PAGE   \* MERGEFORMAT </w:instrText>
        </w:r>
        <w:r>
          <w:fldChar w:fldCharType="separate"/>
        </w:r>
        <w:r w:rsidR="002F6B9B">
          <w:rPr>
            <w:noProof/>
          </w:rPr>
          <w:t>8</w:t>
        </w:r>
        <w:r>
          <w:rPr>
            <w:noProof/>
          </w:rPr>
          <w:fldChar w:fldCharType="end"/>
        </w:r>
      </w:p>
    </w:sdtContent>
  </w:sdt>
  <w:p w:rsidR="00E11829" w:rsidRDefault="00E11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593" w:rsidRDefault="00220593" w:rsidP="006A68E2">
      <w:pPr>
        <w:spacing w:after="0" w:line="240" w:lineRule="auto"/>
      </w:pPr>
      <w:r>
        <w:separator/>
      </w:r>
    </w:p>
  </w:footnote>
  <w:footnote w:type="continuationSeparator" w:id="0">
    <w:p w:rsidR="00220593" w:rsidRDefault="00220593"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C9C556A"/>
    <w:multiLevelType w:val="hybridMultilevel"/>
    <w:tmpl w:val="357E7A7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D246A3"/>
    <w:multiLevelType w:val="hybridMultilevel"/>
    <w:tmpl w:val="1E027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542D2"/>
    <w:multiLevelType w:val="multilevel"/>
    <w:tmpl w:val="1CC89892"/>
    <w:numStyleLink w:val="Judgments"/>
  </w:abstractNum>
  <w:abstractNum w:abstractNumId="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32F80D59"/>
    <w:multiLevelType w:val="hybridMultilevel"/>
    <w:tmpl w:val="9EF83CE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A421A"/>
    <w:multiLevelType w:val="hybridMultilevel"/>
    <w:tmpl w:val="658646E0"/>
    <w:lvl w:ilvl="0" w:tplc="803600B6">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23256A"/>
    <w:multiLevelType w:val="multilevel"/>
    <w:tmpl w:val="155EFF7A"/>
    <w:lvl w:ilvl="0">
      <w:start w:val="1"/>
      <w:numFmt w:val="decimal"/>
      <w:lvlText w:val="%1."/>
      <w:lvlJc w:val="left"/>
      <w:pPr>
        <w:ind w:left="720" w:hanging="720"/>
      </w:pPr>
      <w:rPr>
        <w:rFonts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8"/>
  </w:num>
  <w:num w:numId="2">
    <w:abstractNumId w:val="3"/>
  </w:num>
  <w:num w:numId="3">
    <w:abstractNumId w:val="9"/>
  </w:num>
  <w:num w:numId="4">
    <w:abstractNumId w:val="6"/>
  </w:num>
  <w:num w:numId="5">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1"/>
  </w:num>
  <w:num w:numId="7">
    <w:abstractNumId w:val="2"/>
  </w:num>
  <w:num w:numId="8">
    <w:abstractNumId w:val="10"/>
  </w:num>
  <w:num w:numId="9">
    <w:abstractNumId w:val="0"/>
  </w:num>
  <w:num w:numId="10">
    <w:abstractNumId w:val="10"/>
  </w:num>
  <w:num w:numId="11">
    <w:abstractNumId w:val="10"/>
  </w:num>
  <w:num w:numId="12">
    <w:abstractNumId w:val="7"/>
  </w:num>
  <w:num w:numId="13">
    <w:abstractNumId w:val="12"/>
  </w:num>
  <w:num w:numId="14">
    <w:abstractNumId w:val="10"/>
    <w:lvlOverride w:ilvl="0">
      <w:startOverride w:val="1"/>
    </w:lvlOverride>
  </w:num>
  <w:num w:numId="15">
    <w:abstractNumId w:val="10"/>
  </w:num>
  <w:num w:numId="16">
    <w:abstractNumId w:val="5"/>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7">
    <w:abstractNumId w:val="1"/>
  </w:num>
  <w:num w:numId="18">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21"/>
    <w:rsid w:val="00001AAA"/>
    <w:rsid w:val="00015A76"/>
    <w:rsid w:val="00025CDF"/>
    <w:rsid w:val="0003054E"/>
    <w:rsid w:val="00035D36"/>
    <w:rsid w:val="000361B7"/>
    <w:rsid w:val="00040193"/>
    <w:rsid w:val="00050392"/>
    <w:rsid w:val="00067FCB"/>
    <w:rsid w:val="00071B84"/>
    <w:rsid w:val="00081862"/>
    <w:rsid w:val="0008560D"/>
    <w:rsid w:val="0009242F"/>
    <w:rsid w:val="00097D19"/>
    <w:rsid w:val="000A1F6D"/>
    <w:rsid w:val="000B4C7E"/>
    <w:rsid w:val="000C0D38"/>
    <w:rsid w:val="000D6415"/>
    <w:rsid w:val="000F7527"/>
    <w:rsid w:val="0011030B"/>
    <w:rsid w:val="00112139"/>
    <w:rsid w:val="001135C2"/>
    <w:rsid w:val="001278AB"/>
    <w:rsid w:val="001428B9"/>
    <w:rsid w:val="001500CF"/>
    <w:rsid w:val="00151BF3"/>
    <w:rsid w:val="0016071D"/>
    <w:rsid w:val="00162586"/>
    <w:rsid w:val="001723B1"/>
    <w:rsid w:val="0017621B"/>
    <w:rsid w:val="00195F76"/>
    <w:rsid w:val="00196639"/>
    <w:rsid w:val="001A0CAF"/>
    <w:rsid w:val="001A3E53"/>
    <w:rsid w:val="001A7A89"/>
    <w:rsid w:val="001B0EFE"/>
    <w:rsid w:val="001C78EC"/>
    <w:rsid w:val="001D33D2"/>
    <w:rsid w:val="002015F8"/>
    <w:rsid w:val="00212006"/>
    <w:rsid w:val="0021402A"/>
    <w:rsid w:val="00214DB4"/>
    <w:rsid w:val="00220593"/>
    <w:rsid w:val="002207B6"/>
    <w:rsid w:val="00235626"/>
    <w:rsid w:val="00243AE1"/>
    <w:rsid w:val="0024493D"/>
    <w:rsid w:val="00244FEB"/>
    <w:rsid w:val="00271C68"/>
    <w:rsid w:val="0027707F"/>
    <w:rsid w:val="002A4749"/>
    <w:rsid w:val="002D14B9"/>
    <w:rsid w:val="002D3055"/>
    <w:rsid w:val="002D4EB8"/>
    <w:rsid w:val="002E2AE3"/>
    <w:rsid w:val="002E2D44"/>
    <w:rsid w:val="002F6B9B"/>
    <w:rsid w:val="00307BB3"/>
    <w:rsid w:val="00312B7F"/>
    <w:rsid w:val="003137B8"/>
    <w:rsid w:val="00315AA7"/>
    <w:rsid w:val="00341C0E"/>
    <w:rsid w:val="00344425"/>
    <w:rsid w:val="00346D7F"/>
    <w:rsid w:val="0035519F"/>
    <w:rsid w:val="003615E7"/>
    <w:rsid w:val="0036708A"/>
    <w:rsid w:val="00380619"/>
    <w:rsid w:val="00392D92"/>
    <w:rsid w:val="003A6C9E"/>
    <w:rsid w:val="003C11F1"/>
    <w:rsid w:val="003E2E94"/>
    <w:rsid w:val="00403F4C"/>
    <w:rsid w:val="00405958"/>
    <w:rsid w:val="00412994"/>
    <w:rsid w:val="004362B7"/>
    <w:rsid w:val="00436E54"/>
    <w:rsid w:val="00463B4E"/>
    <w:rsid w:val="00472219"/>
    <w:rsid w:val="00483C69"/>
    <w:rsid w:val="004A0A8E"/>
    <w:rsid w:val="004A2599"/>
    <w:rsid w:val="004A4C0A"/>
    <w:rsid w:val="004B7720"/>
    <w:rsid w:val="004C16E0"/>
    <w:rsid w:val="004D7477"/>
    <w:rsid w:val="00501E72"/>
    <w:rsid w:val="00524F8B"/>
    <w:rsid w:val="005736D2"/>
    <w:rsid w:val="0058564A"/>
    <w:rsid w:val="00595C6D"/>
    <w:rsid w:val="005A5FCB"/>
    <w:rsid w:val="005B12AA"/>
    <w:rsid w:val="005B4055"/>
    <w:rsid w:val="0061354A"/>
    <w:rsid w:val="00635504"/>
    <w:rsid w:val="00652326"/>
    <w:rsid w:val="00662CEA"/>
    <w:rsid w:val="00673F34"/>
    <w:rsid w:val="00682172"/>
    <w:rsid w:val="00687181"/>
    <w:rsid w:val="006A6465"/>
    <w:rsid w:val="006A68E2"/>
    <w:rsid w:val="006C1880"/>
    <w:rsid w:val="006C5E78"/>
    <w:rsid w:val="006D57EC"/>
    <w:rsid w:val="006F5ABA"/>
    <w:rsid w:val="006F5ACA"/>
    <w:rsid w:val="0070371E"/>
    <w:rsid w:val="00715C55"/>
    <w:rsid w:val="00716FAC"/>
    <w:rsid w:val="00722761"/>
    <w:rsid w:val="00723DED"/>
    <w:rsid w:val="00730A82"/>
    <w:rsid w:val="00733AD4"/>
    <w:rsid w:val="00736607"/>
    <w:rsid w:val="0076591B"/>
    <w:rsid w:val="007904C2"/>
    <w:rsid w:val="00790B53"/>
    <w:rsid w:val="007925FA"/>
    <w:rsid w:val="00796B89"/>
    <w:rsid w:val="007A6037"/>
    <w:rsid w:val="007C5E28"/>
    <w:rsid w:val="007D25FE"/>
    <w:rsid w:val="007D39F5"/>
    <w:rsid w:val="008001C8"/>
    <w:rsid w:val="008020CF"/>
    <w:rsid w:val="0081101D"/>
    <w:rsid w:val="00811C3A"/>
    <w:rsid w:val="00814E15"/>
    <w:rsid w:val="00815764"/>
    <w:rsid w:val="00821506"/>
    <w:rsid w:val="008252B1"/>
    <w:rsid w:val="0083384B"/>
    <w:rsid w:val="00841774"/>
    <w:rsid w:val="0085532A"/>
    <w:rsid w:val="008577B7"/>
    <w:rsid w:val="00877F00"/>
    <w:rsid w:val="008817F2"/>
    <w:rsid w:val="008821CA"/>
    <w:rsid w:val="008A00BC"/>
    <w:rsid w:val="008B23BB"/>
    <w:rsid w:val="008B3391"/>
    <w:rsid w:val="008D714D"/>
    <w:rsid w:val="008E771B"/>
    <w:rsid w:val="008F09EA"/>
    <w:rsid w:val="00904930"/>
    <w:rsid w:val="00907773"/>
    <w:rsid w:val="00932D76"/>
    <w:rsid w:val="00952714"/>
    <w:rsid w:val="009539C2"/>
    <w:rsid w:val="00965F0D"/>
    <w:rsid w:val="00966C3E"/>
    <w:rsid w:val="009753B0"/>
    <w:rsid w:val="009A3363"/>
    <w:rsid w:val="009A34F7"/>
    <w:rsid w:val="009A7688"/>
    <w:rsid w:val="009A769C"/>
    <w:rsid w:val="009B3EAA"/>
    <w:rsid w:val="009B495E"/>
    <w:rsid w:val="009F08EA"/>
    <w:rsid w:val="009F125D"/>
    <w:rsid w:val="00A04F30"/>
    <w:rsid w:val="00A11FB1"/>
    <w:rsid w:val="00A2058F"/>
    <w:rsid w:val="00A25856"/>
    <w:rsid w:val="00A25BCD"/>
    <w:rsid w:val="00A266BE"/>
    <w:rsid w:val="00A43E6C"/>
    <w:rsid w:val="00A75AEB"/>
    <w:rsid w:val="00AB3BD4"/>
    <w:rsid w:val="00AC65DC"/>
    <w:rsid w:val="00AD7040"/>
    <w:rsid w:val="00AE51FE"/>
    <w:rsid w:val="00B03209"/>
    <w:rsid w:val="00B37C18"/>
    <w:rsid w:val="00B837E4"/>
    <w:rsid w:val="00B843CF"/>
    <w:rsid w:val="00B87082"/>
    <w:rsid w:val="00B921CA"/>
    <w:rsid w:val="00B950DF"/>
    <w:rsid w:val="00B96055"/>
    <w:rsid w:val="00BB1A3E"/>
    <w:rsid w:val="00BC3E1E"/>
    <w:rsid w:val="00BC73B1"/>
    <w:rsid w:val="00BE0813"/>
    <w:rsid w:val="00BE3EC0"/>
    <w:rsid w:val="00BE78C4"/>
    <w:rsid w:val="00BF6167"/>
    <w:rsid w:val="00C03BF2"/>
    <w:rsid w:val="00C1160E"/>
    <w:rsid w:val="00C243E8"/>
    <w:rsid w:val="00C2466E"/>
    <w:rsid w:val="00C65D1E"/>
    <w:rsid w:val="00CC0848"/>
    <w:rsid w:val="00CC1F1B"/>
    <w:rsid w:val="00CC437E"/>
    <w:rsid w:val="00CC4C21"/>
    <w:rsid w:val="00CD09C7"/>
    <w:rsid w:val="00CD67A5"/>
    <w:rsid w:val="00CD7565"/>
    <w:rsid w:val="00CF3B02"/>
    <w:rsid w:val="00D01A26"/>
    <w:rsid w:val="00D31F1B"/>
    <w:rsid w:val="00D33DBF"/>
    <w:rsid w:val="00D45E5E"/>
    <w:rsid w:val="00D710E7"/>
    <w:rsid w:val="00D8338F"/>
    <w:rsid w:val="00D854B1"/>
    <w:rsid w:val="00DA28D0"/>
    <w:rsid w:val="00DC5C7F"/>
    <w:rsid w:val="00DE6521"/>
    <w:rsid w:val="00DF59FB"/>
    <w:rsid w:val="00E11829"/>
    <w:rsid w:val="00E1659A"/>
    <w:rsid w:val="00E351DA"/>
    <w:rsid w:val="00E409F3"/>
    <w:rsid w:val="00E65F6A"/>
    <w:rsid w:val="00E82C79"/>
    <w:rsid w:val="00E83A30"/>
    <w:rsid w:val="00E9769A"/>
    <w:rsid w:val="00EA3911"/>
    <w:rsid w:val="00EA620E"/>
    <w:rsid w:val="00EC2665"/>
    <w:rsid w:val="00EC758A"/>
    <w:rsid w:val="00ED0BFC"/>
    <w:rsid w:val="00EF13E2"/>
    <w:rsid w:val="00EF6D79"/>
    <w:rsid w:val="00F0514E"/>
    <w:rsid w:val="00F07F1F"/>
    <w:rsid w:val="00F33B83"/>
    <w:rsid w:val="00F67C42"/>
    <w:rsid w:val="00FC174B"/>
    <w:rsid w:val="00FD0897"/>
    <w:rsid w:val="00FD1BC6"/>
    <w:rsid w:val="00FD3B29"/>
    <w:rsid w:val="00FE34E0"/>
    <w:rsid w:val="00FF37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A58EF"/>
  <w15:docId w15:val="{424355E1-5738-4F10-89BF-A1870F3E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footnotedescription">
    <w:name w:val="footnote description"/>
    <w:next w:val="Normal"/>
    <w:link w:val="footnotedescriptionChar"/>
    <w:hidden/>
    <w:rsid w:val="00015A76"/>
    <w:pPr>
      <w:spacing w:after="9"/>
    </w:pPr>
    <w:rPr>
      <w:rFonts w:ascii="Times New Roman" w:eastAsia="Times New Roman" w:hAnsi="Times New Roman" w:cs="Times New Roman"/>
      <w:color w:val="000000"/>
      <w:sz w:val="20"/>
      <w:lang w:val="en-GB" w:eastAsia="en-GB"/>
    </w:rPr>
  </w:style>
  <w:style w:type="character" w:customStyle="1" w:styleId="footnotedescriptionChar">
    <w:name w:val="footnote description Char"/>
    <w:link w:val="footnotedescription"/>
    <w:rsid w:val="00015A76"/>
    <w:rPr>
      <w:rFonts w:ascii="Times New Roman" w:eastAsia="Times New Roman" w:hAnsi="Times New Roman" w:cs="Times New Roman"/>
      <w:color w:val="000000"/>
      <w:sz w:val="20"/>
      <w:lang w:val="en-GB" w:eastAsia="en-GB"/>
    </w:rPr>
  </w:style>
  <w:style w:type="character" w:customStyle="1" w:styleId="footnotemark">
    <w:name w:val="footnote mark"/>
    <w:hidden/>
    <w:rsid w:val="00015A76"/>
    <w:rPr>
      <w:rFonts w:ascii="Times New Roman" w:eastAsia="Times New Roman" w:hAnsi="Times New Roman" w:cs="Times New Roman"/>
      <w:color w:val="000000"/>
      <w:sz w:val="20"/>
      <w:vertAlign w:val="superscript"/>
    </w:rPr>
  </w:style>
  <w:style w:type="character" w:styleId="Hyperlink">
    <w:name w:val="Hyperlink"/>
    <w:basedOn w:val="DefaultParagraphFont"/>
    <w:uiPriority w:val="99"/>
    <w:unhideWhenUsed/>
    <w:rsid w:val="00C116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4hysioPSngQ" TargetMode="External"/><Relationship Id="rId3" Type="http://schemas.openxmlformats.org/officeDocument/2006/relationships/settings" Target="settings.xml"/><Relationship Id="rId7" Type="http://schemas.openxmlformats.org/officeDocument/2006/relationships/hyperlink" Target="https://www.christophe-sanson-avocat.fr/publications/video-n0-6-quappelle-t-on-un-trouble-anormal-de-voisin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2411</Words>
  <Characters>13746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Marie-Claire Julie</cp:lastModifiedBy>
  <cp:revision>8</cp:revision>
  <cp:lastPrinted>2020-08-20T08:49:00Z</cp:lastPrinted>
  <dcterms:created xsi:type="dcterms:W3CDTF">2020-08-18T06:24:00Z</dcterms:created>
  <dcterms:modified xsi:type="dcterms:W3CDTF">2020-08-24T06:20:00Z</dcterms:modified>
</cp:coreProperties>
</file>