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FEFF" w14:textId="2CC424B3" w:rsidR="0062332E" w:rsidRDefault="0062332E" w:rsidP="004F0E63">
      <w:pPr>
        <w:tabs>
          <w:tab w:val="left" w:pos="4092"/>
        </w:tabs>
        <w:spacing w:after="0" w:line="240" w:lineRule="auto"/>
        <w:jc w:val="both"/>
        <w:rPr>
          <w:rFonts w:ascii="Times New Roman" w:hAnsi="Times New Roman" w:cs="Times New Roman"/>
          <w:b/>
          <w:sz w:val="24"/>
          <w:szCs w:val="24"/>
        </w:rPr>
      </w:pPr>
    </w:p>
    <w:p w14:paraId="42B1E823" w14:textId="77777777" w:rsidR="00D956A4" w:rsidRDefault="00D956A4" w:rsidP="004F0E63">
      <w:pPr>
        <w:tabs>
          <w:tab w:val="left" w:pos="4092"/>
        </w:tabs>
        <w:spacing w:after="0" w:line="240" w:lineRule="auto"/>
        <w:jc w:val="both"/>
        <w:rPr>
          <w:rFonts w:ascii="Times New Roman" w:hAnsi="Times New Roman" w:cs="Times New Roman"/>
          <w:b/>
          <w:sz w:val="24"/>
          <w:szCs w:val="24"/>
        </w:rPr>
      </w:pPr>
    </w:p>
    <w:p w14:paraId="4B2CB934" w14:textId="77777777" w:rsidR="001D33D2" w:rsidRPr="004A2599" w:rsidRDefault="00EE44C8" w:rsidP="00850F37">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0DC9D83C" w14:textId="77777777" w:rsidR="009539C2" w:rsidRPr="004A2599" w:rsidRDefault="009539C2" w:rsidP="004F0E63">
      <w:pPr>
        <w:pBdr>
          <w:bottom w:val="single" w:sz="4" w:space="1" w:color="auto"/>
        </w:pBdr>
        <w:tabs>
          <w:tab w:val="left" w:pos="4092"/>
        </w:tabs>
        <w:spacing w:line="240" w:lineRule="auto"/>
        <w:jc w:val="both"/>
        <w:rPr>
          <w:rFonts w:ascii="Times New Roman" w:hAnsi="Times New Roman" w:cs="Times New Roman"/>
          <w:b/>
          <w:sz w:val="24"/>
          <w:szCs w:val="24"/>
        </w:rPr>
      </w:pPr>
    </w:p>
    <w:p w14:paraId="0A48E80A" w14:textId="77777777" w:rsidR="001934AE" w:rsidRDefault="001934AE" w:rsidP="004F0E63">
      <w:pPr>
        <w:tabs>
          <w:tab w:val="left" w:pos="540"/>
          <w:tab w:val="left" w:pos="4092"/>
        </w:tabs>
        <w:spacing w:after="0" w:line="240" w:lineRule="auto"/>
        <w:jc w:val="both"/>
        <w:rPr>
          <w:rFonts w:ascii="Times New Roman" w:hAnsi="Times New Roman" w:cs="Times New Roman"/>
          <w:i/>
          <w:sz w:val="24"/>
          <w:szCs w:val="24"/>
        </w:rPr>
      </w:pPr>
    </w:p>
    <w:p w14:paraId="66F08684" w14:textId="77777777" w:rsidR="00B278BC" w:rsidRDefault="00B278BC" w:rsidP="004F0E63">
      <w:pPr>
        <w:tabs>
          <w:tab w:val="left" w:pos="540"/>
          <w:tab w:val="left" w:pos="4092"/>
        </w:tabs>
        <w:spacing w:after="0" w:line="240" w:lineRule="auto"/>
        <w:jc w:val="both"/>
        <w:rPr>
          <w:rFonts w:ascii="Times New Roman" w:hAnsi="Times New Roman" w:cs="Times New Roman"/>
          <w:i/>
          <w:sz w:val="24"/>
          <w:szCs w:val="24"/>
        </w:rPr>
      </w:pPr>
    </w:p>
    <w:p w14:paraId="165158A2" w14:textId="054223AA" w:rsidR="00B278BC" w:rsidRPr="00B278BC" w:rsidRDefault="000E6583" w:rsidP="004F0E63">
      <w:pPr>
        <w:spacing w:after="0" w:line="240" w:lineRule="auto"/>
        <w:ind w:left="5580"/>
        <w:jc w:val="both"/>
        <w:rPr>
          <w:rFonts w:ascii="Times New Roman" w:hAnsi="Times New Roman" w:cs="Times New Roman"/>
          <w:sz w:val="24"/>
          <w:szCs w:val="24"/>
          <w:lang w:val="en-US"/>
        </w:rPr>
      </w:pPr>
      <w:r w:rsidRPr="00B278BC">
        <w:rPr>
          <w:rFonts w:ascii="Times New Roman" w:hAnsi="Times New Roman" w:cs="Times New Roman"/>
          <w:sz w:val="24"/>
          <w:szCs w:val="24"/>
          <w:lang w:val="en-US"/>
        </w:rPr>
        <w:t xml:space="preserve"> </w:t>
      </w:r>
      <w:r w:rsidR="00B278BC" w:rsidRPr="00B278BC">
        <w:rPr>
          <w:rFonts w:ascii="Times New Roman" w:hAnsi="Times New Roman" w:cs="Times New Roman"/>
          <w:sz w:val="24"/>
          <w:szCs w:val="24"/>
          <w:lang w:val="en-US"/>
        </w:rPr>
        <w:t>[2020] SCCA      18 December 2020</w:t>
      </w:r>
    </w:p>
    <w:p w14:paraId="49C1F89F" w14:textId="33D9C9CF" w:rsidR="00B278BC" w:rsidRPr="00B278BC" w:rsidRDefault="000E6583" w:rsidP="004F0E63">
      <w:pPr>
        <w:spacing w:after="0" w:line="240" w:lineRule="auto"/>
        <w:ind w:left="5580"/>
        <w:jc w:val="both"/>
        <w:rPr>
          <w:rFonts w:ascii="Times New Roman" w:hAnsi="Times New Roman" w:cs="Times New Roman"/>
          <w:sz w:val="24"/>
          <w:szCs w:val="24"/>
          <w:lang w:val="en-US"/>
        </w:rPr>
      </w:pPr>
      <w:r>
        <w:rPr>
          <w:rFonts w:ascii="Times New Roman" w:hAnsi="Times New Roman" w:cs="Times New Roman"/>
          <w:sz w:val="24"/>
          <w:szCs w:val="24"/>
          <w:lang w:val="en-US"/>
        </w:rPr>
        <w:t>SCA 09</w:t>
      </w:r>
      <w:r w:rsidR="00B278BC" w:rsidRPr="00B278BC">
        <w:rPr>
          <w:rFonts w:ascii="Times New Roman" w:hAnsi="Times New Roman" w:cs="Times New Roman"/>
          <w:sz w:val="24"/>
          <w:szCs w:val="24"/>
          <w:lang w:val="en-US"/>
        </w:rPr>
        <w:t>/2018</w:t>
      </w:r>
    </w:p>
    <w:p w14:paraId="316BC753" w14:textId="0324CE73" w:rsidR="00B278BC" w:rsidRPr="00B278BC" w:rsidRDefault="000E6583" w:rsidP="004F0E63">
      <w:pPr>
        <w:spacing w:after="0" w:line="240" w:lineRule="auto"/>
        <w:ind w:left="55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(Appeal from </w:t>
      </w:r>
      <w:r w:rsidR="00F43DB9">
        <w:rPr>
          <w:rFonts w:ascii="Times New Roman" w:hAnsi="Times New Roman" w:cs="Times New Roman"/>
          <w:sz w:val="24"/>
          <w:szCs w:val="24"/>
          <w:lang w:val="en-US"/>
        </w:rPr>
        <w:t xml:space="preserve">CS </w:t>
      </w:r>
      <w:r>
        <w:rPr>
          <w:rFonts w:ascii="Times New Roman" w:hAnsi="Times New Roman" w:cs="Times New Roman"/>
          <w:sz w:val="24"/>
          <w:szCs w:val="24"/>
          <w:lang w:val="en-US"/>
        </w:rPr>
        <w:t>32/2011</w:t>
      </w:r>
      <w:r w:rsidR="00B278BC" w:rsidRPr="00B278BC">
        <w:rPr>
          <w:rFonts w:ascii="Times New Roman" w:hAnsi="Times New Roman" w:cs="Times New Roman"/>
          <w:sz w:val="24"/>
          <w:szCs w:val="24"/>
          <w:lang w:val="en-US"/>
        </w:rPr>
        <w:t>)</w:t>
      </w:r>
    </w:p>
    <w:p w14:paraId="0ECA93A5" w14:textId="77777777" w:rsidR="00B278BC" w:rsidRPr="00B278BC" w:rsidRDefault="00B278BC" w:rsidP="004F0E63">
      <w:pPr>
        <w:spacing w:after="0" w:line="240" w:lineRule="auto"/>
        <w:ind w:left="5580"/>
        <w:jc w:val="both"/>
        <w:rPr>
          <w:rFonts w:ascii="Times New Roman" w:hAnsi="Times New Roman" w:cs="Times New Roman"/>
          <w:sz w:val="24"/>
          <w:szCs w:val="24"/>
          <w:lang w:val="en-US"/>
        </w:rPr>
      </w:pPr>
    </w:p>
    <w:p w14:paraId="0C8EE847" w14:textId="77777777" w:rsidR="00B278BC" w:rsidRPr="00B278BC" w:rsidRDefault="00B278BC" w:rsidP="004F0E63">
      <w:pPr>
        <w:spacing w:after="0" w:line="240" w:lineRule="auto"/>
        <w:jc w:val="both"/>
        <w:rPr>
          <w:rFonts w:ascii="Times New Roman" w:hAnsi="Times New Roman" w:cs="Times New Roman"/>
          <w:b/>
          <w:sz w:val="24"/>
          <w:szCs w:val="24"/>
        </w:rPr>
      </w:pPr>
    </w:p>
    <w:p w14:paraId="5E84F0E9" w14:textId="42C61971" w:rsidR="00B278BC" w:rsidRPr="00B278BC" w:rsidRDefault="000E6583" w:rsidP="004F0E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AHTEE LABONTE</w:t>
      </w:r>
      <w:r w:rsidR="00B278BC" w:rsidRPr="00B278BC">
        <w:rPr>
          <w:rFonts w:ascii="Times New Roman" w:hAnsi="Times New Roman" w:cs="Times New Roman"/>
          <w:b/>
          <w:sz w:val="24"/>
          <w:szCs w:val="24"/>
        </w:rPr>
        <w:t xml:space="preserve">      </w:t>
      </w:r>
      <w:r w:rsidR="00B278BC" w:rsidRPr="00B278BC">
        <w:rPr>
          <w:rFonts w:ascii="Times New Roman" w:hAnsi="Times New Roman" w:cs="Times New Roman"/>
          <w:b/>
          <w:sz w:val="24"/>
          <w:szCs w:val="24"/>
        </w:rPr>
        <w:tab/>
      </w:r>
      <w:r w:rsidR="00B278BC" w:rsidRPr="00B278BC">
        <w:rPr>
          <w:rFonts w:ascii="Times New Roman" w:hAnsi="Times New Roman" w:cs="Times New Roman"/>
          <w:b/>
          <w:sz w:val="24"/>
          <w:szCs w:val="24"/>
        </w:rPr>
        <w:tab/>
        <w:t xml:space="preserve">                    </w:t>
      </w:r>
      <w:r w:rsidR="00B278BC" w:rsidRPr="00B278BC">
        <w:rPr>
          <w:rFonts w:ascii="Times New Roman" w:hAnsi="Times New Roman" w:cs="Times New Roman"/>
          <w:b/>
          <w:sz w:val="24"/>
          <w:szCs w:val="24"/>
        </w:rPr>
        <w:tab/>
      </w:r>
      <w:r>
        <w:rPr>
          <w:rFonts w:ascii="Times New Roman" w:hAnsi="Times New Roman" w:cs="Times New Roman"/>
          <w:b/>
          <w:sz w:val="24"/>
          <w:szCs w:val="24"/>
        </w:rPr>
        <w:tab/>
      </w:r>
      <w:r w:rsidR="00B278BC" w:rsidRPr="00B278BC">
        <w:rPr>
          <w:rFonts w:ascii="Times New Roman" w:hAnsi="Times New Roman" w:cs="Times New Roman"/>
          <w:b/>
          <w:sz w:val="24"/>
          <w:szCs w:val="24"/>
        </w:rPr>
        <w:t>Appellant</w:t>
      </w:r>
    </w:p>
    <w:p w14:paraId="2D1AFF6D" w14:textId="77777777" w:rsidR="00B278BC" w:rsidRPr="00B278BC" w:rsidRDefault="00B278BC" w:rsidP="004F0E63">
      <w:pPr>
        <w:tabs>
          <w:tab w:val="left" w:pos="540"/>
          <w:tab w:val="left" w:pos="4092"/>
          <w:tab w:val="left" w:pos="5580"/>
        </w:tabs>
        <w:spacing w:after="0" w:line="240" w:lineRule="auto"/>
        <w:jc w:val="both"/>
        <w:rPr>
          <w:rFonts w:ascii="Times New Roman" w:hAnsi="Times New Roman" w:cs="Times New Roman"/>
          <w:i/>
          <w:sz w:val="24"/>
          <w:szCs w:val="24"/>
        </w:rPr>
      </w:pPr>
      <w:r w:rsidRPr="00B278BC">
        <w:rPr>
          <w:rFonts w:ascii="Times New Roman" w:hAnsi="Times New Roman" w:cs="Times New Roman"/>
          <w:i/>
          <w:sz w:val="24"/>
          <w:szCs w:val="24"/>
        </w:rPr>
        <w:t>(</w:t>
      </w:r>
      <w:proofErr w:type="gramStart"/>
      <w:r w:rsidRPr="00B278BC">
        <w:rPr>
          <w:rFonts w:ascii="Times New Roman" w:hAnsi="Times New Roman" w:cs="Times New Roman"/>
          <w:i/>
          <w:sz w:val="24"/>
          <w:szCs w:val="24"/>
        </w:rPr>
        <w:t>rep</w:t>
      </w:r>
      <w:proofErr w:type="gramEnd"/>
      <w:r w:rsidRPr="00B278BC">
        <w:rPr>
          <w:rFonts w:ascii="Times New Roman" w:hAnsi="Times New Roman" w:cs="Times New Roman"/>
          <w:i/>
          <w:sz w:val="24"/>
          <w:szCs w:val="24"/>
        </w:rPr>
        <w:t>. by Mr. Guy Ferley)</w:t>
      </w:r>
    </w:p>
    <w:p w14:paraId="7FC5B7D5" w14:textId="77777777" w:rsidR="00B278BC" w:rsidRPr="00B278BC" w:rsidRDefault="00B278BC" w:rsidP="004F0E63">
      <w:pPr>
        <w:tabs>
          <w:tab w:val="left" w:pos="540"/>
          <w:tab w:val="left" w:pos="4092"/>
          <w:tab w:val="left" w:pos="5580"/>
        </w:tabs>
        <w:spacing w:after="0" w:line="240" w:lineRule="auto"/>
        <w:jc w:val="both"/>
        <w:rPr>
          <w:rFonts w:ascii="Times New Roman" w:hAnsi="Times New Roman" w:cs="Times New Roman"/>
          <w:sz w:val="24"/>
          <w:szCs w:val="24"/>
          <w:lang w:val="en-US"/>
        </w:rPr>
      </w:pPr>
    </w:p>
    <w:p w14:paraId="5F2A7245" w14:textId="77777777" w:rsidR="00B278BC" w:rsidRPr="00B278BC" w:rsidRDefault="00B278BC" w:rsidP="004F0E63">
      <w:pPr>
        <w:tabs>
          <w:tab w:val="left" w:pos="540"/>
          <w:tab w:val="left" w:pos="4092"/>
          <w:tab w:val="left" w:pos="5580"/>
        </w:tabs>
        <w:spacing w:after="0" w:line="240" w:lineRule="auto"/>
        <w:jc w:val="both"/>
        <w:rPr>
          <w:rFonts w:ascii="Times New Roman" w:hAnsi="Times New Roman" w:cs="Times New Roman"/>
          <w:sz w:val="24"/>
          <w:szCs w:val="24"/>
          <w:lang w:val="en-US"/>
        </w:rPr>
      </w:pPr>
      <w:proofErr w:type="gramStart"/>
      <w:r w:rsidRPr="00B278BC">
        <w:rPr>
          <w:rFonts w:ascii="Times New Roman" w:hAnsi="Times New Roman" w:cs="Times New Roman"/>
          <w:sz w:val="24"/>
          <w:szCs w:val="24"/>
          <w:lang w:val="en-US"/>
        </w:rPr>
        <w:t>and</w:t>
      </w:r>
      <w:proofErr w:type="gramEnd"/>
    </w:p>
    <w:p w14:paraId="7A6E9FB3" w14:textId="77777777" w:rsidR="00B278BC" w:rsidRPr="00B278BC" w:rsidRDefault="00B278BC" w:rsidP="004F0E63">
      <w:pPr>
        <w:tabs>
          <w:tab w:val="left" w:pos="540"/>
          <w:tab w:val="left" w:pos="5580"/>
          <w:tab w:val="left" w:pos="6480"/>
        </w:tabs>
        <w:spacing w:after="0" w:line="240" w:lineRule="auto"/>
        <w:jc w:val="both"/>
        <w:rPr>
          <w:rFonts w:ascii="Times New Roman" w:hAnsi="Times New Roman" w:cs="Times New Roman"/>
          <w:b/>
          <w:sz w:val="24"/>
          <w:szCs w:val="24"/>
          <w:lang w:val="en-US"/>
        </w:rPr>
      </w:pPr>
    </w:p>
    <w:p w14:paraId="00F17FAE" w14:textId="0FDB88CB" w:rsidR="00B278BC" w:rsidRPr="00B278BC" w:rsidRDefault="000E6583" w:rsidP="00F43DB9">
      <w:pPr>
        <w:tabs>
          <w:tab w:val="left" w:pos="58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LUCY FRED   </w:t>
      </w:r>
      <w:r>
        <w:rPr>
          <w:rFonts w:ascii="Times New Roman" w:hAnsi="Times New Roman" w:cs="Times New Roman"/>
          <w:b/>
          <w:sz w:val="24"/>
          <w:szCs w:val="24"/>
        </w:rPr>
        <w:tab/>
      </w:r>
      <w:r w:rsidR="00B278BC" w:rsidRPr="00B278BC">
        <w:rPr>
          <w:rFonts w:ascii="Times New Roman" w:hAnsi="Times New Roman" w:cs="Times New Roman"/>
          <w:b/>
          <w:sz w:val="24"/>
          <w:szCs w:val="24"/>
        </w:rPr>
        <w:t>Respondent</w:t>
      </w:r>
    </w:p>
    <w:p w14:paraId="4BBBEE2F" w14:textId="4EF5A2D9" w:rsidR="00B278BC" w:rsidRPr="00B278BC" w:rsidRDefault="000E6583" w:rsidP="004F0E63">
      <w:pPr>
        <w:tabs>
          <w:tab w:val="left" w:pos="540"/>
          <w:tab w:val="left" w:pos="4092"/>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w:t>
      </w:r>
      <w:proofErr w:type="gramStart"/>
      <w:r>
        <w:rPr>
          <w:rFonts w:ascii="Times New Roman" w:hAnsi="Times New Roman" w:cs="Times New Roman"/>
          <w:i/>
          <w:sz w:val="24"/>
          <w:szCs w:val="24"/>
          <w:lang w:val="en-US"/>
        </w:rPr>
        <w:t>rep</w:t>
      </w:r>
      <w:proofErr w:type="gramEnd"/>
      <w:r>
        <w:rPr>
          <w:rFonts w:ascii="Times New Roman" w:hAnsi="Times New Roman" w:cs="Times New Roman"/>
          <w:i/>
          <w:sz w:val="24"/>
          <w:szCs w:val="24"/>
          <w:lang w:val="en-US"/>
        </w:rPr>
        <w:t>. by Mr. Joel Camille</w:t>
      </w:r>
      <w:r w:rsidR="00B278BC" w:rsidRPr="00B278BC">
        <w:rPr>
          <w:rFonts w:ascii="Times New Roman" w:hAnsi="Times New Roman" w:cs="Times New Roman"/>
          <w:i/>
          <w:sz w:val="24"/>
          <w:szCs w:val="24"/>
          <w:lang w:val="en-US"/>
        </w:rPr>
        <w:t>)</w:t>
      </w:r>
    </w:p>
    <w:p w14:paraId="045D4B9C" w14:textId="77777777" w:rsidR="00B278BC" w:rsidRDefault="00B278BC" w:rsidP="004F0E63">
      <w:pPr>
        <w:tabs>
          <w:tab w:val="left" w:pos="540"/>
          <w:tab w:val="left" w:pos="4092"/>
        </w:tabs>
        <w:spacing w:after="0" w:line="240" w:lineRule="auto"/>
        <w:jc w:val="both"/>
        <w:rPr>
          <w:rFonts w:ascii="Times New Roman" w:hAnsi="Times New Roman" w:cs="Times New Roman"/>
          <w:i/>
          <w:sz w:val="24"/>
          <w:szCs w:val="24"/>
        </w:rPr>
      </w:pPr>
    </w:p>
    <w:p w14:paraId="2234C7AF" w14:textId="77777777" w:rsidR="00B278BC" w:rsidRDefault="00B278BC" w:rsidP="004F0E63">
      <w:pPr>
        <w:pBdr>
          <w:bottom w:val="single" w:sz="4" w:space="1" w:color="auto"/>
        </w:pBdr>
        <w:spacing w:after="0" w:line="240" w:lineRule="auto"/>
        <w:jc w:val="both"/>
        <w:rPr>
          <w:rFonts w:ascii="Times New Roman" w:hAnsi="Times New Roman" w:cs="Times New Roman"/>
          <w:sz w:val="24"/>
          <w:szCs w:val="24"/>
        </w:rPr>
      </w:pPr>
    </w:p>
    <w:p w14:paraId="5DDD4FF3" w14:textId="66EC5CE6" w:rsidR="00B278BC" w:rsidRPr="00FA3F8C" w:rsidRDefault="00B278BC" w:rsidP="004F0E63">
      <w:pPr>
        <w:spacing w:before="120" w:after="0" w:line="240" w:lineRule="auto"/>
        <w:ind w:left="1886" w:right="-90"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605E0F">
        <w:rPr>
          <w:rFonts w:ascii="Times New Roman" w:hAnsi="Times New Roman" w:cs="Times New Roman"/>
          <w:i/>
          <w:sz w:val="24"/>
          <w:szCs w:val="24"/>
        </w:rPr>
        <w:t>Labonte v Fred</w:t>
      </w:r>
      <w:bookmarkStart w:id="0" w:name="_GoBack"/>
      <w:bookmarkEnd w:id="0"/>
      <w:r>
        <w:rPr>
          <w:rFonts w:ascii="Times New Roman" w:hAnsi="Times New Roman" w:cs="Times New Roman"/>
          <w:i/>
          <w:sz w:val="24"/>
          <w:szCs w:val="24"/>
        </w:rPr>
        <w:t xml:space="preserve"> </w:t>
      </w:r>
      <w:r>
        <w:rPr>
          <w:rFonts w:ascii="Times New Roman" w:hAnsi="Times New Roman" w:cs="Times New Roman"/>
          <w:sz w:val="24"/>
          <w:szCs w:val="24"/>
        </w:rPr>
        <w:t>(SCA</w:t>
      </w:r>
      <w:r w:rsidR="00F43DB9">
        <w:rPr>
          <w:rFonts w:ascii="Times New Roman" w:hAnsi="Times New Roman" w:cs="Times New Roman"/>
          <w:sz w:val="24"/>
          <w:szCs w:val="24"/>
        </w:rPr>
        <w:t xml:space="preserve"> 09</w:t>
      </w:r>
      <w:r>
        <w:rPr>
          <w:rFonts w:ascii="Times New Roman" w:hAnsi="Times New Roman" w:cs="Times New Roman"/>
          <w:sz w:val="24"/>
          <w:szCs w:val="24"/>
        </w:rPr>
        <w:t>/2018) [</w:t>
      </w:r>
      <w:r w:rsidRPr="00FA3F8C">
        <w:rPr>
          <w:rFonts w:ascii="Times New Roman" w:hAnsi="Times New Roman" w:cs="Times New Roman"/>
          <w:szCs w:val="24"/>
        </w:rPr>
        <w:t xml:space="preserve">2020] SCCA - (18 December </w:t>
      </w:r>
      <w:r>
        <w:rPr>
          <w:rFonts w:ascii="Times New Roman" w:hAnsi="Times New Roman" w:cs="Times New Roman"/>
          <w:szCs w:val="24"/>
        </w:rPr>
        <w:t>2</w:t>
      </w:r>
      <w:r w:rsidRPr="00FA3F8C">
        <w:rPr>
          <w:rFonts w:ascii="Times New Roman" w:hAnsi="Times New Roman" w:cs="Times New Roman"/>
          <w:szCs w:val="24"/>
        </w:rPr>
        <w:t>020)</w:t>
      </w:r>
      <w:r w:rsidRPr="00FA3F8C">
        <w:rPr>
          <w:rFonts w:ascii="Times New Roman" w:hAnsi="Times New Roman" w:cs="Times New Roman"/>
          <w:sz w:val="24"/>
          <w:szCs w:val="24"/>
        </w:rPr>
        <w:t>.</w:t>
      </w:r>
    </w:p>
    <w:p w14:paraId="0E511325" w14:textId="40DE3675" w:rsidR="00B278BC" w:rsidRDefault="00B278BC" w:rsidP="004F0E63">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1D6DAC">
        <w:rPr>
          <w:rFonts w:ascii="Times New Roman" w:hAnsi="Times New Roman" w:cs="Times New Roman"/>
          <w:sz w:val="24"/>
          <w:szCs w:val="24"/>
        </w:rPr>
        <w:t>Twomey</w:t>
      </w:r>
      <w:r w:rsidRPr="00E67F55">
        <w:rPr>
          <w:rFonts w:ascii="Times New Roman" w:hAnsi="Times New Roman" w:cs="Times New Roman"/>
          <w:sz w:val="24"/>
          <w:szCs w:val="24"/>
        </w:rPr>
        <w:t>,</w:t>
      </w:r>
      <w:r>
        <w:rPr>
          <w:rFonts w:ascii="Times New Roman" w:hAnsi="Times New Roman" w:cs="Times New Roman"/>
          <w:sz w:val="24"/>
          <w:szCs w:val="24"/>
        </w:rPr>
        <w:t xml:space="preserve"> </w:t>
      </w:r>
      <w:r w:rsidR="000E6583">
        <w:rPr>
          <w:rFonts w:ascii="Times New Roman" w:hAnsi="Times New Roman" w:cs="Times New Roman"/>
          <w:sz w:val="24"/>
          <w:szCs w:val="24"/>
        </w:rPr>
        <w:t>Robinson, Tibatemwa-</w:t>
      </w:r>
      <w:proofErr w:type="spellStart"/>
      <w:r w:rsidR="000E6583">
        <w:rPr>
          <w:rFonts w:ascii="Times New Roman" w:hAnsi="Times New Roman" w:cs="Times New Roman"/>
          <w:sz w:val="24"/>
          <w:szCs w:val="24"/>
        </w:rPr>
        <w:t>Ekirikubinza</w:t>
      </w:r>
      <w:proofErr w:type="spellEnd"/>
      <w:r>
        <w:rPr>
          <w:rFonts w:ascii="Times New Roman" w:hAnsi="Times New Roman" w:cs="Times New Roman"/>
          <w:sz w:val="24"/>
          <w:szCs w:val="24"/>
        </w:rPr>
        <w:t xml:space="preserve"> JJA</w:t>
      </w:r>
    </w:p>
    <w:p w14:paraId="57581B34" w14:textId="2E68ADE6" w:rsidR="00B278BC" w:rsidRPr="004A2599" w:rsidRDefault="00B278BC" w:rsidP="004F0E63">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p>
    <w:p w14:paraId="6A186C89" w14:textId="2BC48D2C" w:rsidR="00B278BC" w:rsidRPr="005B12AA" w:rsidRDefault="00B278BC" w:rsidP="004F0E63">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sidR="000E6583">
        <w:rPr>
          <w:rFonts w:ascii="Times New Roman" w:hAnsi="Times New Roman" w:cs="Times New Roman"/>
          <w:sz w:val="24"/>
          <w:szCs w:val="24"/>
        </w:rPr>
        <w:tab/>
        <w:t>7</w:t>
      </w:r>
      <w:r>
        <w:rPr>
          <w:rFonts w:ascii="Times New Roman" w:hAnsi="Times New Roman" w:cs="Times New Roman"/>
          <w:sz w:val="24"/>
          <w:szCs w:val="24"/>
        </w:rPr>
        <w:t xml:space="preserve"> December 2020</w:t>
      </w:r>
    </w:p>
    <w:p w14:paraId="4608AB05" w14:textId="77777777" w:rsidR="00B278BC" w:rsidRDefault="00B278BC" w:rsidP="004F0E63">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18 December 2020</w:t>
      </w:r>
    </w:p>
    <w:p w14:paraId="4314E46B" w14:textId="77777777" w:rsidR="00B278BC" w:rsidRDefault="00B278BC" w:rsidP="004F0E63">
      <w:pPr>
        <w:pBdr>
          <w:bottom w:val="single" w:sz="4" w:space="1" w:color="auto"/>
        </w:pBdr>
        <w:spacing w:after="0" w:line="240" w:lineRule="auto"/>
        <w:ind w:left="1890" w:hanging="1890"/>
        <w:jc w:val="both"/>
        <w:rPr>
          <w:rFonts w:ascii="Times New Roman" w:hAnsi="Times New Roman" w:cs="Times New Roman"/>
          <w:sz w:val="24"/>
          <w:szCs w:val="24"/>
        </w:rPr>
      </w:pPr>
    </w:p>
    <w:p w14:paraId="2A4C9AEB" w14:textId="0922560F" w:rsidR="00030C93" w:rsidRPr="00EC6366" w:rsidRDefault="00030C93" w:rsidP="004F0E63">
      <w:pPr>
        <w:pBdr>
          <w:bottom w:val="single" w:sz="4" w:space="1" w:color="auto"/>
        </w:pBdr>
        <w:spacing w:after="0" w:line="240" w:lineRule="auto"/>
        <w:ind w:left="1890" w:hanging="1890"/>
        <w:jc w:val="both"/>
        <w:rPr>
          <w:rFonts w:ascii="Times New Roman" w:hAnsi="Times New Roman" w:cs="Times New Roman"/>
          <w:sz w:val="24"/>
          <w:szCs w:val="24"/>
        </w:rPr>
      </w:pPr>
      <w:r w:rsidRPr="00EC6366">
        <w:rPr>
          <w:rFonts w:ascii="Times New Roman" w:hAnsi="Times New Roman" w:cs="Times New Roman"/>
          <w:sz w:val="24"/>
          <w:szCs w:val="24"/>
        </w:rPr>
        <w:t>______________________________________________________________________________</w:t>
      </w:r>
    </w:p>
    <w:p w14:paraId="48D43F20" w14:textId="77777777" w:rsidR="00F71DEE" w:rsidRDefault="00F71DEE" w:rsidP="004F0E63">
      <w:pPr>
        <w:pBdr>
          <w:bottom w:val="single" w:sz="4" w:space="1" w:color="auto"/>
        </w:pBdr>
        <w:spacing w:after="0" w:line="240" w:lineRule="auto"/>
        <w:ind w:left="1890" w:hanging="1890"/>
        <w:jc w:val="both"/>
        <w:rPr>
          <w:rFonts w:ascii="Times New Roman" w:hAnsi="Times New Roman" w:cs="Times New Roman"/>
          <w:b/>
          <w:sz w:val="24"/>
          <w:szCs w:val="24"/>
        </w:rPr>
      </w:pPr>
    </w:p>
    <w:p w14:paraId="054C3E6A" w14:textId="07716E79" w:rsidR="00030C93" w:rsidRDefault="00AB0029" w:rsidP="004F0E63">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6FE5E721" w14:textId="77F008A6" w:rsidR="00734FDD" w:rsidRPr="00EC6366" w:rsidRDefault="005757DD" w:rsidP="004F0E63">
      <w:pPr>
        <w:pBdr>
          <w:bottom w:val="single" w:sz="4" w:space="1" w:color="auto"/>
        </w:pBdr>
        <w:spacing w:after="0" w:line="240" w:lineRule="auto"/>
        <w:ind w:left="1890" w:hanging="1890"/>
        <w:jc w:val="both"/>
        <w:rPr>
          <w:rFonts w:ascii="Times New Roman" w:hAnsi="Times New Roman" w:cs="Times New Roman"/>
          <w:sz w:val="24"/>
          <w:szCs w:val="24"/>
        </w:rPr>
      </w:pPr>
      <w:r w:rsidRPr="00EC6366">
        <w:rPr>
          <w:rFonts w:ascii="Times New Roman" w:hAnsi="Times New Roman" w:cs="Times New Roman"/>
          <w:sz w:val="24"/>
          <w:szCs w:val="24"/>
        </w:rPr>
        <w:t>______________________________________________________________________________</w:t>
      </w:r>
      <w:r w:rsidR="00734FDD" w:rsidRPr="00EC6366">
        <w:rPr>
          <w:rFonts w:ascii="Times New Roman" w:hAnsi="Times New Roman" w:cs="Times New Roman"/>
          <w:sz w:val="24"/>
          <w:szCs w:val="24"/>
        </w:rPr>
        <w:t xml:space="preserve"> </w:t>
      </w:r>
    </w:p>
    <w:p w14:paraId="4E88C43C" w14:textId="77777777" w:rsidR="005757DD" w:rsidRDefault="005757DD" w:rsidP="004F0E63">
      <w:pPr>
        <w:pBdr>
          <w:bottom w:val="single" w:sz="4" w:space="1" w:color="auto"/>
        </w:pBdr>
        <w:spacing w:after="0" w:line="240" w:lineRule="auto"/>
        <w:ind w:left="1890" w:hanging="1890"/>
        <w:jc w:val="both"/>
        <w:rPr>
          <w:rFonts w:ascii="Times New Roman" w:hAnsi="Times New Roman" w:cs="Times New Roman"/>
          <w:sz w:val="24"/>
          <w:szCs w:val="24"/>
        </w:rPr>
      </w:pPr>
    </w:p>
    <w:p w14:paraId="098B4916" w14:textId="6D9482C9" w:rsidR="00734FDD" w:rsidRDefault="00734FDD" w:rsidP="004F0E63">
      <w:pPr>
        <w:pBdr>
          <w:bottom w:val="single" w:sz="4" w:space="1" w:color="auto"/>
        </w:pBdr>
        <w:spacing w:after="0" w:line="240" w:lineRule="auto"/>
        <w:ind w:left="1890" w:hanging="1890"/>
        <w:jc w:val="both"/>
        <w:rPr>
          <w:rFonts w:ascii="Times New Roman" w:hAnsi="Times New Roman" w:cs="Times New Roman"/>
          <w:sz w:val="24"/>
          <w:szCs w:val="24"/>
        </w:rPr>
      </w:pPr>
    </w:p>
    <w:p w14:paraId="6D618316" w14:textId="77777777" w:rsidR="00D956A4" w:rsidRPr="00F72AF1" w:rsidRDefault="00D956A4" w:rsidP="004F0E63">
      <w:pPr>
        <w:pBdr>
          <w:bottom w:val="single" w:sz="4" w:space="1" w:color="auto"/>
        </w:pBdr>
        <w:spacing w:after="0" w:line="240" w:lineRule="auto"/>
        <w:jc w:val="both"/>
        <w:rPr>
          <w:rFonts w:ascii="Times New Roman" w:hAnsi="Times New Roman" w:cs="Times New Roman"/>
          <w:bCs/>
          <w:sz w:val="24"/>
          <w:szCs w:val="24"/>
        </w:rPr>
      </w:pPr>
    </w:p>
    <w:p w14:paraId="1607D7D2" w14:textId="77777777" w:rsidR="00030C93" w:rsidRPr="00030C93" w:rsidRDefault="00030C93" w:rsidP="004F0E63">
      <w:pPr>
        <w:pBdr>
          <w:bottom w:val="single" w:sz="4" w:space="1" w:color="auto"/>
        </w:pBdr>
        <w:spacing w:after="0" w:line="240" w:lineRule="auto"/>
        <w:ind w:left="1890" w:hanging="1890"/>
        <w:jc w:val="both"/>
        <w:rPr>
          <w:rFonts w:ascii="Times New Roman" w:hAnsi="Times New Roman" w:cs="Times New Roman"/>
          <w:b/>
          <w:sz w:val="24"/>
          <w:szCs w:val="24"/>
        </w:rPr>
      </w:pPr>
    </w:p>
    <w:p w14:paraId="477AE7DE" w14:textId="77777777" w:rsidR="006F5ABA" w:rsidRPr="00030C93" w:rsidRDefault="006F5ABA" w:rsidP="004F0E63">
      <w:pPr>
        <w:jc w:val="both"/>
        <w:rPr>
          <w:rFonts w:ascii="Times New Roman" w:hAnsi="Times New Roman" w:cs="Times New Roman"/>
          <w:b/>
          <w:sz w:val="24"/>
          <w:szCs w:val="24"/>
        </w:rPr>
      </w:pPr>
    </w:p>
    <w:p w14:paraId="511E1BC5" w14:textId="3B5FA029" w:rsidR="00722761" w:rsidRPr="006F5ABA" w:rsidRDefault="000E6583" w:rsidP="004F0E63">
      <w:pPr>
        <w:jc w:val="center"/>
        <w:rPr>
          <w:rFonts w:ascii="Times New Roman" w:hAnsi="Times New Roman" w:cs="Times New Roman"/>
          <w:b/>
          <w:sz w:val="24"/>
          <w:szCs w:val="24"/>
        </w:rPr>
      </w:pPr>
      <w:r>
        <w:rPr>
          <w:rFonts w:ascii="Times New Roman" w:hAnsi="Times New Roman" w:cs="Times New Roman"/>
          <w:b/>
          <w:sz w:val="24"/>
          <w:szCs w:val="24"/>
        </w:rPr>
        <w:t>JUDGMENT</w:t>
      </w:r>
    </w:p>
    <w:p w14:paraId="0B1C3288" w14:textId="77777777" w:rsidR="006F5ABA" w:rsidRPr="00EC6366" w:rsidRDefault="006F5ABA" w:rsidP="004F0E63">
      <w:pPr>
        <w:pStyle w:val="JudgmentText"/>
        <w:numPr>
          <w:ilvl w:val="0"/>
          <w:numId w:val="0"/>
        </w:numPr>
        <w:spacing w:line="480" w:lineRule="auto"/>
        <w:ind w:left="720" w:hanging="720"/>
      </w:pPr>
      <w:r w:rsidRPr="00EC6366">
        <w:t>______________________________________________________________________________</w:t>
      </w:r>
    </w:p>
    <w:p w14:paraId="26F74624" w14:textId="5BEC0D77" w:rsidR="00B278BC" w:rsidRPr="00E2175B" w:rsidRDefault="00B278BC" w:rsidP="00E2175B">
      <w:pPr>
        <w:jc w:val="both"/>
        <w:rPr>
          <w:rFonts w:ascii="Times New Roman" w:hAnsi="Times New Roman" w:cs="Times New Roman"/>
          <w:b/>
          <w:sz w:val="24"/>
          <w:szCs w:val="24"/>
          <w:lang w:val="en-US"/>
        </w:rPr>
      </w:pPr>
      <w:r w:rsidRPr="00E2175B">
        <w:rPr>
          <w:rFonts w:ascii="Times New Roman" w:hAnsi="Times New Roman" w:cs="Times New Roman"/>
          <w:b/>
          <w:sz w:val="24"/>
          <w:szCs w:val="24"/>
          <w:lang w:val="en-US"/>
        </w:rPr>
        <w:t>TIBATEMWA-EKIRIKUBINZA, JA</w:t>
      </w:r>
      <w:r w:rsidR="000E6583" w:rsidRPr="00E2175B">
        <w:rPr>
          <w:rFonts w:ascii="Times New Roman" w:hAnsi="Times New Roman" w:cs="Times New Roman"/>
          <w:b/>
          <w:sz w:val="24"/>
          <w:szCs w:val="24"/>
          <w:lang w:val="en-US"/>
        </w:rPr>
        <w:t xml:space="preserve"> (TWOMEY, ROBINSON</w:t>
      </w:r>
      <w:r w:rsidR="00E47C2F" w:rsidRPr="00E2175B">
        <w:rPr>
          <w:rFonts w:ascii="Times New Roman" w:hAnsi="Times New Roman" w:cs="Times New Roman"/>
          <w:b/>
          <w:sz w:val="24"/>
          <w:szCs w:val="24"/>
          <w:lang w:val="en-US"/>
        </w:rPr>
        <w:t xml:space="preserve"> JJA CONCURRING)</w:t>
      </w:r>
    </w:p>
    <w:p w14:paraId="749E4D39" w14:textId="77777777" w:rsidR="000E6583" w:rsidRPr="00E2175B" w:rsidRDefault="000E6583" w:rsidP="000E6583">
      <w:pPr>
        <w:pStyle w:val="ListParagraph"/>
        <w:jc w:val="both"/>
        <w:rPr>
          <w:rFonts w:ascii="Times New Roman" w:hAnsi="Times New Roman" w:cs="Times New Roman"/>
          <w:b/>
          <w:sz w:val="24"/>
          <w:szCs w:val="24"/>
          <w:lang w:val="en-US"/>
        </w:rPr>
      </w:pPr>
    </w:p>
    <w:p w14:paraId="28EBC7BA" w14:textId="77777777" w:rsidR="000E6583" w:rsidRPr="00E2175B" w:rsidRDefault="000E6583" w:rsidP="000E6583">
      <w:pPr>
        <w:jc w:val="both"/>
        <w:rPr>
          <w:rFonts w:ascii="Times New Roman" w:hAnsi="Times New Roman" w:cs="Times New Roman"/>
          <w:b/>
          <w:sz w:val="24"/>
          <w:szCs w:val="24"/>
          <w:lang w:val="en-US"/>
        </w:rPr>
      </w:pPr>
      <w:r w:rsidRPr="00E2175B">
        <w:rPr>
          <w:rFonts w:ascii="Times New Roman" w:hAnsi="Times New Roman" w:cs="Times New Roman"/>
          <w:b/>
          <w:sz w:val="24"/>
          <w:szCs w:val="24"/>
        </w:rPr>
        <w:t>Facts</w:t>
      </w:r>
    </w:p>
    <w:p w14:paraId="7859EC94"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lastRenderedPageBreak/>
        <w:t xml:space="preserve">In 2008,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(the appellant) purchased from Lucy Fred (the respondent) property situated at </w:t>
      </w:r>
      <w:proofErr w:type="spellStart"/>
      <w:r w:rsidRPr="00E2175B">
        <w:rPr>
          <w:rFonts w:ascii="Times New Roman" w:hAnsi="Times New Roman" w:cs="Times New Roman"/>
          <w:sz w:val="24"/>
          <w:szCs w:val="24"/>
        </w:rPr>
        <w:t>Anse</w:t>
      </w:r>
      <w:proofErr w:type="spellEnd"/>
      <w:r w:rsidRPr="00E2175B">
        <w:rPr>
          <w:rFonts w:ascii="Times New Roman" w:hAnsi="Times New Roman" w:cs="Times New Roman"/>
          <w:sz w:val="24"/>
          <w:szCs w:val="24"/>
        </w:rPr>
        <w:t xml:space="preserve"> Consolation </w:t>
      </w:r>
      <w:proofErr w:type="spellStart"/>
      <w:r w:rsidRPr="00E2175B">
        <w:rPr>
          <w:rFonts w:ascii="Times New Roman" w:hAnsi="Times New Roman" w:cs="Times New Roman"/>
          <w:sz w:val="24"/>
          <w:szCs w:val="24"/>
        </w:rPr>
        <w:t>Praslin</w:t>
      </w:r>
      <w:proofErr w:type="spellEnd"/>
      <w:r w:rsidRPr="00E2175B">
        <w:rPr>
          <w:rFonts w:ascii="Times New Roman" w:hAnsi="Times New Roman" w:cs="Times New Roman"/>
          <w:sz w:val="24"/>
          <w:szCs w:val="24"/>
        </w:rPr>
        <w:t xml:space="preserve"> described as parcel PR. 1541 together with developments on the said property. The consideration indicated in the agreement of purchase was SR 1,000,000/=.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thereafter took possession of the property. She however acknowledged in the plaint that she had a balance of SR 41,900 to clear.</w:t>
      </w:r>
    </w:p>
    <w:p w14:paraId="484B7D3C" w14:textId="77777777" w:rsidR="000E6583" w:rsidRPr="00E2175B" w:rsidRDefault="000E6583" w:rsidP="000E6583">
      <w:pPr>
        <w:pStyle w:val="ListParagraph"/>
        <w:jc w:val="both"/>
        <w:rPr>
          <w:rFonts w:ascii="Times New Roman" w:hAnsi="Times New Roman" w:cs="Times New Roman"/>
          <w:b/>
          <w:sz w:val="24"/>
          <w:szCs w:val="24"/>
          <w:lang w:val="en-US"/>
        </w:rPr>
      </w:pPr>
    </w:p>
    <w:p w14:paraId="2CD5EAF2"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Thereafter,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appointed Mr. Gerard </w:t>
      </w:r>
      <w:proofErr w:type="spellStart"/>
      <w:r w:rsidRPr="00E2175B">
        <w:rPr>
          <w:rFonts w:ascii="Times New Roman" w:hAnsi="Times New Roman" w:cs="Times New Roman"/>
          <w:sz w:val="24"/>
          <w:szCs w:val="24"/>
        </w:rPr>
        <w:t>Maurel</w:t>
      </w:r>
      <w:proofErr w:type="spellEnd"/>
      <w:r w:rsidRPr="00E2175B">
        <w:rPr>
          <w:rFonts w:ascii="Times New Roman" w:hAnsi="Times New Roman" w:cs="Times New Roman"/>
          <w:sz w:val="24"/>
          <w:szCs w:val="24"/>
        </w:rPr>
        <w:t xml:space="preserve"> as notary to complete the transfer of the said parcel. However, Lucy Fred stopped the notary from transferring the parcel and registering it, on the premise that the actual consideration was SR 2,500,000/= plus 25,000 pound sterling and not SR 1,000,000/=. That the sale agreement indicated SR 1,000,000 as consideration for the benefit of paying low stamp duty. Lucy Fred further averred that she </w:t>
      </w:r>
      <w:proofErr w:type="gramStart"/>
      <w:r w:rsidRPr="00E2175B">
        <w:rPr>
          <w:rFonts w:ascii="Times New Roman" w:hAnsi="Times New Roman" w:cs="Times New Roman"/>
          <w:sz w:val="24"/>
          <w:szCs w:val="24"/>
        </w:rPr>
        <w:t>had been paid</w:t>
      </w:r>
      <w:proofErr w:type="gramEnd"/>
      <w:r w:rsidRPr="00E2175B">
        <w:rPr>
          <w:rFonts w:ascii="Times New Roman" w:hAnsi="Times New Roman" w:cs="Times New Roman"/>
          <w:sz w:val="24"/>
          <w:szCs w:val="24"/>
        </w:rPr>
        <w:t xml:space="preserve"> only SR 858,100 and was awaiting clearing of the balance in the sum of SR 1641,900 plus 25,000 pounds.</w:t>
      </w:r>
    </w:p>
    <w:p w14:paraId="73838840" w14:textId="77777777" w:rsidR="000E6583" w:rsidRPr="00E2175B" w:rsidRDefault="000E6583" w:rsidP="000E6583">
      <w:pPr>
        <w:pStyle w:val="ListParagraph"/>
        <w:rPr>
          <w:rFonts w:ascii="Times New Roman" w:hAnsi="Times New Roman" w:cs="Times New Roman"/>
          <w:b/>
          <w:sz w:val="24"/>
          <w:szCs w:val="24"/>
          <w:lang w:val="en-US"/>
        </w:rPr>
      </w:pPr>
    </w:p>
    <w:p w14:paraId="25A2FF16"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considered Lucy Fred’s actions as a breach of contract and sued her in the Supreme Court for the following orders:</w:t>
      </w:r>
    </w:p>
    <w:p w14:paraId="2A96C3D2" w14:textId="77777777" w:rsidR="000E6583" w:rsidRPr="00E2175B" w:rsidRDefault="000E6583" w:rsidP="00303387">
      <w:pPr>
        <w:pStyle w:val="ListParagraph"/>
        <w:rPr>
          <w:rFonts w:ascii="Times New Roman" w:hAnsi="Times New Roman" w:cs="Times New Roman"/>
          <w:b/>
          <w:sz w:val="24"/>
          <w:szCs w:val="24"/>
          <w:lang w:val="en-US"/>
        </w:rPr>
      </w:pPr>
    </w:p>
    <w:p w14:paraId="62EA0287" w14:textId="77777777" w:rsidR="000E6583" w:rsidRPr="00E2175B" w:rsidRDefault="000E6583" w:rsidP="00303387">
      <w:pPr>
        <w:pStyle w:val="ListParagraph"/>
        <w:numPr>
          <w:ilvl w:val="0"/>
          <w:numId w:val="34"/>
        </w:numPr>
        <w:spacing w:line="360" w:lineRule="auto"/>
        <w:ind w:left="1530" w:hanging="540"/>
        <w:jc w:val="both"/>
        <w:rPr>
          <w:rFonts w:ascii="Times New Roman" w:hAnsi="Times New Roman" w:cs="Times New Roman"/>
          <w:sz w:val="24"/>
          <w:szCs w:val="24"/>
        </w:rPr>
      </w:pPr>
      <w:r w:rsidRPr="00E2175B">
        <w:rPr>
          <w:rFonts w:ascii="Times New Roman" w:hAnsi="Times New Roman" w:cs="Times New Roman"/>
          <w:sz w:val="24"/>
          <w:szCs w:val="24"/>
        </w:rPr>
        <w:t>An injunction ordering the notary-Mr. Gerard to immediately deposit and register the said transfer.</w:t>
      </w:r>
    </w:p>
    <w:p w14:paraId="466FE8A8" w14:textId="77777777" w:rsidR="000E6583" w:rsidRPr="00E2175B" w:rsidRDefault="000E6583" w:rsidP="00303387">
      <w:pPr>
        <w:pStyle w:val="ListParagraph"/>
        <w:numPr>
          <w:ilvl w:val="0"/>
          <w:numId w:val="34"/>
        </w:numPr>
        <w:spacing w:line="360" w:lineRule="auto"/>
        <w:ind w:left="1530" w:hanging="540"/>
        <w:jc w:val="both"/>
        <w:rPr>
          <w:rFonts w:ascii="Times New Roman" w:hAnsi="Times New Roman" w:cs="Times New Roman"/>
          <w:sz w:val="24"/>
          <w:szCs w:val="24"/>
        </w:rPr>
      </w:pPr>
      <w:r w:rsidRPr="00E2175B">
        <w:rPr>
          <w:rFonts w:ascii="Times New Roman" w:hAnsi="Times New Roman" w:cs="Times New Roman"/>
          <w:sz w:val="24"/>
          <w:szCs w:val="24"/>
        </w:rPr>
        <w:t>An injunction ordering the Registrar of Lands to effect the registration of the parcel in his name.</w:t>
      </w:r>
    </w:p>
    <w:p w14:paraId="4E3D5949" w14:textId="77777777" w:rsidR="000E6583" w:rsidRPr="00E2175B" w:rsidRDefault="000E6583" w:rsidP="00303387">
      <w:pPr>
        <w:pStyle w:val="ListParagraph"/>
        <w:numPr>
          <w:ilvl w:val="0"/>
          <w:numId w:val="34"/>
        </w:numPr>
        <w:spacing w:line="360" w:lineRule="auto"/>
        <w:ind w:left="1530" w:hanging="540"/>
        <w:jc w:val="both"/>
        <w:rPr>
          <w:rFonts w:ascii="Times New Roman" w:hAnsi="Times New Roman" w:cs="Times New Roman"/>
          <w:sz w:val="24"/>
          <w:szCs w:val="24"/>
        </w:rPr>
      </w:pPr>
      <w:r w:rsidRPr="00E2175B">
        <w:rPr>
          <w:rFonts w:ascii="Times New Roman" w:hAnsi="Times New Roman" w:cs="Times New Roman"/>
          <w:sz w:val="24"/>
          <w:szCs w:val="24"/>
        </w:rPr>
        <w:t xml:space="preserve">Lucy Fred be ordered to do the legal necessaries including </w:t>
      </w:r>
      <w:proofErr w:type="gramStart"/>
      <w:r w:rsidRPr="00E2175B">
        <w:rPr>
          <w:rFonts w:ascii="Times New Roman" w:hAnsi="Times New Roman" w:cs="Times New Roman"/>
          <w:sz w:val="24"/>
          <w:szCs w:val="24"/>
        </w:rPr>
        <w:t>consent and instruct the said notary and Registrar of Lands to deposit, register</w:t>
      </w:r>
      <w:proofErr w:type="gramEnd"/>
      <w:r w:rsidRPr="00E2175B">
        <w:rPr>
          <w:rFonts w:ascii="Times New Roman" w:hAnsi="Times New Roman" w:cs="Times New Roman"/>
          <w:sz w:val="24"/>
          <w:szCs w:val="24"/>
        </w:rPr>
        <w:t xml:space="preserve"> and give full effect to the transfer document.</w:t>
      </w:r>
    </w:p>
    <w:p w14:paraId="229720B6" w14:textId="77777777" w:rsidR="000E6583" w:rsidRPr="00E2175B" w:rsidRDefault="000E6583" w:rsidP="00303387">
      <w:pPr>
        <w:pStyle w:val="ListParagraph"/>
        <w:numPr>
          <w:ilvl w:val="0"/>
          <w:numId w:val="34"/>
        </w:numPr>
        <w:spacing w:line="360" w:lineRule="auto"/>
        <w:ind w:left="1530" w:hanging="540"/>
        <w:jc w:val="both"/>
        <w:rPr>
          <w:rFonts w:ascii="Times New Roman" w:hAnsi="Times New Roman" w:cs="Times New Roman"/>
          <w:sz w:val="24"/>
          <w:szCs w:val="24"/>
        </w:rPr>
      </w:pPr>
      <w:r w:rsidRPr="00E2175B">
        <w:rPr>
          <w:rFonts w:ascii="Times New Roman" w:hAnsi="Times New Roman" w:cs="Times New Roman"/>
          <w:sz w:val="24"/>
          <w:szCs w:val="24"/>
        </w:rPr>
        <w:t xml:space="preserve">Lucy Fred </w:t>
      </w:r>
      <w:proofErr w:type="gramStart"/>
      <w:r w:rsidRPr="00E2175B">
        <w:rPr>
          <w:rFonts w:ascii="Times New Roman" w:hAnsi="Times New Roman" w:cs="Times New Roman"/>
          <w:sz w:val="24"/>
          <w:szCs w:val="24"/>
        </w:rPr>
        <w:t>be ordered</w:t>
      </w:r>
      <w:proofErr w:type="gramEnd"/>
      <w:r w:rsidRPr="00E2175B">
        <w:rPr>
          <w:rFonts w:ascii="Times New Roman" w:hAnsi="Times New Roman" w:cs="Times New Roman"/>
          <w:sz w:val="24"/>
          <w:szCs w:val="24"/>
        </w:rPr>
        <w:t xml:space="preserve"> to accept from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the remaining balance of SR 41,900 as part of the transfer sum.</w:t>
      </w:r>
    </w:p>
    <w:p w14:paraId="7B3AFF4F" w14:textId="67D06A0B" w:rsidR="000E6583" w:rsidRPr="00E2175B" w:rsidRDefault="000E6583" w:rsidP="00303387">
      <w:pPr>
        <w:pStyle w:val="ListParagraph"/>
        <w:numPr>
          <w:ilvl w:val="0"/>
          <w:numId w:val="34"/>
        </w:numPr>
        <w:spacing w:line="360" w:lineRule="auto"/>
        <w:ind w:left="1530" w:hanging="540"/>
        <w:jc w:val="both"/>
        <w:rPr>
          <w:rFonts w:ascii="Times New Roman" w:hAnsi="Times New Roman" w:cs="Times New Roman"/>
          <w:sz w:val="24"/>
          <w:szCs w:val="24"/>
        </w:rPr>
      </w:pPr>
      <w:r w:rsidRPr="00E2175B">
        <w:rPr>
          <w:rFonts w:ascii="Times New Roman" w:hAnsi="Times New Roman" w:cs="Times New Roman"/>
          <w:sz w:val="24"/>
          <w:szCs w:val="24"/>
        </w:rPr>
        <w:t>Any necessary order the court requires to give effect to the sale agreement.</w:t>
      </w:r>
    </w:p>
    <w:p w14:paraId="4181091A" w14:textId="77777777" w:rsidR="000E6583" w:rsidRPr="00E2175B" w:rsidRDefault="000E6583" w:rsidP="000E6583">
      <w:pPr>
        <w:pStyle w:val="ListParagraph"/>
        <w:spacing w:line="360" w:lineRule="auto"/>
        <w:rPr>
          <w:rFonts w:ascii="Times New Roman" w:hAnsi="Times New Roman" w:cs="Times New Roman"/>
          <w:sz w:val="24"/>
          <w:szCs w:val="24"/>
        </w:rPr>
      </w:pPr>
    </w:p>
    <w:p w14:paraId="000E68D9"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In her defence, Lucy Fred made a counter claim stating that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had undertaken to clear all her </w:t>
      </w:r>
      <w:proofErr w:type="gramStart"/>
      <w:r w:rsidRPr="00E2175B">
        <w:rPr>
          <w:rFonts w:ascii="Times New Roman" w:hAnsi="Times New Roman" w:cs="Times New Roman"/>
          <w:sz w:val="24"/>
          <w:szCs w:val="24"/>
        </w:rPr>
        <w:t>arrears which</w:t>
      </w:r>
      <w:proofErr w:type="gramEnd"/>
      <w:r w:rsidRPr="00E2175B">
        <w:rPr>
          <w:rFonts w:ascii="Times New Roman" w:hAnsi="Times New Roman" w:cs="Times New Roman"/>
          <w:sz w:val="24"/>
          <w:szCs w:val="24"/>
        </w:rPr>
        <w:t xml:space="preserve"> were amounting to SR 80,663.84 owed to the Housing Finance Company. That this amount had accumulated to SR 147,902.56 by 2013 and she had to clear it herself. That </w:t>
      </w:r>
      <w:proofErr w:type="spellStart"/>
      <w:r w:rsidRPr="00E2175B">
        <w:rPr>
          <w:rFonts w:ascii="Times New Roman" w:hAnsi="Times New Roman" w:cs="Times New Roman"/>
          <w:sz w:val="24"/>
          <w:szCs w:val="24"/>
        </w:rPr>
        <w:t>Ahtee’s</w:t>
      </w:r>
      <w:proofErr w:type="spellEnd"/>
      <w:r w:rsidRPr="00E2175B">
        <w:rPr>
          <w:rFonts w:ascii="Times New Roman" w:hAnsi="Times New Roman" w:cs="Times New Roman"/>
          <w:sz w:val="24"/>
          <w:szCs w:val="24"/>
        </w:rPr>
        <w:t xml:space="preserve"> failure to clear the said amount also amounted to breach of agreement. She therefore prayed that:</w:t>
      </w:r>
    </w:p>
    <w:p w14:paraId="742DDB48" w14:textId="77777777" w:rsidR="000E6583" w:rsidRPr="00E2175B" w:rsidRDefault="000E6583" w:rsidP="000E6583">
      <w:pPr>
        <w:jc w:val="both"/>
        <w:rPr>
          <w:rFonts w:ascii="Times New Roman" w:hAnsi="Times New Roman" w:cs="Times New Roman"/>
          <w:b/>
          <w:sz w:val="24"/>
          <w:szCs w:val="24"/>
          <w:lang w:val="en-US"/>
        </w:rPr>
      </w:pPr>
    </w:p>
    <w:p w14:paraId="3F0F09CD" w14:textId="269C205C" w:rsidR="000E6583" w:rsidRPr="00E2175B" w:rsidRDefault="000E6583" w:rsidP="00303387">
      <w:pPr>
        <w:pStyle w:val="ListParagraph"/>
        <w:numPr>
          <w:ilvl w:val="0"/>
          <w:numId w:val="35"/>
        </w:numPr>
        <w:spacing w:line="360" w:lineRule="auto"/>
        <w:ind w:left="1530" w:hanging="450"/>
        <w:jc w:val="both"/>
        <w:rPr>
          <w:rFonts w:ascii="Times New Roman" w:hAnsi="Times New Roman" w:cs="Times New Roman"/>
          <w:sz w:val="24"/>
          <w:szCs w:val="24"/>
        </w:rPr>
      </w:pPr>
      <w:r w:rsidRPr="00E2175B">
        <w:rPr>
          <w:rFonts w:ascii="Times New Roman" w:hAnsi="Times New Roman" w:cs="Times New Roman"/>
          <w:sz w:val="24"/>
          <w:szCs w:val="24"/>
        </w:rPr>
        <w:lastRenderedPageBreak/>
        <w:t xml:space="preserve">The court declares the transfer void </w:t>
      </w:r>
      <w:proofErr w:type="gramStart"/>
      <w:r w:rsidRPr="00E2175B">
        <w:rPr>
          <w:rFonts w:ascii="Times New Roman" w:hAnsi="Times New Roman" w:cs="Times New Roman"/>
          <w:sz w:val="24"/>
          <w:szCs w:val="24"/>
        </w:rPr>
        <w:t>on account</w:t>
      </w:r>
      <w:proofErr w:type="gramEnd"/>
      <w:r w:rsidRPr="00E2175B">
        <w:rPr>
          <w:rFonts w:ascii="Times New Roman" w:hAnsi="Times New Roman" w:cs="Times New Roman"/>
          <w:sz w:val="24"/>
          <w:szCs w:val="24"/>
        </w:rPr>
        <w:t xml:space="preserve"> of breach of agreement, dismiss </w:t>
      </w:r>
      <w:proofErr w:type="spellStart"/>
      <w:r w:rsidRPr="00E2175B">
        <w:rPr>
          <w:rFonts w:ascii="Times New Roman" w:hAnsi="Times New Roman" w:cs="Times New Roman"/>
          <w:sz w:val="24"/>
          <w:szCs w:val="24"/>
        </w:rPr>
        <w:t>Ahtee’s</w:t>
      </w:r>
      <w:proofErr w:type="spellEnd"/>
      <w:r w:rsidRPr="00E2175B">
        <w:rPr>
          <w:rFonts w:ascii="Times New Roman" w:hAnsi="Times New Roman" w:cs="Times New Roman"/>
          <w:sz w:val="24"/>
          <w:szCs w:val="24"/>
        </w:rPr>
        <w:t xml:space="preserve"> plaint and give judgment in favour of the counterclaim made amounting to a total sum of SR 1,909,138.72 plus 25,000 pounds.</w:t>
      </w:r>
    </w:p>
    <w:p w14:paraId="4E922E5B" w14:textId="77777777" w:rsidR="000E6583" w:rsidRPr="00E2175B" w:rsidRDefault="000E6583" w:rsidP="000E6583">
      <w:pPr>
        <w:pStyle w:val="ListParagraph"/>
        <w:spacing w:line="360" w:lineRule="auto"/>
        <w:ind w:left="1080"/>
        <w:rPr>
          <w:rFonts w:ascii="Times New Roman" w:hAnsi="Times New Roman" w:cs="Times New Roman"/>
          <w:sz w:val="24"/>
          <w:szCs w:val="24"/>
        </w:rPr>
      </w:pPr>
    </w:p>
    <w:p w14:paraId="76554F39"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At the hearing in the Supreme Court,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raised a preliminary objection to the admissibility of Fred Lucy’s oral evidence proving her claim that the price orally agreed upon was SR 2,500,000 plus 25,000 pounds and yet this </w:t>
      </w:r>
      <w:proofErr w:type="gramStart"/>
      <w:r w:rsidRPr="00E2175B">
        <w:rPr>
          <w:rFonts w:ascii="Times New Roman" w:hAnsi="Times New Roman" w:cs="Times New Roman"/>
          <w:sz w:val="24"/>
          <w:szCs w:val="24"/>
        </w:rPr>
        <w:t>was not written</w:t>
      </w:r>
      <w:proofErr w:type="gramEnd"/>
      <w:r w:rsidRPr="00E2175B">
        <w:rPr>
          <w:rFonts w:ascii="Times New Roman" w:hAnsi="Times New Roman" w:cs="Times New Roman"/>
          <w:sz w:val="24"/>
          <w:szCs w:val="24"/>
        </w:rPr>
        <w:t xml:space="preserve"> anywhere.</w:t>
      </w:r>
    </w:p>
    <w:p w14:paraId="7DDC8577" w14:textId="77777777" w:rsidR="000E6583" w:rsidRPr="00E2175B" w:rsidRDefault="000E6583" w:rsidP="000E6583">
      <w:pPr>
        <w:pStyle w:val="ListParagraph"/>
        <w:jc w:val="both"/>
        <w:rPr>
          <w:rFonts w:ascii="Times New Roman" w:hAnsi="Times New Roman" w:cs="Times New Roman"/>
          <w:b/>
          <w:sz w:val="24"/>
          <w:szCs w:val="24"/>
          <w:lang w:val="en-US"/>
        </w:rPr>
      </w:pPr>
    </w:p>
    <w:p w14:paraId="41CD3F55"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The Judge overruled the objection and allowed Lucy Fred to adduce oral evidence to establish the price agreed </w:t>
      </w:r>
      <w:proofErr w:type="gramStart"/>
      <w:r w:rsidRPr="00E2175B">
        <w:rPr>
          <w:rFonts w:ascii="Times New Roman" w:hAnsi="Times New Roman" w:cs="Times New Roman"/>
          <w:sz w:val="24"/>
          <w:szCs w:val="24"/>
        </w:rPr>
        <w:t>upon</w:t>
      </w:r>
      <w:proofErr w:type="gramEnd"/>
      <w:r w:rsidRPr="00E2175B">
        <w:rPr>
          <w:rFonts w:ascii="Times New Roman" w:hAnsi="Times New Roman" w:cs="Times New Roman"/>
          <w:sz w:val="24"/>
          <w:szCs w:val="24"/>
        </w:rPr>
        <w:t>.</w:t>
      </w:r>
    </w:p>
    <w:p w14:paraId="62197B1B" w14:textId="77777777" w:rsidR="000E6583" w:rsidRPr="00E2175B" w:rsidRDefault="000E6583" w:rsidP="000E6583">
      <w:pPr>
        <w:pStyle w:val="ListParagraph"/>
        <w:rPr>
          <w:rFonts w:ascii="Times New Roman" w:hAnsi="Times New Roman" w:cs="Times New Roman"/>
          <w:b/>
          <w:sz w:val="24"/>
          <w:szCs w:val="24"/>
          <w:lang w:val="en-US"/>
        </w:rPr>
      </w:pPr>
    </w:p>
    <w:p w14:paraId="73C5C97A"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proofErr w:type="gramStart"/>
      <w:r w:rsidRPr="00E2175B">
        <w:rPr>
          <w:rFonts w:ascii="Times New Roman" w:hAnsi="Times New Roman" w:cs="Times New Roman"/>
          <w:sz w:val="24"/>
          <w:szCs w:val="24"/>
        </w:rPr>
        <w:t>In regard to</w:t>
      </w:r>
      <w:proofErr w:type="gramEnd"/>
      <w:r w:rsidRPr="00E2175B">
        <w:rPr>
          <w:rFonts w:ascii="Times New Roman" w:hAnsi="Times New Roman" w:cs="Times New Roman"/>
          <w:sz w:val="24"/>
          <w:szCs w:val="24"/>
        </w:rPr>
        <w:t xml:space="preserve"> the merits of the case, the Supreme Court Judge found that on a balance of probabilities,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had failed to prove her case and that Lucy Fred appeared to be a more credible party. The Judge was satisfied that there was an oral agreement between the parties. The Judge therefore held in favour of Lucy Fred and granted the counter claim. He ordered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to pay the sum of SR 1,909,138.72 plus 25,000 pounds.</w:t>
      </w:r>
    </w:p>
    <w:p w14:paraId="5541AF6E" w14:textId="77777777" w:rsidR="000E6583" w:rsidRPr="00E2175B" w:rsidRDefault="000E6583" w:rsidP="000E6583">
      <w:pPr>
        <w:pStyle w:val="ListParagraph"/>
        <w:rPr>
          <w:rFonts w:ascii="Times New Roman" w:hAnsi="Times New Roman" w:cs="Times New Roman"/>
          <w:b/>
          <w:sz w:val="24"/>
          <w:szCs w:val="24"/>
          <w:lang w:val="en-US"/>
        </w:rPr>
      </w:pPr>
    </w:p>
    <w:p w14:paraId="05CF40F0"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Dissatisfied with the decision </w:t>
      </w:r>
      <w:proofErr w:type="spellStart"/>
      <w:r w:rsidRPr="00E2175B">
        <w:rPr>
          <w:rFonts w:ascii="Times New Roman" w:hAnsi="Times New Roman" w:cs="Times New Roman"/>
          <w:sz w:val="24"/>
          <w:szCs w:val="24"/>
        </w:rPr>
        <w:t>Ahtee</w:t>
      </w:r>
      <w:proofErr w:type="spellEnd"/>
      <w:r w:rsidRPr="00E2175B">
        <w:rPr>
          <w:rFonts w:ascii="Times New Roman" w:hAnsi="Times New Roman" w:cs="Times New Roman"/>
          <w:sz w:val="24"/>
          <w:szCs w:val="24"/>
        </w:rPr>
        <w:t xml:space="preserve"> appealed to this Court on the following grounds:</w:t>
      </w:r>
    </w:p>
    <w:p w14:paraId="305D1A1B" w14:textId="77777777" w:rsidR="000E6583" w:rsidRPr="00E2175B" w:rsidRDefault="000E6583" w:rsidP="000E6583">
      <w:pPr>
        <w:pStyle w:val="ListParagraph"/>
        <w:rPr>
          <w:rFonts w:ascii="Times New Roman" w:hAnsi="Times New Roman" w:cs="Times New Roman"/>
          <w:b/>
          <w:sz w:val="24"/>
          <w:szCs w:val="24"/>
          <w:lang w:val="en-US"/>
        </w:rPr>
      </w:pPr>
    </w:p>
    <w:p w14:paraId="72112461" w14:textId="77777777" w:rsidR="000E6583" w:rsidRPr="00E2175B" w:rsidRDefault="000E6583" w:rsidP="00E64CDD">
      <w:pPr>
        <w:pStyle w:val="ListParagraph"/>
        <w:numPr>
          <w:ilvl w:val="0"/>
          <w:numId w:val="36"/>
        </w:numPr>
        <w:spacing w:line="360" w:lineRule="auto"/>
        <w:ind w:left="1440" w:hanging="540"/>
        <w:jc w:val="both"/>
        <w:rPr>
          <w:rFonts w:ascii="Times New Roman" w:hAnsi="Times New Roman" w:cs="Times New Roman"/>
          <w:b/>
          <w:sz w:val="24"/>
          <w:szCs w:val="24"/>
        </w:rPr>
      </w:pPr>
      <w:r w:rsidRPr="00E2175B">
        <w:rPr>
          <w:rFonts w:ascii="Times New Roman" w:hAnsi="Times New Roman" w:cs="Times New Roman"/>
          <w:b/>
          <w:sz w:val="24"/>
          <w:szCs w:val="24"/>
        </w:rPr>
        <w:t>The learned Judge erred in law in finding that the oral testimony was admissible in law as against a written agreement.</w:t>
      </w:r>
    </w:p>
    <w:p w14:paraId="16AD80D2" w14:textId="77777777" w:rsidR="000E6583" w:rsidRPr="00E2175B" w:rsidRDefault="000E6583" w:rsidP="00E64CDD">
      <w:pPr>
        <w:pStyle w:val="ListParagraph"/>
        <w:spacing w:line="360" w:lineRule="auto"/>
        <w:ind w:left="1440" w:hanging="540"/>
        <w:jc w:val="both"/>
        <w:rPr>
          <w:rFonts w:ascii="Times New Roman" w:hAnsi="Times New Roman" w:cs="Times New Roman"/>
          <w:b/>
          <w:sz w:val="24"/>
          <w:szCs w:val="24"/>
        </w:rPr>
      </w:pPr>
    </w:p>
    <w:p w14:paraId="1933BB34" w14:textId="77777777" w:rsidR="000E6583" w:rsidRPr="00E2175B" w:rsidRDefault="000E6583" w:rsidP="00E64CDD">
      <w:pPr>
        <w:pStyle w:val="ListParagraph"/>
        <w:numPr>
          <w:ilvl w:val="0"/>
          <w:numId w:val="36"/>
        </w:numPr>
        <w:spacing w:line="360" w:lineRule="auto"/>
        <w:ind w:left="1440" w:hanging="540"/>
        <w:jc w:val="both"/>
        <w:rPr>
          <w:rFonts w:ascii="Times New Roman" w:hAnsi="Times New Roman" w:cs="Times New Roman"/>
          <w:b/>
          <w:sz w:val="24"/>
          <w:szCs w:val="24"/>
        </w:rPr>
      </w:pPr>
      <w:r w:rsidRPr="00E2175B">
        <w:rPr>
          <w:rFonts w:ascii="Times New Roman" w:hAnsi="Times New Roman" w:cs="Times New Roman"/>
          <w:b/>
          <w:sz w:val="24"/>
          <w:szCs w:val="24"/>
        </w:rPr>
        <w:t xml:space="preserve">The learned Judge erred in law in failing to find that the appellant had proven her case with documentary evidence including receipts of payment and a written signed </w:t>
      </w:r>
      <w:proofErr w:type="gramStart"/>
      <w:r w:rsidRPr="00E2175B">
        <w:rPr>
          <w:rFonts w:ascii="Times New Roman" w:hAnsi="Times New Roman" w:cs="Times New Roman"/>
          <w:b/>
          <w:sz w:val="24"/>
          <w:szCs w:val="24"/>
        </w:rPr>
        <w:t>agreement which</w:t>
      </w:r>
      <w:proofErr w:type="gramEnd"/>
      <w:r w:rsidRPr="00E2175B">
        <w:rPr>
          <w:rFonts w:ascii="Times New Roman" w:hAnsi="Times New Roman" w:cs="Times New Roman"/>
          <w:b/>
          <w:sz w:val="24"/>
          <w:szCs w:val="24"/>
        </w:rPr>
        <w:t xml:space="preserve"> was retained by the notary.</w:t>
      </w:r>
    </w:p>
    <w:p w14:paraId="70A1753B" w14:textId="77777777" w:rsidR="000E6583" w:rsidRPr="00E2175B" w:rsidRDefault="000E6583" w:rsidP="00E64CDD">
      <w:pPr>
        <w:pStyle w:val="ListParagraph"/>
        <w:spacing w:line="360" w:lineRule="auto"/>
        <w:ind w:left="1440" w:hanging="540"/>
        <w:jc w:val="both"/>
        <w:rPr>
          <w:rFonts w:ascii="Times New Roman" w:hAnsi="Times New Roman" w:cs="Times New Roman"/>
          <w:b/>
          <w:sz w:val="24"/>
          <w:szCs w:val="24"/>
        </w:rPr>
      </w:pPr>
    </w:p>
    <w:p w14:paraId="7D1B533D" w14:textId="77777777" w:rsidR="000E6583" w:rsidRPr="00E2175B" w:rsidRDefault="000E6583" w:rsidP="00E64CDD">
      <w:pPr>
        <w:pStyle w:val="ListParagraph"/>
        <w:numPr>
          <w:ilvl w:val="0"/>
          <w:numId w:val="36"/>
        </w:numPr>
        <w:spacing w:line="360" w:lineRule="auto"/>
        <w:ind w:left="1440" w:hanging="540"/>
        <w:jc w:val="both"/>
        <w:rPr>
          <w:rFonts w:ascii="Times New Roman" w:hAnsi="Times New Roman" w:cs="Times New Roman"/>
          <w:b/>
          <w:sz w:val="24"/>
          <w:szCs w:val="24"/>
        </w:rPr>
      </w:pPr>
      <w:r w:rsidRPr="00E2175B">
        <w:rPr>
          <w:rFonts w:ascii="Times New Roman" w:hAnsi="Times New Roman" w:cs="Times New Roman"/>
          <w:b/>
          <w:sz w:val="24"/>
          <w:szCs w:val="24"/>
        </w:rPr>
        <w:t>The learned Judge erred in law in failing to take into account the payment made by the appellant and the prayer of the appellant for the land to be registered in his name as the owner.</w:t>
      </w:r>
    </w:p>
    <w:p w14:paraId="1C554047" w14:textId="77777777" w:rsidR="000E6583" w:rsidRPr="00E2175B" w:rsidRDefault="000E6583" w:rsidP="00E64CDD">
      <w:pPr>
        <w:pStyle w:val="ListParagraph"/>
        <w:ind w:left="1440" w:hanging="540"/>
        <w:jc w:val="both"/>
        <w:rPr>
          <w:rFonts w:ascii="Times New Roman" w:hAnsi="Times New Roman" w:cs="Times New Roman"/>
          <w:b/>
          <w:sz w:val="24"/>
          <w:szCs w:val="24"/>
        </w:rPr>
      </w:pPr>
    </w:p>
    <w:p w14:paraId="582109F2" w14:textId="77777777" w:rsidR="000E6583" w:rsidRPr="00E2175B" w:rsidRDefault="000E6583" w:rsidP="00E64CDD">
      <w:pPr>
        <w:pStyle w:val="ListParagraph"/>
        <w:numPr>
          <w:ilvl w:val="0"/>
          <w:numId w:val="36"/>
        </w:numPr>
        <w:spacing w:line="360" w:lineRule="auto"/>
        <w:ind w:left="1440" w:hanging="540"/>
        <w:jc w:val="both"/>
        <w:rPr>
          <w:rFonts w:ascii="Times New Roman" w:hAnsi="Times New Roman" w:cs="Times New Roman"/>
          <w:b/>
          <w:sz w:val="24"/>
          <w:szCs w:val="24"/>
        </w:rPr>
      </w:pPr>
      <w:r w:rsidRPr="00E2175B">
        <w:rPr>
          <w:rFonts w:ascii="Times New Roman" w:hAnsi="Times New Roman" w:cs="Times New Roman"/>
          <w:b/>
          <w:sz w:val="24"/>
          <w:szCs w:val="24"/>
        </w:rPr>
        <w:t>The learned Judge erred in law in failing to find the respondent’s counterclaim not proven to the required standard of law.</w:t>
      </w:r>
    </w:p>
    <w:p w14:paraId="2689BD38" w14:textId="722B2E0C" w:rsidR="000E6583" w:rsidRDefault="000E6583" w:rsidP="000E6583">
      <w:pPr>
        <w:rPr>
          <w:rFonts w:ascii="Times New Roman" w:hAnsi="Times New Roman" w:cs="Times New Roman"/>
          <w:b/>
          <w:sz w:val="24"/>
          <w:szCs w:val="24"/>
          <w:lang w:val="en-US"/>
        </w:rPr>
      </w:pPr>
    </w:p>
    <w:p w14:paraId="7D9280E9" w14:textId="77777777" w:rsidR="00E64CDD" w:rsidRPr="00E2175B" w:rsidRDefault="00E64CDD" w:rsidP="000E6583">
      <w:pPr>
        <w:rPr>
          <w:rFonts w:ascii="Times New Roman" w:hAnsi="Times New Roman" w:cs="Times New Roman"/>
          <w:b/>
          <w:sz w:val="24"/>
          <w:szCs w:val="24"/>
          <w:lang w:val="en-US"/>
        </w:rPr>
      </w:pPr>
    </w:p>
    <w:p w14:paraId="7335458B"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lastRenderedPageBreak/>
        <w:t>Prayers</w:t>
      </w:r>
    </w:p>
    <w:p w14:paraId="203DD24C" w14:textId="77777777" w:rsidR="000E6583" w:rsidRPr="00E2175B" w:rsidRDefault="000E6583" w:rsidP="000E6583">
      <w:pPr>
        <w:pStyle w:val="ListParagraph"/>
        <w:jc w:val="both"/>
        <w:rPr>
          <w:rFonts w:ascii="Times New Roman" w:hAnsi="Times New Roman" w:cs="Times New Roman"/>
          <w:b/>
          <w:sz w:val="24"/>
          <w:szCs w:val="24"/>
          <w:lang w:val="en-US"/>
        </w:rPr>
      </w:pPr>
    </w:p>
    <w:p w14:paraId="5DB9DD9B"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The appellant prayed that this Court sets aside the Judgment of the Supreme Court and that the suit land </w:t>
      </w:r>
      <w:proofErr w:type="gramStart"/>
      <w:r w:rsidRPr="00E2175B">
        <w:rPr>
          <w:rFonts w:ascii="Times New Roman" w:hAnsi="Times New Roman" w:cs="Times New Roman"/>
          <w:sz w:val="24"/>
          <w:szCs w:val="24"/>
        </w:rPr>
        <w:t>be registered</w:t>
      </w:r>
      <w:proofErr w:type="gramEnd"/>
      <w:r w:rsidRPr="00E2175B">
        <w:rPr>
          <w:rFonts w:ascii="Times New Roman" w:hAnsi="Times New Roman" w:cs="Times New Roman"/>
          <w:sz w:val="24"/>
          <w:szCs w:val="24"/>
        </w:rPr>
        <w:t xml:space="preserve"> in her name as owner.</w:t>
      </w:r>
    </w:p>
    <w:p w14:paraId="2A07AC92" w14:textId="77777777" w:rsidR="000E6583" w:rsidRPr="00E2175B" w:rsidRDefault="000E6583" w:rsidP="000E6583">
      <w:pPr>
        <w:pStyle w:val="ListParagraph"/>
        <w:jc w:val="both"/>
        <w:rPr>
          <w:rFonts w:ascii="Times New Roman" w:hAnsi="Times New Roman" w:cs="Times New Roman"/>
          <w:b/>
          <w:sz w:val="24"/>
          <w:szCs w:val="24"/>
          <w:lang w:val="en-US"/>
        </w:rPr>
      </w:pPr>
    </w:p>
    <w:p w14:paraId="3E7763BE"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 xml:space="preserve">Appellant’s submissions </w:t>
      </w:r>
    </w:p>
    <w:p w14:paraId="4FD3FB61" w14:textId="77777777" w:rsidR="000E6583" w:rsidRPr="00E2175B" w:rsidRDefault="000E6583" w:rsidP="000E6583">
      <w:pPr>
        <w:pStyle w:val="ListParagraph"/>
        <w:rPr>
          <w:rFonts w:ascii="Times New Roman" w:hAnsi="Times New Roman" w:cs="Times New Roman"/>
          <w:b/>
          <w:sz w:val="24"/>
          <w:szCs w:val="24"/>
          <w:lang w:val="en-US"/>
        </w:rPr>
      </w:pPr>
    </w:p>
    <w:p w14:paraId="053A411A" w14:textId="77777777" w:rsidR="000E6583" w:rsidRPr="00E2175B" w:rsidRDefault="000E6583" w:rsidP="000E6583">
      <w:pPr>
        <w:pStyle w:val="ListParagraph"/>
        <w:jc w:val="both"/>
        <w:rPr>
          <w:rFonts w:ascii="Times New Roman" w:hAnsi="Times New Roman" w:cs="Times New Roman"/>
          <w:b/>
          <w:sz w:val="24"/>
          <w:szCs w:val="24"/>
        </w:rPr>
      </w:pPr>
      <w:r w:rsidRPr="00E2175B">
        <w:rPr>
          <w:rFonts w:ascii="Times New Roman" w:hAnsi="Times New Roman" w:cs="Times New Roman"/>
          <w:b/>
          <w:sz w:val="24"/>
          <w:szCs w:val="24"/>
        </w:rPr>
        <w:t>Ground 1</w:t>
      </w:r>
    </w:p>
    <w:p w14:paraId="6E673830" w14:textId="77777777" w:rsidR="000E6583" w:rsidRPr="00E2175B" w:rsidRDefault="000E6583" w:rsidP="000E6583">
      <w:pPr>
        <w:pStyle w:val="ListParagraph"/>
        <w:jc w:val="both"/>
        <w:rPr>
          <w:rFonts w:ascii="Times New Roman" w:hAnsi="Times New Roman" w:cs="Times New Roman"/>
          <w:b/>
          <w:sz w:val="24"/>
          <w:szCs w:val="24"/>
          <w:lang w:val="en-US"/>
        </w:rPr>
      </w:pPr>
    </w:p>
    <w:p w14:paraId="26E02417"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Counsel for the appellant submitted that the oral testimony of the respondent was inadmissible because it was contrary to </w:t>
      </w:r>
      <w:r w:rsidRPr="00E2175B">
        <w:rPr>
          <w:rFonts w:ascii="Times New Roman" w:hAnsi="Times New Roman" w:cs="Times New Roman"/>
          <w:b/>
          <w:sz w:val="24"/>
          <w:szCs w:val="24"/>
        </w:rPr>
        <w:t xml:space="preserve">Articles 1341 </w:t>
      </w:r>
      <w:r w:rsidRPr="00E2175B">
        <w:rPr>
          <w:rFonts w:ascii="Times New Roman" w:hAnsi="Times New Roman" w:cs="Times New Roman"/>
          <w:sz w:val="24"/>
          <w:szCs w:val="24"/>
        </w:rPr>
        <w:t>and</w:t>
      </w:r>
      <w:r w:rsidRPr="00E2175B">
        <w:rPr>
          <w:rFonts w:ascii="Times New Roman" w:hAnsi="Times New Roman" w:cs="Times New Roman"/>
          <w:b/>
          <w:sz w:val="24"/>
          <w:szCs w:val="24"/>
        </w:rPr>
        <w:t xml:space="preserve"> 1321 (4) </w:t>
      </w:r>
      <w:r w:rsidRPr="00E2175B">
        <w:rPr>
          <w:rFonts w:ascii="Times New Roman" w:hAnsi="Times New Roman" w:cs="Times New Roman"/>
          <w:sz w:val="24"/>
          <w:szCs w:val="24"/>
        </w:rPr>
        <w:t>of the</w:t>
      </w:r>
      <w:r w:rsidRPr="00E2175B">
        <w:rPr>
          <w:rFonts w:ascii="Times New Roman" w:hAnsi="Times New Roman" w:cs="Times New Roman"/>
          <w:b/>
          <w:sz w:val="24"/>
          <w:szCs w:val="24"/>
        </w:rPr>
        <w:t xml:space="preserve"> Civil Code Act.</w:t>
      </w:r>
      <w:r w:rsidRPr="00E2175B">
        <w:rPr>
          <w:rFonts w:ascii="Times New Roman" w:hAnsi="Times New Roman" w:cs="Times New Roman"/>
          <w:sz w:val="24"/>
          <w:szCs w:val="24"/>
        </w:rPr>
        <w:t xml:space="preserve"> The Articles provide as follows:</w:t>
      </w:r>
    </w:p>
    <w:p w14:paraId="6B75B8CF" w14:textId="77777777" w:rsidR="000E6583" w:rsidRPr="00E2175B" w:rsidRDefault="000E6583" w:rsidP="000E6583">
      <w:pPr>
        <w:pStyle w:val="ListParagraph"/>
        <w:jc w:val="both"/>
        <w:rPr>
          <w:rFonts w:ascii="Times New Roman" w:hAnsi="Times New Roman" w:cs="Times New Roman"/>
          <w:b/>
          <w:sz w:val="24"/>
          <w:szCs w:val="24"/>
          <w:lang w:val="en-US"/>
        </w:rPr>
      </w:pPr>
    </w:p>
    <w:p w14:paraId="1ACEB2F8" w14:textId="77777777" w:rsidR="000E6583" w:rsidRPr="00E2175B" w:rsidRDefault="000E6583" w:rsidP="000E6583">
      <w:pPr>
        <w:pStyle w:val="ListParagraph"/>
        <w:spacing w:line="240" w:lineRule="auto"/>
        <w:rPr>
          <w:rFonts w:ascii="Times New Roman" w:hAnsi="Times New Roman" w:cs="Times New Roman"/>
          <w:b/>
          <w:bCs/>
          <w:sz w:val="24"/>
          <w:szCs w:val="24"/>
        </w:rPr>
      </w:pPr>
      <w:bookmarkStart w:id="1" w:name="_Toc521421044"/>
      <w:r w:rsidRPr="00E2175B">
        <w:rPr>
          <w:rFonts w:ascii="Times New Roman" w:hAnsi="Times New Roman" w:cs="Times New Roman"/>
          <w:b/>
          <w:bCs/>
          <w:sz w:val="24"/>
          <w:szCs w:val="24"/>
        </w:rPr>
        <w:t>Article 1341</w:t>
      </w:r>
      <w:bookmarkEnd w:id="1"/>
    </w:p>
    <w:p w14:paraId="1E3FC1E8" w14:textId="77777777" w:rsidR="000E6583" w:rsidRPr="00E2175B" w:rsidRDefault="000E6583" w:rsidP="00E64CDD">
      <w:pPr>
        <w:pStyle w:val="ListParagraph"/>
        <w:spacing w:line="240" w:lineRule="auto"/>
        <w:rPr>
          <w:rFonts w:ascii="Times New Roman" w:hAnsi="Times New Roman" w:cs="Times New Roman"/>
          <w:b/>
          <w:bCs/>
          <w:sz w:val="24"/>
          <w:szCs w:val="24"/>
        </w:rPr>
      </w:pPr>
    </w:p>
    <w:p w14:paraId="06B4845A" w14:textId="77777777" w:rsidR="000E6583" w:rsidRPr="00E2175B" w:rsidRDefault="000E6583" w:rsidP="00E64CDD">
      <w:pPr>
        <w:pStyle w:val="ListParagraph"/>
        <w:spacing w:line="240" w:lineRule="auto"/>
        <w:jc w:val="both"/>
        <w:rPr>
          <w:rFonts w:ascii="Times New Roman" w:hAnsi="Times New Roman" w:cs="Times New Roman"/>
          <w:b/>
          <w:sz w:val="24"/>
          <w:szCs w:val="24"/>
        </w:rPr>
      </w:pPr>
      <w:proofErr w:type="gramStart"/>
      <w:r w:rsidRPr="00E2175B">
        <w:rPr>
          <w:rFonts w:ascii="Times New Roman" w:hAnsi="Times New Roman" w:cs="Times New Roman"/>
          <w:b/>
          <w:sz w:val="24"/>
          <w:szCs w:val="24"/>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was drawn up, even if the matter relates to a sum of less than 5000 Rupees.</w:t>
      </w:r>
      <w:proofErr w:type="gramEnd"/>
    </w:p>
    <w:p w14:paraId="419327F6" w14:textId="77777777" w:rsidR="000E6583" w:rsidRPr="002B0D54" w:rsidRDefault="000E6583" w:rsidP="00E64CDD">
      <w:pPr>
        <w:jc w:val="both"/>
        <w:rPr>
          <w:rFonts w:ascii="Times New Roman" w:hAnsi="Times New Roman" w:cs="Times New Roman"/>
          <w:b/>
          <w:sz w:val="4"/>
          <w:szCs w:val="4"/>
          <w:lang w:val="en-US"/>
        </w:rPr>
      </w:pPr>
    </w:p>
    <w:p w14:paraId="3D0CEE6B" w14:textId="77777777" w:rsidR="000E6583" w:rsidRPr="00E2175B" w:rsidRDefault="000E6583" w:rsidP="00E64CDD">
      <w:pPr>
        <w:pStyle w:val="ListParagraph"/>
        <w:numPr>
          <w:ilvl w:val="0"/>
          <w:numId w:val="33"/>
        </w:numPr>
        <w:ind w:hanging="720"/>
        <w:jc w:val="both"/>
        <w:rPr>
          <w:rFonts w:ascii="Times New Roman" w:hAnsi="Times New Roman" w:cs="Times New Roman"/>
          <w:b/>
          <w:sz w:val="24"/>
          <w:szCs w:val="24"/>
          <w:lang w:val="en-US"/>
        </w:rPr>
      </w:pPr>
      <w:bookmarkStart w:id="2" w:name="_Toc521421024"/>
      <w:r w:rsidRPr="00E2175B">
        <w:rPr>
          <w:rFonts w:ascii="Times New Roman" w:hAnsi="Times New Roman" w:cs="Times New Roman"/>
          <w:b/>
          <w:bCs/>
          <w:sz w:val="24"/>
          <w:szCs w:val="24"/>
        </w:rPr>
        <w:t>Article 1321</w:t>
      </w:r>
      <w:bookmarkEnd w:id="2"/>
      <w:r w:rsidRPr="00E2175B">
        <w:rPr>
          <w:rFonts w:ascii="Times New Roman" w:hAnsi="Times New Roman" w:cs="Times New Roman"/>
          <w:b/>
          <w:bCs/>
          <w:sz w:val="24"/>
          <w:szCs w:val="24"/>
        </w:rPr>
        <w:t>(4)</w:t>
      </w:r>
    </w:p>
    <w:p w14:paraId="149ECDB8" w14:textId="77777777" w:rsidR="000E6583" w:rsidRPr="00E2175B" w:rsidRDefault="000E6583" w:rsidP="00E64CDD">
      <w:pPr>
        <w:pStyle w:val="ListParagraph"/>
        <w:jc w:val="both"/>
        <w:rPr>
          <w:rFonts w:ascii="Times New Roman" w:hAnsi="Times New Roman" w:cs="Times New Roman"/>
          <w:b/>
          <w:sz w:val="24"/>
          <w:szCs w:val="24"/>
          <w:lang w:val="en-US"/>
        </w:rPr>
      </w:pPr>
    </w:p>
    <w:p w14:paraId="3D87B8C5" w14:textId="2B46DA85" w:rsidR="000E6583" w:rsidRPr="00E2175B" w:rsidRDefault="000E6583" w:rsidP="00E64CDD">
      <w:pPr>
        <w:pStyle w:val="ListParagraph"/>
        <w:spacing w:line="240" w:lineRule="auto"/>
        <w:jc w:val="both"/>
        <w:rPr>
          <w:rFonts w:ascii="Times New Roman" w:hAnsi="Times New Roman" w:cs="Times New Roman"/>
          <w:b/>
          <w:sz w:val="24"/>
          <w:szCs w:val="24"/>
        </w:rPr>
      </w:pPr>
      <w:proofErr w:type="gramStart"/>
      <w:r w:rsidRPr="00E2175B">
        <w:rPr>
          <w:rFonts w:ascii="Times New Roman" w:hAnsi="Times New Roman" w:cs="Times New Roman"/>
          <w:b/>
          <w:sz w:val="24"/>
          <w:szCs w:val="24"/>
        </w:rPr>
        <w:t>Any back</w:t>
      </w:r>
      <w:r w:rsidRPr="00E2175B">
        <w:rPr>
          <w:rFonts w:ascii="Times New Roman" w:hAnsi="Times New Roman" w:cs="Times New Roman"/>
          <w:b/>
          <w:sz w:val="24"/>
          <w:szCs w:val="24"/>
        </w:rPr>
        <w:noBreakHyphen/>
        <w:t>letter or other deed, other than a back</w:t>
      </w:r>
      <w:r w:rsidRPr="00E2175B">
        <w:rPr>
          <w:rFonts w:ascii="Times New Roman" w:hAnsi="Times New Roman" w:cs="Times New Roman"/>
          <w:b/>
          <w:sz w:val="24"/>
          <w:szCs w:val="24"/>
        </w:rPr>
        <w:noBreakHyphen/>
        <w:t>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roofErr w:type="gramEnd"/>
    </w:p>
    <w:p w14:paraId="5839EF84" w14:textId="77777777" w:rsidR="000E6583" w:rsidRPr="00E2175B" w:rsidRDefault="000E6583" w:rsidP="000E6583">
      <w:pPr>
        <w:pStyle w:val="ListParagraph"/>
        <w:spacing w:line="240" w:lineRule="auto"/>
        <w:ind w:right="720"/>
        <w:rPr>
          <w:rFonts w:ascii="Times New Roman" w:hAnsi="Times New Roman" w:cs="Times New Roman"/>
          <w:b/>
          <w:sz w:val="24"/>
          <w:szCs w:val="24"/>
        </w:rPr>
      </w:pPr>
    </w:p>
    <w:p w14:paraId="4D25B7BC"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Counsel submitted that the above provisions of law do not afford the respondent any exception to give evidence contrary to the written and signed agreement. Counsel thus faulted the learned Judge for misinterpreting and misapplying the law.</w:t>
      </w:r>
    </w:p>
    <w:p w14:paraId="72FFF395" w14:textId="77777777" w:rsidR="000E6583" w:rsidRPr="00E2175B" w:rsidRDefault="000E6583" w:rsidP="000E6583">
      <w:pPr>
        <w:pStyle w:val="ListParagraph"/>
        <w:jc w:val="both"/>
        <w:rPr>
          <w:rFonts w:ascii="Times New Roman" w:hAnsi="Times New Roman" w:cs="Times New Roman"/>
          <w:b/>
          <w:sz w:val="24"/>
          <w:szCs w:val="24"/>
          <w:lang w:val="en-US"/>
        </w:rPr>
      </w:pPr>
    </w:p>
    <w:p w14:paraId="3B068170"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 xml:space="preserve">Grounds 2 and 3 </w:t>
      </w:r>
    </w:p>
    <w:p w14:paraId="2226877B" w14:textId="77777777" w:rsidR="000E6583" w:rsidRPr="00E2175B" w:rsidRDefault="000E6583" w:rsidP="000E6583">
      <w:pPr>
        <w:pStyle w:val="ListParagraph"/>
        <w:rPr>
          <w:rFonts w:ascii="Times New Roman" w:hAnsi="Times New Roman" w:cs="Times New Roman"/>
          <w:b/>
          <w:sz w:val="24"/>
          <w:szCs w:val="24"/>
          <w:lang w:val="en-US"/>
        </w:rPr>
      </w:pPr>
    </w:p>
    <w:p w14:paraId="03A06CE0"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The appellant’s counsel addressed these grounds together as they both rotate around the documentary evidence adduced.</w:t>
      </w:r>
    </w:p>
    <w:p w14:paraId="23E83651" w14:textId="77777777" w:rsidR="000E6583" w:rsidRPr="00E2175B" w:rsidRDefault="000E6583" w:rsidP="000E6583">
      <w:pPr>
        <w:pStyle w:val="ListParagraph"/>
        <w:jc w:val="both"/>
        <w:rPr>
          <w:rFonts w:ascii="Times New Roman" w:hAnsi="Times New Roman" w:cs="Times New Roman"/>
          <w:b/>
          <w:sz w:val="24"/>
          <w:szCs w:val="24"/>
          <w:lang w:val="en-US"/>
        </w:rPr>
      </w:pPr>
    </w:p>
    <w:p w14:paraId="3C7D6FEB"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lastRenderedPageBreak/>
        <w:t xml:space="preserve">The appellant argued that the only proper evidence was the written agreement and the payment summary signed by the appellant and the respondent. That the learned trial Judge erred in overruling the objection to the admissibility of Lucy Fred’s oral evidence and yet held subsequently that “ … </w:t>
      </w:r>
      <w:r w:rsidRPr="00E2175B">
        <w:rPr>
          <w:rFonts w:ascii="Times New Roman" w:hAnsi="Times New Roman" w:cs="Times New Roman"/>
          <w:i/>
          <w:sz w:val="24"/>
          <w:szCs w:val="24"/>
        </w:rPr>
        <w:t>mere oral agreement without any documentation cannot on its own constitute a valid ‘back letter’ in the eye of the law.</w:t>
      </w:r>
      <w:r w:rsidRPr="00E2175B">
        <w:rPr>
          <w:rFonts w:ascii="Times New Roman" w:hAnsi="Times New Roman" w:cs="Times New Roman"/>
          <w:sz w:val="24"/>
          <w:szCs w:val="24"/>
        </w:rPr>
        <w:t>”</w:t>
      </w:r>
    </w:p>
    <w:p w14:paraId="0FFE1E83" w14:textId="77777777" w:rsidR="000E6583" w:rsidRPr="00E2175B" w:rsidRDefault="000E6583" w:rsidP="000E6583">
      <w:pPr>
        <w:pStyle w:val="ListParagraph"/>
        <w:rPr>
          <w:rFonts w:ascii="Times New Roman" w:hAnsi="Times New Roman" w:cs="Times New Roman"/>
          <w:b/>
          <w:sz w:val="24"/>
          <w:szCs w:val="24"/>
          <w:lang w:val="en-US"/>
        </w:rPr>
      </w:pPr>
    </w:p>
    <w:p w14:paraId="333B5A19"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Counsel </w:t>
      </w:r>
      <w:proofErr w:type="gramStart"/>
      <w:r w:rsidRPr="00E2175B">
        <w:rPr>
          <w:rFonts w:ascii="Times New Roman" w:hAnsi="Times New Roman" w:cs="Times New Roman"/>
          <w:sz w:val="24"/>
          <w:szCs w:val="24"/>
        </w:rPr>
        <w:t>argued</w:t>
      </w:r>
      <w:proofErr w:type="gramEnd"/>
      <w:r w:rsidRPr="00E2175B">
        <w:rPr>
          <w:rFonts w:ascii="Times New Roman" w:hAnsi="Times New Roman" w:cs="Times New Roman"/>
          <w:sz w:val="24"/>
          <w:szCs w:val="24"/>
        </w:rPr>
        <w:t xml:space="preserve"> </w:t>
      </w:r>
      <w:proofErr w:type="gramStart"/>
      <w:r w:rsidRPr="00E2175B">
        <w:rPr>
          <w:rFonts w:ascii="Times New Roman" w:hAnsi="Times New Roman" w:cs="Times New Roman"/>
          <w:sz w:val="24"/>
          <w:szCs w:val="24"/>
        </w:rPr>
        <w:t>that a back letter needs</w:t>
      </w:r>
      <w:proofErr w:type="gramEnd"/>
      <w:r w:rsidRPr="00E2175B">
        <w:rPr>
          <w:rFonts w:ascii="Times New Roman" w:hAnsi="Times New Roman" w:cs="Times New Roman"/>
          <w:sz w:val="24"/>
          <w:szCs w:val="24"/>
        </w:rPr>
        <w:t xml:space="preserve"> to be in writing and registered within 6 months. That in the absence of a back letter, a court has no authority to accept oral evidence against the written agreement. </w:t>
      </w:r>
    </w:p>
    <w:p w14:paraId="722BA289" w14:textId="77777777" w:rsidR="000E6583" w:rsidRPr="00E2175B" w:rsidRDefault="000E6583" w:rsidP="000E6583">
      <w:pPr>
        <w:pStyle w:val="ListParagraph"/>
        <w:rPr>
          <w:rFonts w:ascii="Times New Roman" w:hAnsi="Times New Roman" w:cs="Times New Roman"/>
          <w:b/>
          <w:sz w:val="24"/>
          <w:szCs w:val="24"/>
          <w:lang w:val="en-US"/>
        </w:rPr>
      </w:pPr>
    </w:p>
    <w:p w14:paraId="06FC2EC0"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Furthermore, counsel argued that the Judge erred in allowing the counterclaim and ordering the appellant to pay SR 1,848,900 and 25,000 pounds claimed by the respondent as balance of the purchase price. That the effect of such an order allows the respondent to have benefit of the balance as well as maintain the land title. In conclusion, counsel maintained that the appellant had proved her action in accordance with the written agreement.</w:t>
      </w:r>
    </w:p>
    <w:p w14:paraId="035A7A18" w14:textId="77777777" w:rsidR="000E6583" w:rsidRPr="00E2175B" w:rsidRDefault="000E6583" w:rsidP="000E6583">
      <w:pPr>
        <w:pStyle w:val="ListParagraph"/>
        <w:rPr>
          <w:rFonts w:ascii="Times New Roman" w:hAnsi="Times New Roman" w:cs="Times New Roman"/>
          <w:b/>
          <w:sz w:val="24"/>
          <w:szCs w:val="24"/>
          <w:lang w:val="en-US"/>
        </w:rPr>
      </w:pPr>
    </w:p>
    <w:p w14:paraId="139A4209"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Ground 4</w:t>
      </w:r>
    </w:p>
    <w:p w14:paraId="5F6872DF" w14:textId="77777777" w:rsidR="000E6583" w:rsidRPr="00E2175B" w:rsidRDefault="000E6583" w:rsidP="000E6583">
      <w:pPr>
        <w:pStyle w:val="ListParagraph"/>
        <w:rPr>
          <w:rFonts w:ascii="Times New Roman" w:hAnsi="Times New Roman" w:cs="Times New Roman"/>
          <w:b/>
          <w:sz w:val="24"/>
          <w:szCs w:val="24"/>
          <w:lang w:val="en-US"/>
        </w:rPr>
      </w:pPr>
    </w:p>
    <w:p w14:paraId="1FE41549"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Counsel argued that unlike the appellant who proved her claim with evidence of a written agreement and a signed payment summary, the respondent had failed to prove her case on a balance of probabilities.</w:t>
      </w:r>
    </w:p>
    <w:p w14:paraId="5BC9D8C3" w14:textId="77777777" w:rsidR="000E6583" w:rsidRPr="00E2175B" w:rsidRDefault="000E6583" w:rsidP="000E6583">
      <w:pPr>
        <w:pStyle w:val="ListParagraph"/>
        <w:jc w:val="both"/>
        <w:rPr>
          <w:rFonts w:ascii="Times New Roman" w:hAnsi="Times New Roman" w:cs="Times New Roman"/>
          <w:b/>
          <w:sz w:val="24"/>
          <w:szCs w:val="24"/>
          <w:lang w:val="en-US"/>
        </w:rPr>
      </w:pPr>
    </w:p>
    <w:p w14:paraId="0C1145F9"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Respondent’s submissions</w:t>
      </w:r>
    </w:p>
    <w:p w14:paraId="75DD2914" w14:textId="77777777" w:rsidR="000E6583" w:rsidRPr="00E2175B" w:rsidRDefault="000E6583" w:rsidP="000E6583">
      <w:pPr>
        <w:pStyle w:val="ListParagraph"/>
        <w:rPr>
          <w:rFonts w:ascii="Times New Roman" w:hAnsi="Times New Roman" w:cs="Times New Roman"/>
          <w:b/>
          <w:sz w:val="24"/>
          <w:szCs w:val="24"/>
          <w:lang w:val="en-US"/>
        </w:rPr>
      </w:pPr>
    </w:p>
    <w:p w14:paraId="0DB61AA1" w14:textId="77777777" w:rsidR="000E6583" w:rsidRPr="00E2175B" w:rsidRDefault="000E6583" w:rsidP="000E6583">
      <w:pPr>
        <w:pStyle w:val="ListParagraph"/>
        <w:jc w:val="both"/>
        <w:rPr>
          <w:rFonts w:ascii="Times New Roman" w:hAnsi="Times New Roman" w:cs="Times New Roman"/>
          <w:b/>
          <w:bCs/>
          <w:sz w:val="24"/>
          <w:szCs w:val="24"/>
        </w:rPr>
      </w:pPr>
      <w:r w:rsidRPr="00E2175B">
        <w:rPr>
          <w:rFonts w:ascii="Times New Roman" w:hAnsi="Times New Roman" w:cs="Times New Roman"/>
          <w:b/>
          <w:bCs/>
          <w:sz w:val="24"/>
          <w:szCs w:val="24"/>
        </w:rPr>
        <w:t>Ground 1</w:t>
      </w:r>
    </w:p>
    <w:p w14:paraId="30F0D03E" w14:textId="77777777" w:rsidR="000E6583" w:rsidRPr="00E2175B" w:rsidRDefault="000E6583" w:rsidP="000E6583">
      <w:pPr>
        <w:pStyle w:val="ListParagraph"/>
        <w:jc w:val="both"/>
        <w:rPr>
          <w:rFonts w:ascii="Times New Roman" w:hAnsi="Times New Roman" w:cs="Times New Roman"/>
          <w:b/>
          <w:sz w:val="24"/>
          <w:szCs w:val="24"/>
          <w:lang w:val="en-US"/>
        </w:rPr>
      </w:pPr>
    </w:p>
    <w:p w14:paraId="1E285CAB"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Counsel for the respondent submitted that the respondent’s oral testimony was an exception to the rule espoused by </w:t>
      </w:r>
      <w:r w:rsidRPr="00E2175B">
        <w:rPr>
          <w:rFonts w:ascii="Times New Roman" w:hAnsi="Times New Roman" w:cs="Times New Roman"/>
          <w:b/>
          <w:bCs/>
          <w:sz w:val="24"/>
          <w:szCs w:val="24"/>
        </w:rPr>
        <w:t>Article 1341 (supra)</w:t>
      </w:r>
      <w:r w:rsidRPr="00E2175B">
        <w:rPr>
          <w:rFonts w:ascii="Times New Roman" w:hAnsi="Times New Roman" w:cs="Times New Roman"/>
          <w:bCs/>
          <w:sz w:val="24"/>
          <w:szCs w:val="24"/>
        </w:rPr>
        <w:t xml:space="preserve">. That in fact </w:t>
      </w:r>
      <w:r w:rsidRPr="00E2175B">
        <w:rPr>
          <w:rFonts w:ascii="Times New Roman" w:hAnsi="Times New Roman" w:cs="Times New Roman"/>
          <w:b/>
          <w:bCs/>
          <w:sz w:val="24"/>
          <w:szCs w:val="24"/>
        </w:rPr>
        <w:t>Article 1347</w:t>
      </w:r>
      <w:r w:rsidRPr="00E2175B">
        <w:rPr>
          <w:rFonts w:ascii="Times New Roman" w:hAnsi="Times New Roman" w:cs="Times New Roman"/>
          <w:bCs/>
          <w:sz w:val="24"/>
          <w:szCs w:val="24"/>
        </w:rPr>
        <w:t xml:space="preserve"> of the </w:t>
      </w:r>
      <w:r w:rsidRPr="00E2175B">
        <w:rPr>
          <w:rFonts w:ascii="Times New Roman" w:hAnsi="Times New Roman" w:cs="Times New Roman"/>
          <w:b/>
          <w:bCs/>
          <w:sz w:val="24"/>
          <w:szCs w:val="24"/>
        </w:rPr>
        <w:t>Civil Code</w:t>
      </w:r>
      <w:r w:rsidRPr="00E2175B">
        <w:rPr>
          <w:rFonts w:ascii="Times New Roman" w:hAnsi="Times New Roman" w:cs="Times New Roman"/>
          <w:bCs/>
          <w:sz w:val="24"/>
          <w:szCs w:val="24"/>
        </w:rPr>
        <w:t xml:space="preserve"> provides for exceptions to the applicability of Article 1341. </w:t>
      </w:r>
      <w:r w:rsidRPr="00E2175B">
        <w:rPr>
          <w:rFonts w:ascii="Times New Roman" w:hAnsi="Times New Roman" w:cs="Times New Roman"/>
          <w:b/>
          <w:bCs/>
          <w:sz w:val="24"/>
          <w:szCs w:val="24"/>
        </w:rPr>
        <w:t>Article 1347</w:t>
      </w:r>
      <w:r w:rsidRPr="00E2175B">
        <w:rPr>
          <w:rFonts w:ascii="Times New Roman" w:hAnsi="Times New Roman" w:cs="Times New Roman"/>
          <w:bCs/>
          <w:sz w:val="24"/>
          <w:szCs w:val="24"/>
        </w:rPr>
        <w:t xml:space="preserve"> provides that:</w:t>
      </w:r>
    </w:p>
    <w:p w14:paraId="54BFA67D" w14:textId="77777777" w:rsidR="000E6583" w:rsidRPr="00E2175B" w:rsidRDefault="000E6583" w:rsidP="000E6583">
      <w:pPr>
        <w:pStyle w:val="ListParagraph"/>
        <w:jc w:val="both"/>
        <w:rPr>
          <w:rFonts w:ascii="Times New Roman" w:hAnsi="Times New Roman" w:cs="Times New Roman"/>
          <w:b/>
          <w:sz w:val="24"/>
          <w:szCs w:val="24"/>
          <w:lang w:val="en-US"/>
        </w:rPr>
      </w:pPr>
    </w:p>
    <w:p w14:paraId="0D77DF38"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bCs/>
          <w:sz w:val="24"/>
          <w:szCs w:val="24"/>
        </w:rPr>
        <w:t>The aforementioned rules shall not apply if there is writing providing initial proof.</w:t>
      </w:r>
    </w:p>
    <w:p w14:paraId="079DE0F6" w14:textId="77777777" w:rsidR="000E6583" w:rsidRPr="00E2175B" w:rsidRDefault="000E6583" w:rsidP="000E6583">
      <w:pPr>
        <w:pStyle w:val="ListParagraph"/>
        <w:rPr>
          <w:rFonts w:ascii="Times New Roman" w:hAnsi="Times New Roman" w:cs="Times New Roman"/>
          <w:b/>
          <w:sz w:val="24"/>
          <w:szCs w:val="24"/>
          <w:lang w:val="en-US"/>
        </w:rPr>
      </w:pPr>
    </w:p>
    <w:p w14:paraId="09877EDE" w14:textId="4B10622F"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
          <w:bCs/>
          <w:sz w:val="24"/>
          <w:szCs w:val="24"/>
        </w:rPr>
        <w:t xml:space="preserve">This term describes every </w:t>
      </w:r>
      <w:proofErr w:type="gramStart"/>
      <w:r w:rsidRPr="00E2175B">
        <w:rPr>
          <w:rFonts w:ascii="Times New Roman" w:hAnsi="Times New Roman" w:cs="Times New Roman"/>
          <w:b/>
          <w:bCs/>
          <w:sz w:val="24"/>
          <w:szCs w:val="24"/>
        </w:rPr>
        <w:t>writing which</w:t>
      </w:r>
      <w:proofErr w:type="gramEnd"/>
      <w:r w:rsidRPr="00E2175B">
        <w:rPr>
          <w:rFonts w:ascii="Times New Roman" w:hAnsi="Times New Roman" w:cs="Times New Roman"/>
          <w:b/>
          <w:bCs/>
          <w:sz w:val="24"/>
          <w:szCs w:val="24"/>
        </w:rPr>
        <w:t xml:space="preserve"> emanates from a person against whom the claim is made, or from a person whom he represents, and which renders the facts alleged likely.</w:t>
      </w:r>
    </w:p>
    <w:p w14:paraId="53C70507" w14:textId="77777777" w:rsidR="000E6583" w:rsidRPr="00E2175B" w:rsidRDefault="000E6583" w:rsidP="000E6583">
      <w:pPr>
        <w:pStyle w:val="ListParagraph"/>
        <w:jc w:val="both"/>
        <w:rPr>
          <w:rFonts w:ascii="Times New Roman" w:hAnsi="Times New Roman" w:cs="Times New Roman"/>
          <w:b/>
          <w:sz w:val="24"/>
          <w:szCs w:val="24"/>
          <w:lang w:val="en-US"/>
        </w:rPr>
      </w:pPr>
    </w:p>
    <w:p w14:paraId="2E1AB728"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Cs/>
          <w:sz w:val="24"/>
          <w:szCs w:val="24"/>
        </w:rPr>
        <w:t>Counsel argued that indeed the learned trial Judge appreciated that the present case fell under the exception created under Article 1347 (supra). Counsel referred to the judgment of the trial Judge at page 106 of the record. The relevant portion of the judgment states as follows:</w:t>
      </w:r>
    </w:p>
    <w:p w14:paraId="6EDE6C2E" w14:textId="77777777" w:rsidR="000E6583" w:rsidRPr="00E2175B" w:rsidRDefault="000E6583" w:rsidP="000E6583">
      <w:pPr>
        <w:pStyle w:val="ListParagraph"/>
        <w:rPr>
          <w:rFonts w:ascii="Times New Roman" w:hAnsi="Times New Roman" w:cs="Times New Roman"/>
          <w:b/>
          <w:sz w:val="24"/>
          <w:szCs w:val="24"/>
          <w:lang w:val="en-US"/>
        </w:rPr>
      </w:pPr>
    </w:p>
    <w:p w14:paraId="51F14F53"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Cs/>
          <w:sz w:val="24"/>
          <w:szCs w:val="24"/>
        </w:rPr>
        <w:lastRenderedPageBreak/>
        <w:t>“</w:t>
      </w:r>
      <w:r w:rsidRPr="00E2175B">
        <w:rPr>
          <w:rFonts w:ascii="Times New Roman" w:hAnsi="Times New Roman" w:cs="Times New Roman"/>
          <w:bCs/>
          <w:i/>
          <w:sz w:val="24"/>
          <w:szCs w:val="24"/>
        </w:rPr>
        <w:t>Firstly, on the issue as to admissibility of oral evidence, it is evident that exhibit P1 and P3 which have been duly signed by and emanating from the plaintiff, clearly provide for a beginning of proof in writing. This writing as I see it, squarely falls within the description of the term </w:t>
      </w:r>
      <w:r w:rsidRPr="00E2175B">
        <w:rPr>
          <w:rFonts w:ascii="Times New Roman" w:hAnsi="Times New Roman" w:cs="Times New Roman"/>
          <w:b/>
          <w:bCs/>
          <w:i/>
          <w:sz w:val="24"/>
          <w:szCs w:val="24"/>
        </w:rPr>
        <w:t>“every writing”, </w:t>
      </w:r>
      <w:r w:rsidRPr="00E2175B">
        <w:rPr>
          <w:rFonts w:ascii="Times New Roman" w:hAnsi="Times New Roman" w:cs="Times New Roman"/>
          <w:bCs/>
          <w:i/>
          <w:sz w:val="24"/>
          <w:szCs w:val="24"/>
        </w:rPr>
        <w:t>which has been used in a broad sense in Article 1347 supra to cover all writings including the ones in the nature of exhibit P1 and P3. Moreover, these documents create liability on the part of the plaintiff to pay the purchase price to the defendant. This obviously, constitutes an exception to the rule, which entitles the Defendant to give oral evidence of the real price other than what is declared in the transfer deed.”</w:t>
      </w:r>
    </w:p>
    <w:p w14:paraId="0D284461" w14:textId="77777777" w:rsidR="000E6583" w:rsidRPr="00E2175B" w:rsidRDefault="000E6583" w:rsidP="000E6583">
      <w:pPr>
        <w:pStyle w:val="ListParagraph"/>
        <w:rPr>
          <w:rFonts w:ascii="Times New Roman" w:hAnsi="Times New Roman" w:cs="Times New Roman"/>
          <w:b/>
          <w:sz w:val="24"/>
          <w:szCs w:val="24"/>
          <w:lang w:val="en-US"/>
        </w:rPr>
      </w:pPr>
    </w:p>
    <w:p w14:paraId="317CFC2B"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Cs/>
          <w:sz w:val="24"/>
          <w:szCs w:val="24"/>
        </w:rPr>
        <w:t>On the premise of the above, counsel submitted that the learned trial Judge cannot be faulted for having allowed the oral evidence.</w:t>
      </w:r>
    </w:p>
    <w:p w14:paraId="41EB23C2" w14:textId="77777777" w:rsidR="000E6583" w:rsidRPr="00E2175B" w:rsidRDefault="000E6583" w:rsidP="000E6583">
      <w:pPr>
        <w:pStyle w:val="ListParagraph"/>
        <w:jc w:val="both"/>
        <w:rPr>
          <w:rFonts w:ascii="Times New Roman" w:hAnsi="Times New Roman" w:cs="Times New Roman"/>
          <w:b/>
          <w:sz w:val="24"/>
          <w:szCs w:val="24"/>
          <w:lang w:val="en-US"/>
        </w:rPr>
      </w:pPr>
    </w:p>
    <w:p w14:paraId="22E2CF5F"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Cs/>
          <w:sz w:val="24"/>
          <w:szCs w:val="24"/>
        </w:rPr>
        <w:t xml:space="preserve">Furthermore, counsel submitted that the appellant erroneously based his objection under Article </w:t>
      </w:r>
      <w:proofErr w:type="gramStart"/>
      <w:r w:rsidRPr="00E2175B">
        <w:rPr>
          <w:rFonts w:ascii="Times New Roman" w:hAnsi="Times New Roman" w:cs="Times New Roman"/>
          <w:bCs/>
          <w:sz w:val="24"/>
          <w:szCs w:val="24"/>
        </w:rPr>
        <w:t>1321 which</w:t>
      </w:r>
      <w:proofErr w:type="gramEnd"/>
      <w:r w:rsidRPr="00E2175B">
        <w:rPr>
          <w:rFonts w:ascii="Times New Roman" w:hAnsi="Times New Roman" w:cs="Times New Roman"/>
          <w:bCs/>
          <w:sz w:val="24"/>
          <w:szCs w:val="24"/>
        </w:rPr>
        <w:t xml:space="preserve"> deals exclusively with the question of simulation through a back letter. He argued that Article 1321 does not provide for an avenue for objection to admissibility of oral evidence.  He thus prayed that this ground of appeal </w:t>
      </w:r>
      <w:proofErr w:type="gramStart"/>
      <w:r w:rsidRPr="00E2175B">
        <w:rPr>
          <w:rFonts w:ascii="Times New Roman" w:hAnsi="Times New Roman" w:cs="Times New Roman"/>
          <w:bCs/>
          <w:sz w:val="24"/>
          <w:szCs w:val="24"/>
        </w:rPr>
        <w:t>be dismissed</w:t>
      </w:r>
      <w:proofErr w:type="gramEnd"/>
      <w:r w:rsidRPr="00E2175B">
        <w:rPr>
          <w:rFonts w:ascii="Times New Roman" w:hAnsi="Times New Roman" w:cs="Times New Roman"/>
          <w:bCs/>
          <w:sz w:val="24"/>
          <w:szCs w:val="24"/>
        </w:rPr>
        <w:t xml:space="preserve"> for lack of merit.</w:t>
      </w:r>
    </w:p>
    <w:p w14:paraId="2B88F850" w14:textId="77777777" w:rsidR="000E6583" w:rsidRPr="00E2175B" w:rsidRDefault="000E6583" w:rsidP="000E6583">
      <w:pPr>
        <w:pStyle w:val="ListParagraph"/>
        <w:rPr>
          <w:rFonts w:ascii="Times New Roman" w:hAnsi="Times New Roman" w:cs="Times New Roman"/>
          <w:b/>
          <w:sz w:val="24"/>
          <w:szCs w:val="24"/>
          <w:lang w:val="en-US"/>
        </w:rPr>
      </w:pPr>
    </w:p>
    <w:p w14:paraId="723A2981"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bCs/>
          <w:sz w:val="24"/>
          <w:szCs w:val="24"/>
        </w:rPr>
        <w:t>Grounds 2, 3, and 4</w:t>
      </w:r>
    </w:p>
    <w:p w14:paraId="65EDD966" w14:textId="77777777" w:rsidR="000E6583" w:rsidRPr="00E2175B" w:rsidRDefault="000E6583" w:rsidP="000E6583">
      <w:pPr>
        <w:pStyle w:val="ListParagraph"/>
        <w:rPr>
          <w:rFonts w:ascii="Times New Roman" w:hAnsi="Times New Roman" w:cs="Times New Roman"/>
          <w:b/>
          <w:sz w:val="24"/>
          <w:szCs w:val="24"/>
          <w:lang w:val="en-US"/>
        </w:rPr>
      </w:pPr>
    </w:p>
    <w:p w14:paraId="3C572A55"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Under these grounds, counsel for the respondent conceded that an agreement by the parties to indicate a lesser sum payable on the contract than was actually payable </w:t>
      </w:r>
      <w:proofErr w:type="gramStart"/>
      <w:r w:rsidRPr="00E2175B">
        <w:rPr>
          <w:rFonts w:ascii="Times New Roman" w:hAnsi="Times New Roman" w:cs="Times New Roman"/>
          <w:sz w:val="24"/>
          <w:szCs w:val="24"/>
        </w:rPr>
        <w:t>for the purpose of</w:t>
      </w:r>
      <w:proofErr w:type="gramEnd"/>
      <w:r w:rsidRPr="00E2175B">
        <w:rPr>
          <w:rFonts w:ascii="Times New Roman" w:hAnsi="Times New Roman" w:cs="Times New Roman"/>
          <w:sz w:val="24"/>
          <w:szCs w:val="24"/>
        </w:rPr>
        <w:t xml:space="preserve"> paying less stamp duty would be illegal and the Court would not be able to condone it.</w:t>
      </w:r>
    </w:p>
    <w:p w14:paraId="52242DC8" w14:textId="77777777" w:rsidR="000E6583" w:rsidRPr="00E2175B" w:rsidRDefault="000E6583" w:rsidP="000E6583">
      <w:pPr>
        <w:pStyle w:val="ListParagraph"/>
        <w:jc w:val="both"/>
        <w:rPr>
          <w:rFonts w:ascii="Times New Roman" w:hAnsi="Times New Roman" w:cs="Times New Roman"/>
          <w:b/>
          <w:sz w:val="24"/>
          <w:szCs w:val="24"/>
          <w:lang w:val="en-US"/>
        </w:rPr>
      </w:pPr>
    </w:p>
    <w:p w14:paraId="76FFCB14"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Notwithstanding the above, counsel argued that even if the written agreement was to be considered as the binding evidence, the appellant had failed to pay the full amount indicated in the agreement within the ‘stipulated time’. That therefore, the agreement ought to be nullified or terminated. Counsel referred to a letter dated 13</w:t>
      </w:r>
      <w:r w:rsidRPr="00E2175B">
        <w:rPr>
          <w:rFonts w:ascii="Times New Roman" w:hAnsi="Times New Roman" w:cs="Times New Roman"/>
          <w:sz w:val="24"/>
          <w:szCs w:val="24"/>
          <w:vertAlign w:val="superscript"/>
        </w:rPr>
        <w:t>th</w:t>
      </w:r>
      <w:r w:rsidRPr="00E2175B">
        <w:rPr>
          <w:rFonts w:ascii="Times New Roman" w:hAnsi="Times New Roman" w:cs="Times New Roman"/>
          <w:sz w:val="24"/>
          <w:szCs w:val="24"/>
        </w:rPr>
        <w:t xml:space="preserve"> </w:t>
      </w:r>
      <w:proofErr w:type="gramStart"/>
      <w:r w:rsidRPr="00E2175B">
        <w:rPr>
          <w:rFonts w:ascii="Times New Roman" w:hAnsi="Times New Roman" w:cs="Times New Roman"/>
          <w:sz w:val="24"/>
          <w:szCs w:val="24"/>
        </w:rPr>
        <w:t>June,</w:t>
      </w:r>
      <w:proofErr w:type="gramEnd"/>
      <w:r w:rsidRPr="00E2175B">
        <w:rPr>
          <w:rFonts w:ascii="Times New Roman" w:hAnsi="Times New Roman" w:cs="Times New Roman"/>
          <w:sz w:val="24"/>
          <w:szCs w:val="24"/>
        </w:rPr>
        <w:t xml:space="preserve"> 2010 by which vacant possession was demanded on the basis that the appellant had breached the agreement between the parties in failing to pay the balance due on the agreement “despite various requests”. Counsel further argued that the oral evidence as to the non-payment of the due balance on time ought to </w:t>
      </w:r>
      <w:proofErr w:type="gramStart"/>
      <w:r w:rsidRPr="00E2175B">
        <w:rPr>
          <w:rFonts w:ascii="Times New Roman" w:hAnsi="Times New Roman" w:cs="Times New Roman"/>
          <w:sz w:val="24"/>
          <w:szCs w:val="24"/>
        </w:rPr>
        <w:t>have been admitted</w:t>
      </w:r>
      <w:proofErr w:type="gramEnd"/>
      <w:r w:rsidRPr="00E2175B">
        <w:rPr>
          <w:rFonts w:ascii="Times New Roman" w:hAnsi="Times New Roman" w:cs="Times New Roman"/>
          <w:sz w:val="24"/>
          <w:szCs w:val="24"/>
        </w:rPr>
        <w:t xml:space="preserve">. He however conceded that although no cross-appeal </w:t>
      </w:r>
      <w:proofErr w:type="gramStart"/>
      <w:r w:rsidRPr="00E2175B">
        <w:rPr>
          <w:rFonts w:ascii="Times New Roman" w:hAnsi="Times New Roman" w:cs="Times New Roman"/>
          <w:sz w:val="24"/>
          <w:szCs w:val="24"/>
        </w:rPr>
        <w:t>had been made</w:t>
      </w:r>
      <w:proofErr w:type="gramEnd"/>
      <w:r w:rsidRPr="00E2175B">
        <w:rPr>
          <w:rFonts w:ascii="Times New Roman" w:hAnsi="Times New Roman" w:cs="Times New Roman"/>
          <w:sz w:val="24"/>
          <w:szCs w:val="24"/>
        </w:rPr>
        <w:t xml:space="preserve"> on this aspect, it was part of the prayers in the lower court. </w:t>
      </w:r>
    </w:p>
    <w:p w14:paraId="1ABFA138" w14:textId="77777777" w:rsidR="000E6583" w:rsidRPr="00E2175B" w:rsidRDefault="000E6583" w:rsidP="000E6583">
      <w:pPr>
        <w:pStyle w:val="ListParagraph"/>
        <w:rPr>
          <w:rFonts w:ascii="Times New Roman" w:hAnsi="Times New Roman" w:cs="Times New Roman"/>
          <w:b/>
          <w:sz w:val="24"/>
          <w:szCs w:val="24"/>
          <w:lang w:val="en-US"/>
        </w:rPr>
      </w:pPr>
    </w:p>
    <w:p w14:paraId="4E1EB40D"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Court’s consideration</w:t>
      </w:r>
    </w:p>
    <w:p w14:paraId="684F4817" w14:textId="77777777" w:rsidR="000E6583" w:rsidRPr="00E2175B" w:rsidRDefault="000E6583" w:rsidP="000E6583">
      <w:pPr>
        <w:pStyle w:val="ListParagraph"/>
        <w:rPr>
          <w:rFonts w:ascii="Times New Roman" w:hAnsi="Times New Roman" w:cs="Times New Roman"/>
          <w:b/>
          <w:sz w:val="24"/>
          <w:szCs w:val="24"/>
          <w:lang w:val="en-US"/>
        </w:rPr>
      </w:pPr>
    </w:p>
    <w:p w14:paraId="0AEE453F"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Before I delve into the merits of this appeal, I take exception with the way the grounds of appeal </w:t>
      </w:r>
      <w:proofErr w:type="gramStart"/>
      <w:r w:rsidRPr="00E2175B">
        <w:rPr>
          <w:rFonts w:ascii="Times New Roman" w:hAnsi="Times New Roman" w:cs="Times New Roman"/>
          <w:sz w:val="24"/>
          <w:szCs w:val="24"/>
        </w:rPr>
        <w:t>were framed</w:t>
      </w:r>
      <w:proofErr w:type="gramEnd"/>
      <w:r w:rsidRPr="00E2175B">
        <w:rPr>
          <w:rFonts w:ascii="Times New Roman" w:hAnsi="Times New Roman" w:cs="Times New Roman"/>
          <w:sz w:val="24"/>
          <w:szCs w:val="24"/>
        </w:rPr>
        <w:t xml:space="preserve">. They were vague, not concise and argumentative. This contravened </w:t>
      </w:r>
      <w:r w:rsidRPr="00E2175B">
        <w:rPr>
          <w:rFonts w:ascii="Times New Roman" w:hAnsi="Times New Roman" w:cs="Times New Roman"/>
          <w:b/>
          <w:sz w:val="24"/>
          <w:szCs w:val="24"/>
        </w:rPr>
        <w:t xml:space="preserve">Rule 54(3) </w:t>
      </w:r>
      <w:r w:rsidRPr="00E2175B">
        <w:rPr>
          <w:rFonts w:ascii="Times New Roman" w:hAnsi="Times New Roman" w:cs="Times New Roman"/>
          <w:sz w:val="24"/>
          <w:szCs w:val="24"/>
        </w:rPr>
        <w:t>and</w:t>
      </w:r>
      <w:r w:rsidRPr="00E2175B">
        <w:rPr>
          <w:rFonts w:ascii="Times New Roman" w:hAnsi="Times New Roman" w:cs="Times New Roman"/>
          <w:b/>
          <w:sz w:val="24"/>
          <w:szCs w:val="24"/>
        </w:rPr>
        <w:t xml:space="preserve"> (6) </w:t>
      </w:r>
      <w:r w:rsidRPr="00E2175B">
        <w:rPr>
          <w:rFonts w:ascii="Times New Roman" w:hAnsi="Times New Roman" w:cs="Times New Roman"/>
          <w:sz w:val="24"/>
          <w:szCs w:val="24"/>
        </w:rPr>
        <w:t>of the Rules of this Court which requires every Notice of Appeal to set forth concisely and under distinct heads, without argument or narrative, the grounds of the appeal, specifying the points of law or fact which are alleged to have been wrongly decided.</w:t>
      </w:r>
    </w:p>
    <w:p w14:paraId="5C4E4B6A" w14:textId="77777777" w:rsidR="000E6583" w:rsidRPr="00E2175B" w:rsidRDefault="000E6583" w:rsidP="000E6583">
      <w:pPr>
        <w:pStyle w:val="ListParagraph"/>
        <w:jc w:val="both"/>
        <w:rPr>
          <w:rFonts w:ascii="Times New Roman" w:hAnsi="Times New Roman" w:cs="Times New Roman"/>
          <w:b/>
          <w:sz w:val="24"/>
          <w:szCs w:val="24"/>
          <w:lang w:val="en-US"/>
        </w:rPr>
      </w:pPr>
    </w:p>
    <w:p w14:paraId="71E3324A"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Nevertheless, in the interest of justice, I will address the merits of the appeal.</w:t>
      </w:r>
    </w:p>
    <w:p w14:paraId="340D27C3" w14:textId="77777777" w:rsidR="000E6583" w:rsidRPr="00E2175B" w:rsidRDefault="000E6583" w:rsidP="000E6583">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lastRenderedPageBreak/>
        <w:t>Ground 1</w:t>
      </w:r>
    </w:p>
    <w:p w14:paraId="29C339A4" w14:textId="77777777" w:rsidR="000E6583" w:rsidRPr="00E2175B" w:rsidRDefault="000E6583" w:rsidP="000E6583">
      <w:pPr>
        <w:pStyle w:val="ListParagraph"/>
        <w:rPr>
          <w:rFonts w:ascii="Times New Roman" w:hAnsi="Times New Roman" w:cs="Times New Roman"/>
          <w:b/>
          <w:sz w:val="24"/>
          <w:szCs w:val="24"/>
          <w:lang w:val="en-US"/>
        </w:rPr>
      </w:pPr>
    </w:p>
    <w:p w14:paraId="77BB2673"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The essence of the arguments under this ground were that the learned trial Judge erred in over ruling the objection to the admissibility of oral evidence by the respondent.</w:t>
      </w:r>
    </w:p>
    <w:p w14:paraId="6C2158FD" w14:textId="77777777" w:rsidR="000E6583" w:rsidRPr="00E2175B" w:rsidRDefault="000E6583" w:rsidP="000E6583">
      <w:pPr>
        <w:pStyle w:val="ListParagraph"/>
        <w:jc w:val="both"/>
        <w:rPr>
          <w:rFonts w:ascii="Times New Roman" w:hAnsi="Times New Roman" w:cs="Times New Roman"/>
          <w:b/>
          <w:sz w:val="24"/>
          <w:szCs w:val="24"/>
          <w:lang w:val="en-US"/>
        </w:rPr>
      </w:pPr>
    </w:p>
    <w:p w14:paraId="61BEF5F9"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The question before Court is </w:t>
      </w:r>
      <w:r w:rsidRPr="00E2175B">
        <w:rPr>
          <w:rFonts w:ascii="Times New Roman" w:hAnsi="Times New Roman" w:cs="Times New Roman"/>
          <w:i/>
          <w:sz w:val="24"/>
          <w:szCs w:val="24"/>
        </w:rPr>
        <w:t xml:space="preserve">whether the respondent’s oral </w:t>
      </w:r>
      <w:proofErr w:type="gramStart"/>
      <w:r w:rsidRPr="00E2175B">
        <w:rPr>
          <w:rFonts w:ascii="Times New Roman" w:hAnsi="Times New Roman" w:cs="Times New Roman"/>
          <w:i/>
          <w:sz w:val="24"/>
          <w:szCs w:val="24"/>
        </w:rPr>
        <w:t>testimony which would contradict the written agreement</w:t>
      </w:r>
      <w:proofErr w:type="gramEnd"/>
      <w:r w:rsidRPr="00E2175B">
        <w:rPr>
          <w:rFonts w:ascii="Times New Roman" w:hAnsi="Times New Roman" w:cs="Times New Roman"/>
          <w:i/>
          <w:sz w:val="24"/>
          <w:szCs w:val="24"/>
        </w:rPr>
        <w:t xml:space="preserve"> was admissible.</w:t>
      </w:r>
    </w:p>
    <w:p w14:paraId="3655B103" w14:textId="77777777" w:rsidR="000E6583" w:rsidRPr="00E2175B" w:rsidRDefault="000E6583" w:rsidP="000E6583">
      <w:pPr>
        <w:pStyle w:val="ListParagraph"/>
        <w:rPr>
          <w:rFonts w:ascii="Times New Roman" w:hAnsi="Times New Roman" w:cs="Times New Roman"/>
          <w:b/>
          <w:sz w:val="24"/>
          <w:szCs w:val="24"/>
          <w:lang w:val="en-US"/>
        </w:rPr>
      </w:pPr>
    </w:p>
    <w:p w14:paraId="75EF3662"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At the trial, the appellant adduced a written transfer agreement as evidence of the agreement between himself and the respondent indicating that the purchase price was SR 1,000,000/=. On the other hand, the respondent claimed that the price agreed upon was not SR 1,000,000/= but SR 2,500,000 and 25,000 pounds. The respondent testified that the price in the written agreement </w:t>
      </w:r>
      <w:proofErr w:type="gramStart"/>
      <w:r w:rsidRPr="00E2175B">
        <w:rPr>
          <w:rFonts w:ascii="Times New Roman" w:hAnsi="Times New Roman" w:cs="Times New Roman"/>
          <w:sz w:val="24"/>
          <w:szCs w:val="24"/>
        </w:rPr>
        <w:t>was only inserted</w:t>
      </w:r>
      <w:proofErr w:type="gramEnd"/>
      <w:r w:rsidRPr="00E2175B">
        <w:rPr>
          <w:rFonts w:ascii="Times New Roman" w:hAnsi="Times New Roman" w:cs="Times New Roman"/>
          <w:sz w:val="24"/>
          <w:szCs w:val="24"/>
        </w:rPr>
        <w:t xml:space="preserve"> in order to pay less stamp duty.</w:t>
      </w:r>
    </w:p>
    <w:p w14:paraId="5EFA917F" w14:textId="77777777" w:rsidR="000E6583" w:rsidRPr="00E2175B" w:rsidRDefault="000E6583" w:rsidP="000E6583">
      <w:pPr>
        <w:pStyle w:val="ListParagraph"/>
        <w:rPr>
          <w:rFonts w:ascii="Times New Roman" w:hAnsi="Times New Roman" w:cs="Times New Roman"/>
          <w:b/>
          <w:sz w:val="24"/>
          <w:szCs w:val="24"/>
          <w:lang w:val="en-US"/>
        </w:rPr>
      </w:pPr>
    </w:p>
    <w:p w14:paraId="75064123"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
          <w:bCs/>
          <w:sz w:val="24"/>
          <w:szCs w:val="24"/>
        </w:rPr>
        <w:t xml:space="preserve">Articles 1341 </w:t>
      </w:r>
      <w:r w:rsidRPr="00E2175B">
        <w:rPr>
          <w:rFonts w:ascii="Times New Roman" w:hAnsi="Times New Roman" w:cs="Times New Roman"/>
          <w:bCs/>
          <w:sz w:val="24"/>
          <w:szCs w:val="24"/>
        </w:rPr>
        <w:t>of</w:t>
      </w:r>
      <w:r w:rsidRPr="00E2175B">
        <w:rPr>
          <w:rFonts w:ascii="Times New Roman" w:hAnsi="Times New Roman" w:cs="Times New Roman"/>
          <w:b/>
          <w:bCs/>
          <w:sz w:val="24"/>
          <w:szCs w:val="24"/>
        </w:rPr>
        <w:t xml:space="preserve"> </w:t>
      </w:r>
      <w:r w:rsidRPr="00E2175B">
        <w:rPr>
          <w:rFonts w:ascii="Times New Roman" w:hAnsi="Times New Roman" w:cs="Times New Roman"/>
          <w:bCs/>
          <w:sz w:val="24"/>
          <w:szCs w:val="24"/>
        </w:rPr>
        <w:t>the</w:t>
      </w:r>
      <w:r w:rsidRPr="00E2175B">
        <w:rPr>
          <w:rFonts w:ascii="Times New Roman" w:hAnsi="Times New Roman" w:cs="Times New Roman"/>
          <w:b/>
          <w:bCs/>
          <w:sz w:val="24"/>
          <w:szCs w:val="24"/>
        </w:rPr>
        <w:t xml:space="preserve"> Civil Code </w:t>
      </w:r>
      <w:r w:rsidRPr="00E2175B">
        <w:rPr>
          <w:rFonts w:ascii="Times New Roman" w:hAnsi="Times New Roman" w:cs="Times New Roman"/>
          <w:bCs/>
          <w:sz w:val="24"/>
          <w:szCs w:val="24"/>
        </w:rPr>
        <w:t>which I have already reproduced above requires that a matter whose value exceeds 5000 Rupees shall be reduced into writing and any contradicting oral evidence alleged to have been said prior to, at or after the written document is not admissible.</w:t>
      </w:r>
    </w:p>
    <w:p w14:paraId="3FFFAAE6" w14:textId="77777777" w:rsidR="000E6583" w:rsidRPr="00E2175B" w:rsidRDefault="000E6583" w:rsidP="000E6583">
      <w:pPr>
        <w:pStyle w:val="ListParagraph"/>
        <w:rPr>
          <w:rFonts w:ascii="Times New Roman" w:hAnsi="Times New Roman" w:cs="Times New Roman"/>
          <w:b/>
          <w:sz w:val="24"/>
          <w:szCs w:val="24"/>
          <w:lang w:val="en-US"/>
        </w:rPr>
      </w:pPr>
    </w:p>
    <w:p w14:paraId="0BFDDF84"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
          <w:bCs/>
          <w:sz w:val="24"/>
          <w:szCs w:val="24"/>
        </w:rPr>
        <w:t xml:space="preserve">Article 1347 of the Civil Code </w:t>
      </w:r>
      <w:r w:rsidRPr="00E2175B">
        <w:rPr>
          <w:rFonts w:ascii="Times New Roman" w:hAnsi="Times New Roman" w:cs="Times New Roman"/>
          <w:bCs/>
          <w:sz w:val="24"/>
          <w:szCs w:val="24"/>
        </w:rPr>
        <w:t xml:space="preserve">is to the effect that the aforementioned rules (Articles 1341-1346) shall not apply if there is writing providing initial proof. This provision was the anchor of the respondent’s arguments and his counsel submitted that Article 1347 creates an exception to the operation of Article 1341 and thereby permits </w:t>
      </w:r>
      <w:proofErr w:type="gramStart"/>
      <w:r w:rsidRPr="00E2175B">
        <w:rPr>
          <w:rFonts w:ascii="Times New Roman" w:hAnsi="Times New Roman" w:cs="Times New Roman"/>
          <w:bCs/>
          <w:sz w:val="24"/>
          <w:szCs w:val="24"/>
        </w:rPr>
        <w:t>for oral</w:t>
      </w:r>
      <w:proofErr w:type="gramEnd"/>
      <w:r w:rsidRPr="00E2175B">
        <w:rPr>
          <w:rFonts w:ascii="Times New Roman" w:hAnsi="Times New Roman" w:cs="Times New Roman"/>
          <w:bCs/>
          <w:sz w:val="24"/>
          <w:szCs w:val="24"/>
        </w:rPr>
        <w:t xml:space="preserve"> evidence to be given. It was </w:t>
      </w:r>
      <w:proofErr w:type="gramStart"/>
      <w:r w:rsidRPr="00E2175B">
        <w:rPr>
          <w:rFonts w:ascii="Times New Roman" w:hAnsi="Times New Roman" w:cs="Times New Roman"/>
          <w:bCs/>
          <w:sz w:val="24"/>
          <w:szCs w:val="24"/>
        </w:rPr>
        <w:t>this</w:t>
      </w:r>
      <w:proofErr w:type="gramEnd"/>
      <w:r w:rsidRPr="00E2175B">
        <w:rPr>
          <w:rFonts w:ascii="Times New Roman" w:hAnsi="Times New Roman" w:cs="Times New Roman"/>
          <w:bCs/>
          <w:sz w:val="24"/>
          <w:szCs w:val="24"/>
        </w:rPr>
        <w:t xml:space="preserve"> provision that the learned Judge based his decision to admit the respondent’s oral evidence. </w:t>
      </w:r>
    </w:p>
    <w:p w14:paraId="64F54958" w14:textId="77777777" w:rsidR="000E6583" w:rsidRPr="00E2175B" w:rsidRDefault="000E6583" w:rsidP="000E6583">
      <w:pPr>
        <w:pStyle w:val="ListParagraph"/>
        <w:rPr>
          <w:rFonts w:ascii="Times New Roman" w:hAnsi="Times New Roman" w:cs="Times New Roman"/>
          <w:b/>
          <w:sz w:val="24"/>
          <w:szCs w:val="24"/>
          <w:lang w:val="en-US"/>
        </w:rPr>
      </w:pPr>
    </w:p>
    <w:p w14:paraId="257491EA"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Although </w:t>
      </w:r>
      <w:r w:rsidRPr="00E2175B">
        <w:rPr>
          <w:rFonts w:ascii="Times New Roman" w:hAnsi="Times New Roman" w:cs="Times New Roman"/>
          <w:b/>
          <w:bCs/>
          <w:sz w:val="24"/>
          <w:szCs w:val="24"/>
        </w:rPr>
        <w:t xml:space="preserve">Article 1347 of the Civil Code </w:t>
      </w:r>
      <w:r w:rsidRPr="00E2175B">
        <w:rPr>
          <w:rFonts w:ascii="Times New Roman" w:hAnsi="Times New Roman" w:cs="Times New Roman"/>
          <w:bCs/>
          <w:sz w:val="24"/>
          <w:szCs w:val="24"/>
        </w:rPr>
        <w:t>creates</w:t>
      </w:r>
      <w:r w:rsidRPr="00E2175B">
        <w:rPr>
          <w:rFonts w:ascii="Times New Roman" w:hAnsi="Times New Roman" w:cs="Times New Roman"/>
          <w:sz w:val="24"/>
          <w:szCs w:val="24"/>
        </w:rPr>
        <w:t xml:space="preserve"> an exception to the parole evidence rule espoused in </w:t>
      </w:r>
      <w:r w:rsidRPr="00E2175B">
        <w:rPr>
          <w:rFonts w:ascii="Times New Roman" w:hAnsi="Times New Roman" w:cs="Times New Roman"/>
          <w:b/>
          <w:bCs/>
          <w:sz w:val="24"/>
          <w:szCs w:val="24"/>
        </w:rPr>
        <w:t>Article 1341</w:t>
      </w:r>
      <w:r w:rsidRPr="00E2175B">
        <w:rPr>
          <w:rFonts w:ascii="Times New Roman" w:hAnsi="Times New Roman" w:cs="Times New Roman"/>
          <w:bCs/>
          <w:sz w:val="24"/>
          <w:szCs w:val="24"/>
        </w:rPr>
        <w:t>,</w:t>
      </w:r>
      <w:r w:rsidRPr="00E2175B">
        <w:rPr>
          <w:rFonts w:ascii="Times New Roman" w:hAnsi="Times New Roman" w:cs="Times New Roman"/>
          <w:b/>
          <w:bCs/>
          <w:sz w:val="24"/>
          <w:szCs w:val="24"/>
        </w:rPr>
        <w:t xml:space="preserve"> </w:t>
      </w:r>
      <w:proofErr w:type="gramStart"/>
      <w:r w:rsidRPr="00E2175B">
        <w:rPr>
          <w:rFonts w:ascii="Times New Roman" w:hAnsi="Times New Roman" w:cs="Times New Roman"/>
          <w:bCs/>
          <w:sz w:val="24"/>
          <w:szCs w:val="24"/>
        </w:rPr>
        <w:t>it is my</w:t>
      </w:r>
      <w:r w:rsidRPr="00E2175B">
        <w:rPr>
          <w:rFonts w:ascii="Times New Roman" w:hAnsi="Times New Roman" w:cs="Times New Roman"/>
          <w:sz w:val="24"/>
          <w:szCs w:val="24"/>
        </w:rPr>
        <w:t xml:space="preserve"> finding that the respondent did not bring</w:t>
      </w:r>
      <w:proofErr w:type="gramEnd"/>
      <w:r w:rsidRPr="00E2175B">
        <w:rPr>
          <w:rFonts w:ascii="Times New Roman" w:hAnsi="Times New Roman" w:cs="Times New Roman"/>
          <w:sz w:val="24"/>
          <w:szCs w:val="24"/>
        </w:rPr>
        <w:t xml:space="preserve"> herself within the ambit of that exception. </w:t>
      </w:r>
      <w:r w:rsidRPr="00E2175B">
        <w:rPr>
          <w:rFonts w:ascii="Times New Roman" w:hAnsi="Times New Roman" w:cs="Times New Roman"/>
          <w:b/>
          <w:bCs/>
          <w:sz w:val="24"/>
          <w:szCs w:val="24"/>
        </w:rPr>
        <w:t xml:space="preserve">Article 1347 </w:t>
      </w:r>
      <w:r w:rsidRPr="00E2175B">
        <w:rPr>
          <w:rFonts w:ascii="Times New Roman" w:hAnsi="Times New Roman" w:cs="Times New Roman"/>
          <w:bCs/>
          <w:sz w:val="24"/>
          <w:szCs w:val="24"/>
        </w:rPr>
        <w:t>further</w:t>
      </w:r>
      <w:r w:rsidRPr="00E2175B">
        <w:rPr>
          <w:rFonts w:ascii="Times New Roman" w:hAnsi="Times New Roman" w:cs="Times New Roman"/>
          <w:b/>
          <w:bCs/>
          <w:sz w:val="24"/>
          <w:szCs w:val="24"/>
        </w:rPr>
        <w:t xml:space="preserve"> </w:t>
      </w:r>
      <w:r w:rsidRPr="00E2175B">
        <w:rPr>
          <w:rFonts w:ascii="Times New Roman" w:hAnsi="Times New Roman" w:cs="Times New Roman"/>
          <w:sz w:val="24"/>
          <w:szCs w:val="24"/>
        </w:rPr>
        <w:t>provides that:</w:t>
      </w:r>
    </w:p>
    <w:p w14:paraId="47A3D8D7" w14:textId="77777777" w:rsidR="000E6583" w:rsidRPr="00E2175B" w:rsidRDefault="000E6583" w:rsidP="000E6583">
      <w:pPr>
        <w:pStyle w:val="ListParagraph"/>
        <w:rPr>
          <w:rFonts w:ascii="Times New Roman" w:hAnsi="Times New Roman" w:cs="Times New Roman"/>
          <w:b/>
          <w:sz w:val="24"/>
          <w:szCs w:val="24"/>
          <w:lang w:val="en-US"/>
        </w:rPr>
      </w:pPr>
    </w:p>
    <w:p w14:paraId="2395B077" w14:textId="70A663CF" w:rsidR="000E6583" w:rsidRPr="00E2175B" w:rsidRDefault="000E6583" w:rsidP="00E64CDD">
      <w:pPr>
        <w:spacing w:line="360" w:lineRule="auto"/>
        <w:ind w:left="1350"/>
        <w:jc w:val="both"/>
        <w:rPr>
          <w:rFonts w:ascii="Times New Roman" w:hAnsi="Times New Roman" w:cs="Times New Roman"/>
          <w:i/>
          <w:sz w:val="24"/>
          <w:szCs w:val="24"/>
        </w:rPr>
      </w:pPr>
      <w:r w:rsidRPr="00E2175B">
        <w:rPr>
          <w:rFonts w:ascii="Times New Roman" w:hAnsi="Times New Roman" w:cs="Times New Roman"/>
          <w:i/>
          <w:sz w:val="24"/>
          <w:szCs w:val="24"/>
        </w:rPr>
        <w:t>“The term</w:t>
      </w:r>
      <w:r w:rsidRPr="00E2175B">
        <w:rPr>
          <w:rFonts w:ascii="Times New Roman" w:hAnsi="Times New Roman" w:cs="Times New Roman"/>
          <w:sz w:val="24"/>
          <w:szCs w:val="24"/>
        </w:rPr>
        <w:t xml:space="preserve"> [writing providing initial proof] </w:t>
      </w:r>
      <w:r w:rsidRPr="00E2175B">
        <w:rPr>
          <w:rFonts w:ascii="Times New Roman" w:hAnsi="Times New Roman" w:cs="Times New Roman"/>
          <w:i/>
          <w:sz w:val="24"/>
          <w:szCs w:val="24"/>
        </w:rPr>
        <w:t xml:space="preserve">describes </w:t>
      </w:r>
      <w:r w:rsidRPr="00E2175B">
        <w:rPr>
          <w:rFonts w:ascii="Times New Roman" w:hAnsi="Times New Roman" w:cs="Times New Roman"/>
          <w:bCs/>
          <w:i/>
          <w:sz w:val="24"/>
          <w:szCs w:val="24"/>
        </w:rPr>
        <w:t>every writing which emanates from a person against whom the claim is made</w:t>
      </w:r>
      <w:r w:rsidRPr="00E2175B">
        <w:rPr>
          <w:rFonts w:ascii="Times New Roman" w:hAnsi="Times New Roman" w:cs="Times New Roman"/>
          <w:i/>
          <w:sz w:val="24"/>
          <w:szCs w:val="24"/>
        </w:rPr>
        <w:t xml:space="preserve">, or from a person whom he represents, </w:t>
      </w:r>
      <w:r w:rsidRPr="00E2175B">
        <w:rPr>
          <w:rFonts w:ascii="Times New Roman" w:hAnsi="Times New Roman" w:cs="Times New Roman"/>
          <w:bCs/>
          <w:i/>
          <w:sz w:val="24"/>
          <w:szCs w:val="24"/>
        </w:rPr>
        <w:t>and which renders the facts alleged likely.”</w:t>
      </w:r>
    </w:p>
    <w:p w14:paraId="1A939D30" w14:textId="77777777" w:rsidR="000E6583" w:rsidRPr="00E2175B" w:rsidRDefault="000E6583" w:rsidP="000E6583">
      <w:pPr>
        <w:pStyle w:val="ListParagraph"/>
        <w:rPr>
          <w:rFonts w:ascii="Times New Roman" w:hAnsi="Times New Roman" w:cs="Times New Roman"/>
          <w:b/>
          <w:sz w:val="24"/>
          <w:szCs w:val="24"/>
          <w:lang w:val="en-US"/>
        </w:rPr>
      </w:pPr>
    </w:p>
    <w:p w14:paraId="393892D0"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In light of the above provision, a writing emanating from the appellant and which provides initial proof rendering the facts alleged by the respondent to be likely, may have been admissible. However, no such writing existed here. The respondent relied on a payment summary dated 22</w:t>
      </w:r>
      <w:r w:rsidRPr="00E2175B">
        <w:rPr>
          <w:rFonts w:ascii="Times New Roman" w:hAnsi="Times New Roman" w:cs="Times New Roman"/>
          <w:sz w:val="24"/>
          <w:szCs w:val="24"/>
          <w:vertAlign w:val="superscript"/>
        </w:rPr>
        <w:t>nd</w:t>
      </w:r>
      <w:r w:rsidRPr="00E2175B">
        <w:rPr>
          <w:rFonts w:ascii="Times New Roman" w:hAnsi="Times New Roman" w:cs="Times New Roman"/>
          <w:sz w:val="24"/>
          <w:szCs w:val="24"/>
        </w:rPr>
        <w:t xml:space="preserve"> </w:t>
      </w:r>
      <w:proofErr w:type="gramStart"/>
      <w:r w:rsidRPr="00E2175B">
        <w:rPr>
          <w:rFonts w:ascii="Times New Roman" w:hAnsi="Times New Roman" w:cs="Times New Roman"/>
          <w:sz w:val="24"/>
          <w:szCs w:val="24"/>
        </w:rPr>
        <w:t>September,</w:t>
      </w:r>
      <w:proofErr w:type="gramEnd"/>
      <w:r w:rsidRPr="00E2175B">
        <w:rPr>
          <w:rFonts w:ascii="Times New Roman" w:hAnsi="Times New Roman" w:cs="Times New Roman"/>
          <w:sz w:val="24"/>
          <w:szCs w:val="24"/>
        </w:rPr>
        <w:t xml:space="preserve"> 2009 (Exhibit D1), which was signed by herself as well as the appellant. In this document, the respondent acknowledged that the appellant had so far paid SR 858,100/= in respect to the purchase of the suit property. This particular </w:t>
      </w:r>
      <w:r w:rsidRPr="00E2175B">
        <w:rPr>
          <w:rFonts w:ascii="Times New Roman" w:hAnsi="Times New Roman" w:cs="Times New Roman"/>
          <w:sz w:val="24"/>
          <w:szCs w:val="24"/>
        </w:rPr>
        <w:lastRenderedPageBreak/>
        <w:t>document did not provide proof of the allegation that the purchase price was in fact SR 2,500,000 and 25,000 pounds. It neither indicated that the balance due exceeded SR 1,000,000/= nor that the payments made so far were beyond the sum mentioned in the written agreement. If this had been the case, which was not, the respondent’s oral evidence would have been admissible.</w:t>
      </w:r>
    </w:p>
    <w:p w14:paraId="6884E00B" w14:textId="77777777" w:rsidR="000E6583" w:rsidRPr="00E64CDD" w:rsidRDefault="000E6583" w:rsidP="000E6583">
      <w:pPr>
        <w:jc w:val="both"/>
        <w:rPr>
          <w:rFonts w:ascii="Times New Roman" w:hAnsi="Times New Roman" w:cs="Times New Roman"/>
          <w:b/>
          <w:sz w:val="10"/>
          <w:szCs w:val="10"/>
          <w:lang w:val="en-US"/>
        </w:rPr>
      </w:pPr>
    </w:p>
    <w:p w14:paraId="4A651878"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Cs/>
          <w:sz w:val="24"/>
          <w:szCs w:val="24"/>
        </w:rPr>
        <w:t xml:space="preserve">Since the transaction in question exceeded SR 5000, by virtue of </w:t>
      </w:r>
      <w:r w:rsidRPr="00E2175B">
        <w:rPr>
          <w:rFonts w:ascii="Times New Roman" w:hAnsi="Times New Roman" w:cs="Times New Roman"/>
          <w:b/>
          <w:bCs/>
          <w:sz w:val="24"/>
          <w:szCs w:val="24"/>
        </w:rPr>
        <w:t>Article 1341 (supra)</w:t>
      </w:r>
      <w:r w:rsidRPr="00E2175B">
        <w:rPr>
          <w:rFonts w:ascii="Times New Roman" w:hAnsi="Times New Roman" w:cs="Times New Roman"/>
          <w:bCs/>
          <w:sz w:val="24"/>
          <w:szCs w:val="24"/>
        </w:rPr>
        <w:t xml:space="preserve">, I find that the respondent’s oral </w:t>
      </w:r>
      <w:proofErr w:type="gramStart"/>
      <w:r w:rsidRPr="00E2175B">
        <w:rPr>
          <w:rFonts w:ascii="Times New Roman" w:hAnsi="Times New Roman" w:cs="Times New Roman"/>
          <w:bCs/>
          <w:sz w:val="24"/>
          <w:szCs w:val="24"/>
        </w:rPr>
        <w:t>evidence which contradicted the written agreement</w:t>
      </w:r>
      <w:proofErr w:type="gramEnd"/>
      <w:r w:rsidRPr="00E2175B">
        <w:rPr>
          <w:rFonts w:ascii="Times New Roman" w:hAnsi="Times New Roman" w:cs="Times New Roman"/>
          <w:bCs/>
          <w:sz w:val="24"/>
          <w:szCs w:val="24"/>
        </w:rPr>
        <w:t xml:space="preserve"> was inadmissible. </w:t>
      </w:r>
    </w:p>
    <w:p w14:paraId="6A234E21" w14:textId="77777777" w:rsidR="000E6583" w:rsidRPr="00E2175B" w:rsidRDefault="000E6583" w:rsidP="000E6583">
      <w:pPr>
        <w:pStyle w:val="ListParagraph"/>
        <w:rPr>
          <w:rFonts w:ascii="Times New Roman" w:hAnsi="Times New Roman" w:cs="Times New Roman"/>
          <w:b/>
          <w:sz w:val="24"/>
          <w:szCs w:val="24"/>
          <w:lang w:val="en-US"/>
        </w:rPr>
      </w:pPr>
    </w:p>
    <w:p w14:paraId="23688472"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I will now move to address another limb of the arguments under this ground. The respondent’s counsel in his oral submissions pointed out that the agreement to indicate a less sum as consideration </w:t>
      </w:r>
      <w:proofErr w:type="gramStart"/>
      <w:r w:rsidRPr="00E2175B">
        <w:rPr>
          <w:rFonts w:ascii="Times New Roman" w:hAnsi="Times New Roman" w:cs="Times New Roman"/>
          <w:sz w:val="24"/>
          <w:szCs w:val="24"/>
        </w:rPr>
        <w:t>for the purpose of</w:t>
      </w:r>
      <w:proofErr w:type="gramEnd"/>
      <w:r w:rsidRPr="00E2175B">
        <w:rPr>
          <w:rFonts w:ascii="Times New Roman" w:hAnsi="Times New Roman" w:cs="Times New Roman"/>
          <w:sz w:val="24"/>
          <w:szCs w:val="24"/>
        </w:rPr>
        <w:t xml:space="preserve"> paying low stamp duty constituted an oral back-letter and a simulation. </w:t>
      </w:r>
    </w:p>
    <w:p w14:paraId="191294B6" w14:textId="77777777" w:rsidR="000E6583" w:rsidRPr="00E2175B" w:rsidRDefault="000E6583" w:rsidP="000E6583">
      <w:pPr>
        <w:pStyle w:val="ListParagraph"/>
        <w:rPr>
          <w:rFonts w:ascii="Times New Roman" w:hAnsi="Times New Roman" w:cs="Times New Roman"/>
          <w:b/>
          <w:sz w:val="24"/>
          <w:szCs w:val="24"/>
          <w:lang w:val="en-US"/>
        </w:rPr>
      </w:pPr>
    </w:p>
    <w:p w14:paraId="7BADBC83"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In </w:t>
      </w:r>
      <w:proofErr w:type="spellStart"/>
      <w:r w:rsidRPr="00E2175B">
        <w:rPr>
          <w:rFonts w:ascii="Times New Roman" w:hAnsi="Times New Roman" w:cs="Times New Roman"/>
          <w:b/>
          <w:bCs/>
          <w:iCs/>
          <w:sz w:val="24"/>
          <w:szCs w:val="24"/>
        </w:rPr>
        <w:t>Sidna</w:t>
      </w:r>
      <w:proofErr w:type="spellEnd"/>
      <w:r w:rsidRPr="00E2175B">
        <w:rPr>
          <w:rFonts w:ascii="Times New Roman" w:hAnsi="Times New Roman" w:cs="Times New Roman"/>
          <w:b/>
          <w:bCs/>
          <w:iCs/>
          <w:sz w:val="24"/>
          <w:szCs w:val="24"/>
        </w:rPr>
        <w:t xml:space="preserve"> </w:t>
      </w:r>
      <w:proofErr w:type="spellStart"/>
      <w:r w:rsidRPr="00E2175B">
        <w:rPr>
          <w:rFonts w:ascii="Times New Roman" w:hAnsi="Times New Roman" w:cs="Times New Roman"/>
          <w:b/>
          <w:bCs/>
          <w:iCs/>
          <w:sz w:val="24"/>
          <w:szCs w:val="24"/>
        </w:rPr>
        <w:t>Ruddenklau</w:t>
      </w:r>
      <w:proofErr w:type="spellEnd"/>
      <w:r w:rsidRPr="00E2175B">
        <w:rPr>
          <w:rFonts w:ascii="Times New Roman" w:hAnsi="Times New Roman" w:cs="Times New Roman"/>
          <w:b/>
          <w:bCs/>
          <w:iCs/>
          <w:sz w:val="24"/>
          <w:szCs w:val="24"/>
        </w:rPr>
        <w:t xml:space="preserve"> vs. </w:t>
      </w:r>
      <w:proofErr w:type="spellStart"/>
      <w:r w:rsidRPr="00E2175B">
        <w:rPr>
          <w:rFonts w:ascii="Times New Roman" w:hAnsi="Times New Roman" w:cs="Times New Roman"/>
          <w:b/>
          <w:bCs/>
          <w:iCs/>
          <w:sz w:val="24"/>
          <w:szCs w:val="24"/>
        </w:rPr>
        <w:t>Timm</w:t>
      </w:r>
      <w:proofErr w:type="spellEnd"/>
      <w:r w:rsidRPr="00E2175B">
        <w:rPr>
          <w:rFonts w:ascii="Times New Roman" w:hAnsi="Times New Roman" w:cs="Times New Roman"/>
          <w:b/>
          <w:bCs/>
          <w:iCs/>
          <w:sz w:val="24"/>
          <w:szCs w:val="24"/>
        </w:rPr>
        <w:t xml:space="preserve"> Adolf </w:t>
      </w:r>
      <w:proofErr w:type="spellStart"/>
      <w:r w:rsidRPr="00E2175B">
        <w:rPr>
          <w:rFonts w:ascii="Times New Roman" w:hAnsi="Times New Roman" w:cs="Times New Roman"/>
          <w:b/>
          <w:bCs/>
          <w:iCs/>
          <w:sz w:val="24"/>
          <w:szCs w:val="24"/>
        </w:rPr>
        <w:t>Botel</w:t>
      </w:r>
      <w:proofErr w:type="spellEnd"/>
      <w:r w:rsidRPr="00E2175B">
        <w:rPr>
          <w:rFonts w:ascii="Times New Roman" w:hAnsi="Times New Roman" w:cs="Times New Roman"/>
          <w:b/>
          <w:bCs/>
          <w:iCs/>
          <w:sz w:val="24"/>
          <w:szCs w:val="24"/>
        </w:rPr>
        <w:t xml:space="preserve"> </w:t>
      </w:r>
      <w:r w:rsidRPr="00E2175B">
        <w:rPr>
          <w:rFonts w:ascii="Times New Roman" w:hAnsi="Times New Roman" w:cs="Times New Roman"/>
          <w:b/>
          <w:sz w:val="24"/>
          <w:szCs w:val="24"/>
        </w:rPr>
        <w:t>(SCA No. 4 of 1995)</w:t>
      </w:r>
      <w:r w:rsidRPr="00E2175B">
        <w:rPr>
          <w:rFonts w:ascii="Times New Roman" w:hAnsi="Times New Roman" w:cs="Times New Roman"/>
          <w:sz w:val="24"/>
          <w:szCs w:val="24"/>
        </w:rPr>
        <w:t xml:space="preserve">, this Court defined ‘simulation’ </w:t>
      </w:r>
      <w:proofErr w:type="gramStart"/>
      <w:r w:rsidRPr="00E2175B">
        <w:rPr>
          <w:rFonts w:ascii="Times New Roman" w:hAnsi="Times New Roman" w:cs="Times New Roman"/>
          <w:sz w:val="24"/>
          <w:szCs w:val="24"/>
        </w:rPr>
        <w:t>as:</w:t>
      </w:r>
      <w:proofErr w:type="gramEnd"/>
      <w:r w:rsidRPr="00E2175B">
        <w:rPr>
          <w:rFonts w:ascii="Times New Roman" w:hAnsi="Times New Roman" w:cs="Times New Roman"/>
          <w:sz w:val="24"/>
          <w:szCs w:val="24"/>
        </w:rPr>
        <w:t xml:space="preserve"> “</w:t>
      </w:r>
      <w:r w:rsidRPr="00E2175B">
        <w:rPr>
          <w:rFonts w:ascii="Times New Roman" w:hAnsi="Times New Roman" w:cs="Times New Roman"/>
          <w:i/>
          <w:sz w:val="24"/>
          <w:szCs w:val="24"/>
        </w:rPr>
        <w:t xml:space="preserve">the concealment by the </w:t>
      </w:r>
      <w:r w:rsidRPr="00E2175B">
        <w:rPr>
          <w:rFonts w:ascii="Times New Roman" w:hAnsi="Times New Roman" w:cs="Times New Roman"/>
          <w:sz w:val="24"/>
          <w:szCs w:val="24"/>
        </w:rPr>
        <w:t>[parties]</w:t>
      </w:r>
      <w:r w:rsidRPr="00E2175B">
        <w:rPr>
          <w:rFonts w:ascii="Times New Roman" w:hAnsi="Times New Roman" w:cs="Times New Roman"/>
          <w:i/>
          <w:sz w:val="24"/>
          <w:szCs w:val="24"/>
        </w:rPr>
        <w:t xml:space="preserve"> of the true nature of their agreement behind the façade of a disguised transaction which the parties never intended to have the ostensible effect.</w:t>
      </w:r>
      <w:r w:rsidRPr="00E2175B">
        <w:rPr>
          <w:rFonts w:ascii="Times New Roman" w:hAnsi="Times New Roman" w:cs="Times New Roman"/>
          <w:sz w:val="24"/>
          <w:szCs w:val="24"/>
        </w:rPr>
        <w:t xml:space="preserve">” </w:t>
      </w:r>
      <w:proofErr w:type="gramStart"/>
      <w:r w:rsidRPr="00E2175B">
        <w:rPr>
          <w:rFonts w:ascii="Times New Roman" w:hAnsi="Times New Roman" w:cs="Times New Roman"/>
          <w:sz w:val="24"/>
          <w:szCs w:val="24"/>
        </w:rPr>
        <w:t xml:space="preserve">It has also been defined by </w:t>
      </w:r>
      <w:r w:rsidRPr="00E2175B">
        <w:rPr>
          <w:rFonts w:ascii="Times New Roman" w:hAnsi="Times New Roman" w:cs="Times New Roman"/>
          <w:b/>
          <w:bCs/>
          <w:sz w:val="24"/>
          <w:szCs w:val="24"/>
        </w:rPr>
        <w:t>Black’s Law Dictionary</w:t>
      </w:r>
      <w:proofErr w:type="gramEnd"/>
      <w:r w:rsidRPr="00E2175B">
        <w:rPr>
          <w:rFonts w:ascii="Times New Roman" w:hAnsi="Times New Roman" w:cs="Times New Roman"/>
          <w:b/>
          <w:bCs/>
          <w:sz w:val="24"/>
          <w:szCs w:val="24"/>
        </w:rPr>
        <w:t xml:space="preserve"> </w:t>
      </w:r>
      <w:r w:rsidRPr="00E2175B">
        <w:rPr>
          <w:rFonts w:ascii="Times New Roman" w:hAnsi="Times New Roman" w:cs="Times New Roman"/>
          <w:sz w:val="24"/>
          <w:szCs w:val="24"/>
        </w:rPr>
        <w:t>(9</w:t>
      </w:r>
      <w:r w:rsidRPr="00E2175B">
        <w:rPr>
          <w:rFonts w:ascii="Times New Roman" w:hAnsi="Times New Roman" w:cs="Times New Roman"/>
          <w:sz w:val="24"/>
          <w:szCs w:val="24"/>
          <w:vertAlign w:val="superscript"/>
        </w:rPr>
        <w:t>th</w:t>
      </w:r>
      <w:r w:rsidRPr="00E2175B">
        <w:rPr>
          <w:rFonts w:ascii="Times New Roman" w:hAnsi="Times New Roman" w:cs="Times New Roman"/>
          <w:sz w:val="24"/>
          <w:szCs w:val="24"/>
        </w:rPr>
        <w:t xml:space="preserve"> Edition, at page 1510) as: “</w:t>
      </w:r>
      <w:r w:rsidRPr="00E2175B">
        <w:rPr>
          <w:rFonts w:ascii="Times New Roman" w:hAnsi="Times New Roman" w:cs="Times New Roman"/>
          <w:i/>
          <w:sz w:val="24"/>
          <w:szCs w:val="24"/>
        </w:rPr>
        <w:t>an assumption of an appearance that is feigned, false, or deceptive</w:t>
      </w:r>
      <w:r w:rsidRPr="00E2175B">
        <w:rPr>
          <w:rFonts w:ascii="Times New Roman" w:hAnsi="Times New Roman" w:cs="Times New Roman"/>
          <w:sz w:val="24"/>
          <w:szCs w:val="24"/>
        </w:rPr>
        <w:t>.”</w:t>
      </w:r>
    </w:p>
    <w:p w14:paraId="5BBF7687" w14:textId="77777777" w:rsidR="000E6583" w:rsidRPr="00E2175B" w:rsidRDefault="000E6583" w:rsidP="000E6583">
      <w:pPr>
        <w:pStyle w:val="ListParagraph"/>
        <w:rPr>
          <w:rFonts w:ascii="Times New Roman" w:hAnsi="Times New Roman" w:cs="Times New Roman"/>
          <w:b/>
          <w:sz w:val="24"/>
          <w:szCs w:val="24"/>
          <w:lang w:val="en-US"/>
        </w:rPr>
      </w:pPr>
    </w:p>
    <w:p w14:paraId="5325E925" w14:textId="77777777" w:rsidR="000E6583" w:rsidRPr="00E2175B" w:rsidRDefault="000E6583" w:rsidP="000E6583">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In the </w:t>
      </w:r>
      <w:proofErr w:type="spellStart"/>
      <w:r w:rsidRPr="00E2175B">
        <w:rPr>
          <w:rFonts w:ascii="Times New Roman" w:hAnsi="Times New Roman" w:cs="Times New Roman"/>
          <w:b/>
          <w:bCs/>
          <w:iCs/>
          <w:sz w:val="24"/>
          <w:szCs w:val="24"/>
        </w:rPr>
        <w:t>Sidna</w:t>
      </w:r>
      <w:proofErr w:type="spellEnd"/>
      <w:r w:rsidRPr="00E2175B">
        <w:rPr>
          <w:rFonts w:ascii="Times New Roman" w:hAnsi="Times New Roman" w:cs="Times New Roman"/>
          <w:b/>
          <w:bCs/>
          <w:iCs/>
          <w:sz w:val="24"/>
          <w:szCs w:val="24"/>
        </w:rPr>
        <w:t xml:space="preserve"> </w:t>
      </w:r>
      <w:proofErr w:type="spellStart"/>
      <w:r w:rsidRPr="00E2175B">
        <w:rPr>
          <w:rFonts w:ascii="Times New Roman" w:hAnsi="Times New Roman" w:cs="Times New Roman"/>
          <w:b/>
          <w:bCs/>
          <w:iCs/>
          <w:sz w:val="24"/>
          <w:szCs w:val="24"/>
        </w:rPr>
        <w:t>Ruddenklau</w:t>
      </w:r>
      <w:proofErr w:type="spellEnd"/>
      <w:r w:rsidRPr="00E2175B">
        <w:rPr>
          <w:rFonts w:ascii="Times New Roman" w:hAnsi="Times New Roman" w:cs="Times New Roman"/>
          <w:sz w:val="24"/>
          <w:szCs w:val="24"/>
        </w:rPr>
        <w:t xml:space="preserve"> decision, this Court stated </w:t>
      </w:r>
      <w:proofErr w:type="gramStart"/>
      <w:r w:rsidRPr="00E2175B">
        <w:rPr>
          <w:rFonts w:ascii="Times New Roman" w:hAnsi="Times New Roman" w:cs="Times New Roman"/>
          <w:sz w:val="24"/>
          <w:szCs w:val="24"/>
        </w:rPr>
        <w:t>that a back letter provides evidence of and may itself be written or oral depending on the circumstances and precise provisions of the relevant law</w:t>
      </w:r>
      <w:proofErr w:type="gramEnd"/>
      <w:r w:rsidRPr="00E2175B">
        <w:rPr>
          <w:rFonts w:ascii="Times New Roman" w:hAnsi="Times New Roman" w:cs="Times New Roman"/>
          <w:sz w:val="24"/>
          <w:szCs w:val="24"/>
        </w:rPr>
        <w:t xml:space="preserve">. The Court however noted that </w:t>
      </w:r>
      <w:r w:rsidRPr="00E2175B">
        <w:rPr>
          <w:rFonts w:ascii="Times New Roman" w:hAnsi="Times New Roman" w:cs="Times New Roman"/>
          <w:bCs/>
          <w:sz w:val="24"/>
          <w:szCs w:val="24"/>
        </w:rPr>
        <w:t>back-letters in relation to immovable property transactions</w:t>
      </w:r>
      <w:r w:rsidRPr="00E2175B">
        <w:rPr>
          <w:rFonts w:ascii="Times New Roman" w:hAnsi="Times New Roman" w:cs="Times New Roman"/>
          <w:sz w:val="24"/>
          <w:szCs w:val="24"/>
        </w:rPr>
        <w:t xml:space="preserve"> have to be </w:t>
      </w:r>
      <w:proofErr w:type="gramStart"/>
      <w:r w:rsidRPr="00E2175B">
        <w:rPr>
          <w:rFonts w:ascii="Times New Roman" w:hAnsi="Times New Roman" w:cs="Times New Roman"/>
          <w:sz w:val="24"/>
          <w:szCs w:val="24"/>
        </w:rPr>
        <w:t>written</w:t>
      </w:r>
      <w:proofErr w:type="gramEnd"/>
      <w:r w:rsidRPr="00E2175B">
        <w:rPr>
          <w:rFonts w:ascii="Times New Roman" w:hAnsi="Times New Roman" w:cs="Times New Roman"/>
          <w:sz w:val="24"/>
          <w:szCs w:val="24"/>
        </w:rPr>
        <w:t xml:space="preserve"> and registered within six months as a formal rather than an evidentiary requirement of </w:t>
      </w:r>
      <w:r w:rsidRPr="00E2175B">
        <w:rPr>
          <w:rFonts w:ascii="Times New Roman" w:hAnsi="Times New Roman" w:cs="Times New Roman"/>
          <w:b/>
          <w:bCs/>
          <w:sz w:val="24"/>
          <w:szCs w:val="24"/>
        </w:rPr>
        <w:t>Article 1321(4) of the Civil Code.</w:t>
      </w:r>
    </w:p>
    <w:p w14:paraId="0E6513C6" w14:textId="77777777" w:rsidR="00E2175B" w:rsidRPr="00E2175B" w:rsidRDefault="00E2175B" w:rsidP="00E2175B">
      <w:pPr>
        <w:pStyle w:val="ListParagraph"/>
        <w:rPr>
          <w:rFonts w:ascii="Times New Roman" w:hAnsi="Times New Roman" w:cs="Times New Roman"/>
          <w:b/>
          <w:sz w:val="24"/>
          <w:szCs w:val="24"/>
          <w:lang w:val="en-US"/>
        </w:rPr>
      </w:pPr>
    </w:p>
    <w:p w14:paraId="706E1E82"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In light of the above decision, I find that the respondent’s oral back letter is void on two fronts. First, because all back letters purporting to show that the consideration for the sale of immovable property is greater than that which is set out in the agreement of sale are deemed fraudulent and void by dint of </w:t>
      </w:r>
      <w:r w:rsidRPr="00E2175B">
        <w:rPr>
          <w:rFonts w:ascii="Times New Roman" w:hAnsi="Times New Roman" w:cs="Times New Roman"/>
          <w:b/>
          <w:bCs/>
          <w:sz w:val="24"/>
          <w:szCs w:val="24"/>
        </w:rPr>
        <w:t xml:space="preserve">Article 1321(3) and (4) </w:t>
      </w:r>
      <w:r w:rsidRPr="00E2175B">
        <w:rPr>
          <w:rFonts w:ascii="Times New Roman" w:hAnsi="Times New Roman" w:cs="Times New Roman"/>
          <w:bCs/>
          <w:sz w:val="24"/>
          <w:szCs w:val="24"/>
        </w:rPr>
        <w:t>of the</w:t>
      </w:r>
      <w:r w:rsidRPr="00E2175B">
        <w:rPr>
          <w:rFonts w:ascii="Times New Roman" w:hAnsi="Times New Roman" w:cs="Times New Roman"/>
          <w:b/>
          <w:bCs/>
          <w:sz w:val="24"/>
          <w:szCs w:val="24"/>
        </w:rPr>
        <w:t xml:space="preserve"> Civil Code</w:t>
      </w:r>
      <w:r w:rsidRPr="00E2175B">
        <w:rPr>
          <w:rFonts w:ascii="Times New Roman" w:hAnsi="Times New Roman" w:cs="Times New Roman"/>
          <w:sz w:val="24"/>
          <w:szCs w:val="24"/>
        </w:rPr>
        <w:t>. It provides as follows:</w:t>
      </w:r>
    </w:p>
    <w:p w14:paraId="04045B78" w14:textId="77777777" w:rsidR="00E2175B" w:rsidRPr="00E2175B" w:rsidRDefault="00E2175B" w:rsidP="00E2175B">
      <w:pPr>
        <w:pStyle w:val="ListParagraph"/>
        <w:rPr>
          <w:rFonts w:ascii="Times New Roman" w:hAnsi="Times New Roman" w:cs="Times New Roman"/>
          <w:b/>
          <w:sz w:val="24"/>
          <w:szCs w:val="24"/>
          <w:lang w:val="en-US"/>
        </w:rPr>
      </w:pPr>
    </w:p>
    <w:p w14:paraId="4B955AE9" w14:textId="77777777" w:rsidR="000E6583" w:rsidRPr="00E2175B" w:rsidRDefault="000E6583" w:rsidP="00E2175B">
      <w:pPr>
        <w:pStyle w:val="ListParagraph"/>
        <w:jc w:val="both"/>
        <w:rPr>
          <w:rFonts w:ascii="Times New Roman" w:hAnsi="Times New Roman" w:cs="Times New Roman"/>
          <w:b/>
          <w:sz w:val="24"/>
          <w:szCs w:val="24"/>
          <w:lang w:val="en-US"/>
        </w:rPr>
      </w:pPr>
      <w:proofErr w:type="gramStart"/>
      <w:r w:rsidRPr="00E2175B">
        <w:rPr>
          <w:rFonts w:ascii="Times New Roman" w:hAnsi="Times New Roman" w:cs="Times New Roman"/>
          <w:b/>
          <w:sz w:val="24"/>
          <w:szCs w:val="24"/>
        </w:rPr>
        <w:t>3. Back</w:t>
      </w:r>
      <w:r w:rsidRPr="00E2175B">
        <w:rPr>
          <w:rFonts w:ascii="Times New Roman" w:hAnsi="Times New Roman" w:cs="Times New Roman"/>
          <w:b/>
          <w:sz w:val="24"/>
          <w:szCs w:val="24"/>
        </w:rPr>
        <w:noBreakHyphen/>
        <w:t xml:space="preserve">letters purporting to show that the real consideration for the sale or exchange of immovable property or commercial property or office is greater than the consideration set down in the deed of sale or exchange, or that a gift inter </w:t>
      </w:r>
      <w:proofErr w:type="spellStart"/>
      <w:r w:rsidRPr="00E2175B">
        <w:rPr>
          <w:rFonts w:ascii="Times New Roman" w:hAnsi="Times New Roman" w:cs="Times New Roman"/>
          <w:b/>
          <w:sz w:val="24"/>
          <w:szCs w:val="24"/>
        </w:rPr>
        <w:t>vivos</w:t>
      </w:r>
      <w:proofErr w:type="spellEnd"/>
      <w:r w:rsidRPr="00E2175B">
        <w:rPr>
          <w:rFonts w:ascii="Times New Roman" w:hAnsi="Times New Roman" w:cs="Times New Roman"/>
          <w:b/>
          <w:sz w:val="24"/>
          <w:szCs w:val="24"/>
        </w:rPr>
        <w:t xml:space="preserve"> of immovable property, commercial property or office is in reality a sale, exchange, mortgage, transfer or charge, shall be deemed to be fraudulent and shall in law be of no force or avail whatsoever. </w:t>
      </w:r>
      <w:proofErr w:type="gramEnd"/>
    </w:p>
    <w:p w14:paraId="3D313B24" w14:textId="77777777" w:rsidR="00E2175B" w:rsidRPr="00E2175B" w:rsidRDefault="00E2175B" w:rsidP="00E2175B">
      <w:pPr>
        <w:pStyle w:val="ListParagraph"/>
        <w:rPr>
          <w:rFonts w:ascii="Times New Roman" w:hAnsi="Times New Roman" w:cs="Times New Roman"/>
          <w:b/>
          <w:sz w:val="24"/>
          <w:szCs w:val="24"/>
          <w:lang w:val="en-US"/>
        </w:rPr>
      </w:pPr>
    </w:p>
    <w:p w14:paraId="3BCD75E2"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Courts will not condone illegalities or fraud. Courts </w:t>
      </w:r>
      <w:proofErr w:type="gramStart"/>
      <w:r w:rsidRPr="00E2175B">
        <w:rPr>
          <w:rFonts w:ascii="Times New Roman" w:hAnsi="Times New Roman" w:cs="Times New Roman"/>
          <w:sz w:val="24"/>
          <w:szCs w:val="24"/>
        </w:rPr>
        <w:t>will not be used</w:t>
      </w:r>
      <w:proofErr w:type="gramEnd"/>
      <w:r w:rsidRPr="00E2175B">
        <w:rPr>
          <w:rFonts w:ascii="Times New Roman" w:hAnsi="Times New Roman" w:cs="Times New Roman"/>
          <w:sz w:val="24"/>
          <w:szCs w:val="24"/>
        </w:rPr>
        <w:t xml:space="preserve"> to give effect to fraudulent transactions. In the persuasive Ugandan </w:t>
      </w:r>
      <w:r w:rsidRPr="00E2175B">
        <w:rPr>
          <w:rFonts w:ascii="Times New Roman" w:hAnsi="Times New Roman" w:cs="Times New Roman"/>
          <w:i/>
          <w:iCs/>
          <w:sz w:val="24"/>
          <w:szCs w:val="24"/>
        </w:rPr>
        <w:t xml:space="preserve">locus </w:t>
      </w:r>
      <w:proofErr w:type="spellStart"/>
      <w:r w:rsidRPr="00E2175B">
        <w:rPr>
          <w:rFonts w:ascii="Times New Roman" w:hAnsi="Times New Roman" w:cs="Times New Roman"/>
          <w:i/>
          <w:iCs/>
          <w:sz w:val="24"/>
          <w:szCs w:val="24"/>
        </w:rPr>
        <w:t>classicus</w:t>
      </w:r>
      <w:proofErr w:type="spellEnd"/>
      <w:r w:rsidRPr="00E2175B">
        <w:rPr>
          <w:rFonts w:ascii="Times New Roman" w:hAnsi="Times New Roman" w:cs="Times New Roman"/>
          <w:i/>
          <w:iCs/>
          <w:sz w:val="24"/>
          <w:szCs w:val="24"/>
        </w:rPr>
        <w:t xml:space="preserve"> </w:t>
      </w:r>
      <w:r w:rsidRPr="00E2175B">
        <w:rPr>
          <w:rFonts w:ascii="Times New Roman" w:hAnsi="Times New Roman" w:cs="Times New Roman"/>
          <w:sz w:val="24"/>
          <w:szCs w:val="24"/>
        </w:rPr>
        <w:t xml:space="preserve">decision of </w:t>
      </w:r>
      <w:proofErr w:type="spellStart"/>
      <w:r w:rsidRPr="00E2175B">
        <w:rPr>
          <w:rFonts w:ascii="Times New Roman" w:hAnsi="Times New Roman" w:cs="Times New Roman"/>
          <w:b/>
          <w:bCs/>
          <w:iCs/>
          <w:sz w:val="24"/>
          <w:szCs w:val="24"/>
        </w:rPr>
        <w:t>Makula</w:t>
      </w:r>
      <w:proofErr w:type="spellEnd"/>
      <w:r w:rsidRPr="00E2175B">
        <w:rPr>
          <w:rFonts w:ascii="Times New Roman" w:hAnsi="Times New Roman" w:cs="Times New Roman"/>
          <w:b/>
          <w:bCs/>
          <w:iCs/>
          <w:sz w:val="24"/>
          <w:szCs w:val="24"/>
        </w:rPr>
        <w:t xml:space="preserve"> </w:t>
      </w:r>
      <w:r w:rsidRPr="00E2175B">
        <w:rPr>
          <w:rFonts w:ascii="Times New Roman" w:hAnsi="Times New Roman" w:cs="Times New Roman"/>
          <w:b/>
          <w:bCs/>
          <w:iCs/>
          <w:sz w:val="24"/>
          <w:szCs w:val="24"/>
        </w:rPr>
        <w:lastRenderedPageBreak/>
        <w:t xml:space="preserve">International Ltd vs. H.E. Cardinal Emmanuel </w:t>
      </w:r>
      <w:proofErr w:type="spellStart"/>
      <w:r w:rsidRPr="00E2175B">
        <w:rPr>
          <w:rFonts w:ascii="Times New Roman" w:hAnsi="Times New Roman" w:cs="Times New Roman"/>
          <w:b/>
          <w:bCs/>
          <w:iCs/>
          <w:sz w:val="24"/>
          <w:szCs w:val="24"/>
        </w:rPr>
        <w:t>Nsubuga</w:t>
      </w:r>
      <w:proofErr w:type="spellEnd"/>
      <w:r w:rsidRPr="00E2175B">
        <w:rPr>
          <w:rFonts w:ascii="Times New Roman" w:hAnsi="Times New Roman" w:cs="Times New Roman"/>
          <w:b/>
          <w:bCs/>
          <w:iCs/>
          <w:sz w:val="24"/>
          <w:szCs w:val="24"/>
        </w:rPr>
        <w:t>,</w:t>
      </w:r>
      <w:r w:rsidRPr="00E2175B">
        <w:rPr>
          <w:rFonts w:ascii="Times New Roman" w:hAnsi="Times New Roman" w:cs="Times New Roman"/>
          <w:b/>
          <w:sz w:val="24"/>
          <w:szCs w:val="24"/>
        </w:rPr>
        <w:t xml:space="preserve"> (Civil Appeal No. 4 of 1981, </w:t>
      </w:r>
      <w:r w:rsidRPr="00E2175B">
        <w:rPr>
          <w:rFonts w:ascii="Times New Roman" w:hAnsi="Times New Roman" w:cs="Times New Roman"/>
          <w:sz w:val="24"/>
          <w:szCs w:val="24"/>
        </w:rPr>
        <w:t xml:space="preserve">reported in </w:t>
      </w:r>
      <w:r w:rsidRPr="00E2175B">
        <w:rPr>
          <w:rFonts w:ascii="Times New Roman" w:hAnsi="Times New Roman" w:cs="Times New Roman"/>
          <w:b/>
          <w:sz w:val="24"/>
          <w:szCs w:val="24"/>
        </w:rPr>
        <w:t xml:space="preserve">[1982] HCB </w:t>
      </w:r>
      <w:r w:rsidRPr="00E2175B">
        <w:rPr>
          <w:rFonts w:ascii="Times New Roman" w:hAnsi="Times New Roman" w:cs="Times New Roman"/>
          <w:sz w:val="24"/>
          <w:szCs w:val="24"/>
        </w:rPr>
        <w:t>at page11</w:t>
      </w:r>
      <w:r w:rsidRPr="00E2175B">
        <w:rPr>
          <w:rFonts w:ascii="Times New Roman" w:hAnsi="Times New Roman" w:cs="Times New Roman"/>
          <w:b/>
          <w:sz w:val="24"/>
          <w:szCs w:val="24"/>
        </w:rPr>
        <w:t>)</w:t>
      </w:r>
      <w:r w:rsidRPr="00E2175B">
        <w:rPr>
          <w:rFonts w:ascii="Times New Roman" w:hAnsi="Times New Roman" w:cs="Times New Roman"/>
          <w:sz w:val="24"/>
          <w:szCs w:val="24"/>
        </w:rPr>
        <w:t>,</w:t>
      </w:r>
      <w:r w:rsidRPr="00E2175B">
        <w:rPr>
          <w:rFonts w:ascii="Times New Roman" w:hAnsi="Times New Roman" w:cs="Times New Roman"/>
          <w:b/>
          <w:bCs/>
          <w:i/>
          <w:iCs/>
          <w:sz w:val="24"/>
          <w:szCs w:val="24"/>
        </w:rPr>
        <w:t xml:space="preserve"> </w:t>
      </w:r>
      <w:r w:rsidRPr="00E2175B">
        <w:rPr>
          <w:rFonts w:ascii="Times New Roman" w:hAnsi="Times New Roman" w:cs="Times New Roman"/>
          <w:bCs/>
          <w:iCs/>
          <w:sz w:val="24"/>
          <w:szCs w:val="24"/>
        </w:rPr>
        <w:t>Court enunciated the pr</w:t>
      </w:r>
      <w:r w:rsidRPr="00E2175B">
        <w:rPr>
          <w:rFonts w:ascii="Times New Roman" w:hAnsi="Times New Roman" w:cs="Times New Roman"/>
          <w:sz w:val="24"/>
          <w:szCs w:val="24"/>
        </w:rPr>
        <w:t xml:space="preserve">inciple that a Court of law cannot sanction </w:t>
      </w:r>
      <w:proofErr w:type="gramStart"/>
      <w:r w:rsidRPr="00E2175B">
        <w:rPr>
          <w:rFonts w:ascii="Times New Roman" w:hAnsi="Times New Roman" w:cs="Times New Roman"/>
          <w:sz w:val="24"/>
          <w:szCs w:val="24"/>
        </w:rPr>
        <w:t>that which</w:t>
      </w:r>
      <w:proofErr w:type="gramEnd"/>
      <w:r w:rsidRPr="00E2175B">
        <w:rPr>
          <w:rFonts w:ascii="Times New Roman" w:hAnsi="Times New Roman" w:cs="Times New Roman"/>
          <w:sz w:val="24"/>
          <w:szCs w:val="24"/>
        </w:rPr>
        <w:t xml:space="preserve"> is illegal. </w:t>
      </w:r>
      <w:proofErr w:type="gramStart"/>
      <w:r w:rsidRPr="00E2175B">
        <w:rPr>
          <w:rFonts w:ascii="Times New Roman" w:hAnsi="Times New Roman" w:cs="Times New Roman"/>
          <w:sz w:val="24"/>
          <w:szCs w:val="24"/>
        </w:rPr>
        <w:t xml:space="preserve">In another persuasive Ugandan authority of </w:t>
      </w:r>
      <w:r w:rsidRPr="00E2175B">
        <w:rPr>
          <w:rFonts w:ascii="Times New Roman" w:hAnsi="Times New Roman" w:cs="Times New Roman"/>
          <w:b/>
          <w:bCs/>
          <w:iCs/>
          <w:sz w:val="24"/>
          <w:szCs w:val="24"/>
        </w:rPr>
        <w:t xml:space="preserve">Betty </w:t>
      </w:r>
      <w:proofErr w:type="spellStart"/>
      <w:r w:rsidRPr="00E2175B">
        <w:rPr>
          <w:rFonts w:ascii="Times New Roman" w:hAnsi="Times New Roman" w:cs="Times New Roman"/>
          <w:b/>
          <w:bCs/>
          <w:iCs/>
          <w:sz w:val="24"/>
          <w:szCs w:val="24"/>
        </w:rPr>
        <w:t>Kizito</w:t>
      </w:r>
      <w:proofErr w:type="spellEnd"/>
      <w:r w:rsidRPr="00E2175B">
        <w:rPr>
          <w:rFonts w:ascii="Times New Roman" w:hAnsi="Times New Roman" w:cs="Times New Roman"/>
          <w:b/>
          <w:bCs/>
          <w:iCs/>
          <w:sz w:val="24"/>
          <w:szCs w:val="24"/>
        </w:rPr>
        <w:t xml:space="preserve"> vs. David </w:t>
      </w:r>
      <w:proofErr w:type="spellStart"/>
      <w:r w:rsidRPr="00E2175B">
        <w:rPr>
          <w:rFonts w:ascii="Times New Roman" w:hAnsi="Times New Roman" w:cs="Times New Roman"/>
          <w:b/>
          <w:bCs/>
          <w:iCs/>
          <w:sz w:val="24"/>
          <w:szCs w:val="24"/>
        </w:rPr>
        <w:t>Kizito</w:t>
      </w:r>
      <w:proofErr w:type="spellEnd"/>
      <w:r w:rsidRPr="00E2175B">
        <w:rPr>
          <w:rFonts w:ascii="Times New Roman" w:hAnsi="Times New Roman" w:cs="Times New Roman"/>
          <w:b/>
          <w:bCs/>
          <w:iCs/>
          <w:sz w:val="24"/>
          <w:szCs w:val="24"/>
        </w:rPr>
        <w:t xml:space="preserve"> </w:t>
      </w:r>
      <w:proofErr w:type="spellStart"/>
      <w:r w:rsidRPr="00E2175B">
        <w:rPr>
          <w:rFonts w:ascii="Times New Roman" w:hAnsi="Times New Roman" w:cs="Times New Roman"/>
          <w:b/>
          <w:bCs/>
          <w:iCs/>
          <w:sz w:val="24"/>
          <w:szCs w:val="24"/>
        </w:rPr>
        <w:t>Kanonya</w:t>
      </w:r>
      <w:proofErr w:type="spellEnd"/>
      <w:r w:rsidRPr="00E2175B">
        <w:rPr>
          <w:rFonts w:ascii="Times New Roman" w:hAnsi="Times New Roman" w:cs="Times New Roman"/>
          <w:b/>
          <w:bCs/>
          <w:iCs/>
          <w:sz w:val="24"/>
          <w:szCs w:val="24"/>
        </w:rPr>
        <w:t xml:space="preserve"> and 7 Others </w:t>
      </w:r>
      <w:r w:rsidRPr="00E2175B">
        <w:rPr>
          <w:rFonts w:ascii="Times New Roman" w:hAnsi="Times New Roman" w:cs="Times New Roman"/>
          <w:sz w:val="24"/>
          <w:szCs w:val="24"/>
        </w:rPr>
        <w:t>(</w:t>
      </w:r>
      <w:r w:rsidRPr="00E2175B">
        <w:rPr>
          <w:rFonts w:ascii="Times New Roman" w:hAnsi="Times New Roman" w:cs="Times New Roman"/>
          <w:b/>
          <w:sz w:val="24"/>
          <w:szCs w:val="24"/>
        </w:rPr>
        <w:t>Supreme Court Civil Appeal No. 8 of 2018</w:t>
      </w:r>
      <w:r w:rsidRPr="00E2175B">
        <w:rPr>
          <w:rFonts w:ascii="Times New Roman" w:hAnsi="Times New Roman" w:cs="Times New Roman"/>
          <w:sz w:val="24"/>
          <w:szCs w:val="24"/>
        </w:rPr>
        <w:t>)</w:t>
      </w:r>
      <w:r w:rsidRPr="00E2175B">
        <w:rPr>
          <w:rFonts w:ascii="Times New Roman" w:hAnsi="Times New Roman" w:cs="Times New Roman"/>
          <w:bCs/>
          <w:iCs/>
          <w:sz w:val="24"/>
          <w:szCs w:val="24"/>
        </w:rPr>
        <w:t>,</w:t>
      </w:r>
      <w:r w:rsidRPr="00E2175B">
        <w:rPr>
          <w:rFonts w:ascii="Times New Roman" w:hAnsi="Times New Roman" w:cs="Times New Roman"/>
          <w:b/>
          <w:bCs/>
          <w:i/>
          <w:iCs/>
          <w:sz w:val="24"/>
          <w:szCs w:val="24"/>
        </w:rPr>
        <w:t xml:space="preserve"> </w:t>
      </w:r>
      <w:r w:rsidRPr="00E2175B">
        <w:rPr>
          <w:rFonts w:ascii="Times New Roman" w:hAnsi="Times New Roman" w:cs="Times New Roman"/>
          <w:sz w:val="24"/>
          <w:szCs w:val="24"/>
        </w:rPr>
        <w:t>the Supreme Court of Uganda vitiated a land transaction in which a false consideration for the sale of land and its development status were declared for the purpose of defrauding the Ugandan Government of the fully payable stamp duty.</w:t>
      </w:r>
      <w:proofErr w:type="gramEnd"/>
    </w:p>
    <w:p w14:paraId="5D5952F3" w14:textId="77777777" w:rsidR="00E2175B" w:rsidRPr="00E2175B" w:rsidRDefault="00E2175B" w:rsidP="00E2175B">
      <w:pPr>
        <w:pStyle w:val="ListParagraph"/>
        <w:jc w:val="both"/>
        <w:rPr>
          <w:rFonts w:ascii="Times New Roman" w:hAnsi="Times New Roman" w:cs="Times New Roman"/>
          <w:b/>
          <w:sz w:val="24"/>
          <w:szCs w:val="24"/>
          <w:lang w:val="en-US"/>
        </w:rPr>
      </w:pPr>
    </w:p>
    <w:p w14:paraId="543045C1"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Secondly, even if the back-letter in question had not been fraudulent and void by dint of </w:t>
      </w:r>
      <w:r w:rsidRPr="00E2175B">
        <w:rPr>
          <w:rFonts w:ascii="Times New Roman" w:hAnsi="Times New Roman" w:cs="Times New Roman"/>
          <w:b/>
          <w:bCs/>
          <w:sz w:val="24"/>
          <w:szCs w:val="24"/>
        </w:rPr>
        <w:t xml:space="preserve">Article 1321(3) </w:t>
      </w:r>
      <w:r w:rsidRPr="00E2175B">
        <w:rPr>
          <w:rFonts w:ascii="Times New Roman" w:hAnsi="Times New Roman" w:cs="Times New Roman"/>
          <w:bCs/>
          <w:sz w:val="24"/>
          <w:szCs w:val="24"/>
        </w:rPr>
        <w:t>of the</w:t>
      </w:r>
      <w:r w:rsidRPr="00E2175B">
        <w:rPr>
          <w:rFonts w:ascii="Times New Roman" w:hAnsi="Times New Roman" w:cs="Times New Roman"/>
          <w:b/>
          <w:bCs/>
          <w:sz w:val="24"/>
          <w:szCs w:val="24"/>
        </w:rPr>
        <w:t xml:space="preserve"> Civil Code, </w:t>
      </w:r>
      <w:r w:rsidRPr="00E2175B">
        <w:rPr>
          <w:rFonts w:ascii="Times New Roman" w:hAnsi="Times New Roman" w:cs="Times New Roman"/>
          <w:sz w:val="24"/>
          <w:szCs w:val="24"/>
        </w:rPr>
        <w:t xml:space="preserve">it would nevertheless be void and ineffectual for want of form. </w:t>
      </w:r>
      <w:r w:rsidRPr="00E2175B">
        <w:rPr>
          <w:rFonts w:ascii="Times New Roman" w:hAnsi="Times New Roman" w:cs="Times New Roman"/>
          <w:b/>
          <w:bCs/>
          <w:sz w:val="24"/>
          <w:szCs w:val="24"/>
        </w:rPr>
        <w:t xml:space="preserve">Article 1321(4) </w:t>
      </w:r>
      <w:r w:rsidRPr="00E2175B">
        <w:rPr>
          <w:rFonts w:ascii="Times New Roman" w:hAnsi="Times New Roman" w:cs="Times New Roman"/>
          <w:bCs/>
          <w:sz w:val="24"/>
          <w:szCs w:val="24"/>
        </w:rPr>
        <w:t>of the</w:t>
      </w:r>
      <w:r w:rsidRPr="00E2175B">
        <w:rPr>
          <w:rFonts w:ascii="Times New Roman" w:hAnsi="Times New Roman" w:cs="Times New Roman"/>
          <w:b/>
          <w:bCs/>
          <w:sz w:val="24"/>
          <w:szCs w:val="24"/>
        </w:rPr>
        <w:t xml:space="preserve"> Civil Code</w:t>
      </w:r>
      <w:r w:rsidRPr="00E2175B">
        <w:rPr>
          <w:rFonts w:ascii="Times New Roman" w:hAnsi="Times New Roman" w:cs="Times New Roman"/>
          <w:sz w:val="24"/>
          <w:szCs w:val="24"/>
        </w:rPr>
        <w:t xml:space="preserve"> requires that a back letter in respect of immovable property </w:t>
      </w:r>
      <w:proofErr w:type="gramStart"/>
      <w:r w:rsidRPr="00E2175B">
        <w:rPr>
          <w:rFonts w:ascii="Times New Roman" w:hAnsi="Times New Roman" w:cs="Times New Roman"/>
          <w:sz w:val="24"/>
          <w:szCs w:val="24"/>
        </w:rPr>
        <w:t>be reduced into writing and registered within six months after its execution</w:t>
      </w:r>
      <w:proofErr w:type="gramEnd"/>
      <w:r w:rsidRPr="00E2175B">
        <w:rPr>
          <w:rFonts w:ascii="Times New Roman" w:hAnsi="Times New Roman" w:cs="Times New Roman"/>
          <w:sz w:val="24"/>
          <w:szCs w:val="24"/>
        </w:rPr>
        <w:t>. The Article provides as follows:</w:t>
      </w:r>
    </w:p>
    <w:p w14:paraId="5AF0D11B" w14:textId="77777777" w:rsidR="000E6583" w:rsidRPr="00E2175B" w:rsidRDefault="000E6583" w:rsidP="00E2175B">
      <w:pPr>
        <w:pStyle w:val="ListParagraph"/>
        <w:jc w:val="both"/>
        <w:rPr>
          <w:rFonts w:ascii="Times New Roman" w:hAnsi="Times New Roman" w:cs="Times New Roman"/>
          <w:b/>
          <w:sz w:val="24"/>
          <w:szCs w:val="24"/>
        </w:rPr>
      </w:pPr>
      <w:proofErr w:type="gramStart"/>
      <w:r w:rsidRPr="00E2175B">
        <w:rPr>
          <w:rFonts w:ascii="Times New Roman" w:hAnsi="Times New Roman" w:cs="Times New Roman"/>
          <w:b/>
          <w:sz w:val="24"/>
          <w:szCs w:val="24"/>
        </w:rPr>
        <w:t>4. Any back</w:t>
      </w:r>
      <w:r w:rsidRPr="00E2175B">
        <w:rPr>
          <w:rFonts w:ascii="Times New Roman" w:hAnsi="Times New Roman" w:cs="Times New Roman"/>
          <w:b/>
          <w:sz w:val="24"/>
          <w:szCs w:val="24"/>
        </w:rPr>
        <w:noBreakHyphen/>
        <w:t>letter or other deed, other than a back</w:t>
      </w:r>
      <w:r w:rsidRPr="00E2175B">
        <w:rPr>
          <w:rFonts w:ascii="Times New Roman" w:hAnsi="Times New Roman" w:cs="Times New Roman"/>
          <w:b/>
          <w:sz w:val="24"/>
          <w:szCs w:val="24"/>
        </w:rPr>
        <w:noBreakHyphen/>
        <w:t>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roofErr w:type="gramEnd"/>
      <w:r w:rsidRPr="00E2175B">
        <w:rPr>
          <w:rFonts w:ascii="Times New Roman" w:hAnsi="Times New Roman" w:cs="Times New Roman"/>
          <w:b/>
          <w:sz w:val="24"/>
          <w:szCs w:val="24"/>
        </w:rPr>
        <w:t xml:space="preserve"> </w:t>
      </w:r>
    </w:p>
    <w:p w14:paraId="50F8E08D" w14:textId="77777777" w:rsidR="00E2175B" w:rsidRPr="00E2175B" w:rsidRDefault="00E2175B" w:rsidP="00E2175B">
      <w:pPr>
        <w:pStyle w:val="ListParagraph"/>
        <w:jc w:val="both"/>
        <w:rPr>
          <w:rFonts w:ascii="Times New Roman" w:hAnsi="Times New Roman" w:cs="Times New Roman"/>
          <w:b/>
          <w:sz w:val="24"/>
          <w:szCs w:val="24"/>
          <w:lang w:val="en-US"/>
        </w:rPr>
      </w:pPr>
    </w:p>
    <w:p w14:paraId="6392EA66"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Arising from the above analysis, I find that the purported oral back letter was void and the learned trial Judge erred in finding that the respondent’s oral evidence was admissible.</w:t>
      </w:r>
    </w:p>
    <w:p w14:paraId="55E5E910" w14:textId="77777777" w:rsidR="00E2175B" w:rsidRPr="00E2175B" w:rsidRDefault="00E2175B" w:rsidP="00E2175B">
      <w:pPr>
        <w:pStyle w:val="ListParagraph"/>
        <w:jc w:val="both"/>
        <w:rPr>
          <w:rFonts w:ascii="Times New Roman" w:hAnsi="Times New Roman" w:cs="Times New Roman"/>
          <w:b/>
          <w:sz w:val="24"/>
          <w:szCs w:val="24"/>
          <w:lang w:val="en-US"/>
        </w:rPr>
      </w:pPr>
    </w:p>
    <w:p w14:paraId="163732FC" w14:textId="77777777" w:rsidR="000E6583" w:rsidRPr="00E2175B" w:rsidRDefault="000E6583" w:rsidP="00E2175B">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Therefore, ground 1 succeeds.</w:t>
      </w:r>
    </w:p>
    <w:p w14:paraId="3C5B60C2" w14:textId="77777777" w:rsidR="00E2175B" w:rsidRPr="00E2175B" w:rsidRDefault="00E2175B" w:rsidP="00E2175B">
      <w:pPr>
        <w:pStyle w:val="ListParagraph"/>
        <w:rPr>
          <w:rFonts w:ascii="Times New Roman" w:hAnsi="Times New Roman" w:cs="Times New Roman"/>
          <w:b/>
          <w:sz w:val="24"/>
          <w:szCs w:val="24"/>
          <w:lang w:val="en-US"/>
        </w:rPr>
      </w:pPr>
    </w:p>
    <w:p w14:paraId="5EAB9E8C" w14:textId="77777777" w:rsidR="000E6583" w:rsidRPr="00E2175B" w:rsidRDefault="000E6583" w:rsidP="00E2175B">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Ground 2</w:t>
      </w:r>
    </w:p>
    <w:p w14:paraId="5285E03B" w14:textId="77777777" w:rsidR="00E2175B" w:rsidRPr="00E2175B" w:rsidRDefault="00E2175B" w:rsidP="00E2175B">
      <w:pPr>
        <w:pStyle w:val="ListParagraph"/>
        <w:jc w:val="both"/>
        <w:rPr>
          <w:rFonts w:ascii="Times New Roman" w:hAnsi="Times New Roman" w:cs="Times New Roman"/>
          <w:b/>
          <w:sz w:val="24"/>
          <w:szCs w:val="24"/>
          <w:lang w:val="en-US"/>
        </w:rPr>
      </w:pPr>
    </w:p>
    <w:p w14:paraId="78EE591E"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Under ground 2, it </w:t>
      </w:r>
      <w:proofErr w:type="gramStart"/>
      <w:r w:rsidRPr="00E2175B">
        <w:rPr>
          <w:rFonts w:ascii="Times New Roman" w:hAnsi="Times New Roman" w:cs="Times New Roman"/>
          <w:sz w:val="24"/>
          <w:szCs w:val="24"/>
        </w:rPr>
        <w:t>was argued</w:t>
      </w:r>
      <w:proofErr w:type="gramEnd"/>
      <w:r w:rsidRPr="00E2175B">
        <w:rPr>
          <w:rFonts w:ascii="Times New Roman" w:hAnsi="Times New Roman" w:cs="Times New Roman"/>
          <w:sz w:val="24"/>
          <w:szCs w:val="24"/>
        </w:rPr>
        <w:t xml:space="preserve"> for the appellant that the learned trial judge erred in failing to find that the appellant had proved his case to the required standard, having adduced documentary evidence of the transaction between himself and the respondent.</w:t>
      </w:r>
    </w:p>
    <w:p w14:paraId="20A5C5FB" w14:textId="77777777" w:rsidR="00E2175B" w:rsidRPr="00E2175B" w:rsidRDefault="00E2175B" w:rsidP="00E2175B">
      <w:pPr>
        <w:pStyle w:val="ListParagraph"/>
        <w:jc w:val="both"/>
        <w:rPr>
          <w:rFonts w:ascii="Times New Roman" w:hAnsi="Times New Roman" w:cs="Times New Roman"/>
          <w:b/>
          <w:sz w:val="24"/>
          <w:szCs w:val="24"/>
          <w:lang w:val="en-US"/>
        </w:rPr>
      </w:pPr>
    </w:p>
    <w:p w14:paraId="6ADDC231"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Having held in ground 1 that the respondent’s oral evidence was inadmissible, it follows that the material evidence available is the written sale agreement. </w:t>
      </w:r>
    </w:p>
    <w:p w14:paraId="74D75733" w14:textId="77777777" w:rsidR="00E2175B" w:rsidRPr="00E2175B" w:rsidRDefault="00E2175B" w:rsidP="00E2175B">
      <w:pPr>
        <w:pStyle w:val="ListParagraph"/>
        <w:rPr>
          <w:rFonts w:ascii="Times New Roman" w:hAnsi="Times New Roman" w:cs="Times New Roman"/>
          <w:b/>
          <w:sz w:val="24"/>
          <w:szCs w:val="24"/>
          <w:lang w:val="en-US"/>
        </w:rPr>
      </w:pPr>
    </w:p>
    <w:p w14:paraId="586FBA06"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I note that the learned trial judge made a finding that the respondent had a more probable case. It is clear that the Judge reached the finding premised on the erroneous admission of the respondent’s oral evidence. Had he correctly excluded that testimony, he would have reached the conclusion that the appellant had proved his case to the required standard of proof.</w:t>
      </w:r>
    </w:p>
    <w:p w14:paraId="51406B7E"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b/>
          <w:sz w:val="24"/>
          <w:szCs w:val="24"/>
        </w:rPr>
        <w:lastRenderedPageBreak/>
        <w:t>Consequently, ground 2 succeeds.</w:t>
      </w:r>
    </w:p>
    <w:p w14:paraId="5D7FD9A7" w14:textId="77777777" w:rsidR="00E2175B" w:rsidRPr="00E2175B" w:rsidRDefault="00E2175B" w:rsidP="00E2175B">
      <w:pPr>
        <w:pStyle w:val="ListParagraph"/>
        <w:rPr>
          <w:rFonts w:ascii="Times New Roman" w:hAnsi="Times New Roman" w:cs="Times New Roman"/>
          <w:b/>
          <w:sz w:val="24"/>
          <w:szCs w:val="24"/>
          <w:lang w:val="en-US"/>
        </w:rPr>
      </w:pPr>
    </w:p>
    <w:p w14:paraId="5E2246A0" w14:textId="77777777" w:rsidR="000E6583" w:rsidRPr="00E2175B" w:rsidRDefault="000E6583" w:rsidP="00E2175B">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Grounds 3 and 4</w:t>
      </w:r>
    </w:p>
    <w:p w14:paraId="3AD2F9F4" w14:textId="77777777" w:rsidR="00E2175B" w:rsidRPr="00E2175B" w:rsidRDefault="00E2175B" w:rsidP="00E2175B">
      <w:pPr>
        <w:pStyle w:val="ListParagraph"/>
        <w:rPr>
          <w:rFonts w:ascii="Times New Roman" w:hAnsi="Times New Roman" w:cs="Times New Roman"/>
          <w:b/>
          <w:sz w:val="24"/>
          <w:szCs w:val="24"/>
          <w:lang w:val="en-US"/>
        </w:rPr>
      </w:pPr>
    </w:p>
    <w:p w14:paraId="63FC42A3"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My findings in grounds 1 and 2 above substantially resolve grounds 3 and 4. A discussion of grounds 3 and 4 </w:t>
      </w:r>
      <w:proofErr w:type="gramStart"/>
      <w:r w:rsidRPr="00E2175B">
        <w:rPr>
          <w:rFonts w:ascii="Times New Roman" w:hAnsi="Times New Roman" w:cs="Times New Roman"/>
          <w:sz w:val="24"/>
          <w:szCs w:val="24"/>
        </w:rPr>
        <w:t>is therefore rendered</w:t>
      </w:r>
      <w:proofErr w:type="gramEnd"/>
      <w:r w:rsidRPr="00E2175B">
        <w:rPr>
          <w:rFonts w:ascii="Times New Roman" w:hAnsi="Times New Roman" w:cs="Times New Roman"/>
          <w:sz w:val="24"/>
          <w:szCs w:val="24"/>
        </w:rPr>
        <w:t xml:space="preserve"> unnecessary.</w:t>
      </w:r>
    </w:p>
    <w:p w14:paraId="4547F908" w14:textId="77777777" w:rsidR="00E2175B" w:rsidRPr="00E2175B" w:rsidRDefault="00E2175B" w:rsidP="00E2175B">
      <w:pPr>
        <w:pStyle w:val="ListParagraph"/>
        <w:rPr>
          <w:rFonts w:ascii="Times New Roman" w:hAnsi="Times New Roman" w:cs="Times New Roman"/>
          <w:b/>
          <w:sz w:val="24"/>
          <w:szCs w:val="24"/>
          <w:lang w:val="en-US"/>
        </w:rPr>
      </w:pPr>
    </w:p>
    <w:p w14:paraId="5F95513D" w14:textId="77777777" w:rsidR="000E6583" w:rsidRPr="00E2175B" w:rsidRDefault="000E6583" w:rsidP="00E2175B">
      <w:pPr>
        <w:pStyle w:val="ListParagraph"/>
        <w:jc w:val="both"/>
        <w:rPr>
          <w:rFonts w:ascii="Times New Roman" w:hAnsi="Times New Roman" w:cs="Times New Roman"/>
          <w:b/>
          <w:sz w:val="24"/>
          <w:szCs w:val="24"/>
          <w:lang w:val="en-US"/>
        </w:rPr>
      </w:pPr>
      <w:r w:rsidRPr="00E2175B">
        <w:rPr>
          <w:rFonts w:ascii="Times New Roman" w:hAnsi="Times New Roman" w:cs="Times New Roman"/>
          <w:b/>
          <w:sz w:val="24"/>
          <w:szCs w:val="24"/>
        </w:rPr>
        <w:t>Conclusion</w:t>
      </w:r>
    </w:p>
    <w:p w14:paraId="65ACD34C" w14:textId="77777777" w:rsidR="00E2175B" w:rsidRPr="00E2175B" w:rsidRDefault="00E2175B" w:rsidP="00E2175B">
      <w:pPr>
        <w:pStyle w:val="ListParagraph"/>
        <w:rPr>
          <w:rFonts w:ascii="Times New Roman" w:hAnsi="Times New Roman" w:cs="Times New Roman"/>
          <w:b/>
          <w:sz w:val="24"/>
          <w:szCs w:val="24"/>
          <w:lang w:val="en-US"/>
        </w:rPr>
      </w:pPr>
    </w:p>
    <w:p w14:paraId="7E5A6BD2"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 xml:space="preserve">Arising from the analysis, I </w:t>
      </w:r>
      <w:proofErr w:type="gramStart"/>
      <w:r w:rsidRPr="00E2175B">
        <w:rPr>
          <w:rFonts w:ascii="Times New Roman" w:hAnsi="Times New Roman" w:cs="Times New Roman"/>
          <w:sz w:val="24"/>
          <w:szCs w:val="24"/>
        </w:rPr>
        <w:t>come to the conclusion</w:t>
      </w:r>
      <w:proofErr w:type="gramEnd"/>
      <w:r w:rsidRPr="00E2175B">
        <w:rPr>
          <w:rFonts w:ascii="Times New Roman" w:hAnsi="Times New Roman" w:cs="Times New Roman"/>
          <w:sz w:val="24"/>
          <w:szCs w:val="24"/>
        </w:rPr>
        <w:t xml:space="preserve"> that the appeal succeeds.</w:t>
      </w:r>
    </w:p>
    <w:p w14:paraId="5ACE9E68" w14:textId="77777777" w:rsidR="00E2175B" w:rsidRPr="00E2175B" w:rsidRDefault="00E2175B" w:rsidP="00E2175B">
      <w:pPr>
        <w:pStyle w:val="ListParagraph"/>
        <w:jc w:val="both"/>
        <w:rPr>
          <w:rFonts w:ascii="Times New Roman" w:hAnsi="Times New Roman" w:cs="Times New Roman"/>
          <w:b/>
          <w:sz w:val="24"/>
          <w:szCs w:val="24"/>
          <w:lang w:val="en-US"/>
        </w:rPr>
      </w:pPr>
    </w:p>
    <w:p w14:paraId="6DE74F3F" w14:textId="77777777" w:rsidR="000E6583" w:rsidRPr="00E2175B" w:rsidRDefault="000E6583" w:rsidP="00E2175B">
      <w:pPr>
        <w:pStyle w:val="ListParagraph"/>
        <w:numPr>
          <w:ilvl w:val="0"/>
          <w:numId w:val="33"/>
        </w:numPr>
        <w:ind w:hanging="720"/>
        <w:jc w:val="both"/>
        <w:rPr>
          <w:rFonts w:ascii="Times New Roman" w:hAnsi="Times New Roman" w:cs="Times New Roman"/>
          <w:b/>
          <w:sz w:val="24"/>
          <w:szCs w:val="24"/>
          <w:lang w:val="en-US"/>
        </w:rPr>
      </w:pPr>
      <w:r w:rsidRPr="00E2175B">
        <w:rPr>
          <w:rFonts w:ascii="Times New Roman" w:hAnsi="Times New Roman" w:cs="Times New Roman"/>
          <w:sz w:val="24"/>
          <w:szCs w:val="24"/>
        </w:rPr>
        <w:t>Consequently, the judgment and orders of the learned trial judge are hereby set aside and judgment is instead entered in favour of the appellant with the following orders:</w:t>
      </w:r>
    </w:p>
    <w:p w14:paraId="685F8913" w14:textId="77777777" w:rsidR="00E2175B" w:rsidRPr="00E2175B" w:rsidRDefault="00E2175B" w:rsidP="00E2175B">
      <w:pPr>
        <w:pStyle w:val="ListParagraph"/>
        <w:rPr>
          <w:rFonts w:ascii="Times New Roman" w:hAnsi="Times New Roman" w:cs="Times New Roman"/>
          <w:b/>
          <w:sz w:val="24"/>
          <w:szCs w:val="24"/>
          <w:lang w:val="en-US"/>
        </w:rPr>
      </w:pPr>
    </w:p>
    <w:p w14:paraId="439FE6A1" w14:textId="77777777" w:rsidR="00E2175B" w:rsidRPr="00E2175B" w:rsidRDefault="00E2175B" w:rsidP="00E2175B">
      <w:pPr>
        <w:pStyle w:val="ListParagraph"/>
        <w:jc w:val="both"/>
        <w:rPr>
          <w:rFonts w:ascii="Times New Roman" w:hAnsi="Times New Roman" w:cs="Times New Roman"/>
          <w:b/>
          <w:sz w:val="24"/>
          <w:szCs w:val="24"/>
          <w:lang w:val="en-US"/>
        </w:rPr>
      </w:pPr>
    </w:p>
    <w:p w14:paraId="5DD81CBF" w14:textId="77777777" w:rsidR="000E6583" w:rsidRPr="00E2175B" w:rsidRDefault="000E6583" w:rsidP="00E64CDD">
      <w:pPr>
        <w:numPr>
          <w:ilvl w:val="0"/>
          <w:numId w:val="37"/>
        </w:numPr>
        <w:spacing w:line="360" w:lineRule="auto"/>
        <w:ind w:left="1440" w:hanging="450"/>
        <w:rPr>
          <w:rFonts w:ascii="Times New Roman" w:hAnsi="Times New Roman" w:cs="Times New Roman"/>
          <w:sz w:val="24"/>
          <w:szCs w:val="24"/>
        </w:rPr>
      </w:pPr>
      <w:r w:rsidRPr="00E2175B">
        <w:rPr>
          <w:rFonts w:ascii="Times New Roman" w:hAnsi="Times New Roman" w:cs="Times New Roman"/>
          <w:sz w:val="24"/>
          <w:szCs w:val="24"/>
        </w:rPr>
        <w:t>The appellant is ordered to, within one month from the date of this judgment, pay the sum of SR 141,900 to the defendant as the balance due on the written agreement of sale of the suit property;</w:t>
      </w:r>
    </w:p>
    <w:p w14:paraId="46D3A4C7" w14:textId="77777777" w:rsidR="000E6583" w:rsidRPr="00E2175B" w:rsidRDefault="000E6583" w:rsidP="00E64CDD">
      <w:pPr>
        <w:numPr>
          <w:ilvl w:val="0"/>
          <w:numId w:val="37"/>
        </w:numPr>
        <w:spacing w:line="360" w:lineRule="auto"/>
        <w:ind w:left="1440" w:hanging="450"/>
        <w:rPr>
          <w:rFonts w:ascii="Times New Roman" w:hAnsi="Times New Roman" w:cs="Times New Roman"/>
          <w:sz w:val="24"/>
          <w:szCs w:val="24"/>
        </w:rPr>
      </w:pPr>
      <w:r w:rsidRPr="00E2175B">
        <w:rPr>
          <w:rFonts w:ascii="Times New Roman" w:hAnsi="Times New Roman" w:cs="Times New Roman"/>
          <w:sz w:val="24"/>
          <w:szCs w:val="24"/>
        </w:rPr>
        <w:t>Upon effecting the payment referred to in (1) above within the stipulated time and upon proof of payment thereof:</w:t>
      </w:r>
    </w:p>
    <w:p w14:paraId="40653485" w14:textId="77777777" w:rsidR="000E6583" w:rsidRPr="00E2175B" w:rsidRDefault="000E6583" w:rsidP="00E64CDD">
      <w:pPr>
        <w:numPr>
          <w:ilvl w:val="0"/>
          <w:numId w:val="38"/>
        </w:numPr>
        <w:spacing w:line="360" w:lineRule="auto"/>
        <w:ind w:left="1890"/>
        <w:jc w:val="both"/>
        <w:rPr>
          <w:rFonts w:ascii="Times New Roman" w:hAnsi="Times New Roman" w:cs="Times New Roman"/>
          <w:sz w:val="24"/>
          <w:szCs w:val="24"/>
        </w:rPr>
      </w:pPr>
      <w:r w:rsidRPr="00E2175B">
        <w:rPr>
          <w:rFonts w:ascii="Times New Roman" w:hAnsi="Times New Roman" w:cs="Times New Roman"/>
          <w:sz w:val="24"/>
          <w:szCs w:val="24"/>
        </w:rPr>
        <w:t>The respondent is ordered to do all that is necessary to give effect to the transfer and registration of the suit property to and in the names of the appellant;</w:t>
      </w:r>
    </w:p>
    <w:p w14:paraId="059C9E13" w14:textId="77777777" w:rsidR="000E6583" w:rsidRPr="00E2175B" w:rsidRDefault="000E6583" w:rsidP="00E64CDD">
      <w:pPr>
        <w:numPr>
          <w:ilvl w:val="0"/>
          <w:numId w:val="38"/>
        </w:numPr>
        <w:spacing w:line="360" w:lineRule="auto"/>
        <w:ind w:left="1890"/>
        <w:jc w:val="both"/>
        <w:rPr>
          <w:rFonts w:ascii="Times New Roman" w:hAnsi="Times New Roman" w:cs="Times New Roman"/>
          <w:sz w:val="24"/>
          <w:szCs w:val="24"/>
        </w:rPr>
      </w:pPr>
      <w:r w:rsidRPr="00E2175B">
        <w:rPr>
          <w:rFonts w:ascii="Times New Roman" w:hAnsi="Times New Roman" w:cs="Times New Roman"/>
          <w:sz w:val="24"/>
          <w:szCs w:val="24"/>
        </w:rPr>
        <w:t xml:space="preserve">Mr. Gerard </w:t>
      </w:r>
      <w:proofErr w:type="spellStart"/>
      <w:r w:rsidRPr="00E2175B">
        <w:rPr>
          <w:rFonts w:ascii="Times New Roman" w:hAnsi="Times New Roman" w:cs="Times New Roman"/>
          <w:sz w:val="24"/>
          <w:szCs w:val="24"/>
        </w:rPr>
        <w:t>Maurel</w:t>
      </w:r>
      <w:proofErr w:type="spellEnd"/>
      <w:r w:rsidRPr="00E2175B">
        <w:rPr>
          <w:rFonts w:ascii="Times New Roman" w:hAnsi="Times New Roman" w:cs="Times New Roman"/>
          <w:sz w:val="24"/>
          <w:szCs w:val="24"/>
        </w:rPr>
        <w:t xml:space="preserve"> of Kingsgate House Victoria, </w:t>
      </w:r>
      <w:proofErr w:type="spellStart"/>
      <w:r w:rsidRPr="00E2175B">
        <w:rPr>
          <w:rFonts w:ascii="Times New Roman" w:hAnsi="Times New Roman" w:cs="Times New Roman"/>
          <w:sz w:val="24"/>
          <w:szCs w:val="24"/>
        </w:rPr>
        <w:t>Mahe</w:t>
      </w:r>
      <w:proofErr w:type="spellEnd"/>
      <w:r w:rsidRPr="00E2175B">
        <w:rPr>
          <w:rFonts w:ascii="Times New Roman" w:hAnsi="Times New Roman" w:cs="Times New Roman"/>
          <w:sz w:val="24"/>
          <w:szCs w:val="24"/>
        </w:rPr>
        <w:t>, is equally ordered to lodge and register the requisite transfer of the suit property to the appellant; and</w:t>
      </w:r>
    </w:p>
    <w:p w14:paraId="6468E484" w14:textId="77777777" w:rsidR="000E6583" w:rsidRPr="00E2175B" w:rsidRDefault="000E6583" w:rsidP="0053100E">
      <w:pPr>
        <w:numPr>
          <w:ilvl w:val="0"/>
          <w:numId w:val="38"/>
        </w:numPr>
        <w:spacing w:line="360" w:lineRule="auto"/>
        <w:ind w:left="1890"/>
        <w:jc w:val="both"/>
        <w:rPr>
          <w:rFonts w:ascii="Times New Roman" w:hAnsi="Times New Roman" w:cs="Times New Roman"/>
          <w:sz w:val="24"/>
          <w:szCs w:val="24"/>
        </w:rPr>
      </w:pPr>
      <w:r w:rsidRPr="00E2175B">
        <w:rPr>
          <w:rFonts w:ascii="Times New Roman" w:hAnsi="Times New Roman" w:cs="Times New Roman"/>
          <w:sz w:val="24"/>
          <w:szCs w:val="24"/>
        </w:rPr>
        <w:t xml:space="preserve">The Registrar of Lands </w:t>
      </w:r>
      <w:proofErr w:type="gramStart"/>
      <w:r w:rsidRPr="00E2175B">
        <w:rPr>
          <w:rFonts w:ascii="Times New Roman" w:hAnsi="Times New Roman" w:cs="Times New Roman"/>
          <w:sz w:val="24"/>
          <w:szCs w:val="24"/>
        </w:rPr>
        <w:t>is equally ordered</w:t>
      </w:r>
      <w:proofErr w:type="gramEnd"/>
      <w:r w:rsidRPr="00E2175B">
        <w:rPr>
          <w:rFonts w:ascii="Times New Roman" w:hAnsi="Times New Roman" w:cs="Times New Roman"/>
          <w:sz w:val="24"/>
          <w:szCs w:val="24"/>
        </w:rPr>
        <w:t xml:space="preserve"> to give effect to the abovementioned registration and transfer of the suit property in favour of the appellant.</w:t>
      </w:r>
    </w:p>
    <w:p w14:paraId="27137CD6" w14:textId="77777777" w:rsidR="000E6583" w:rsidRPr="00E2175B" w:rsidRDefault="000E6583" w:rsidP="0053100E">
      <w:pPr>
        <w:numPr>
          <w:ilvl w:val="0"/>
          <w:numId w:val="37"/>
        </w:numPr>
        <w:spacing w:line="360" w:lineRule="auto"/>
        <w:ind w:left="1440" w:hanging="450"/>
        <w:jc w:val="both"/>
        <w:rPr>
          <w:rFonts w:ascii="Times New Roman" w:hAnsi="Times New Roman" w:cs="Times New Roman"/>
          <w:sz w:val="24"/>
          <w:szCs w:val="24"/>
        </w:rPr>
      </w:pPr>
      <w:r w:rsidRPr="00E2175B">
        <w:rPr>
          <w:rFonts w:ascii="Times New Roman" w:hAnsi="Times New Roman" w:cs="Times New Roman"/>
          <w:sz w:val="24"/>
          <w:szCs w:val="24"/>
        </w:rPr>
        <w:t>The appellant shall bear the transactional costs of effecting the transfer and registration of the suit property to himself.</w:t>
      </w:r>
    </w:p>
    <w:p w14:paraId="31A8F243" w14:textId="35B5A4FB" w:rsidR="000E6583" w:rsidRDefault="000E6583" w:rsidP="0053100E">
      <w:pPr>
        <w:numPr>
          <w:ilvl w:val="0"/>
          <w:numId w:val="37"/>
        </w:numPr>
        <w:spacing w:line="360" w:lineRule="auto"/>
        <w:ind w:left="1440" w:hanging="450"/>
        <w:jc w:val="both"/>
        <w:rPr>
          <w:rFonts w:ascii="Times New Roman" w:hAnsi="Times New Roman" w:cs="Times New Roman"/>
          <w:sz w:val="24"/>
          <w:szCs w:val="24"/>
        </w:rPr>
      </w:pPr>
      <w:r w:rsidRPr="00E2175B">
        <w:rPr>
          <w:rFonts w:ascii="Times New Roman" w:hAnsi="Times New Roman" w:cs="Times New Roman"/>
          <w:sz w:val="24"/>
          <w:szCs w:val="24"/>
        </w:rPr>
        <w:t>The respondent shall pay the appellant’s costs in this Court and in the Court below.</w:t>
      </w:r>
    </w:p>
    <w:p w14:paraId="728D119E" w14:textId="77777777" w:rsidR="00E64CDD" w:rsidRDefault="00E64CDD" w:rsidP="004F0E63">
      <w:pPr>
        <w:spacing w:before="240"/>
        <w:jc w:val="both"/>
        <w:rPr>
          <w:rFonts w:ascii="Times New Roman" w:hAnsi="Times New Roman" w:cs="Times New Roman"/>
          <w:sz w:val="24"/>
          <w:szCs w:val="24"/>
          <w:lang w:val="en-US"/>
        </w:rPr>
      </w:pPr>
    </w:p>
    <w:p w14:paraId="0BA96972" w14:textId="2524097F" w:rsidR="00B278BC" w:rsidRPr="00B278BC" w:rsidRDefault="00B278BC" w:rsidP="004F0E63">
      <w:pPr>
        <w:spacing w:before="240"/>
        <w:jc w:val="both"/>
        <w:rPr>
          <w:rFonts w:ascii="Times New Roman" w:hAnsi="Times New Roman" w:cs="Times New Roman"/>
          <w:sz w:val="24"/>
          <w:szCs w:val="24"/>
          <w:lang w:val="en-US"/>
        </w:rPr>
      </w:pPr>
      <w:r w:rsidRPr="00B278BC">
        <w:rPr>
          <w:rFonts w:ascii="Times New Roman" w:hAnsi="Times New Roman" w:cs="Times New Roman"/>
          <w:sz w:val="24"/>
          <w:szCs w:val="24"/>
          <w:lang w:val="en-US"/>
        </w:rPr>
        <w:t xml:space="preserve">Signed, dated and delivered at </w:t>
      </w:r>
      <w:r w:rsidR="00283F8A">
        <w:rPr>
          <w:rFonts w:ascii="Times New Roman" w:hAnsi="Times New Roman" w:cs="Times New Roman"/>
          <w:sz w:val="24"/>
          <w:szCs w:val="24"/>
          <w:lang w:val="en-US"/>
        </w:rPr>
        <w:t>Ile du Port on 18 December 2020</w:t>
      </w:r>
      <w:r w:rsidRPr="00B278BC">
        <w:rPr>
          <w:rFonts w:ascii="Times New Roman" w:hAnsi="Times New Roman" w:cs="Times New Roman"/>
          <w:sz w:val="24"/>
          <w:szCs w:val="24"/>
          <w:lang w:val="en-US"/>
        </w:rPr>
        <w:t>.</w:t>
      </w:r>
    </w:p>
    <w:p w14:paraId="7D3EF022" w14:textId="65F11D6B" w:rsidR="00B278BC" w:rsidRDefault="00B278BC" w:rsidP="004F0E63">
      <w:pPr>
        <w:spacing w:before="240"/>
        <w:jc w:val="both"/>
        <w:rPr>
          <w:rFonts w:ascii="Times New Roman" w:hAnsi="Times New Roman" w:cs="Times New Roman"/>
          <w:color w:val="000000" w:themeColor="text1"/>
          <w:sz w:val="24"/>
          <w:szCs w:val="24"/>
          <w:lang w:val="en-US"/>
        </w:rPr>
      </w:pPr>
    </w:p>
    <w:p w14:paraId="6E02735A" w14:textId="00254BB0" w:rsidR="00283F8A" w:rsidRDefault="00283F8A" w:rsidP="004F0E63">
      <w:pPr>
        <w:spacing w:before="240"/>
        <w:jc w:val="both"/>
        <w:rPr>
          <w:rFonts w:ascii="Times New Roman" w:hAnsi="Times New Roman" w:cs="Times New Roman"/>
          <w:color w:val="000000" w:themeColor="text1"/>
          <w:sz w:val="24"/>
          <w:szCs w:val="24"/>
          <w:lang w:val="en-US"/>
        </w:rPr>
      </w:pPr>
      <w:r w:rsidRPr="00283F8A">
        <w:rPr>
          <w:rFonts w:ascii="Times New Roman" w:hAnsi="Times New Roman" w:cs="Times New Roman"/>
          <w:noProof/>
          <w:color w:val="000000" w:themeColor="text1"/>
          <w:sz w:val="24"/>
          <w:szCs w:val="24"/>
          <w:lang w:val="en-US"/>
        </w:rPr>
        <w:drawing>
          <wp:inline distT="0" distB="0" distL="0" distR="0" wp14:anchorId="22939806" wp14:editId="74392E63">
            <wp:extent cx="1329055" cy="419100"/>
            <wp:effectExtent l="0" t="0" r="4445"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440" cy="422059"/>
                    </a:xfrm>
                    <a:prstGeom prst="rect">
                      <a:avLst/>
                    </a:prstGeom>
                    <a:noFill/>
                    <a:ln>
                      <a:noFill/>
                    </a:ln>
                  </pic:spPr>
                </pic:pic>
              </a:graphicData>
            </a:graphic>
          </wp:inline>
        </w:drawing>
      </w:r>
    </w:p>
    <w:p w14:paraId="728F519E" w14:textId="1C43F30D" w:rsidR="00B278BC" w:rsidRPr="00B278BC" w:rsidRDefault="00B278BC" w:rsidP="004F0E63">
      <w:pPr>
        <w:spacing w:after="0" w:line="240" w:lineRule="auto"/>
        <w:ind w:right="720"/>
        <w:jc w:val="both"/>
        <w:rPr>
          <w:rFonts w:ascii="Times New Roman" w:hAnsi="Times New Roman" w:cs="Times New Roman"/>
          <w:b/>
          <w:color w:val="000000" w:themeColor="text1"/>
          <w:sz w:val="24"/>
          <w:szCs w:val="24"/>
          <w:lang w:val="en-US"/>
        </w:rPr>
      </w:pPr>
      <w:r w:rsidRPr="00B278BC">
        <w:rPr>
          <w:rFonts w:ascii="Times New Roman" w:hAnsi="Times New Roman" w:cs="Times New Roman"/>
          <w:b/>
          <w:color w:val="000000" w:themeColor="text1"/>
          <w:sz w:val="24"/>
          <w:szCs w:val="24"/>
          <w:lang w:val="en-US"/>
        </w:rPr>
        <w:t>……………………………</w:t>
      </w:r>
      <w:r w:rsidR="00E64CDD">
        <w:rPr>
          <w:rFonts w:ascii="Times New Roman" w:hAnsi="Times New Roman" w:cs="Times New Roman"/>
          <w:b/>
          <w:color w:val="000000" w:themeColor="text1"/>
          <w:sz w:val="24"/>
          <w:szCs w:val="24"/>
          <w:lang w:val="en-US"/>
        </w:rPr>
        <w:t>.</w:t>
      </w:r>
    </w:p>
    <w:p w14:paraId="7F3B119B" w14:textId="5EC7623E" w:rsidR="00B278BC" w:rsidRDefault="00B278BC" w:rsidP="004F0E63">
      <w:pPr>
        <w:spacing w:after="0" w:line="240" w:lineRule="auto"/>
        <w:ind w:right="720"/>
        <w:jc w:val="both"/>
        <w:rPr>
          <w:rFonts w:ascii="Times New Roman" w:hAnsi="Times New Roman" w:cs="Times New Roman"/>
          <w:color w:val="000000" w:themeColor="text1"/>
          <w:sz w:val="24"/>
          <w:szCs w:val="24"/>
          <w:lang w:val="en-US"/>
        </w:rPr>
      </w:pPr>
      <w:r w:rsidRPr="00E64CDD">
        <w:rPr>
          <w:rFonts w:ascii="Times New Roman" w:hAnsi="Times New Roman" w:cs="Times New Roman"/>
          <w:color w:val="000000" w:themeColor="text1"/>
          <w:sz w:val="24"/>
          <w:szCs w:val="24"/>
          <w:lang w:val="en-US"/>
        </w:rPr>
        <w:t>Tibatemwa-</w:t>
      </w:r>
      <w:proofErr w:type="spellStart"/>
      <w:r w:rsidRPr="00E64CDD">
        <w:rPr>
          <w:rFonts w:ascii="Times New Roman" w:hAnsi="Times New Roman" w:cs="Times New Roman"/>
          <w:color w:val="000000" w:themeColor="text1"/>
          <w:sz w:val="24"/>
          <w:szCs w:val="24"/>
          <w:lang w:val="en-US"/>
        </w:rPr>
        <w:t>Ekirikubinza</w:t>
      </w:r>
      <w:proofErr w:type="spellEnd"/>
      <w:r w:rsidRPr="00E64CDD">
        <w:rPr>
          <w:rFonts w:ascii="Times New Roman" w:hAnsi="Times New Roman" w:cs="Times New Roman"/>
          <w:color w:val="000000" w:themeColor="text1"/>
          <w:sz w:val="24"/>
          <w:szCs w:val="24"/>
          <w:lang w:val="en-US"/>
        </w:rPr>
        <w:t>, JA</w:t>
      </w:r>
    </w:p>
    <w:p w14:paraId="2210BCDE" w14:textId="77777777" w:rsidR="00E64CDD" w:rsidRPr="00E64CDD" w:rsidRDefault="00E64CDD" w:rsidP="004F0E63">
      <w:pPr>
        <w:spacing w:after="0" w:line="240" w:lineRule="auto"/>
        <w:ind w:right="720"/>
        <w:jc w:val="both"/>
        <w:rPr>
          <w:rFonts w:ascii="Times New Roman" w:hAnsi="Times New Roman" w:cs="Times New Roman"/>
          <w:color w:val="000000" w:themeColor="text1"/>
          <w:sz w:val="24"/>
          <w:szCs w:val="24"/>
          <w:lang w:val="en-US"/>
        </w:rPr>
      </w:pPr>
    </w:p>
    <w:p w14:paraId="181F6737" w14:textId="77777777" w:rsidR="00B278BC" w:rsidRPr="00E64CDD" w:rsidRDefault="00B278BC" w:rsidP="004F0E63">
      <w:pPr>
        <w:ind w:right="720"/>
        <w:jc w:val="both"/>
        <w:rPr>
          <w:rFonts w:ascii="Times New Roman" w:hAnsi="Times New Roman" w:cs="Times New Roman"/>
          <w:color w:val="000000" w:themeColor="text1"/>
          <w:sz w:val="24"/>
          <w:szCs w:val="24"/>
          <w:lang w:val="en-US"/>
        </w:rPr>
      </w:pPr>
    </w:p>
    <w:p w14:paraId="07C75EDC" w14:textId="77777777" w:rsidR="00B278BC" w:rsidRPr="00E64CDD" w:rsidRDefault="00B278BC" w:rsidP="004F0E63">
      <w:pPr>
        <w:ind w:right="720"/>
        <w:jc w:val="both"/>
        <w:rPr>
          <w:rFonts w:ascii="Times New Roman" w:hAnsi="Times New Roman" w:cs="Times New Roman"/>
          <w:color w:val="000000" w:themeColor="text1"/>
          <w:sz w:val="24"/>
          <w:szCs w:val="24"/>
          <w:lang w:val="en-US"/>
        </w:rPr>
      </w:pPr>
      <w:r w:rsidRPr="00E64CDD">
        <w:rPr>
          <w:rFonts w:ascii="Times New Roman" w:hAnsi="Times New Roman" w:cs="Times New Roman"/>
          <w:color w:val="000000" w:themeColor="text1"/>
          <w:sz w:val="24"/>
          <w:szCs w:val="24"/>
          <w:lang w:val="en-US"/>
        </w:rPr>
        <w:t>I concur                                       …………………………………..</w:t>
      </w:r>
    </w:p>
    <w:p w14:paraId="068EC20B" w14:textId="77777777" w:rsidR="00B278BC" w:rsidRPr="00E64CDD" w:rsidRDefault="00B278BC" w:rsidP="004F0E63">
      <w:pPr>
        <w:ind w:right="720"/>
        <w:jc w:val="both"/>
        <w:rPr>
          <w:rFonts w:ascii="Times New Roman" w:hAnsi="Times New Roman" w:cs="Times New Roman"/>
          <w:sz w:val="24"/>
          <w:szCs w:val="24"/>
          <w:lang w:val="en-US"/>
        </w:rPr>
      </w:pPr>
      <w:r w:rsidRPr="00E64CDD">
        <w:rPr>
          <w:rFonts w:ascii="Times New Roman" w:hAnsi="Times New Roman" w:cs="Times New Roman"/>
          <w:color w:val="000000" w:themeColor="text1"/>
          <w:sz w:val="24"/>
          <w:szCs w:val="24"/>
          <w:lang w:val="en-US"/>
        </w:rPr>
        <w:t xml:space="preserve">                                                     Twomey</w:t>
      </w:r>
      <w:r w:rsidRPr="00E64CDD">
        <w:rPr>
          <w:rFonts w:ascii="Times New Roman" w:hAnsi="Times New Roman" w:cs="Times New Roman"/>
          <w:sz w:val="24"/>
          <w:szCs w:val="24"/>
          <w:lang w:val="en-US"/>
        </w:rPr>
        <w:t>, JA.</w:t>
      </w:r>
    </w:p>
    <w:p w14:paraId="2DB6C23D" w14:textId="77777777" w:rsidR="00B278BC" w:rsidRPr="00E64CDD" w:rsidRDefault="00B278BC" w:rsidP="004F0E63">
      <w:pPr>
        <w:ind w:right="720"/>
        <w:jc w:val="both"/>
        <w:rPr>
          <w:rFonts w:ascii="Times New Roman" w:hAnsi="Times New Roman" w:cs="Times New Roman"/>
          <w:color w:val="000000" w:themeColor="text1"/>
          <w:sz w:val="24"/>
          <w:szCs w:val="24"/>
          <w:lang w:val="en-US"/>
        </w:rPr>
      </w:pPr>
    </w:p>
    <w:p w14:paraId="5746785F" w14:textId="77777777" w:rsidR="00B278BC" w:rsidRPr="00E64CDD" w:rsidRDefault="00B278BC" w:rsidP="004F0E63">
      <w:pPr>
        <w:ind w:right="720"/>
        <w:jc w:val="both"/>
        <w:rPr>
          <w:rFonts w:ascii="Times New Roman" w:hAnsi="Times New Roman" w:cs="Times New Roman"/>
          <w:color w:val="000000" w:themeColor="text1"/>
          <w:sz w:val="24"/>
          <w:szCs w:val="24"/>
          <w:lang w:val="en-US"/>
        </w:rPr>
      </w:pPr>
      <w:r w:rsidRPr="00E64CDD">
        <w:rPr>
          <w:rFonts w:ascii="Times New Roman" w:hAnsi="Times New Roman" w:cs="Times New Roman"/>
          <w:color w:val="000000" w:themeColor="text1"/>
          <w:sz w:val="24"/>
          <w:szCs w:val="24"/>
          <w:lang w:val="en-US"/>
        </w:rPr>
        <w:t>I concur                                        …………………………………..</w:t>
      </w:r>
    </w:p>
    <w:p w14:paraId="4584C906" w14:textId="25BA8719" w:rsidR="00B278BC" w:rsidRPr="00E64CDD" w:rsidRDefault="00B278BC" w:rsidP="004F0E63">
      <w:pPr>
        <w:ind w:right="720"/>
        <w:jc w:val="both"/>
        <w:rPr>
          <w:rFonts w:ascii="Times New Roman" w:hAnsi="Times New Roman" w:cs="Times New Roman"/>
          <w:color w:val="000000" w:themeColor="text1"/>
          <w:sz w:val="24"/>
          <w:szCs w:val="24"/>
          <w:lang w:val="en-US"/>
        </w:rPr>
      </w:pPr>
      <w:r w:rsidRPr="00E64CDD">
        <w:rPr>
          <w:rFonts w:ascii="Times New Roman" w:hAnsi="Times New Roman" w:cs="Times New Roman"/>
          <w:color w:val="000000" w:themeColor="text1"/>
          <w:sz w:val="24"/>
          <w:szCs w:val="24"/>
          <w:lang w:val="en-US"/>
        </w:rPr>
        <w:t xml:space="preserve">                            </w:t>
      </w:r>
      <w:r w:rsidR="00E2175B" w:rsidRPr="00E64CDD">
        <w:rPr>
          <w:rFonts w:ascii="Times New Roman" w:hAnsi="Times New Roman" w:cs="Times New Roman"/>
          <w:color w:val="000000" w:themeColor="text1"/>
          <w:sz w:val="24"/>
          <w:szCs w:val="24"/>
          <w:lang w:val="en-US"/>
        </w:rPr>
        <w:t xml:space="preserve">                         Robinson</w:t>
      </w:r>
      <w:r w:rsidRPr="00E64CDD">
        <w:rPr>
          <w:rFonts w:ascii="Times New Roman" w:hAnsi="Times New Roman" w:cs="Times New Roman"/>
          <w:color w:val="000000" w:themeColor="text1"/>
          <w:sz w:val="24"/>
          <w:szCs w:val="24"/>
          <w:lang w:val="en-US"/>
        </w:rPr>
        <w:t>, JA.</w:t>
      </w:r>
    </w:p>
    <w:p w14:paraId="75DE610E" w14:textId="5D71572D" w:rsidR="00723042" w:rsidRPr="005C523F" w:rsidRDefault="00723042" w:rsidP="004F0E63">
      <w:pPr>
        <w:pStyle w:val="JudgmentText"/>
        <w:numPr>
          <w:ilvl w:val="0"/>
          <w:numId w:val="0"/>
        </w:numPr>
        <w:rPr>
          <w:rFonts w:eastAsia="Calibri"/>
        </w:rPr>
      </w:pPr>
      <w:r w:rsidRPr="005C523F">
        <w:rPr>
          <w:highlight w:val="lightGray"/>
        </w:rPr>
        <w:fldChar w:fldCharType="begin"/>
      </w:r>
      <w:r w:rsidRPr="005C523F">
        <w:rPr>
          <w:highlight w:val="lightGray"/>
        </w:rPr>
        <w:instrText xml:space="preserve">  </w:instrText>
      </w:r>
      <w:r w:rsidRPr="005C523F">
        <w:rPr>
          <w:highlight w:val="lightGray"/>
        </w:rPr>
        <w:fldChar w:fldCharType="end"/>
      </w:r>
    </w:p>
    <w:p w14:paraId="5FF0BFAF" w14:textId="52DFD1B9" w:rsidR="00F72AF1" w:rsidRPr="005C523F" w:rsidRDefault="00A22E70" w:rsidP="004F0E63">
      <w:pPr>
        <w:pStyle w:val="JudgmentText"/>
        <w:numPr>
          <w:ilvl w:val="0"/>
          <w:numId w:val="0"/>
        </w:numPr>
      </w:pPr>
      <w:r w:rsidRPr="005C523F">
        <w:t xml:space="preserve">Signed, dated and delivered at Ile du Port on </w:t>
      </w:r>
      <w:r w:rsidR="000519F6" w:rsidRPr="005C523F">
        <w:t>18</w:t>
      </w:r>
      <w:r w:rsidRPr="005C523F">
        <w:t xml:space="preserve"> </w:t>
      </w:r>
      <w:r w:rsidR="00E9658B" w:rsidRPr="005C523F">
        <w:t>November</w:t>
      </w:r>
      <w:r w:rsidRPr="005C523F">
        <w:t xml:space="preserve"> 2020</w:t>
      </w:r>
    </w:p>
    <w:p w14:paraId="5E1402A4" w14:textId="0FC74EA2" w:rsidR="00682172" w:rsidRPr="00235626" w:rsidRDefault="00682172" w:rsidP="004F0E63">
      <w:pPr>
        <w:pStyle w:val="JudgmentText"/>
        <w:numPr>
          <w:ilvl w:val="0"/>
          <w:numId w:val="0"/>
        </w:numPr>
      </w:pPr>
    </w:p>
    <w:sectPr w:rsidR="00682172" w:rsidRPr="00235626" w:rsidSect="009B49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94C1" w14:textId="77777777" w:rsidR="00460B09" w:rsidRDefault="00460B09" w:rsidP="006A68E2">
      <w:pPr>
        <w:spacing w:after="0" w:line="240" w:lineRule="auto"/>
      </w:pPr>
      <w:r>
        <w:separator/>
      </w:r>
    </w:p>
  </w:endnote>
  <w:endnote w:type="continuationSeparator" w:id="0">
    <w:p w14:paraId="0FE58288" w14:textId="77777777" w:rsidR="00460B09" w:rsidRDefault="00460B0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FCFE" w14:textId="77777777" w:rsidR="003D7548" w:rsidRDefault="003D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6788AE0" w14:textId="34AAD518" w:rsidR="003D7548" w:rsidRDefault="003D7548">
        <w:pPr>
          <w:pStyle w:val="Footer"/>
          <w:jc w:val="center"/>
        </w:pPr>
        <w:r w:rsidRPr="00EC6366">
          <w:rPr>
            <w:rFonts w:ascii="Times New Roman" w:hAnsi="Times New Roman" w:cs="Times New Roman"/>
          </w:rPr>
          <w:fldChar w:fldCharType="begin"/>
        </w:r>
        <w:r w:rsidRPr="00EC6366">
          <w:rPr>
            <w:rFonts w:ascii="Times New Roman" w:hAnsi="Times New Roman" w:cs="Times New Roman"/>
          </w:rPr>
          <w:instrText xml:space="preserve"> PAGE   \* MERGEFORMAT </w:instrText>
        </w:r>
        <w:r w:rsidRPr="00EC6366">
          <w:rPr>
            <w:rFonts w:ascii="Times New Roman" w:hAnsi="Times New Roman" w:cs="Times New Roman"/>
          </w:rPr>
          <w:fldChar w:fldCharType="separate"/>
        </w:r>
        <w:r w:rsidR="00605E0F">
          <w:rPr>
            <w:rFonts w:ascii="Times New Roman" w:hAnsi="Times New Roman" w:cs="Times New Roman"/>
            <w:noProof/>
          </w:rPr>
          <w:t>2</w:t>
        </w:r>
        <w:r w:rsidRPr="00EC6366">
          <w:rPr>
            <w:rFonts w:ascii="Times New Roman" w:hAnsi="Times New Roman" w:cs="Times New Roman"/>
            <w:noProof/>
          </w:rPr>
          <w:fldChar w:fldCharType="end"/>
        </w:r>
      </w:p>
    </w:sdtContent>
  </w:sdt>
  <w:p w14:paraId="797488A4" w14:textId="77777777" w:rsidR="003D7548" w:rsidRDefault="003D7548">
    <w:pPr>
      <w:pStyle w:val="Footer"/>
    </w:pPr>
  </w:p>
  <w:p w14:paraId="1C15DF9B" w14:textId="77777777" w:rsidR="003D7548" w:rsidRDefault="003D7548" w:rsidP="00EC6366">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6330" w14:textId="77777777" w:rsidR="003D7548" w:rsidRDefault="003D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2600" w14:textId="77777777" w:rsidR="00460B09" w:rsidRDefault="00460B09" w:rsidP="006A68E2">
      <w:pPr>
        <w:spacing w:after="0" w:line="240" w:lineRule="auto"/>
      </w:pPr>
      <w:r>
        <w:separator/>
      </w:r>
    </w:p>
  </w:footnote>
  <w:footnote w:type="continuationSeparator" w:id="0">
    <w:p w14:paraId="78E44D16" w14:textId="77777777" w:rsidR="00460B09" w:rsidRDefault="00460B09"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23A2" w14:textId="77777777" w:rsidR="003D7548" w:rsidRDefault="003D7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8293" w14:textId="77777777" w:rsidR="003D7548" w:rsidRDefault="003D7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E51A" w14:textId="77777777" w:rsidR="003D7548" w:rsidRDefault="003D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FA39EE"/>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Roman"/>
      <w:lvlText w:val="%2)"/>
      <w:lvlJc w:val="left"/>
      <w:pPr>
        <w:tabs>
          <w:tab w:val="num" w:pos="0"/>
        </w:tabs>
        <w:ind w:left="1418" w:hanging="709"/>
      </w:pPr>
    </w:lvl>
    <w:lvl w:ilvl="2">
      <w:start w:val="1"/>
      <w:numFmt w:val="lowerLetter"/>
      <w:lvlText w:val="%3)"/>
      <w:lvlJc w:val="left"/>
      <w:pPr>
        <w:tabs>
          <w:tab w:val="num" w:pos="0"/>
        </w:tabs>
        <w:ind w:left="2127" w:hanging="709"/>
      </w:pPr>
    </w:lvl>
    <w:lvl w:ilvl="3">
      <w:start w:val="1"/>
      <w:numFmt w:val="lowerRoman"/>
      <w:lvlText w:val="%4)"/>
      <w:lvlJc w:val="left"/>
      <w:pPr>
        <w:tabs>
          <w:tab w:val="num" w:pos="0"/>
        </w:tabs>
        <w:ind w:left="2836" w:hanging="709"/>
      </w:pPr>
    </w:lvl>
    <w:lvl w:ilvl="4">
      <w:start w:val="1"/>
      <w:numFmt w:val="lowerLetter"/>
      <w:lvlText w:val="(%5)"/>
      <w:lvlJc w:val="left"/>
      <w:pPr>
        <w:tabs>
          <w:tab w:val="num" w:pos="0"/>
        </w:tabs>
        <w:ind w:left="3545" w:hanging="709"/>
      </w:pPr>
    </w:lvl>
    <w:lvl w:ilvl="5">
      <w:start w:val="1"/>
      <w:numFmt w:val="lowerRoman"/>
      <w:lvlText w:val="(%6)"/>
      <w:lvlJc w:val="left"/>
      <w:pPr>
        <w:tabs>
          <w:tab w:val="num" w:pos="0"/>
        </w:tabs>
        <w:ind w:left="4254" w:hanging="709"/>
      </w:pPr>
    </w:lvl>
    <w:lvl w:ilvl="6">
      <w:start w:val="1"/>
      <w:numFmt w:val="lowerLetter"/>
      <w:lvlText w:val="(%7)"/>
      <w:lvlJc w:val="left"/>
      <w:pPr>
        <w:tabs>
          <w:tab w:val="num" w:pos="0"/>
        </w:tabs>
        <w:ind w:left="4963" w:hanging="709"/>
      </w:pPr>
    </w:lvl>
    <w:lvl w:ilvl="7">
      <w:start w:val="1"/>
      <w:numFmt w:val="lowerRoman"/>
      <w:lvlText w:val="(%8)"/>
      <w:lvlJc w:val="left"/>
      <w:pPr>
        <w:tabs>
          <w:tab w:val="num" w:pos="0"/>
        </w:tabs>
        <w:ind w:left="5672" w:hanging="709"/>
      </w:pPr>
    </w:lvl>
    <w:lvl w:ilvl="8">
      <w:start w:val="1"/>
      <w:numFmt w:val="lowerLetter"/>
      <w:lvlText w:val="(%9)"/>
      <w:lvlJc w:val="left"/>
      <w:pPr>
        <w:tabs>
          <w:tab w:val="num" w:pos="0"/>
        </w:tabs>
        <w:ind w:left="6381" w:hanging="709"/>
      </w:pPr>
    </w:lvl>
  </w:abstractNum>
  <w:abstractNum w:abstractNumId="1" w15:restartNumberingAfterBreak="0">
    <w:nsid w:val="0B4F0485"/>
    <w:multiLevelType w:val="hybridMultilevel"/>
    <w:tmpl w:val="B1708DD0"/>
    <w:lvl w:ilvl="0" w:tplc="89260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9062D"/>
    <w:multiLevelType w:val="hybridMultilevel"/>
    <w:tmpl w:val="21F4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5C47"/>
    <w:multiLevelType w:val="hybridMultilevel"/>
    <w:tmpl w:val="C76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79A6"/>
    <w:multiLevelType w:val="hybridMultilevel"/>
    <w:tmpl w:val="21EA707C"/>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5D3D1E"/>
    <w:multiLevelType w:val="hybridMultilevel"/>
    <w:tmpl w:val="1E701856"/>
    <w:lvl w:ilvl="0" w:tplc="BC14E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203A40"/>
    <w:multiLevelType w:val="hybridMultilevel"/>
    <w:tmpl w:val="2CDE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47E3E"/>
    <w:multiLevelType w:val="hybridMultilevel"/>
    <w:tmpl w:val="14F42FEA"/>
    <w:lvl w:ilvl="0" w:tplc="05C00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008DF"/>
    <w:multiLevelType w:val="hybridMultilevel"/>
    <w:tmpl w:val="E4DE9EA8"/>
    <w:lvl w:ilvl="0" w:tplc="3BE644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F2545"/>
    <w:multiLevelType w:val="hybridMultilevel"/>
    <w:tmpl w:val="32F2F502"/>
    <w:lvl w:ilvl="0" w:tplc="DB7CE0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47DC7"/>
    <w:multiLevelType w:val="hybridMultilevel"/>
    <w:tmpl w:val="BCE0938C"/>
    <w:lvl w:ilvl="0" w:tplc="CDB2B4F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4D0624"/>
    <w:multiLevelType w:val="hybridMultilevel"/>
    <w:tmpl w:val="236EAF5A"/>
    <w:lvl w:ilvl="0" w:tplc="97006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C5749"/>
    <w:multiLevelType w:val="hybridMultilevel"/>
    <w:tmpl w:val="449A1E40"/>
    <w:lvl w:ilvl="0" w:tplc="56E2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C0C18"/>
    <w:multiLevelType w:val="hybridMultilevel"/>
    <w:tmpl w:val="2EEEABBC"/>
    <w:lvl w:ilvl="0" w:tplc="81D44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9"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18"/>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6"/>
  </w:num>
  <w:num w:numId="7">
    <w:abstractNumId w:val="8"/>
  </w:num>
  <w:num w:numId="8">
    <w:abstractNumId w:val="20"/>
  </w:num>
  <w:num w:numId="9">
    <w:abstractNumId w:val="5"/>
  </w:num>
  <w:num w:numId="10">
    <w:abstractNumId w:val="20"/>
  </w:num>
  <w:num w:numId="11">
    <w:abstractNumId w:val="20"/>
  </w:num>
  <w:num w:numId="12">
    <w:abstractNumId w:val="13"/>
  </w:num>
  <w:num w:numId="13">
    <w:abstractNumId w:val="28"/>
  </w:num>
  <w:num w:numId="14">
    <w:abstractNumId w:val="20"/>
    <w:lvlOverride w:ilvl="0">
      <w:startOverride w:val="1"/>
    </w:lvlOverride>
  </w:num>
  <w:num w:numId="15">
    <w:abstractNumId w:val="20"/>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11"/>
  </w:num>
  <w:num w:numId="18">
    <w:abstractNumId w:val="21"/>
  </w:num>
  <w:num w:numId="19">
    <w:abstractNumId w:val="11"/>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14"/>
  </w:num>
  <w:num w:numId="21">
    <w:abstractNumId w:val="23"/>
  </w:num>
  <w:num w:numId="22">
    <w:abstractNumId w:val="17"/>
  </w:num>
  <w:num w:numId="23">
    <w:abstractNumId w:val="29"/>
  </w:num>
  <w:num w:numId="24">
    <w:abstractNumId w:val="4"/>
  </w:num>
  <w:num w:numId="25">
    <w:abstractNumId w:val="27"/>
  </w:num>
  <w:num w:numId="26">
    <w:abstractNumId w:val="19"/>
  </w:num>
  <w:num w:numId="27">
    <w:abstractNumId w:val="6"/>
  </w:num>
  <w:num w:numId="28">
    <w:abstractNumId w:val="22"/>
  </w:num>
  <w:num w:numId="29">
    <w:abstractNumId w:val="1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0">
    <w:abstractNumId w:val="0"/>
  </w:num>
  <w:num w:numId="31">
    <w:abstractNumId w:val="7"/>
  </w:num>
  <w:num w:numId="32">
    <w:abstractNumId w:val="3"/>
  </w:num>
  <w:num w:numId="33">
    <w:abstractNumId w:val="24"/>
  </w:num>
  <w:num w:numId="34">
    <w:abstractNumId w:val="25"/>
  </w:num>
  <w:num w:numId="35">
    <w:abstractNumId w:val="10"/>
  </w:num>
  <w:num w:numId="36">
    <w:abstractNumId w:val="2"/>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MqoFAL4wYlotAAAA"/>
  </w:docVars>
  <w:rsids>
    <w:rsidRoot w:val="00CC4C21"/>
    <w:rsid w:val="00004A59"/>
    <w:rsid w:val="0000534F"/>
    <w:rsid w:val="00010768"/>
    <w:rsid w:val="00013989"/>
    <w:rsid w:val="00020F14"/>
    <w:rsid w:val="00025CDF"/>
    <w:rsid w:val="0003054E"/>
    <w:rsid w:val="00030C93"/>
    <w:rsid w:val="00040193"/>
    <w:rsid w:val="00050392"/>
    <w:rsid w:val="000519F6"/>
    <w:rsid w:val="00052FAD"/>
    <w:rsid w:val="00056662"/>
    <w:rsid w:val="00067FCB"/>
    <w:rsid w:val="00071377"/>
    <w:rsid w:val="00071B84"/>
    <w:rsid w:val="00074C8E"/>
    <w:rsid w:val="000756C2"/>
    <w:rsid w:val="00075EF0"/>
    <w:rsid w:val="00081862"/>
    <w:rsid w:val="0008560D"/>
    <w:rsid w:val="000873E2"/>
    <w:rsid w:val="0009242F"/>
    <w:rsid w:val="000924C3"/>
    <w:rsid w:val="000929A9"/>
    <w:rsid w:val="0009388F"/>
    <w:rsid w:val="00093BBC"/>
    <w:rsid w:val="00097D19"/>
    <w:rsid w:val="000A1F6D"/>
    <w:rsid w:val="000A6DE5"/>
    <w:rsid w:val="000B4372"/>
    <w:rsid w:val="000B593B"/>
    <w:rsid w:val="000C0D38"/>
    <w:rsid w:val="000C3968"/>
    <w:rsid w:val="000C5DA2"/>
    <w:rsid w:val="000D0A14"/>
    <w:rsid w:val="000D150D"/>
    <w:rsid w:val="000D59E2"/>
    <w:rsid w:val="000D6415"/>
    <w:rsid w:val="000E6583"/>
    <w:rsid w:val="000F2641"/>
    <w:rsid w:val="000F455A"/>
    <w:rsid w:val="00101B55"/>
    <w:rsid w:val="001028F4"/>
    <w:rsid w:val="001038BF"/>
    <w:rsid w:val="00112139"/>
    <w:rsid w:val="001135C2"/>
    <w:rsid w:val="00113D34"/>
    <w:rsid w:val="00121281"/>
    <w:rsid w:val="00123576"/>
    <w:rsid w:val="00124207"/>
    <w:rsid w:val="0012519F"/>
    <w:rsid w:val="001278AB"/>
    <w:rsid w:val="00132667"/>
    <w:rsid w:val="00133211"/>
    <w:rsid w:val="00137599"/>
    <w:rsid w:val="00137C18"/>
    <w:rsid w:val="00137E39"/>
    <w:rsid w:val="00140938"/>
    <w:rsid w:val="00140E1B"/>
    <w:rsid w:val="001428B9"/>
    <w:rsid w:val="00144AA3"/>
    <w:rsid w:val="00145BD4"/>
    <w:rsid w:val="00151BF3"/>
    <w:rsid w:val="00151F45"/>
    <w:rsid w:val="00161387"/>
    <w:rsid w:val="00162586"/>
    <w:rsid w:val="001664B7"/>
    <w:rsid w:val="001701BC"/>
    <w:rsid w:val="00170E74"/>
    <w:rsid w:val="001723B1"/>
    <w:rsid w:val="00173E70"/>
    <w:rsid w:val="00180671"/>
    <w:rsid w:val="00180C28"/>
    <w:rsid w:val="001831FD"/>
    <w:rsid w:val="00186D46"/>
    <w:rsid w:val="001918B4"/>
    <w:rsid w:val="001934AE"/>
    <w:rsid w:val="00193B2C"/>
    <w:rsid w:val="00195F76"/>
    <w:rsid w:val="0019655D"/>
    <w:rsid w:val="00196639"/>
    <w:rsid w:val="001A07D1"/>
    <w:rsid w:val="001A0CAF"/>
    <w:rsid w:val="001A100A"/>
    <w:rsid w:val="001A376F"/>
    <w:rsid w:val="001A3E53"/>
    <w:rsid w:val="001B0EFE"/>
    <w:rsid w:val="001B2CDB"/>
    <w:rsid w:val="001B3B93"/>
    <w:rsid w:val="001B4709"/>
    <w:rsid w:val="001B7341"/>
    <w:rsid w:val="001C54C3"/>
    <w:rsid w:val="001C78EC"/>
    <w:rsid w:val="001D20C4"/>
    <w:rsid w:val="001D25DE"/>
    <w:rsid w:val="001D269C"/>
    <w:rsid w:val="001D33D2"/>
    <w:rsid w:val="001D3745"/>
    <w:rsid w:val="001E3201"/>
    <w:rsid w:val="001F00CC"/>
    <w:rsid w:val="001F27BA"/>
    <w:rsid w:val="001F3925"/>
    <w:rsid w:val="001F7EBD"/>
    <w:rsid w:val="00200EE2"/>
    <w:rsid w:val="002015F8"/>
    <w:rsid w:val="00205327"/>
    <w:rsid w:val="002056F2"/>
    <w:rsid w:val="00205A44"/>
    <w:rsid w:val="00212006"/>
    <w:rsid w:val="0021402A"/>
    <w:rsid w:val="00214C9A"/>
    <w:rsid w:val="00214DB4"/>
    <w:rsid w:val="002179A9"/>
    <w:rsid w:val="00217F2A"/>
    <w:rsid w:val="002207B6"/>
    <w:rsid w:val="00226F91"/>
    <w:rsid w:val="00230C4D"/>
    <w:rsid w:val="00235626"/>
    <w:rsid w:val="00235863"/>
    <w:rsid w:val="00235F12"/>
    <w:rsid w:val="00237570"/>
    <w:rsid w:val="0024354F"/>
    <w:rsid w:val="00243AE1"/>
    <w:rsid w:val="00244D11"/>
    <w:rsid w:val="00244FEB"/>
    <w:rsid w:val="00246F18"/>
    <w:rsid w:val="002616E9"/>
    <w:rsid w:val="00271C68"/>
    <w:rsid w:val="00274FEA"/>
    <w:rsid w:val="0027707F"/>
    <w:rsid w:val="00283F8A"/>
    <w:rsid w:val="002851C9"/>
    <w:rsid w:val="0028576D"/>
    <w:rsid w:val="0029059D"/>
    <w:rsid w:val="00292244"/>
    <w:rsid w:val="00294481"/>
    <w:rsid w:val="002978B1"/>
    <w:rsid w:val="002A53DE"/>
    <w:rsid w:val="002B0D54"/>
    <w:rsid w:val="002B5263"/>
    <w:rsid w:val="002B5CED"/>
    <w:rsid w:val="002B60A6"/>
    <w:rsid w:val="002C103D"/>
    <w:rsid w:val="002D0A94"/>
    <w:rsid w:val="002D1EF1"/>
    <w:rsid w:val="002D3055"/>
    <w:rsid w:val="002D4EB8"/>
    <w:rsid w:val="002E1570"/>
    <w:rsid w:val="002E1B36"/>
    <w:rsid w:val="002E2798"/>
    <w:rsid w:val="002E2AE3"/>
    <w:rsid w:val="002E2D44"/>
    <w:rsid w:val="002E72B8"/>
    <w:rsid w:val="00303387"/>
    <w:rsid w:val="00306766"/>
    <w:rsid w:val="00307BB3"/>
    <w:rsid w:val="003107BB"/>
    <w:rsid w:val="003137B8"/>
    <w:rsid w:val="00315AA7"/>
    <w:rsid w:val="00316A4E"/>
    <w:rsid w:val="00320D3B"/>
    <w:rsid w:val="003254C1"/>
    <w:rsid w:val="003329A7"/>
    <w:rsid w:val="00336595"/>
    <w:rsid w:val="00344425"/>
    <w:rsid w:val="0034659B"/>
    <w:rsid w:val="00346D7F"/>
    <w:rsid w:val="00347A6C"/>
    <w:rsid w:val="00352C25"/>
    <w:rsid w:val="003615E7"/>
    <w:rsid w:val="0036708A"/>
    <w:rsid w:val="00372A44"/>
    <w:rsid w:val="003752EA"/>
    <w:rsid w:val="00380619"/>
    <w:rsid w:val="00386D4F"/>
    <w:rsid w:val="00392D92"/>
    <w:rsid w:val="003A6C9E"/>
    <w:rsid w:val="003B6631"/>
    <w:rsid w:val="003C11F1"/>
    <w:rsid w:val="003C4AE0"/>
    <w:rsid w:val="003D0C13"/>
    <w:rsid w:val="003D1552"/>
    <w:rsid w:val="003D2454"/>
    <w:rsid w:val="003D28EB"/>
    <w:rsid w:val="003D47BB"/>
    <w:rsid w:val="003D7548"/>
    <w:rsid w:val="003E01CB"/>
    <w:rsid w:val="003E2D9E"/>
    <w:rsid w:val="003E2E94"/>
    <w:rsid w:val="003E5B26"/>
    <w:rsid w:val="003F0BD8"/>
    <w:rsid w:val="003F5DC2"/>
    <w:rsid w:val="003F6C74"/>
    <w:rsid w:val="00403F4C"/>
    <w:rsid w:val="00405958"/>
    <w:rsid w:val="00410C4B"/>
    <w:rsid w:val="00412994"/>
    <w:rsid w:val="00414EE8"/>
    <w:rsid w:val="0041639C"/>
    <w:rsid w:val="00425DDF"/>
    <w:rsid w:val="004362B7"/>
    <w:rsid w:val="00444299"/>
    <w:rsid w:val="00444F2B"/>
    <w:rsid w:val="00445E2B"/>
    <w:rsid w:val="00451625"/>
    <w:rsid w:val="0045195B"/>
    <w:rsid w:val="00452DCC"/>
    <w:rsid w:val="00452F43"/>
    <w:rsid w:val="00453AC2"/>
    <w:rsid w:val="00460B09"/>
    <w:rsid w:val="00463B4E"/>
    <w:rsid w:val="00472219"/>
    <w:rsid w:val="00480924"/>
    <w:rsid w:val="0048513B"/>
    <w:rsid w:val="00495D12"/>
    <w:rsid w:val="004A0A8E"/>
    <w:rsid w:val="004A2599"/>
    <w:rsid w:val="004A2BCF"/>
    <w:rsid w:val="004A4989"/>
    <w:rsid w:val="004A4C0A"/>
    <w:rsid w:val="004A621D"/>
    <w:rsid w:val="004B035B"/>
    <w:rsid w:val="004B5E13"/>
    <w:rsid w:val="004B7720"/>
    <w:rsid w:val="004C16E0"/>
    <w:rsid w:val="004D1E2A"/>
    <w:rsid w:val="004D25D8"/>
    <w:rsid w:val="004D3158"/>
    <w:rsid w:val="004D626C"/>
    <w:rsid w:val="004D6693"/>
    <w:rsid w:val="004D7477"/>
    <w:rsid w:val="004E344A"/>
    <w:rsid w:val="004F0E63"/>
    <w:rsid w:val="004F2AF8"/>
    <w:rsid w:val="004F2E3A"/>
    <w:rsid w:val="004F2E46"/>
    <w:rsid w:val="004F4537"/>
    <w:rsid w:val="0050272D"/>
    <w:rsid w:val="005035D7"/>
    <w:rsid w:val="00504268"/>
    <w:rsid w:val="00505A71"/>
    <w:rsid w:val="0052122C"/>
    <w:rsid w:val="00524F8B"/>
    <w:rsid w:val="00530F3A"/>
    <w:rsid w:val="0053100E"/>
    <w:rsid w:val="00534D8A"/>
    <w:rsid w:val="00536645"/>
    <w:rsid w:val="0053790B"/>
    <w:rsid w:val="0054639E"/>
    <w:rsid w:val="00547B91"/>
    <w:rsid w:val="005525AE"/>
    <w:rsid w:val="005607FE"/>
    <w:rsid w:val="005635BB"/>
    <w:rsid w:val="00565850"/>
    <w:rsid w:val="00572ED8"/>
    <w:rsid w:val="0057485E"/>
    <w:rsid w:val="005757DD"/>
    <w:rsid w:val="005822F9"/>
    <w:rsid w:val="0058334F"/>
    <w:rsid w:val="005845CC"/>
    <w:rsid w:val="0058564A"/>
    <w:rsid w:val="00590A52"/>
    <w:rsid w:val="00591A9F"/>
    <w:rsid w:val="005971E2"/>
    <w:rsid w:val="00597860"/>
    <w:rsid w:val="005A308B"/>
    <w:rsid w:val="005A583D"/>
    <w:rsid w:val="005A5FCB"/>
    <w:rsid w:val="005B0B7A"/>
    <w:rsid w:val="005B12AA"/>
    <w:rsid w:val="005B20A3"/>
    <w:rsid w:val="005B36C6"/>
    <w:rsid w:val="005B377B"/>
    <w:rsid w:val="005B61A0"/>
    <w:rsid w:val="005B7764"/>
    <w:rsid w:val="005C0C67"/>
    <w:rsid w:val="005C146D"/>
    <w:rsid w:val="005C523F"/>
    <w:rsid w:val="005C5626"/>
    <w:rsid w:val="005D34B0"/>
    <w:rsid w:val="005E556B"/>
    <w:rsid w:val="005E5904"/>
    <w:rsid w:val="005F0795"/>
    <w:rsid w:val="005F1EC0"/>
    <w:rsid w:val="005F3C50"/>
    <w:rsid w:val="005F57FA"/>
    <w:rsid w:val="00601509"/>
    <w:rsid w:val="00605E0F"/>
    <w:rsid w:val="0061354A"/>
    <w:rsid w:val="00622DDF"/>
    <w:rsid w:val="0062332E"/>
    <w:rsid w:val="00623817"/>
    <w:rsid w:val="00623C86"/>
    <w:rsid w:val="00631B91"/>
    <w:rsid w:val="00635504"/>
    <w:rsid w:val="00635A7C"/>
    <w:rsid w:val="00645457"/>
    <w:rsid w:val="006478A6"/>
    <w:rsid w:val="00650D0C"/>
    <w:rsid w:val="006513AF"/>
    <w:rsid w:val="00652326"/>
    <w:rsid w:val="00662CEA"/>
    <w:rsid w:val="006645C9"/>
    <w:rsid w:val="006720CF"/>
    <w:rsid w:val="00673F34"/>
    <w:rsid w:val="00675BEB"/>
    <w:rsid w:val="00676ECB"/>
    <w:rsid w:val="00682172"/>
    <w:rsid w:val="00687181"/>
    <w:rsid w:val="00693D79"/>
    <w:rsid w:val="006A126D"/>
    <w:rsid w:val="006A1B1A"/>
    <w:rsid w:val="006A37B2"/>
    <w:rsid w:val="006A3B6F"/>
    <w:rsid w:val="006A3F5F"/>
    <w:rsid w:val="006A6465"/>
    <w:rsid w:val="006A68E2"/>
    <w:rsid w:val="006B0302"/>
    <w:rsid w:val="006B363E"/>
    <w:rsid w:val="006B37AB"/>
    <w:rsid w:val="006B3F2F"/>
    <w:rsid w:val="006B4A06"/>
    <w:rsid w:val="006B6374"/>
    <w:rsid w:val="006B7E30"/>
    <w:rsid w:val="006C171F"/>
    <w:rsid w:val="006C1880"/>
    <w:rsid w:val="006C5E78"/>
    <w:rsid w:val="006C6719"/>
    <w:rsid w:val="006D0BF6"/>
    <w:rsid w:val="006D305B"/>
    <w:rsid w:val="006D57EC"/>
    <w:rsid w:val="006D7808"/>
    <w:rsid w:val="006E0806"/>
    <w:rsid w:val="006E0EC6"/>
    <w:rsid w:val="006F5ABA"/>
    <w:rsid w:val="0070371E"/>
    <w:rsid w:val="00706971"/>
    <w:rsid w:val="007136EA"/>
    <w:rsid w:val="00715C55"/>
    <w:rsid w:val="00716FAC"/>
    <w:rsid w:val="00722761"/>
    <w:rsid w:val="00723042"/>
    <w:rsid w:val="00723DED"/>
    <w:rsid w:val="00726606"/>
    <w:rsid w:val="00730A82"/>
    <w:rsid w:val="00733AD4"/>
    <w:rsid w:val="00733EB6"/>
    <w:rsid w:val="0073469E"/>
    <w:rsid w:val="00734FDD"/>
    <w:rsid w:val="0073546C"/>
    <w:rsid w:val="00735809"/>
    <w:rsid w:val="0073620A"/>
    <w:rsid w:val="00736607"/>
    <w:rsid w:val="00754989"/>
    <w:rsid w:val="00760109"/>
    <w:rsid w:val="00760FB2"/>
    <w:rsid w:val="00767965"/>
    <w:rsid w:val="00774D29"/>
    <w:rsid w:val="007761C4"/>
    <w:rsid w:val="00776FF5"/>
    <w:rsid w:val="0077729D"/>
    <w:rsid w:val="00780127"/>
    <w:rsid w:val="00781B2C"/>
    <w:rsid w:val="00784359"/>
    <w:rsid w:val="007904C2"/>
    <w:rsid w:val="007925FA"/>
    <w:rsid w:val="00793329"/>
    <w:rsid w:val="00794A87"/>
    <w:rsid w:val="00796B89"/>
    <w:rsid w:val="007A1664"/>
    <w:rsid w:val="007A4C83"/>
    <w:rsid w:val="007A5FFE"/>
    <w:rsid w:val="007A6037"/>
    <w:rsid w:val="007A6F06"/>
    <w:rsid w:val="007A7768"/>
    <w:rsid w:val="007B4706"/>
    <w:rsid w:val="007B7B02"/>
    <w:rsid w:val="007C218A"/>
    <w:rsid w:val="007C5E28"/>
    <w:rsid w:val="007C60DD"/>
    <w:rsid w:val="007D06C0"/>
    <w:rsid w:val="007D123B"/>
    <w:rsid w:val="007D25FE"/>
    <w:rsid w:val="007D3310"/>
    <w:rsid w:val="007D682D"/>
    <w:rsid w:val="007D7BD6"/>
    <w:rsid w:val="007E05F2"/>
    <w:rsid w:val="007E07D6"/>
    <w:rsid w:val="007E1368"/>
    <w:rsid w:val="007E4B00"/>
    <w:rsid w:val="007E5540"/>
    <w:rsid w:val="007F3B2C"/>
    <w:rsid w:val="007F3D99"/>
    <w:rsid w:val="007F4404"/>
    <w:rsid w:val="008001C8"/>
    <w:rsid w:val="00800D9F"/>
    <w:rsid w:val="00801281"/>
    <w:rsid w:val="00804B55"/>
    <w:rsid w:val="00804BC9"/>
    <w:rsid w:val="0081101D"/>
    <w:rsid w:val="00814381"/>
    <w:rsid w:val="00815764"/>
    <w:rsid w:val="00817D0A"/>
    <w:rsid w:val="008252B1"/>
    <w:rsid w:val="008253DE"/>
    <w:rsid w:val="00826E32"/>
    <w:rsid w:val="00827BA2"/>
    <w:rsid w:val="0083229B"/>
    <w:rsid w:val="008328A3"/>
    <w:rsid w:val="0083476E"/>
    <w:rsid w:val="0083782E"/>
    <w:rsid w:val="00837DBE"/>
    <w:rsid w:val="008410A9"/>
    <w:rsid w:val="00841774"/>
    <w:rsid w:val="00847069"/>
    <w:rsid w:val="008470C9"/>
    <w:rsid w:val="00850F37"/>
    <w:rsid w:val="00853B10"/>
    <w:rsid w:val="008577B7"/>
    <w:rsid w:val="008700A0"/>
    <w:rsid w:val="00877F00"/>
    <w:rsid w:val="00880DCA"/>
    <w:rsid w:val="008817F2"/>
    <w:rsid w:val="00881F6C"/>
    <w:rsid w:val="008821CA"/>
    <w:rsid w:val="00890F42"/>
    <w:rsid w:val="00892EDD"/>
    <w:rsid w:val="00894314"/>
    <w:rsid w:val="0089513D"/>
    <w:rsid w:val="008A00BC"/>
    <w:rsid w:val="008A4396"/>
    <w:rsid w:val="008A457F"/>
    <w:rsid w:val="008A7365"/>
    <w:rsid w:val="008B23BB"/>
    <w:rsid w:val="008B25FC"/>
    <w:rsid w:val="008B3722"/>
    <w:rsid w:val="008B3ACB"/>
    <w:rsid w:val="008B3BC0"/>
    <w:rsid w:val="008C4986"/>
    <w:rsid w:val="008C4A98"/>
    <w:rsid w:val="008D0F6D"/>
    <w:rsid w:val="008D68F1"/>
    <w:rsid w:val="008D714D"/>
    <w:rsid w:val="008D75F6"/>
    <w:rsid w:val="008D7C69"/>
    <w:rsid w:val="008E13BB"/>
    <w:rsid w:val="008E1A04"/>
    <w:rsid w:val="008E4675"/>
    <w:rsid w:val="008E771B"/>
    <w:rsid w:val="008E793B"/>
    <w:rsid w:val="008F09EA"/>
    <w:rsid w:val="0090180B"/>
    <w:rsid w:val="00903C31"/>
    <w:rsid w:val="00905177"/>
    <w:rsid w:val="00907773"/>
    <w:rsid w:val="00912329"/>
    <w:rsid w:val="009126AA"/>
    <w:rsid w:val="009127B3"/>
    <w:rsid w:val="00922EC5"/>
    <w:rsid w:val="009273B3"/>
    <w:rsid w:val="00932D76"/>
    <w:rsid w:val="009331E1"/>
    <w:rsid w:val="0093749A"/>
    <w:rsid w:val="00947A9A"/>
    <w:rsid w:val="0095173A"/>
    <w:rsid w:val="00952714"/>
    <w:rsid w:val="009539BD"/>
    <w:rsid w:val="009539C2"/>
    <w:rsid w:val="00960BB0"/>
    <w:rsid w:val="00964F22"/>
    <w:rsid w:val="00976510"/>
    <w:rsid w:val="009812CD"/>
    <w:rsid w:val="00983FCA"/>
    <w:rsid w:val="00994087"/>
    <w:rsid w:val="009941F7"/>
    <w:rsid w:val="00996A68"/>
    <w:rsid w:val="00997CB9"/>
    <w:rsid w:val="009A029E"/>
    <w:rsid w:val="009A3363"/>
    <w:rsid w:val="009A34F7"/>
    <w:rsid w:val="009A7688"/>
    <w:rsid w:val="009A769C"/>
    <w:rsid w:val="009B320B"/>
    <w:rsid w:val="009B3EAA"/>
    <w:rsid w:val="009B495E"/>
    <w:rsid w:val="009C1F84"/>
    <w:rsid w:val="009C3A4E"/>
    <w:rsid w:val="009C4670"/>
    <w:rsid w:val="009C4D3B"/>
    <w:rsid w:val="009D0733"/>
    <w:rsid w:val="009E119B"/>
    <w:rsid w:val="009F08EA"/>
    <w:rsid w:val="009F125D"/>
    <w:rsid w:val="00A027FD"/>
    <w:rsid w:val="00A030B9"/>
    <w:rsid w:val="00A03887"/>
    <w:rsid w:val="00A04F30"/>
    <w:rsid w:val="00A11498"/>
    <w:rsid w:val="00A117BE"/>
    <w:rsid w:val="00A11E8C"/>
    <w:rsid w:val="00A12FFC"/>
    <w:rsid w:val="00A13E58"/>
    <w:rsid w:val="00A163BC"/>
    <w:rsid w:val="00A16D34"/>
    <w:rsid w:val="00A2058F"/>
    <w:rsid w:val="00A210C8"/>
    <w:rsid w:val="00A22E70"/>
    <w:rsid w:val="00A24F6C"/>
    <w:rsid w:val="00A25856"/>
    <w:rsid w:val="00A25BCD"/>
    <w:rsid w:val="00A266BE"/>
    <w:rsid w:val="00A27E38"/>
    <w:rsid w:val="00A31919"/>
    <w:rsid w:val="00A32DEF"/>
    <w:rsid w:val="00A32E44"/>
    <w:rsid w:val="00A43E6C"/>
    <w:rsid w:val="00A51791"/>
    <w:rsid w:val="00A56C4F"/>
    <w:rsid w:val="00A60614"/>
    <w:rsid w:val="00A80B1D"/>
    <w:rsid w:val="00A811EE"/>
    <w:rsid w:val="00A822BB"/>
    <w:rsid w:val="00A853DE"/>
    <w:rsid w:val="00A9424B"/>
    <w:rsid w:val="00A94573"/>
    <w:rsid w:val="00A97565"/>
    <w:rsid w:val="00AB0029"/>
    <w:rsid w:val="00AB21B4"/>
    <w:rsid w:val="00AB3BD4"/>
    <w:rsid w:val="00AB4B17"/>
    <w:rsid w:val="00AC04F0"/>
    <w:rsid w:val="00AC65DC"/>
    <w:rsid w:val="00AD646F"/>
    <w:rsid w:val="00AD7CE9"/>
    <w:rsid w:val="00AE439F"/>
    <w:rsid w:val="00AE4BDE"/>
    <w:rsid w:val="00AE6F66"/>
    <w:rsid w:val="00AF30C4"/>
    <w:rsid w:val="00B03130"/>
    <w:rsid w:val="00B03209"/>
    <w:rsid w:val="00B03441"/>
    <w:rsid w:val="00B05230"/>
    <w:rsid w:val="00B149DD"/>
    <w:rsid w:val="00B16324"/>
    <w:rsid w:val="00B176B3"/>
    <w:rsid w:val="00B17FB0"/>
    <w:rsid w:val="00B278BC"/>
    <w:rsid w:val="00B35DEF"/>
    <w:rsid w:val="00B416EA"/>
    <w:rsid w:val="00B463D1"/>
    <w:rsid w:val="00B545BC"/>
    <w:rsid w:val="00B62559"/>
    <w:rsid w:val="00B627EA"/>
    <w:rsid w:val="00B64241"/>
    <w:rsid w:val="00B6523E"/>
    <w:rsid w:val="00B6660F"/>
    <w:rsid w:val="00B717DB"/>
    <w:rsid w:val="00B74381"/>
    <w:rsid w:val="00B747AA"/>
    <w:rsid w:val="00B75BA7"/>
    <w:rsid w:val="00B837E4"/>
    <w:rsid w:val="00B843CF"/>
    <w:rsid w:val="00B84C40"/>
    <w:rsid w:val="00B86495"/>
    <w:rsid w:val="00B87082"/>
    <w:rsid w:val="00B921CA"/>
    <w:rsid w:val="00B94B44"/>
    <w:rsid w:val="00B950DF"/>
    <w:rsid w:val="00B96055"/>
    <w:rsid w:val="00B96D65"/>
    <w:rsid w:val="00B977C1"/>
    <w:rsid w:val="00BA1AA2"/>
    <w:rsid w:val="00BB1A3E"/>
    <w:rsid w:val="00BB5EFE"/>
    <w:rsid w:val="00BC3E1E"/>
    <w:rsid w:val="00BC4B68"/>
    <w:rsid w:val="00BC620B"/>
    <w:rsid w:val="00BC73B1"/>
    <w:rsid w:val="00BD4136"/>
    <w:rsid w:val="00BD4992"/>
    <w:rsid w:val="00BE0813"/>
    <w:rsid w:val="00BE3EC0"/>
    <w:rsid w:val="00BE73E4"/>
    <w:rsid w:val="00BF33B0"/>
    <w:rsid w:val="00BF4FAE"/>
    <w:rsid w:val="00BF6167"/>
    <w:rsid w:val="00BF7910"/>
    <w:rsid w:val="00C0161A"/>
    <w:rsid w:val="00C01E9E"/>
    <w:rsid w:val="00C03BF2"/>
    <w:rsid w:val="00C03FF3"/>
    <w:rsid w:val="00C057B3"/>
    <w:rsid w:val="00C13F36"/>
    <w:rsid w:val="00C146F8"/>
    <w:rsid w:val="00C14899"/>
    <w:rsid w:val="00C15088"/>
    <w:rsid w:val="00C161D1"/>
    <w:rsid w:val="00C243E8"/>
    <w:rsid w:val="00C2466E"/>
    <w:rsid w:val="00C34C45"/>
    <w:rsid w:val="00C3749C"/>
    <w:rsid w:val="00C44C4A"/>
    <w:rsid w:val="00C57874"/>
    <w:rsid w:val="00C60A83"/>
    <w:rsid w:val="00C616AA"/>
    <w:rsid w:val="00C65D1E"/>
    <w:rsid w:val="00C713FA"/>
    <w:rsid w:val="00C7607B"/>
    <w:rsid w:val="00C77D45"/>
    <w:rsid w:val="00C921B5"/>
    <w:rsid w:val="00C931F3"/>
    <w:rsid w:val="00C94491"/>
    <w:rsid w:val="00CA247E"/>
    <w:rsid w:val="00CA638B"/>
    <w:rsid w:val="00CB7A05"/>
    <w:rsid w:val="00CC0848"/>
    <w:rsid w:val="00CC437E"/>
    <w:rsid w:val="00CC4C21"/>
    <w:rsid w:val="00CC7975"/>
    <w:rsid w:val="00CD0281"/>
    <w:rsid w:val="00CD09C7"/>
    <w:rsid w:val="00CD3F5F"/>
    <w:rsid w:val="00CD67A5"/>
    <w:rsid w:val="00CD7565"/>
    <w:rsid w:val="00CE1649"/>
    <w:rsid w:val="00CF3058"/>
    <w:rsid w:val="00CF3F73"/>
    <w:rsid w:val="00D01A26"/>
    <w:rsid w:val="00D0663C"/>
    <w:rsid w:val="00D15CD1"/>
    <w:rsid w:val="00D17750"/>
    <w:rsid w:val="00D22D37"/>
    <w:rsid w:val="00D231D8"/>
    <w:rsid w:val="00D31F1B"/>
    <w:rsid w:val="00D33C9F"/>
    <w:rsid w:val="00D33DBF"/>
    <w:rsid w:val="00D33FE0"/>
    <w:rsid w:val="00D360DA"/>
    <w:rsid w:val="00D36EDF"/>
    <w:rsid w:val="00D37498"/>
    <w:rsid w:val="00D37AF7"/>
    <w:rsid w:val="00D436FD"/>
    <w:rsid w:val="00D604FE"/>
    <w:rsid w:val="00D606C3"/>
    <w:rsid w:val="00D6088A"/>
    <w:rsid w:val="00D60EF5"/>
    <w:rsid w:val="00D626AE"/>
    <w:rsid w:val="00D62D73"/>
    <w:rsid w:val="00D710E7"/>
    <w:rsid w:val="00D72405"/>
    <w:rsid w:val="00D8338F"/>
    <w:rsid w:val="00D84B09"/>
    <w:rsid w:val="00D91235"/>
    <w:rsid w:val="00D9464C"/>
    <w:rsid w:val="00D956A4"/>
    <w:rsid w:val="00D963DE"/>
    <w:rsid w:val="00D97BF3"/>
    <w:rsid w:val="00DA28D0"/>
    <w:rsid w:val="00DA4592"/>
    <w:rsid w:val="00DB69C0"/>
    <w:rsid w:val="00DC3437"/>
    <w:rsid w:val="00DC3786"/>
    <w:rsid w:val="00DC3944"/>
    <w:rsid w:val="00DC5C7F"/>
    <w:rsid w:val="00DD0365"/>
    <w:rsid w:val="00DD321A"/>
    <w:rsid w:val="00DD33C5"/>
    <w:rsid w:val="00DD35DB"/>
    <w:rsid w:val="00DD394F"/>
    <w:rsid w:val="00DD6D79"/>
    <w:rsid w:val="00DE2320"/>
    <w:rsid w:val="00DE2444"/>
    <w:rsid w:val="00DE6D9A"/>
    <w:rsid w:val="00E02D92"/>
    <w:rsid w:val="00E04991"/>
    <w:rsid w:val="00E10BEC"/>
    <w:rsid w:val="00E110EC"/>
    <w:rsid w:val="00E114A0"/>
    <w:rsid w:val="00E11829"/>
    <w:rsid w:val="00E12841"/>
    <w:rsid w:val="00E1659A"/>
    <w:rsid w:val="00E20BDD"/>
    <w:rsid w:val="00E2175B"/>
    <w:rsid w:val="00E22999"/>
    <w:rsid w:val="00E27679"/>
    <w:rsid w:val="00E34D9B"/>
    <w:rsid w:val="00E407C0"/>
    <w:rsid w:val="00E409F3"/>
    <w:rsid w:val="00E40B08"/>
    <w:rsid w:val="00E4108E"/>
    <w:rsid w:val="00E4424F"/>
    <w:rsid w:val="00E47C2F"/>
    <w:rsid w:val="00E54F2B"/>
    <w:rsid w:val="00E64CDD"/>
    <w:rsid w:val="00E65F6A"/>
    <w:rsid w:val="00E663B6"/>
    <w:rsid w:val="00E66DC6"/>
    <w:rsid w:val="00E80D76"/>
    <w:rsid w:val="00E81680"/>
    <w:rsid w:val="00E82C79"/>
    <w:rsid w:val="00E82CFF"/>
    <w:rsid w:val="00E8713C"/>
    <w:rsid w:val="00E91369"/>
    <w:rsid w:val="00E9658B"/>
    <w:rsid w:val="00E9663A"/>
    <w:rsid w:val="00E96A4A"/>
    <w:rsid w:val="00E97508"/>
    <w:rsid w:val="00E9769A"/>
    <w:rsid w:val="00E976E3"/>
    <w:rsid w:val="00EA155E"/>
    <w:rsid w:val="00EA6048"/>
    <w:rsid w:val="00EA7B8C"/>
    <w:rsid w:val="00EB1EC9"/>
    <w:rsid w:val="00EB26EF"/>
    <w:rsid w:val="00EC09BF"/>
    <w:rsid w:val="00EC2665"/>
    <w:rsid w:val="00EC3787"/>
    <w:rsid w:val="00EC6366"/>
    <w:rsid w:val="00ED0BFC"/>
    <w:rsid w:val="00ED1B3C"/>
    <w:rsid w:val="00ED27F8"/>
    <w:rsid w:val="00ED313D"/>
    <w:rsid w:val="00EE1498"/>
    <w:rsid w:val="00EE2693"/>
    <w:rsid w:val="00EE44C8"/>
    <w:rsid w:val="00EF13E2"/>
    <w:rsid w:val="00EF53DF"/>
    <w:rsid w:val="00EF6D79"/>
    <w:rsid w:val="00EF7B12"/>
    <w:rsid w:val="00F12940"/>
    <w:rsid w:val="00F16108"/>
    <w:rsid w:val="00F22699"/>
    <w:rsid w:val="00F3310C"/>
    <w:rsid w:val="00F33B83"/>
    <w:rsid w:val="00F35EE5"/>
    <w:rsid w:val="00F40687"/>
    <w:rsid w:val="00F43258"/>
    <w:rsid w:val="00F43DB9"/>
    <w:rsid w:val="00F46A76"/>
    <w:rsid w:val="00F46DD2"/>
    <w:rsid w:val="00F47073"/>
    <w:rsid w:val="00F47D65"/>
    <w:rsid w:val="00F60EFB"/>
    <w:rsid w:val="00F6127A"/>
    <w:rsid w:val="00F63FA1"/>
    <w:rsid w:val="00F67C42"/>
    <w:rsid w:val="00F71DEE"/>
    <w:rsid w:val="00F72AF1"/>
    <w:rsid w:val="00F747BF"/>
    <w:rsid w:val="00F80BFB"/>
    <w:rsid w:val="00F9071F"/>
    <w:rsid w:val="00F90869"/>
    <w:rsid w:val="00F91859"/>
    <w:rsid w:val="00FB1A40"/>
    <w:rsid w:val="00FC174B"/>
    <w:rsid w:val="00FC7001"/>
    <w:rsid w:val="00FD0C0B"/>
    <w:rsid w:val="00FD1BC6"/>
    <w:rsid w:val="00FD5F94"/>
    <w:rsid w:val="00FD7998"/>
    <w:rsid w:val="00FE6BAF"/>
    <w:rsid w:val="00FF5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9"/>
    <w:qFormat/>
    <w:rsid w:val="0077729D"/>
    <w:pPr>
      <w:tabs>
        <w:tab w:val="num" w:pos="720"/>
      </w:tabs>
      <w:suppressAutoHyphens/>
      <w:autoSpaceDE w:val="0"/>
      <w:autoSpaceDN w:val="0"/>
      <w:spacing w:before="240" w:after="240" w:line="480" w:lineRule="auto"/>
      <w:ind w:left="720" w:hanging="720"/>
      <w:jc w:val="both"/>
      <w:outlineLvl w:val="0"/>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unhideWhenUsed/>
    <w:qFormat/>
    <w:rsid w:val="00BD4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77729D"/>
    <w:pPr>
      <w:tabs>
        <w:tab w:val="num" w:pos="0"/>
      </w:tabs>
      <w:autoSpaceDE w:val="0"/>
      <w:autoSpaceDN w:val="0"/>
      <w:spacing w:before="240" w:after="240" w:line="480" w:lineRule="auto"/>
      <w:ind w:left="2127" w:hanging="709"/>
      <w:jc w:val="both"/>
      <w:outlineLvl w:val="2"/>
    </w:pPr>
    <w:rPr>
      <w:rFonts w:ascii="Times New Roman" w:eastAsiaTheme="minorEastAsia" w:hAnsi="Times New Roman" w:cs="Times New Roman"/>
      <w:sz w:val="24"/>
      <w:szCs w:val="24"/>
    </w:rPr>
  </w:style>
  <w:style w:type="paragraph" w:styleId="Heading4">
    <w:name w:val="heading 4"/>
    <w:basedOn w:val="Normal"/>
    <w:link w:val="Heading4Char"/>
    <w:uiPriority w:val="99"/>
    <w:qFormat/>
    <w:rsid w:val="0077729D"/>
    <w:pPr>
      <w:tabs>
        <w:tab w:val="num" w:pos="0"/>
      </w:tabs>
      <w:autoSpaceDE w:val="0"/>
      <w:autoSpaceDN w:val="0"/>
      <w:spacing w:before="240" w:after="240" w:line="480" w:lineRule="auto"/>
      <w:ind w:left="2836" w:hanging="709"/>
      <w:jc w:val="both"/>
      <w:outlineLvl w:val="3"/>
    </w:pPr>
    <w:rPr>
      <w:rFonts w:ascii="Times New Roman" w:eastAsiaTheme="minorEastAsia" w:hAnsi="Times New Roman" w:cs="Times New Roman"/>
      <w:sz w:val="24"/>
      <w:szCs w:val="24"/>
    </w:rPr>
  </w:style>
  <w:style w:type="paragraph" w:styleId="Heading5">
    <w:name w:val="heading 5"/>
    <w:basedOn w:val="Normal"/>
    <w:link w:val="Heading5Char"/>
    <w:uiPriority w:val="99"/>
    <w:qFormat/>
    <w:rsid w:val="0077729D"/>
    <w:pPr>
      <w:tabs>
        <w:tab w:val="num" w:pos="0"/>
      </w:tabs>
      <w:autoSpaceDE w:val="0"/>
      <w:autoSpaceDN w:val="0"/>
      <w:spacing w:before="240" w:after="240" w:line="480" w:lineRule="auto"/>
      <w:ind w:left="3545" w:hanging="709"/>
      <w:jc w:val="both"/>
      <w:outlineLvl w:val="4"/>
    </w:pPr>
    <w:rPr>
      <w:rFonts w:ascii="Times New Roman" w:eastAsiaTheme="minorEastAsia" w:hAnsi="Times New Roman" w:cs="Times New Roman"/>
      <w:sz w:val="24"/>
      <w:szCs w:val="24"/>
    </w:rPr>
  </w:style>
  <w:style w:type="paragraph" w:styleId="Heading6">
    <w:name w:val="heading 6"/>
    <w:basedOn w:val="Normal"/>
    <w:link w:val="Heading6Char"/>
    <w:uiPriority w:val="99"/>
    <w:qFormat/>
    <w:rsid w:val="0077729D"/>
    <w:pPr>
      <w:tabs>
        <w:tab w:val="num" w:pos="0"/>
      </w:tabs>
      <w:autoSpaceDE w:val="0"/>
      <w:autoSpaceDN w:val="0"/>
      <w:spacing w:before="240" w:after="240" w:line="480" w:lineRule="auto"/>
      <w:ind w:left="4254" w:hanging="709"/>
      <w:jc w:val="both"/>
      <w:outlineLvl w:val="5"/>
    </w:pPr>
    <w:rPr>
      <w:rFonts w:ascii="Times New Roman" w:eastAsiaTheme="minorEastAsia" w:hAnsi="Times New Roman" w:cs="Times New Roman"/>
      <w:sz w:val="24"/>
      <w:szCs w:val="24"/>
    </w:rPr>
  </w:style>
  <w:style w:type="paragraph" w:styleId="Heading7">
    <w:name w:val="heading 7"/>
    <w:basedOn w:val="Normal"/>
    <w:link w:val="Heading7Char"/>
    <w:uiPriority w:val="99"/>
    <w:qFormat/>
    <w:rsid w:val="0077729D"/>
    <w:pPr>
      <w:tabs>
        <w:tab w:val="num" w:pos="0"/>
      </w:tabs>
      <w:autoSpaceDE w:val="0"/>
      <w:autoSpaceDN w:val="0"/>
      <w:spacing w:before="240" w:after="240" w:line="480" w:lineRule="auto"/>
      <w:ind w:left="4963" w:hanging="709"/>
      <w:jc w:val="both"/>
      <w:outlineLvl w:val="6"/>
    </w:pPr>
    <w:rPr>
      <w:rFonts w:ascii="Times New Roman" w:eastAsiaTheme="minorEastAsia" w:hAnsi="Times New Roman" w:cs="Times New Roman"/>
      <w:sz w:val="24"/>
      <w:szCs w:val="24"/>
    </w:rPr>
  </w:style>
  <w:style w:type="paragraph" w:styleId="Heading8">
    <w:name w:val="heading 8"/>
    <w:basedOn w:val="Normal"/>
    <w:link w:val="Heading8Char"/>
    <w:uiPriority w:val="99"/>
    <w:qFormat/>
    <w:rsid w:val="0077729D"/>
    <w:pPr>
      <w:tabs>
        <w:tab w:val="num" w:pos="0"/>
      </w:tabs>
      <w:autoSpaceDE w:val="0"/>
      <w:autoSpaceDN w:val="0"/>
      <w:spacing w:before="240" w:after="240" w:line="480" w:lineRule="auto"/>
      <w:ind w:left="5672" w:hanging="709"/>
      <w:jc w:val="both"/>
      <w:outlineLvl w:val="7"/>
    </w:pPr>
    <w:rPr>
      <w:rFonts w:ascii="Times New Roman" w:eastAsiaTheme="minorEastAsia" w:hAnsi="Times New Roman" w:cs="Times New Roman"/>
      <w:sz w:val="24"/>
      <w:szCs w:val="24"/>
    </w:rPr>
  </w:style>
  <w:style w:type="paragraph" w:styleId="Heading9">
    <w:name w:val="heading 9"/>
    <w:basedOn w:val="Normal"/>
    <w:link w:val="Heading9Char"/>
    <w:uiPriority w:val="99"/>
    <w:qFormat/>
    <w:rsid w:val="0077729D"/>
    <w:pPr>
      <w:tabs>
        <w:tab w:val="num" w:pos="0"/>
      </w:tabs>
      <w:autoSpaceDE w:val="0"/>
      <w:autoSpaceDN w:val="0"/>
      <w:spacing w:before="240" w:after="240" w:line="480" w:lineRule="auto"/>
      <w:ind w:left="6381" w:hanging="709"/>
      <w:jc w:val="both"/>
      <w:outlineLvl w:val="8"/>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 w:type="paragraph" w:styleId="NoSpacing">
    <w:name w:val="No Spacing"/>
    <w:uiPriority w:val="1"/>
    <w:qFormat/>
    <w:rsid w:val="006D7808"/>
    <w:pPr>
      <w:spacing w:after="0" w:line="240" w:lineRule="auto"/>
    </w:pPr>
  </w:style>
  <w:style w:type="paragraph" w:styleId="Revision">
    <w:name w:val="Revision"/>
    <w:hidden/>
    <w:uiPriority w:val="99"/>
    <w:semiHidden/>
    <w:rsid w:val="005822F9"/>
    <w:pPr>
      <w:spacing w:after="0" w:line="240" w:lineRule="auto"/>
    </w:pPr>
    <w:rPr>
      <w:lang w:val="en-GB"/>
    </w:rPr>
  </w:style>
  <w:style w:type="paragraph" w:styleId="FootnoteText">
    <w:name w:val="footnote text"/>
    <w:basedOn w:val="Normal"/>
    <w:link w:val="FootnoteTextChar"/>
    <w:uiPriority w:val="99"/>
    <w:semiHidden/>
    <w:unhideWhenUsed/>
    <w:rsid w:val="003D1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552"/>
    <w:rPr>
      <w:sz w:val="20"/>
      <w:szCs w:val="20"/>
      <w:lang w:val="en-GB"/>
    </w:rPr>
  </w:style>
  <w:style w:type="character" w:styleId="FootnoteReference">
    <w:name w:val="footnote reference"/>
    <w:basedOn w:val="DefaultParagraphFont"/>
    <w:uiPriority w:val="99"/>
    <w:semiHidden/>
    <w:unhideWhenUsed/>
    <w:rsid w:val="003D1552"/>
    <w:rPr>
      <w:vertAlign w:val="superscript"/>
    </w:rPr>
  </w:style>
  <w:style w:type="paragraph" w:customStyle="1" w:styleId="estatutes-sectiondefinition">
    <w:name w:val="estatutes-sectiondefinition"/>
    <w:basedOn w:val="Normal"/>
    <w:rsid w:val="00074C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44F2B"/>
    <w:rPr>
      <w:color w:val="0000FF"/>
      <w:u w:val="single"/>
    </w:rPr>
  </w:style>
  <w:style w:type="character" w:customStyle="1" w:styleId="Heading2Char">
    <w:name w:val="Heading 2 Char"/>
    <w:basedOn w:val="DefaultParagraphFont"/>
    <w:link w:val="Heading2"/>
    <w:uiPriority w:val="9"/>
    <w:semiHidden/>
    <w:rsid w:val="00BD4136"/>
    <w:rPr>
      <w:rFonts w:asciiTheme="majorHAnsi" w:eastAsiaTheme="majorEastAsia" w:hAnsiTheme="majorHAnsi" w:cstheme="majorBidi"/>
      <w:color w:val="2E74B5" w:themeColor="accent1" w:themeShade="BF"/>
      <w:sz w:val="26"/>
      <w:szCs w:val="26"/>
      <w:lang w:val="en-GB"/>
    </w:rPr>
  </w:style>
  <w:style w:type="character" w:styleId="PlaceholderText">
    <w:name w:val="Placeholder Text"/>
    <w:basedOn w:val="DefaultParagraphFont"/>
    <w:uiPriority w:val="99"/>
    <w:semiHidden/>
    <w:rsid w:val="00D0663C"/>
    <w:rPr>
      <w:color w:val="808080"/>
    </w:rPr>
  </w:style>
  <w:style w:type="character" w:customStyle="1" w:styleId="Heading1Char">
    <w:name w:val="Heading 1 Char"/>
    <w:basedOn w:val="DefaultParagraphFont"/>
    <w:link w:val="Heading1"/>
    <w:uiPriority w:val="99"/>
    <w:rsid w:val="0077729D"/>
    <w:rPr>
      <w:rFonts w:ascii="Times New Roman" w:eastAsiaTheme="minorEastAsia" w:hAnsi="Times New Roman" w:cs="Times New Roman"/>
      <w:sz w:val="24"/>
      <w:szCs w:val="24"/>
      <w:lang w:val="en-GB"/>
    </w:rPr>
  </w:style>
  <w:style w:type="character" w:customStyle="1" w:styleId="Heading3Char">
    <w:name w:val="Heading 3 Char"/>
    <w:basedOn w:val="DefaultParagraphFont"/>
    <w:link w:val="Heading3"/>
    <w:uiPriority w:val="99"/>
    <w:rsid w:val="0077729D"/>
    <w:rPr>
      <w:rFonts w:ascii="Times New Roman" w:eastAsiaTheme="minorEastAsia" w:hAnsi="Times New Roman" w:cs="Times New Roman"/>
      <w:sz w:val="24"/>
      <w:szCs w:val="24"/>
      <w:lang w:val="en-GB"/>
    </w:rPr>
  </w:style>
  <w:style w:type="character" w:customStyle="1" w:styleId="Heading4Char">
    <w:name w:val="Heading 4 Char"/>
    <w:basedOn w:val="DefaultParagraphFont"/>
    <w:link w:val="Heading4"/>
    <w:uiPriority w:val="99"/>
    <w:rsid w:val="0077729D"/>
    <w:rPr>
      <w:rFonts w:ascii="Times New Roman" w:eastAsiaTheme="minorEastAsia" w:hAnsi="Times New Roman" w:cs="Times New Roman"/>
      <w:sz w:val="24"/>
      <w:szCs w:val="24"/>
      <w:lang w:val="en-GB"/>
    </w:rPr>
  </w:style>
  <w:style w:type="character" w:customStyle="1" w:styleId="Heading5Char">
    <w:name w:val="Heading 5 Char"/>
    <w:basedOn w:val="DefaultParagraphFont"/>
    <w:link w:val="Heading5"/>
    <w:uiPriority w:val="99"/>
    <w:rsid w:val="0077729D"/>
    <w:rPr>
      <w:rFonts w:ascii="Times New Roman" w:eastAsiaTheme="minorEastAsia" w:hAnsi="Times New Roman" w:cs="Times New Roman"/>
      <w:sz w:val="24"/>
      <w:szCs w:val="24"/>
      <w:lang w:val="en-GB"/>
    </w:rPr>
  </w:style>
  <w:style w:type="character" w:customStyle="1" w:styleId="Heading6Char">
    <w:name w:val="Heading 6 Char"/>
    <w:basedOn w:val="DefaultParagraphFont"/>
    <w:link w:val="Heading6"/>
    <w:uiPriority w:val="99"/>
    <w:rsid w:val="0077729D"/>
    <w:rPr>
      <w:rFonts w:ascii="Times New Roman" w:eastAsiaTheme="minorEastAsia" w:hAnsi="Times New Roman" w:cs="Times New Roman"/>
      <w:sz w:val="24"/>
      <w:szCs w:val="24"/>
      <w:lang w:val="en-GB"/>
    </w:rPr>
  </w:style>
  <w:style w:type="character" w:customStyle="1" w:styleId="Heading7Char">
    <w:name w:val="Heading 7 Char"/>
    <w:basedOn w:val="DefaultParagraphFont"/>
    <w:link w:val="Heading7"/>
    <w:uiPriority w:val="99"/>
    <w:rsid w:val="0077729D"/>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uiPriority w:val="99"/>
    <w:rsid w:val="0077729D"/>
    <w:rPr>
      <w:rFonts w:ascii="Times New Roman" w:eastAsiaTheme="minorEastAsia" w:hAnsi="Times New Roman" w:cs="Times New Roman"/>
      <w:sz w:val="24"/>
      <w:szCs w:val="24"/>
      <w:lang w:val="en-GB"/>
    </w:rPr>
  </w:style>
  <w:style w:type="character" w:customStyle="1" w:styleId="Heading9Char">
    <w:name w:val="Heading 9 Char"/>
    <w:basedOn w:val="DefaultParagraphFont"/>
    <w:link w:val="Heading9"/>
    <w:uiPriority w:val="99"/>
    <w:rsid w:val="0077729D"/>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972566713">
      <w:bodyDiv w:val="1"/>
      <w:marLeft w:val="0"/>
      <w:marRight w:val="0"/>
      <w:marTop w:val="0"/>
      <w:marBottom w:val="0"/>
      <w:divBdr>
        <w:top w:val="none" w:sz="0" w:space="0" w:color="auto"/>
        <w:left w:val="none" w:sz="0" w:space="0" w:color="auto"/>
        <w:bottom w:val="none" w:sz="0" w:space="0" w:color="auto"/>
        <w:right w:val="none" w:sz="0" w:space="0" w:color="auto"/>
      </w:divBdr>
      <w:divsChild>
        <w:div w:id="19920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02785205">
      <w:bodyDiv w:val="1"/>
      <w:marLeft w:val="0"/>
      <w:marRight w:val="0"/>
      <w:marTop w:val="0"/>
      <w:marBottom w:val="0"/>
      <w:divBdr>
        <w:top w:val="none" w:sz="0" w:space="0" w:color="auto"/>
        <w:left w:val="none" w:sz="0" w:space="0" w:color="auto"/>
        <w:bottom w:val="none" w:sz="0" w:space="0" w:color="auto"/>
        <w:right w:val="none" w:sz="0" w:space="0" w:color="auto"/>
      </w:divBdr>
      <w:divsChild>
        <w:div w:id="133333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30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31084">
      <w:bodyDiv w:val="1"/>
      <w:marLeft w:val="0"/>
      <w:marRight w:val="0"/>
      <w:marTop w:val="0"/>
      <w:marBottom w:val="0"/>
      <w:divBdr>
        <w:top w:val="none" w:sz="0" w:space="0" w:color="auto"/>
        <w:left w:val="none" w:sz="0" w:space="0" w:color="auto"/>
        <w:bottom w:val="none" w:sz="0" w:space="0" w:color="auto"/>
        <w:right w:val="none" w:sz="0" w:space="0" w:color="auto"/>
      </w:divBdr>
    </w:div>
    <w:div w:id="1833836813">
      <w:bodyDiv w:val="1"/>
      <w:marLeft w:val="0"/>
      <w:marRight w:val="0"/>
      <w:marTop w:val="0"/>
      <w:marBottom w:val="0"/>
      <w:divBdr>
        <w:top w:val="none" w:sz="0" w:space="0" w:color="auto"/>
        <w:left w:val="none" w:sz="0" w:space="0" w:color="auto"/>
        <w:bottom w:val="none" w:sz="0" w:space="0" w:color="auto"/>
        <w:right w:val="none" w:sz="0" w:space="0" w:color="auto"/>
      </w:divBdr>
    </w:div>
    <w:div w:id="1969119324">
      <w:bodyDiv w:val="1"/>
      <w:marLeft w:val="0"/>
      <w:marRight w:val="0"/>
      <w:marTop w:val="0"/>
      <w:marBottom w:val="0"/>
      <w:divBdr>
        <w:top w:val="none" w:sz="0" w:space="0" w:color="auto"/>
        <w:left w:val="none" w:sz="0" w:space="0" w:color="auto"/>
        <w:bottom w:val="none" w:sz="0" w:space="0" w:color="auto"/>
        <w:right w:val="none" w:sz="0" w:space="0" w:color="auto"/>
      </w:divBdr>
      <w:divsChild>
        <w:div w:id="140367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53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618C-9748-45CF-BABB-D13E97D9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9</cp:revision>
  <cp:lastPrinted>2020-12-18T08:48:00Z</cp:lastPrinted>
  <dcterms:created xsi:type="dcterms:W3CDTF">2020-12-18T05:07:00Z</dcterms:created>
  <dcterms:modified xsi:type="dcterms:W3CDTF">2021-01-15T05:08:00Z</dcterms:modified>
</cp:coreProperties>
</file>