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FA3F8C"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18 December 2020</w:t>
      </w:r>
    </w:p>
    <w:p w:rsidR="00B23366" w:rsidRDefault="00B2336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C73ACC">
        <w:rPr>
          <w:rFonts w:ascii="Times New Roman" w:hAnsi="Times New Roman" w:cs="Times New Roman"/>
          <w:sz w:val="24"/>
          <w:szCs w:val="24"/>
        </w:rPr>
        <w:t>34</w:t>
      </w:r>
      <w:r>
        <w:rPr>
          <w:rFonts w:ascii="Times New Roman" w:hAnsi="Times New Roman" w:cs="Times New Roman"/>
          <w:sz w:val="24"/>
          <w:szCs w:val="24"/>
        </w:rPr>
        <w:t>/2018</w:t>
      </w:r>
    </w:p>
    <w:p w:rsidR="006A68E2"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871FF0">
        <w:rPr>
          <w:rFonts w:ascii="Times New Roman" w:hAnsi="Times New Roman" w:cs="Times New Roman"/>
          <w:sz w:val="24"/>
          <w:szCs w:val="24"/>
        </w:rPr>
        <w:t>CC</w:t>
      </w:r>
      <w:r w:rsidR="00C73ACC">
        <w:rPr>
          <w:rFonts w:ascii="Times New Roman" w:hAnsi="Times New Roman" w:cs="Times New Roman"/>
          <w:sz w:val="24"/>
          <w:szCs w:val="24"/>
        </w:rPr>
        <w:t xml:space="preserve"> 26/201</w:t>
      </w:r>
      <w:r w:rsidR="00871FF0">
        <w:rPr>
          <w:rFonts w:ascii="Times New Roman" w:hAnsi="Times New Roman" w:cs="Times New Roman"/>
          <w:sz w:val="24"/>
          <w:szCs w:val="24"/>
        </w:rPr>
        <w:t>8</w:t>
      </w:r>
      <w:bookmarkStart w:id="0" w:name="_GoBack"/>
      <w:bookmarkEnd w:id="0"/>
      <w:r w:rsidR="00E00117">
        <w:rPr>
          <w:rFonts w:ascii="Times New Roman" w:hAnsi="Times New Roman" w:cs="Times New Roman"/>
          <w:sz w:val="24"/>
          <w:szCs w:val="24"/>
        </w:rPr>
        <w:t>)</w:t>
      </w:r>
    </w:p>
    <w:p w:rsidR="000D7EA0" w:rsidRPr="004A2599" w:rsidRDefault="000D7EA0" w:rsidP="00214DB4">
      <w:pPr>
        <w:spacing w:after="0" w:line="240" w:lineRule="auto"/>
        <w:ind w:left="5580"/>
        <w:rPr>
          <w:rFonts w:ascii="Times New Roman" w:hAnsi="Times New Roman" w:cs="Times New Roman"/>
          <w:sz w:val="24"/>
          <w:szCs w:val="24"/>
        </w:rPr>
      </w:pPr>
    </w:p>
    <w:p w:rsidR="00664B69" w:rsidRDefault="00664B69" w:rsidP="006872F4">
      <w:pPr>
        <w:pStyle w:val="NoSpacing"/>
        <w:jc w:val="center"/>
        <w:rPr>
          <w:rFonts w:ascii="Times New Roman" w:hAnsi="Times New Roman" w:cs="Times New Roman"/>
          <w:b/>
          <w:sz w:val="24"/>
          <w:szCs w:val="24"/>
        </w:rPr>
      </w:pPr>
    </w:p>
    <w:p w:rsidR="00800C8C" w:rsidRPr="00B936E1" w:rsidRDefault="00C73ACC" w:rsidP="00B23366">
      <w:pPr>
        <w:pStyle w:val="NoSpacing"/>
        <w:rPr>
          <w:rFonts w:ascii="Times New Roman" w:hAnsi="Times New Roman" w:cs="Times New Roman"/>
          <w:b/>
          <w:sz w:val="24"/>
          <w:szCs w:val="24"/>
        </w:rPr>
      </w:pPr>
      <w:r>
        <w:rPr>
          <w:rFonts w:ascii="Times New Roman" w:hAnsi="Times New Roman" w:cs="Times New Roman"/>
          <w:b/>
          <w:sz w:val="24"/>
          <w:szCs w:val="24"/>
        </w:rPr>
        <w:t>DHEVATRA PROPERTIES Co. LTD</w:t>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800C8C">
        <w:rPr>
          <w:rFonts w:ascii="Times New Roman" w:hAnsi="Times New Roman" w:cs="Times New Roman"/>
          <w:b/>
          <w:sz w:val="24"/>
          <w:szCs w:val="24"/>
        </w:rP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A3F8C">
        <w:t xml:space="preserve">Mr. </w:t>
      </w:r>
      <w:r w:rsidR="00C73ACC">
        <w:t>Guy Ferley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664B69" w:rsidRPr="004F6311" w:rsidRDefault="00C73ACC" w:rsidP="00664B69">
      <w:pPr>
        <w:pStyle w:val="NoSpacing"/>
        <w:rPr>
          <w:rFonts w:ascii="Times New Roman" w:hAnsi="Times New Roman" w:cs="Times New Roman"/>
          <w:b/>
          <w:sz w:val="24"/>
          <w:szCs w:val="24"/>
        </w:rPr>
      </w:pPr>
      <w:r>
        <w:rPr>
          <w:rFonts w:ascii="Times New Roman" w:hAnsi="Times New Roman" w:cs="Times New Roman"/>
          <w:b/>
          <w:sz w:val="24"/>
          <w:szCs w:val="24"/>
        </w:rPr>
        <w:t>ADAM UMARJI</w:t>
      </w:r>
      <w:r w:rsidR="00664B69">
        <w:rPr>
          <w:rFonts w:ascii="Times New Roman" w:hAnsi="Times New Roman" w:cs="Times New Roman"/>
          <w:b/>
          <w:sz w:val="24"/>
          <w:szCs w:val="24"/>
        </w:rPr>
        <w:tab/>
      </w:r>
      <w:r w:rsidR="00664B69">
        <w:rPr>
          <w:rFonts w:ascii="Times New Roman" w:hAnsi="Times New Roman" w:cs="Times New Roman"/>
          <w:b/>
          <w:sz w:val="24"/>
          <w:szCs w:val="24"/>
        </w:rPr>
        <w:tab/>
      </w:r>
      <w:r w:rsidR="00664B69">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664B69">
        <w:rPr>
          <w:rFonts w:ascii="Times New Roman" w:hAnsi="Times New Roman" w:cs="Times New Roman"/>
          <w:b/>
          <w:sz w:val="24"/>
          <w:szCs w:val="24"/>
        </w:rPr>
        <w:t>Respondent</w:t>
      </w:r>
    </w:p>
    <w:p w:rsidR="002E2AE3" w:rsidRDefault="00FA3F8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spellStart"/>
      <w:r w:rsidR="00C73ACC">
        <w:rPr>
          <w:rFonts w:ascii="Times New Roman" w:hAnsi="Times New Roman" w:cs="Times New Roman"/>
          <w:i/>
          <w:sz w:val="24"/>
          <w:szCs w:val="24"/>
        </w:rPr>
        <w:t>Self represented</w:t>
      </w:r>
      <w:proofErr w:type="spellEnd"/>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FA3F8C" w:rsidRDefault="00405958" w:rsidP="00664B69">
      <w:pPr>
        <w:spacing w:before="120" w:after="0" w:line="240" w:lineRule="auto"/>
        <w:ind w:left="1886" w:right="-90"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C73ACC">
        <w:rPr>
          <w:rFonts w:ascii="Times New Roman" w:hAnsi="Times New Roman" w:cs="Times New Roman"/>
          <w:i/>
          <w:sz w:val="24"/>
          <w:szCs w:val="24"/>
        </w:rPr>
        <w:t>Dhevatara</w:t>
      </w:r>
      <w:proofErr w:type="spellEnd"/>
      <w:r w:rsidR="00C73ACC">
        <w:rPr>
          <w:rFonts w:ascii="Times New Roman" w:hAnsi="Times New Roman" w:cs="Times New Roman"/>
          <w:i/>
          <w:sz w:val="24"/>
          <w:szCs w:val="24"/>
        </w:rPr>
        <w:t xml:space="preserve"> Properties Co. Ltd v </w:t>
      </w:r>
      <w:proofErr w:type="spellStart"/>
      <w:r w:rsidR="00C73ACC">
        <w:rPr>
          <w:rFonts w:ascii="Times New Roman" w:hAnsi="Times New Roman" w:cs="Times New Roman"/>
          <w:i/>
          <w:sz w:val="24"/>
          <w:szCs w:val="24"/>
        </w:rPr>
        <w:t>Umarji</w:t>
      </w:r>
      <w:proofErr w:type="spellEnd"/>
      <w:r w:rsidR="00664B69">
        <w:rPr>
          <w:rFonts w:ascii="Times New Roman" w:hAnsi="Times New Roman" w:cs="Times New Roman"/>
          <w:i/>
          <w:sz w:val="24"/>
          <w:szCs w:val="24"/>
        </w:rPr>
        <w:t xml:space="preserve"> </w:t>
      </w:r>
      <w:r w:rsidR="00664B69">
        <w:rPr>
          <w:rFonts w:ascii="Times New Roman" w:hAnsi="Times New Roman" w:cs="Times New Roman"/>
          <w:sz w:val="24"/>
          <w:szCs w:val="24"/>
        </w:rPr>
        <w:t xml:space="preserve">(SCA </w:t>
      </w:r>
      <w:r w:rsidR="00C73ACC">
        <w:rPr>
          <w:rFonts w:ascii="Times New Roman" w:hAnsi="Times New Roman" w:cs="Times New Roman"/>
          <w:sz w:val="24"/>
          <w:szCs w:val="24"/>
        </w:rPr>
        <w:t>34</w:t>
      </w:r>
      <w:r w:rsidR="00664B69">
        <w:rPr>
          <w:rFonts w:ascii="Times New Roman" w:hAnsi="Times New Roman" w:cs="Times New Roman"/>
          <w:sz w:val="24"/>
          <w:szCs w:val="24"/>
        </w:rPr>
        <w:t>/2018) [</w:t>
      </w:r>
      <w:r w:rsidR="00FA3F8C" w:rsidRPr="00FA3F8C">
        <w:rPr>
          <w:rFonts w:ascii="Times New Roman" w:hAnsi="Times New Roman" w:cs="Times New Roman"/>
          <w:szCs w:val="24"/>
        </w:rPr>
        <w:t xml:space="preserve">2020] SCCA - (18 December </w:t>
      </w:r>
      <w:r w:rsidR="00C82F35">
        <w:rPr>
          <w:rFonts w:ascii="Times New Roman" w:hAnsi="Times New Roman" w:cs="Times New Roman"/>
          <w:szCs w:val="24"/>
        </w:rPr>
        <w:t>2</w:t>
      </w:r>
      <w:r w:rsidR="00FA3F8C" w:rsidRPr="00FA3F8C">
        <w:rPr>
          <w:rFonts w:ascii="Times New Roman" w:hAnsi="Times New Roman" w:cs="Times New Roman"/>
          <w:szCs w:val="24"/>
        </w:rPr>
        <w:t>020)</w:t>
      </w:r>
      <w:r w:rsidR="00D31F1B" w:rsidRPr="00FA3F8C">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73ACC">
        <w:rPr>
          <w:rFonts w:ascii="Times New Roman" w:hAnsi="Times New Roman" w:cs="Times New Roman"/>
          <w:sz w:val="24"/>
          <w:szCs w:val="24"/>
        </w:rPr>
        <w:t xml:space="preserve">Twomey, </w:t>
      </w:r>
      <w:r w:rsidR="0039256E">
        <w:rPr>
          <w:rFonts w:ascii="Times New Roman" w:hAnsi="Times New Roman" w:cs="Times New Roman"/>
          <w:sz w:val="24"/>
          <w:szCs w:val="24"/>
        </w:rPr>
        <w:t>Tibatemwa-</w:t>
      </w:r>
      <w:proofErr w:type="spellStart"/>
      <w:r w:rsidR="0039256E">
        <w:rPr>
          <w:rFonts w:ascii="Times New Roman" w:hAnsi="Times New Roman" w:cs="Times New Roman"/>
          <w:sz w:val="24"/>
          <w:szCs w:val="24"/>
        </w:rPr>
        <w:t>Ekirikubinza</w:t>
      </w:r>
      <w:proofErr w:type="spellEnd"/>
      <w:r w:rsidR="0039256E">
        <w:rPr>
          <w:rFonts w:ascii="Times New Roman" w:hAnsi="Times New Roman" w:cs="Times New Roman"/>
          <w:sz w:val="24"/>
          <w:szCs w:val="24"/>
        </w:rPr>
        <w:t xml:space="preserve"> JA, Dingake JA</w:t>
      </w:r>
    </w:p>
    <w:p w:rsidR="00CB6E73" w:rsidRPr="004A2599" w:rsidRDefault="00346D7F" w:rsidP="00B23366">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73ACC">
        <w:rPr>
          <w:rFonts w:ascii="Times New Roman" w:hAnsi="Times New Roman" w:cs="Times New Roman"/>
          <w:sz w:val="24"/>
          <w:szCs w:val="24"/>
        </w:rPr>
        <w:t>Breach of oral lease agreement – proof of consequential damages and period when interest arising from breach of contract starts to run.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73ACC">
        <w:rPr>
          <w:rFonts w:ascii="Times New Roman" w:hAnsi="Times New Roman" w:cs="Times New Roman"/>
          <w:sz w:val="24"/>
          <w:szCs w:val="24"/>
        </w:rPr>
        <w:t>3</w:t>
      </w:r>
      <w:r w:rsidR="0039256E">
        <w:rPr>
          <w:rFonts w:ascii="Times New Roman" w:hAnsi="Times New Roman" w:cs="Times New Roman"/>
          <w:sz w:val="24"/>
          <w:szCs w:val="24"/>
        </w:rPr>
        <w:t xml:space="preserve"> December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9256E">
        <w:rPr>
          <w:rFonts w:ascii="Times New Roman" w:hAnsi="Times New Roman" w:cs="Times New Roman"/>
          <w:sz w:val="24"/>
          <w:szCs w:val="24"/>
        </w:rPr>
        <w:t>18 December 2020</w:t>
      </w:r>
    </w:p>
    <w:p w:rsidR="00C82F35" w:rsidRPr="00F33B83" w:rsidRDefault="00C82F35"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00C8C" w:rsidRDefault="00800C8C" w:rsidP="00800C8C">
      <w:pPr>
        <w:pStyle w:val="NoSpacing"/>
        <w:rPr>
          <w:rFonts w:ascii="Times New Roman" w:hAnsi="Times New Roman" w:cs="Times New Roman"/>
          <w:sz w:val="24"/>
          <w:szCs w:val="24"/>
        </w:rPr>
      </w:pPr>
    </w:p>
    <w:p w:rsidR="00800C8C" w:rsidRPr="000F5130" w:rsidRDefault="00347B8B" w:rsidP="00C60F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C73ACC">
        <w:rPr>
          <w:rFonts w:ascii="Times New Roman" w:hAnsi="Times New Roman" w:cs="Times New Roman"/>
          <w:sz w:val="24"/>
          <w:szCs w:val="24"/>
        </w:rPr>
        <w:t xml:space="preserve">appeal fails.  </w:t>
      </w:r>
      <w:proofErr w:type="gramStart"/>
      <w:r w:rsidR="00C73ACC">
        <w:rPr>
          <w:rFonts w:ascii="Times New Roman" w:hAnsi="Times New Roman" w:cs="Times New Roman"/>
          <w:sz w:val="24"/>
          <w:szCs w:val="24"/>
        </w:rPr>
        <w:t>Consequently</w:t>
      </w:r>
      <w:proofErr w:type="gramEnd"/>
      <w:r w:rsidR="00C73ACC">
        <w:rPr>
          <w:rFonts w:ascii="Times New Roman" w:hAnsi="Times New Roman" w:cs="Times New Roman"/>
          <w:sz w:val="24"/>
          <w:szCs w:val="24"/>
        </w:rPr>
        <w:t xml:space="preserve"> this Court upheld the Judgment and orders of the trial Judge.</w:t>
      </w:r>
    </w:p>
    <w:p w:rsidR="00800C8C" w:rsidRPr="004A2599" w:rsidRDefault="00800C8C" w:rsidP="00800C8C">
      <w:pPr>
        <w:tabs>
          <w:tab w:val="left" w:pos="2892"/>
          <w:tab w:val="left" w:pos="3435"/>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39256E" w:rsidRDefault="00B23366" w:rsidP="005B12AA">
      <w:pPr>
        <w:pStyle w:val="JudgmentText"/>
        <w:numPr>
          <w:ilvl w:val="0"/>
          <w:numId w:val="0"/>
        </w:numPr>
        <w:spacing w:line="480" w:lineRule="auto"/>
        <w:ind w:left="720" w:hanging="720"/>
        <w:rPr>
          <w:b/>
        </w:rPr>
      </w:pPr>
      <w:r>
        <w:rPr>
          <w:b/>
        </w:rPr>
        <w:t>TIBATEMWA-EKIRIKUBINZA</w:t>
      </w:r>
      <w:r w:rsidR="0039256E">
        <w:rPr>
          <w:b/>
        </w:rPr>
        <w:t xml:space="preserve"> JA</w:t>
      </w: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t>Facts</w:t>
      </w:r>
    </w:p>
    <w:p w:rsidR="00C73ACC" w:rsidRPr="00C73ACC" w:rsidRDefault="00C73ACC" w:rsidP="00C73A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73ACC">
        <w:rPr>
          <w:rFonts w:ascii="Times New Roman" w:hAnsi="Times New Roman" w:cs="Times New Roman"/>
          <w:sz w:val="24"/>
          <w:szCs w:val="24"/>
        </w:rPr>
        <w:t xml:space="preserve">This appeal concerns a dispute arising from breach of an oral lease agreement. The facts accepted by the trial Judge are that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(the respondent) is the </w:t>
      </w:r>
      <w:proofErr w:type="gramStart"/>
      <w:r w:rsidRPr="00C73ACC">
        <w:rPr>
          <w:rFonts w:ascii="Times New Roman" w:hAnsi="Times New Roman" w:cs="Times New Roman"/>
          <w:sz w:val="24"/>
          <w:szCs w:val="24"/>
        </w:rPr>
        <w:t>landlord</w:t>
      </w:r>
      <w:proofErr w:type="gramEnd"/>
      <w:r w:rsidRPr="00C73ACC">
        <w:rPr>
          <w:rFonts w:ascii="Times New Roman" w:hAnsi="Times New Roman" w:cs="Times New Roman"/>
          <w:sz w:val="24"/>
          <w:szCs w:val="24"/>
        </w:rPr>
        <w:t xml:space="preserve"> and property owner of premises located at </w:t>
      </w:r>
      <w:proofErr w:type="spellStart"/>
      <w:r w:rsidRPr="00C73ACC">
        <w:rPr>
          <w:rFonts w:ascii="Times New Roman" w:hAnsi="Times New Roman" w:cs="Times New Roman"/>
          <w:sz w:val="24"/>
          <w:szCs w:val="24"/>
        </w:rPr>
        <w:t>Praslin</w:t>
      </w:r>
      <w:proofErr w:type="spellEnd"/>
      <w:r w:rsidRPr="00C73ACC">
        <w:rPr>
          <w:rFonts w:ascii="Times New Roman" w:hAnsi="Times New Roman" w:cs="Times New Roman"/>
          <w:sz w:val="24"/>
          <w:szCs w:val="24"/>
        </w:rPr>
        <w:t xml:space="preserve"> comprised in title number PR1981.  </w:t>
      </w:r>
    </w:p>
    <w:p w:rsidR="00C73ACC" w:rsidRPr="00C73ACC" w:rsidRDefault="00C73ACC" w:rsidP="00C73A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C73ACC">
        <w:rPr>
          <w:rFonts w:ascii="Times New Roman" w:hAnsi="Times New Roman" w:cs="Times New Roman"/>
          <w:sz w:val="24"/>
          <w:szCs w:val="24"/>
        </w:rPr>
        <w:t>On 10</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November 2009,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(the appellant company) took possession of the premises for a term of 12 months at a monthly rent of USD 3100.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paid 3 months deposit at the beginning of the lease period. The agreement required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to use the demised premises for the dwelling of about eight or nine of its employees. In mid-2010, via email, the respondent-</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communicated to </w:t>
      </w:r>
      <w:proofErr w:type="spellStart"/>
      <w:r w:rsidRPr="00C73ACC">
        <w:rPr>
          <w:rFonts w:ascii="Times New Roman" w:hAnsi="Times New Roman" w:cs="Times New Roman"/>
          <w:sz w:val="24"/>
          <w:szCs w:val="24"/>
        </w:rPr>
        <w:t>Dhevatara’s</w:t>
      </w:r>
      <w:proofErr w:type="spellEnd"/>
      <w:r w:rsidRPr="00C73ACC">
        <w:rPr>
          <w:rFonts w:ascii="Times New Roman" w:hAnsi="Times New Roman" w:cs="Times New Roman"/>
          <w:sz w:val="24"/>
          <w:szCs w:val="24"/>
        </w:rPr>
        <w:t xml:space="preserve"> representative over the condition and overcrowding of the premises.</w:t>
      </w:r>
    </w:p>
    <w:p w:rsidR="00C73ACC" w:rsidRPr="00C73ACC" w:rsidRDefault="00C73ACC" w:rsidP="00C73A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C73ACC">
        <w:rPr>
          <w:rFonts w:ascii="Times New Roman" w:hAnsi="Times New Roman" w:cs="Times New Roman"/>
          <w:sz w:val="24"/>
          <w:szCs w:val="24"/>
        </w:rPr>
        <w:t xml:space="preserve">After expiration of the initial term of the lease in 2010, the lease was renewed for different </w:t>
      </w:r>
      <w:proofErr w:type="gramStart"/>
      <w:r w:rsidRPr="00C73ACC">
        <w:rPr>
          <w:rFonts w:ascii="Times New Roman" w:hAnsi="Times New Roman" w:cs="Times New Roman"/>
          <w:sz w:val="24"/>
          <w:szCs w:val="24"/>
        </w:rPr>
        <w:t>periods of time</w:t>
      </w:r>
      <w:proofErr w:type="gramEnd"/>
      <w:r w:rsidRPr="00C73ACC">
        <w:rPr>
          <w:rFonts w:ascii="Times New Roman" w:hAnsi="Times New Roman" w:cs="Times New Roman"/>
          <w:sz w:val="24"/>
          <w:szCs w:val="24"/>
        </w:rPr>
        <w:t xml:space="preserve"> until about May 2012 when the respondent by email notified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of the rental increase to USD4000 if it did not communicate a date when it would vacate the premises.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did not serve a notice of termination but communicated via email that it would vacate the premises by 14</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August 2012 and will restore the demised premises to its original condition after the termination of the lease.</w:t>
      </w:r>
    </w:p>
    <w:p w:rsidR="00C73ACC" w:rsidRPr="00C73ACC" w:rsidRDefault="00C73ACC" w:rsidP="00C73A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C73ACC">
        <w:rPr>
          <w:rFonts w:ascii="Times New Roman" w:hAnsi="Times New Roman" w:cs="Times New Roman"/>
          <w:sz w:val="24"/>
          <w:szCs w:val="24"/>
        </w:rPr>
        <w:t xml:space="preserve">After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vacated the premises, the appellant sent a quantity surveyor- Mr. </w:t>
      </w:r>
      <w:proofErr w:type="spellStart"/>
      <w:r w:rsidRPr="00C73ACC">
        <w:rPr>
          <w:rFonts w:ascii="Times New Roman" w:hAnsi="Times New Roman" w:cs="Times New Roman"/>
          <w:sz w:val="24"/>
          <w:szCs w:val="24"/>
        </w:rPr>
        <w:t>Roucou</w:t>
      </w:r>
      <w:proofErr w:type="spellEnd"/>
      <w:r w:rsidRPr="00C73ACC">
        <w:rPr>
          <w:rFonts w:ascii="Times New Roman" w:hAnsi="Times New Roman" w:cs="Times New Roman"/>
          <w:sz w:val="24"/>
          <w:szCs w:val="24"/>
        </w:rPr>
        <w:t xml:space="preserve"> to inspect the state of his premises. Photographs depicting the state of the premises </w:t>
      </w:r>
      <w:proofErr w:type="gramStart"/>
      <w:r w:rsidRPr="00C73ACC">
        <w:rPr>
          <w:rFonts w:ascii="Times New Roman" w:hAnsi="Times New Roman" w:cs="Times New Roman"/>
          <w:sz w:val="24"/>
          <w:szCs w:val="24"/>
        </w:rPr>
        <w:t xml:space="preserve">were taken and compared with photographs before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had taken over the premises</w:t>
      </w:r>
      <w:proofErr w:type="gramEnd"/>
      <w:r w:rsidRPr="00C73ACC">
        <w:rPr>
          <w:rFonts w:ascii="Times New Roman" w:hAnsi="Times New Roman" w:cs="Times New Roman"/>
          <w:sz w:val="24"/>
          <w:szCs w:val="24"/>
        </w:rPr>
        <w:t xml:space="preserve">. It </w:t>
      </w:r>
      <w:proofErr w:type="gramStart"/>
      <w:r w:rsidRPr="00C73ACC">
        <w:rPr>
          <w:rFonts w:ascii="Times New Roman" w:hAnsi="Times New Roman" w:cs="Times New Roman"/>
          <w:sz w:val="24"/>
          <w:szCs w:val="24"/>
        </w:rPr>
        <w:t>was alleged</w:t>
      </w:r>
      <w:proofErr w:type="gramEnd"/>
      <w:r w:rsidRPr="00C73ACC">
        <w:rPr>
          <w:rFonts w:ascii="Times New Roman" w:hAnsi="Times New Roman" w:cs="Times New Roman"/>
          <w:sz w:val="24"/>
          <w:szCs w:val="24"/>
        </w:rPr>
        <w:t xml:space="preserve"> that </w:t>
      </w:r>
      <w:proofErr w:type="spellStart"/>
      <w:r w:rsidRPr="00C73ACC">
        <w:rPr>
          <w:rFonts w:ascii="Times New Roman" w:hAnsi="Times New Roman" w:cs="Times New Roman"/>
          <w:sz w:val="24"/>
          <w:szCs w:val="24"/>
        </w:rPr>
        <w:t>Dhevatara’s</w:t>
      </w:r>
      <w:proofErr w:type="spellEnd"/>
      <w:r w:rsidRPr="00C73ACC">
        <w:rPr>
          <w:rFonts w:ascii="Times New Roman" w:hAnsi="Times New Roman" w:cs="Times New Roman"/>
          <w:sz w:val="24"/>
          <w:szCs w:val="24"/>
        </w:rPr>
        <w:t xml:space="preserve"> employees had left the premises in a dilapidated state and that some of the furniture went missing during their stay.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therefore sued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claiming USD 48,000 for </w:t>
      </w:r>
      <w:proofErr w:type="gramStart"/>
      <w:r w:rsidRPr="00C73ACC">
        <w:rPr>
          <w:rFonts w:ascii="Times New Roman" w:hAnsi="Times New Roman" w:cs="Times New Roman"/>
          <w:sz w:val="24"/>
          <w:szCs w:val="24"/>
        </w:rPr>
        <w:t>one year</w:t>
      </w:r>
      <w:proofErr w:type="gramEnd"/>
      <w:r w:rsidRPr="00C73ACC">
        <w:rPr>
          <w:rFonts w:ascii="Times New Roman" w:hAnsi="Times New Roman" w:cs="Times New Roman"/>
          <w:sz w:val="24"/>
          <w:szCs w:val="24"/>
        </w:rPr>
        <w:t xml:space="preserve"> loss of rental income given the difficulty of restoring the premises to its original condition. He also claimed for rent arrears in the sum of USD 4,000 for the period of 15</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July 2012 to August 2012 as well as arrears of rent shortfall of USD 1800 for the period of 15</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May 2012 to 14</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July 2012. At the hearing in the trial Court,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stated that he was no longer seeking to recover the short fall in rent arrears and was only claiming damages in the sum of USD 3,100 for unpaid rent.</w:t>
      </w:r>
    </w:p>
    <w:p w:rsidR="00C73ACC" w:rsidRPr="00C73ACC" w:rsidRDefault="00C73ACC" w:rsidP="00C73A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73ACC">
        <w:rPr>
          <w:rFonts w:ascii="Times New Roman" w:hAnsi="Times New Roman" w:cs="Times New Roman"/>
          <w:sz w:val="24"/>
          <w:szCs w:val="24"/>
        </w:rPr>
        <w:t xml:space="preserve">On the other hand,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through its representative-Mr. Westlake denied </w:t>
      </w:r>
      <w:proofErr w:type="spellStart"/>
      <w:r w:rsidRPr="00C73ACC">
        <w:rPr>
          <w:rFonts w:ascii="Times New Roman" w:hAnsi="Times New Roman" w:cs="Times New Roman"/>
          <w:sz w:val="24"/>
          <w:szCs w:val="24"/>
        </w:rPr>
        <w:t>Umarji’s</w:t>
      </w:r>
      <w:proofErr w:type="spellEnd"/>
      <w:r w:rsidRPr="00C73ACC">
        <w:rPr>
          <w:rFonts w:ascii="Times New Roman" w:hAnsi="Times New Roman" w:cs="Times New Roman"/>
          <w:sz w:val="24"/>
          <w:szCs w:val="24"/>
        </w:rPr>
        <w:t xml:space="preserve"> allegations and claims. Mr. Westlake testified </w:t>
      </w:r>
      <w:proofErr w:type="gramStart"/>
      <w:r w:rsidRPr="00C73ACC">
        <w:rPr>
          <w:rFonts w:ascii="Times New Roman" w:hAnsi="Times New Roman" w:cs="Times New Roman"/>
          <w:sz w:val="24"/>
          <w:szCs w:val="24"/>
        </w:rPr>
        <w:t>that there were only nine members of staff staying on the premises and was not aware of the dilapidated condition of the premises</w:t>
      </w:r>
      <w:proofErr w:type="gramEnd"/>
      <w:r w:rsidRPr="00C73ACC">
        <w:rPr>
          <w:rFonts w:ascii="Times New Roman" w:hAnsi="Times New Roman" w:cs="Times New Roman"/>
          <w:sz w:val="24"/>
          <w:szCs w:val="24"/>
        </w:rPr>
        <w:t>. He however complained that there were issues with the overflowing septic tank, cleanliness of the premises as well as the air conditioning units. Mr. Westlake further testified that he gave notice of termination of the lease on 27</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May 2012 when Mr.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wanted to increase the rent from USD 3,100 to USD 4,000. Regarding the rent shortfall of USD 1,800 </w:t>
      </w:r>
      <w:r w:rsidRPr="00C73ACC">
        <w:rPr>
          <w:rFonts w:ascii="Times New Roman" w:hAnsi="Times New Roman" w:cs="Times New Roman"/>
          <w:sz w:val="24"/>
          <w:szCs w:val="24"/>
        </w:rPr>
        <w:lastRenderedPageBreak/>
        <w:t>for the period covering 14</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June-14</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July 2012, Mr. Westlake testified that it </w:t>
      </w:r>
      <w:proofErr w:type="gramStart"/>
      <w:r w:rsidRPr="00C73ACC">
        <w:rPr>
          <w:rFonts w:ascii="Times New Roman" w:hAnsi="Times New Roman" w:cs="Times New Roman"/>
          <w:sz w:val="24"/>
          <w:szCs w:val="24"/>
        </w:rPr>
        <w:t>was never agreed</w:t>
      </w:r>
      <w:proofErr w:type="gramEnd"/>
      <w:r w:rsidRPr="00C73ACC">
        <w:rPr>
          <w:rFonts w:ascii="Times New Roman" w:hAnsi="Times New Roman" w:cs="Times New Roman"/>
          <w:sz w:val="24"/>
          <w:szCs w:val="24"/>
        </w:rPr>
        <w:t xml:space="preserve"> that they should pay USD 4,000. He stated that three months’ notice was an unacceptable period for the release of the demised premises.</w:t>
      </w:r>
    </w:p>
    <w:p w:rsidR="00C73ACC" w:rsidRPr="00C73ACC" w:rsidRDefault="00C73ACC" w:rsidP="00C73A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C73ACC">
        <w:rPr>
          <w:rFonts w:ascii="Times New Roman" w:hAnsi="Times New Roman" w:cs="Times New Roman"/>
          <w:sz w:val="24"/>
          <w:szCs w:val="24"/>
        </w:rPr>
        <w:t xml:space="preserve">The trial Judge held that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w:t>
      </w:r>
      <w:proofErr w:type="gramStart"/>
      <w:r w:rsidRPr="00C73ACC">
        <w:rPr>
          <w:rFonts w:ascii="Times New Roman" w:hAnsi="Times New Roman" w:cs="Times New Roman"/>
          <w:sz w:val="24"/>
          <w:szCs w:val="24"/>
        </w:rPr>
        <w:t>had, on a balance of probabilities, proved</w:t>
      </w:r>
      <w:proofErr w:type="gramEnd"/>
      <w:r w:rsidRPr="00C73ACC">
        <w:rPr>
          <w:rFonts w:ascii="Times New Roman" w:hAnsi="Times New Roman" w:cs="Times New Roman"/>
          <w:sz w:val="24"/>
          <w:szCs w:val="24"/>
        </w:rPr>
        <w:t xml:space="preserve"> his claim for unpaid rent covering the period of 15</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July 2012-14</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August 2012 in the sum of USD3, 100. The Judge therefore granted the claim.</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C73ACC">
        <w:rPr>
          <w:rFonts w:ascii="Times New Roman" w:hAnsi="Times New Roman" w:cs="Times New Roman"/>
          <w:sz w:val="24"/>
          <w:szCs w:val="24"/>
        </w:rPr>
        <w:t xml:space="preserve">In regard to the sum of SR 101,030.00/= for works to re-instate the demised premises to its original condition, the trial Judge held that there being no documentary evidence of an inventory being carried out prior to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taking occupancy of the premises, Article1731 of the Civil Code of Seychelles Act applied. The Article is to the effect that if no inventory to the condition of the premises </w:t>
      </w:r>
      <w:proofErr w:type="gramStart"/>
      <w:r w:rsidRPr="00C73ACC">
        <w:rPr>
          <w:rFonts w:ascii="Times New Roman" w:hAnsi="Times New Roman" w:cs="Times New Roman"/>
          <w:sz w:val="24"/>
          <w:szCs w:val="24"/>
        </w:rPr>
        <w:t>has been made</w:t>
      </w:r>
      <w:proofErr w:type="gramEnd"/>
      <w:r w:rsidRPr="00C73ACC">
        <w:rPr>
          <w:rFonts w:ascii="Times New Roman" w:hAnsi="Times New Roman" w:cs="Times New Roman"/>
          <w:sz w:val="24"/>
          <w:szCs w:val="24"/>
        </w:rPr>
        <w:t xml:space="preserve">, the tenant is presumed to have received the premises in good repair suitable for the tenancy and shall return them in the same condition unless there is evidence to the contrary. On the premise of Article 1731, the trial Judge awarded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95% of the sum claimed (SR 97,530.00/=) for works required to re-instate the demised premises.</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C73ACC">
        <w:rPr>
          <w:rFonts w:ascii="Times New Roman" w:hAnsi="Times New Roman" w:cs="Times New Roman"/>
          <w:sz w:val="24"/>
          <w:szCs w:val="24"/>
        </w:rPr>
        <w:t xml:space="preserve">The trial Judge also awarded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the sum of SR 136,849.50/= for missing furniture and equipment as well as USD48000 for loss of rental income for the period it would take him to restore the premises. The Judge also ordered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to pay costs and interest at the legal rate payable from 29</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August 2013.</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C73ACC">
        <w:rPr>
          <w:rFonts w:ascii="Times New Roman" w:hAnsi="Times New Roman" w:cs="Times New Roman"/>
          <w:sz w:val="24"/>
          <w:szCs w:val="24"/>
        </w:rPr>
        <w:t xml:space="preserve">Being dissatisfied with the trial Judge’s decision,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appealed to this Court on the following grounds:</w:t>
      </w:r>
    </w:p>
    <w:p w:rsidR="00C73ACC" w:rsidRPr="00C73ACC" w:rsidRDefault="00C73ACC" w:rsidP="00C73ACC">
      <w:pPr>
        <w:pStyle w:val="ListParagraph"/>
        <w:numPr>
          <w:ilvl w:val="0"/>
          <w:numId w:val="20"/>
        </w:numPr>
        <w:spacing w:line="360" w:lineRule="auto"/>
        <w:ind w:left="1620" w:hanging="540"/>
        <w:jc w:val="both"/>
        <w:rPr>
          <w:rFonts w:ascii="Times New Roman" w:hAnsi="Times New Roman" w:cs="Times New Roman"/>
          <w:b/>
          <w:sz w:val="24"/>
          <w:szCs w:val="24"/>
        </w:rPr>
      </w:pPr>
      <w:proofErr w:type="gramStart"/>
      <w:r w:rsidRPr="00C73ACC">
        <w:rPr>
          <w:rFonts w:ascii="Times New Roman" w:hAnsi="Times New Roman" w:cs="Times New Roman"/>
          <w:b/>
          <w:sz w:val="24"/>
          <w:szCs w:val="24"/>
        </w:rPr>
        <w:t xml:space="preserve">The learned Judge erred in law in relying on the evidence of Nigel </w:t>
      </w:r>
      <w:proofErr w:type="spellStart"/>
      <w:r w:rsidRPr="00C73ACC">
        <w:rPr>
          <w:rFonts w:ascii="Times New Roman" w:hAnsi="Times New Roman" w:cs="Times New Roman"/>
          <w:b/>
          <w:sz w:val="24"/>
          <w:szCs w:val="24"/>
        </w:rPr>
        <w:t>Roucou</w:t>
      </w:r>
      <w:proofErr w:type="spellEnd"/>
      <w:r w:rsidRPr="00C73ACC">
        <w:rPr>
          <w:rFonts w:ascii="Times New Roman" w:hAnsi="Times New Roman" w:cs="Times New Roman"/>
          <w:b/>
          <w:sz w:val="24"/>
          <w:szCs w:val="24"/>
        </w:rPr>
        <w:t xml:space="preserve">, the Quantity Surveyor, to award SR 136,849.50 being 95% of the sum claimed, to the respondent for missing/ damaged furniture, fittings and equipment, whist accepting that “there is no evidence be it documentary or otherwise to support Mr. </w:t>
      </w:r>
      <w:proofErr w:type="spellStart"/>
      <w:r w:rsidRPr="00C73ACC">
        <w:rPr>
          <w:rFonts w:ascii="Times New Roman" w:hAnsi="Times New Roman" w:cs="Times New Roman"/>
          <w:b/>
          <w:sz w:val="24"/>
          <w:szCs w:val="24"/>
        </w:rPr>
        <w:t>Umarji’s</w:t>
      </w:r>
      <w:proofErr w:type="spellEnd"/>
      <w:r w:rsidRPr="00C73ACC">
        <w:rPr>
          <w:rFonts w:ascii="Times New Roman" w:hAnsi="Times New Roman" w:cs="Times New Roman"/>
          <w:b/>
          <w:sz w:val="24"/>
          <w:szCs w:val="24"/>
        </w:rPr>
        <w:t xml:space="preserve"> contention that an inventory of the demised premises between Mr. </w:t>
      </w:r>
      <w:proofErr w:type="spellStart"/>
      <w:r w:rsidRPr="00C73ACC">
        <w:rPr>
          <w:rFonts w:ascii="Times New Roman" w:hAnsi="Times New Roman" w:cs="Times New Roman"/>
          <w:b/>
          <w:sz w:val="24"/>
          <w:szCs w:val="24"/>
        </w:rPr>
        <w:t>Umarji</w:t>
      </w:r>
      <w:proofErr w:type="spellEnd"/>
      <w:r w:rsidRPr="00C73ACC">
        <w:rPr>
          <w:rFonts w:ascii="Times New Roman" w:hAnsi="Times New Roman" w:cs="Times New Roman"/>
          <w:b/>
          <w:sz w:val="24"/>
          <w:szCs w:val="24"/>
        </w:rPr>
        <w:t xml:space="preserve"> and </w:t>
      </w:r>
      <w:proofErr w:type="spellStart"/>
      <w:r w:rsidRPr="00C73ACC">
        <w:rPr>
          <w:rFonts w:ascii="Times New Roman" w:hAnsi="Times New Roman" w:cs="Times New Roman"/>
          <w:b/>
          <w:sz w:val="24"/>
          <w:szCs w:val="24"/>
        </w:rPr>
        <w:t>Dhevatara</w:t>
      </w:r>
      <w:proofErr w:type="spellEnd"/>
      <w:r w:rsidRPr="00C73ACC">
        <w:rPr>
          <w:rFonts w:ascii="Times New Roman" w:hAnsi="Times New Roman" w:cs="Times New Roman"/>
          <w:b/>
          <w:sz w:val="24"/>
          <w:szCs w:val="24"/>
        </w:rPr>
        <w:t xml:space="preserve"> was conducted before </w:t>
      </w:r>
      <w:proofErr w:type="spellStart"/>
      <w:r w:rsidRPr="00C73ACC">
        <w:rPr>
          <w:rFonts w:ascii="Times New Roman" w:hAnsi="Times New Roman" w:cs="Times New Roman"/>
          <w:b/>
          <w:sz w:val="24"/>
          <w:szCs w:val="24"/>
        </w:rPr>
        <w:t>Dhevatara</w:t>
      </w:r>
      <w:proofErr w:type="spellEnd"/>
      <w:r w:rsidRPr="00C73ACC">
        <w:rPr>
          <w:rFonts w:ascii="Times New Roman" w:hAnsi="Times New Roman" w:cs="Times New Roman"/>
          <w:b/>
          <w:sz w:val="24"/>
          <w:szCs w:val="24"/>
        </w:rPr>
        <w:t xml:space="preserve"> took possession of the demised premises.”</w:t>
      </w:r>
      <w:proofErr w:type="gramEnd"/>
    </w:p>
    <w:p w:rsidR="00C73ACC" w:rsidRPr="00C73ACC" w:rsidRDefault="00C73ACC" w:rsidP="00C73ACC">
      <w:pPr>
        <w:pStyle w:val="ListParagraph"/>
        <w:spacing w:line="360" w:lineRule="auto"/>
        <w:ind w:left="1620" w:hanging="540"/>
        <w:jc w:val="both"/>
        <w:rPr>
          <w:rFonts w:ascii="Times New Roman" w:hAnsi="Times New Roman" w:cs="Times New Roman"/>
          <w:b/>
          <w:sz w:val="24"/>
          <w:szCs w:val="24"/>
        </w:rPr>
      </w:pPr>
    </w:p>
    <w:p w:rsidR="00C73ACC" w:rsidRPr="00C73ACC" w:rsidRDefault="00C73ACC" w:rsidP="00C73ACC">
      <w:pPr>
        <w:pStyle w:val="ListParagraph"/>
        <w:numPr>
          <w:ilvl w:val="0"/>
          <w:numId w:val="20"/>
        </w:numPr>
        <w:spacing w:line="360" w:lineRule="auto"/>
        <w:ind w:left="1620" w:hanging="540"/>
        <w:jc w:val="both"/>
        <w:rPr>
          <w:rFonts w:ascii="Times New Roman" w:hAnsi="Times New Roman" w:cs="Times New Roman"/>
          <w:b/>
          <w:sz w:val="24"/>
          <w:szCs w:val="24"/>
        </w:rPr>
      </w:pPr>
      <w:r w:rsidRPr="00C73ACC">
        <w:rPr>
          <w:rFonts w:ascii="Times New Roman" w:hAnsi="Times New Roman" w:cs="Times New Roman"/>
          <w:b/>
          <w:sz w:val="24"/>
          <w:szCs w:val="24"/>
        </w:rPr>
        <w:lastRenderedPageBreak/>
        <w:t xml:space="preserve">The learned Judge erred in law in awarding the respondent USD 9300 for consequential loss of rent. This award has no basis in law and </w:t>
      </w:r>
      <w:proofErr w:type="gramStart"/>
      <w:r w:rsidRPr="00C73ACC">
        <w:rPr>
          <w:rFonts w:ascii="Times New Roman" w:hAnsi="Times New Roman" w:cs="Times New Roman"/>
          <w:b/>
          <w:sz w:val="24"/>
          <w:szCs w:val="24"/>
        </w:rPr>
        <w:t>was not proven</w:t>
      </w:r>
      <w:proofErr w:type="gramEnd"/>
      <w:r w:rsidRPr="00C73ACC">
        <w:rPr>
          <w:rFonts w:ascii="Times New Roman" w:hAnsi="Times New Roman" w:cs="Times New Roman"/>
          <w:b/>
          <w:sz w:val="24"/>
          <w:szCs w:val="24"/>
        </w:rPr>
        <w:t xml:space="preserve"> by evidence.</w:t>
      </w:r>
    </w:p>
    <w:p w:rsidR="00C73ACC" w:rsidRPr="00C73ACC" w:rsidRDefault="00C73ACC" w:rsidP="00C73ACC">
      <w:pPr>
        <w:pStyle w:val="ListParagraph"/>
        <w:ind w:left="1620" w:hanging="540"/>
        <w:jc w:val="both"/>
        <w:rPr>
          <w:rFonts w:ascii="Times New Roman" w:hAnsi="Times New Roman" w:cs="Times New Roman"/>
          <w:b/>
          <w:sz w:val="24"/>
          <w:szCs w:val="24"/>
        </w:rPr>
      </w:pPr>
    </w:p>
    <w:p w:rsidR="00C73ACC" w:rsidRPr="00C73ACC" w:rsidRDefault="00C73ACC" w:rsidP="00C73ACC">
      <w:pPr>
        <w:pStyle w:val="ListParagraph"/>
        <w:spacing w:line="360" w:lineRule="auto"/>
        <w:ind w:left="1620" w:hanging="540"/>
        <w:jc w:val="both"/>
        <w:rPr>
          <w:rFonts w:ascii="Times New Roman" w:hAnsi="Times New Roman" w:cs="Times New Roman"/>
          <w:b/>
          <w:sz w:val="24"/>
          <w:szCs w:val="24"/>
        </w:rPr>
      </w:pPr>
    </w:p>
    <w:p w:rsidR="00C73ACC" w:rsidRPr="00C73ACC" w:rsidRDefault="00C73ACC" w:rsidP="00C73ACC">
      <w:pPr>
        <w:pStyle w:val="ListParagraph"/>
        <w:numPr>
          <w:ilvl w:val="0"/>
          <w:numId w:val="20"/>
        </w:numPr>
        <w:spacing w:line="360" w:lineRule="auto"/>
        <w:ind w:left="1620" w:hanging="540"/>
        <w:jc w:val="both"/>
        <w:rPr>
          <w:rFonts w:ascii="Times New Roman" w:hAnsi="Times New Roman" w:cs="Times New Roman"/>
          <w:b/>
          <w:sz w:val="24"/>
          <w:szCs w:val="24"/>
        </w:rPr>
      </w:pPr>
      <w:r w:rsidRPr="00C73ACC">
        <w:rPr>
          <w:rFonts w:ascii="Times New Roman" w:hAnsi="Times New Roman" w:cs="Times New Roman"/>
          <w:b/>
          <w:sz w:val="24"/>
          <w:szCs w:val="24"/>
        </w:rPr>
        <w:t>The learned Judge was wrong to award interest at the legal rate payable as from 29</w:t>
      </w:r>
      <w:r w:rsidRPr="00C73ACC">
        <w:rPr>
          <w:rFonts w:ascii="Times New Roman" w:hAnsi="Times New Roman" w:cs="Times New Roman"/>
          <w:b/>
          <w:sz w:val="24"/>
          <w:szCs w:val="24"/>
          <w:vertAlign w:val="superscript"/>
        </w:rPr>
        <w:t>th</w:t>
      </w:r>
      <w:r w:rsidRPr="00C73ACC">
        <w:rPr>
          <w:rFonts w:ascii="Times New Roman" w:hAnsi="Times New Roman" w:cs="Times New Roman"/>
          <w:b/>
          <w:sz w:val="24"/>
          <w:szCs w:val="24"/>
        </w:rPr>
        <w:t xml:space="preserve"> August 2013, the date of filing the plaint as the inordinate delay from filing of the plaint to the delivery of the judgment was in no way attributed to any fault on the part of the appellant.</w:t>
      </w:r>
    </w:p>
    <w:p w:rsidR="00C73ACC" w:rsidRPr="00C73ACC" w:rsidRDefault="00C73ACC" w:rsidP="00C73ACC">
      <w:pPr>
        <w:spacing w:line="360" w:lineRule="auto"/>
        <w:jc w:val="both"/>
        <w:rPr>
          <w:rFonts w:ascii="Times New Roman" w:hAnsi="Times New Roman" w:cs="Times New Roman"/>
          <w:b/>
          <w:sz w:val="24"/>
          <w:szCs w:val="24"/>
        </w:rPr>
      </w:pPr>
      <w:r w:rsidRPr="00C73ACC">
        <w:rPr>
          <w:rFonts w:ascii="Times New Roman" w:hAnsi="Times New Roman" w:cs="Times New Roman"/>
          <w:b/>
          <w:sz w:val="24"/>
          <w:szCs w:val="24"/>
        </w:rPr>
        <w:t>Prayers</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C73ACC">
        <w:rPr>
          <w:rFonts w:ascii="Times New Roman" w:hAnsi="Times New Roman" w:cs="Times New Roman"/>
          <w:sz w:val="24"/>
          <w:szCs w:val="24"/>
        </w:rPr>
        <w:t>The appellant prayed that this Court allows the appeal and sets aside the awards made by the trial Court.</w:t>
      </w:r>
    </w:p>
    <w:p w:rsidR="00C73ACC" w:rsidRPr="00C73ACC" w:rsidRDefault="00C73ACC" w:rsidP="00C73ACC">
      <w:pPr>
        <w:spacing w:line="360" w:lineRule="auto"/>
        <w:jc w:val="both"/>
        <w:rPr>
          <w:rFonts w:ascii="Times New Roman" w:hAnsi="Times New Roman" w:cs="Times New Roman"/>
          <w:b/>
          <w:sz w:val="24"/>
          <w:szCs w:val="24"/>
        </w:rPr>
      </w:pPr>
      <w:r w:rsidRPr="00C73ACC">
        <w:rPr>
          <w:rFonts w:ascii="Times New Roman" w:hAnsi="Times New Roman" w:cs="Times New Roman"/>
          <w:b/>
          <w:sz w:val="24"/>
          <w:szCs w:val="24"/>
        </w:rPr>
        <w:t>Ground 1</w:t>
      </w:r>
    </w:p>
    <w:p w:rsidR="00C73ACC" w:rsidRPr="00C73ACC" w:rsidRDefault="00C73ACC" w:rsidP="00C73ACC">
      <w:pPr>
        <w:spacing w:line="360" w:lineRule="auto"/>
        <w:jc w:val="both"/>
        <w:rPr>
          <w:rFonts w:ascii="Times New Roman" w:hAnsi="Times New Roman" w:cs="Times New Roman"/>
          <w:b/>
          <w:sz w:val="24"/>
          <w:szCs w:val="24"/>
        </w:rPr>
      </w:pPr>
      <w:r w:rsidRPr="00C73ACC">
        <w:rPr>
          <w:rFonts w:ascii="Times New Roman" w:hAnsi="Times New Roman" w:cs="Times New Roman"/>
          <w:b/>
          <w:sz w:val="24"/>
          <w:szCs w:val="24"/>
        </w:rPr>
        <w:t>Appellant’s submissions</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C73ACC">
        <w:rPr>
          <w:rFonts w:ascii="Times New Roman" w:hAnsi="Times New Roman" w:cs="Times New Roman"/>
          <w:sz w:val="24"/>
          <w:szCs w:val="24"/>
        </w:rPr>
        <w:t xml:space="preserve">The appellant’s counsel submitted that it is trite law that any finding of facts </w:t>
      </w:r>
      <w:proofErr w:type="gramStart"/>
      <w:r w:rsidRPr="00C73ACC">
        <w:rPr>
          <w:rFonts w:ascii="Times New Roman" w:hAnsi="Times New Roman" w:cs="Times New Roman"/>
          <w:sz w:val="24"/>
          <w:szCs w:val="24"/>
        </w:rPr>
        <w:t>must be underpinned</w:t>
      </w:r>
      <w:proofErr w:type="gramEnd"/>
      <w:r w:rsidRPr="00C73ACC">
        <w:rPr>
          <w:rFonts w:ascii="Times New Roman" w:hAnsi="Times New Roman" w:cs="Times New Roman"/>
          <w:sz w:val="24"/>
          <w:szCs w:val="24"/>
        </w:rPr>
        <w:t xml:space="preserve"> by supporting evidence. That the learned trial Judge erred in awarding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SR 136,849.50/= for the missing items yet he had accepted that there was no evidence be it documentary or otherwise to support </w:t>
      </w:r>
      <w:proofErr w:type="spellStart"/>
      <w:r w:rsidRPr="00C73ACC">
        <w:rPr>
          <w:rFonts w:ascii="Times New Roman" w:hAnsi="Times New Roman" w:cs="Times New Roman"/>
          <w:sz w:val="24"/>
          <w:szCs w:val="24"/>
        </w:rPr>
        <w:t>Umarji’s</w:t>
      </w:r>
      <w:proofErr w:type="spellEnd"/>
      <w:r w:rsidRPr="00C73ACC">
        <w:rPr>
          <w:rFonts w:ascii="Times New Roman" w:hAnsi="Times New Roman" w:cs="Times New Roman"/>
          <w:sz w:val="24"/>
          <w:szCs w:val="24"/>
        </w:rPr>
        <w:t xml:space="preserve"> contention that an inventory of the premises was conducted before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occupied the premises. Counsel further submitted that court relied on the evidence of Mr. Nigel </w:t>
      </w:r>
      <w:proofErr w:type="spellStart"/>
      <w:r w:rsidRPr="00C73ACC">
        <w:rPr>
          <w:rFonts w:ascii="Times New Roman" w:hAnsi="Times New Roman" w:cs="Times New Roman"/>
          <w:sz w:val="24"/>
          <w:szCs w:val="24"/>
        </w:rPr>
        <w:t>Roucou</w:t>
      </w:r>
      <w:proofErr w:type="spellEnd"/>
      <w:r w:rsidRPr="00C73ACC">
        <w:rPr>
          <w:rFonts w:ascii="Times New Roman" w:hAnsi="Times New Roman" w:cs="Times New Roman"/>
          <w:sz w:val="24"/>
          <w:szCs w:val="24"/>
        </w:rPr>
        <w:t xml:space="preserve">-the Quantity Surveyor to award the said sum. That Mr. Nigel testified that he had based his report on an inventory provided to him by the </w:t>
      </w:r>
      <w:proofErr w:type="gramStart"/>
      <w:r w:rsidRPr="00C73ACC">
        <w:rPr>
          <w:rFonts w:ascii="Times New Roman" w:hAnsi="Times New Roman" w:cs="Times New Roman"/>
          <w:sz w:val="24"/>
          <w:szCs w:val="24"/>
        </w:rPr>
        <w:t>respondent which</w:t>
      </w:r>
      <w:proofErr w:type="gramEnd"/>
      <w:r w:rsidRPr="00C73ACC">
        <w:rPr>
          <w:rFonts w:ascii="Times New Roman" w:hAnsi="Times New Roman" w:cs="Times New Roman"/>
          <w:sz w:val="24"/>
          <w:szCs w:val="24"/>
        </w:rPr>
        <w:t xml:space="preserve"> he compared with his observation on site. Counsel argued that the said inventory was not signed by the </w:t>
      </w:r>
      <w:proofErr w:type="gramStart"/>
      <w:r w:rsidRPr="00C73ACC">
        <w:rPr>
          <w:rFonts w:ascii="Times New Roman" w:hAnsi="Times New Roman" w:cs="Times New Roman"/>
          <w:sz w:val="24"/>
          <w:szCs w:val="24"/>
        </w:rPr>
        <w:t>appellant which</w:t>
      </w:r>
      <w:proofErr w:type="gramEnd"/>
      <w:r w:rsidRPr="00C73ACC">
        <w:rPr>
          <w:rFonts w:ascii="Times New Roman" w:hAnsi="Times New Roman" w:cs="Times New Roman"/>
          <w:sz w:val="24"/>
          <w:szCs w:val="24"/>
        </w:rPr>
        <w:t xml:space="preserve"> made the document questionable. Counsel argued that the Judge should have disregarded the document and should not have attached weight to it. </w:t>
      </w:r>
    </w:p>
    <w:p w:rsid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C73ACC">
        <w:rPr>
          <w:rFonts w:ascii="Times New Roman" w:hAnsi="Times New Roman" w:cs="Times New Roman"/>
          <w:sz w:val="24"/>
          <w:szCs w:val="24"/>
        </w:rPr>
        <w:t xml:space="preserve">Furthermore, it </w:t>
      </w:r>
      <w:proofErr w:type="gramStart"/>
      <w:r w:rsidRPr="00C73ACC">
        <w:rPr>
          <w:rFonts w:ascii="Times New Roman" w:hAnsi="Times New Roman" w:cs="Times New Roman"/>
          <w:sz w:val="24"/>
          <w:szCs w:val="24"/>
        </w:rPr>
        <w:t>was submitted</w:t>
      </w:r>
      <w:proofErr w:type="gramEnd"/>
      <w:r w:rsidRPr="00C73ACC">
        <w:rPr>
          <w:rFonts w:ascii="Times New Roman" w:hAnsi="Times New Roman" w:cs="Times New Roman"/>
          <w:sz w:val="24"/>
          <w:szCs w:val="24"/>
        </w:rPr>
        <w:t xml:space="preserve"> that the respondent himself did not produce any supporting evidence as to the prices of the alleged missing and damaged items.</w:t>
      </w:r>
    </w:p>
    <w:p w:rsidR="00C73ACC" w:rsidRPr="00C73ACC" w:rsidRDefault="00C73ACC" w:rsidP="00C73ACC">
      <w:pPr>
        <w:spacing w:line="360" w:lineRule="auto"/>
        <w:ind w:left="810" w:hanging="810"/>
        <w:jc w:val="both"/>
        <w:rPr>
          <w:rFonts w:ascii="Times New Roman" w:hAnsi="Times New Roman" w:cs="Times New Roman"/>
          <w:sz w:val="24"/>
          <w:szCs w:val="24"/>
        </w:rPr>
      </w:pP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lastRenderedPageBreak/>
        <w:t>Respondent’s reply</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C73ACC">
        <w:rPr>
          <w:rFonts w:ascii="Times New Roman" w:hAnsi="Times New Roman" w:cs="Times New Roman"/>
          <w:sz w:val="24"/>
          <w:szCs w:val="24"/>
        </w:rPr>
        <w:t xml:space="preserve">The respondent submitted that the appellant company misunderstood the learned Judge’s findings. The learned judge considered the evidence from Mr. </w:t>
      </w:r>
      <w:proofErr w:type="spellStart"/>
      <w:r w:rsidRPr="00C73ACC">
        <w:rPr>
          <w:rFonts w:ascii="Times New Roman" w:hAnsi="Times New Roman" w:cs="Times New Roman"/>
          <w:sz w:val="24"/>
          <w:szCs w:val="24"/>
        </w:rPr>
        <w:t>Roucou</w:t>
      </w:r>
      <w:proofErr w:type="spellEnd"/>
      <w:r w:rsidRPr="00C73ACC">
        <w:rPr>
          <w:rFonts w:ascii="Times New Roman" w:hAnsi="Times New Roman" w:cs="Times New Roman"/>
          <w:sz w:val="24"/>
          <w:szCs w:val="24"/>
        </w:rPr>
        <w:t xml:space="preserve"> and </w:t>
      </w:r>
      <w:proofErr w:type="spellStart"/>
      <w:proofErr w:type="gram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which</w:t>
      </w:r>
      <w:proofErr w:type="gramEnd"/>
      <w:r w:rsidRPr="00C73ACC">
        <w:rPr>
          <w:rFonts w:ascii="Times New Roman" w:hAnsi="Times New Roman" w:cs="Times New Roman"/>
          <w:sz w:val="24"/>
          <w:szCs w:val="24"/>
        </w:rPr>
        <w:t xml:space="preserve"> was to the effect that an inventory was carried out between the representatives of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and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at the onset of the lease albeit it not being signed. That after evaluating the evidence, the learned Judge came to the conclusion that there was no evidence that an inventory </w:t>
      </w:r>
      <w:proofErr w:type="gramStart"/>
      <w:r w:rsidRPr="00C73ACC">
        <w:rPr>
          <w:rFonts w:ascii="Times New Roman" w:hAnsi="Times New Roman" w:cs="Times New Roman"/>
          <w:sz w:val="24"/>
          <w:szCs w:val="24"/>
        </w:rPr>
        <w:t>had been conducted</w:t>
      </w:r>
      <w:proofErr w:type="gramEnd"/>
      <w:r w:rsidRPr="00C73ACC">
        <w:rPr>
          <w:rFonts w:ascii="Times New Roman" w:hAnsi="Times New Roman" w:cs="Times New Roman"/>
          <w:sz w:val="24"/>
          <w:szCs w:val="24"/>
        </w:rPr>
        <w:t xml:space="preserve"> between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and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That the foregoing conclusion </w:t>
      </w:r>
      <w:proofErr w:type="gramStart"/>
      <w:r w:rsidRPr="00C73ACC">
        <w:rPr>
          <w:rFonts w:ascii="Times New Roman" w:hAnsi="Times New Roman" w:cs="Times New Roman"/>
          <w:sz w:val="24"/>
          <w:szCs w:val="24"/>
        </w:rPr>
        <w:t>was made</w:t>
      </w:r>
      <w:proofErr w:type="gramEnd"/>
      <w:r w:rsidRPr="00C73ACC">
        <w:rPr>
          <w:rFonts w:ascii="Times New Roman" w:hAnsi="Times New Roman" w:cs="Times New Roman"/>
          <w:sz w:val="24"/>
          <w:szCs w:val="24"/>
        </w:rPr>
        <w:t xml:space="preserve"> only in the context that the inventory was not signed but the actual carrying out of the inventory was conducted.</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C73ACC">
        <w:rPr>
          <w:rFonts w:ascii="Times New Roman" w:hAnsi="Times New Roman" w:cs="Times New Roman"/>
          <w:sz w:val="24"/>
          <w:szCs w:val="24"/>
        </w:rPr>
        <w:t xml:space="preserve">Furthermore, the respondent submitted that the </w:t>
      </w:r>
      <w:proofErr w:type="gramStart"/>
      <w:r w:rsidRPr="00C73ACC">
        <w:rPr>
          <w:rFonts w:ascii="Times New Roman" w:hAnsi="Times New Roman" w:cs="Times New Roman"/>
          <w:sz w:val="24"/>
          <w:szCs w:val="24"/>
        </w:rPr>
        <w:t xml:space="preserve">learned Judge’s findings were informed by the expert evidence of Mr. </w:t>
      </w:r>
      <w:proofErr w:type="spellStart"/>
      <w:r w:rsidRPr="00C73ACC">
        <w:rPr>
          <w:rFonts w:ascii="Times New Roman" w:hAnsi="Times New Roman" w:cs="Times New Roman"/>
          <w:sz w:val="24"/>
          <w:szCs w:val="24"/>
        </w:rPr>
        <w:t>Roucou</w:t>
      </w:r>
      <w:proofErr w:type="spellEnd"/>
      <w:r w:rsidRPr="00C73ACC">
        <w:rPr>
          <w:rFonts w:ascii="Times New Roman" w:hAnsi="Times New Roman" w:cs="Times New Roman"/>
          <w:sz w:val="24"/>
          <w:szCs w:val="24"/>
        </w:rPr>
        <w:t>-the quantity surveyor</w:t>
      </w:r>
      <w:proofErr w:type="gramEnd"/>
      <w:r w:rsidRPr="00C73ACC">
        <w:rPr>
          <w:rFonts w:ascii="Times New Roman" w:hAnsi="Times New Roman" w:cs="Times New Roman"/>
          <w:sz w:val="24"/>
          <w:szCs w:val="24"/>
        </w:rPr>
        <w:t xml:space="preserve">. That having regard to the inventory list provided by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Mr. </w:t>
      </w:r>
      <w:proofErr w:type="spellStart"/>
      <w:r w:rsidRPr="00C73ACC">
        <w:rPr>
          <w:rFonts w:ascii="Times New Roman" w:hAnsi="Times New Roman" w:cs="Times New Roman"/>
          <w:sz w:val="24"/>
          <w:szCs w:val="24"/>
        </w:rPr>
        <w:t>Roucou</w:t>
      </w:r>
      <w:proofErr w:type="spellEnd"/>
      <w:r w:rsidRPr="00C73ACC">
        <w:rPr>
          <w:rFonts w:ascii="Times New Roman" w:hAnsi="Times New Roman" w:cs="Times New Roman"/>
          <w:sz w:val="24"/>
          <w:szCs w:val="24"/>
        </w:rPr>
        <w:t xml:space="preserve"> came to an assessment of the cost of replacement for the damaged as well as missing items; and the said assessment was not rebutted by any evidence from the appellant. </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C73ACC">
        <w:rPr>
          <w:rFonts w:ascii="Times New Roman" w:hAnsi="Times New Roman" w:cs="Times New Roman"/>
          <w:sz w:val="24"/>
          <w:szCs w:val="24"/>
        </w:rPr>
        <w:t xml:space="preserve">Notwithstanding the foregoing arguments, the respondent in his oral submissions argued that the appellant’s contentions regarding Mr. </w:t>
      </w:r>
      <w:proofErr w:type="spellStart"/>
      <w:r w:rsidRPr="00C73ACC">
        <w:rPr>
          <w:rFonts w:ascii="Times New Roman" w:hAnsi="Times New Roman" w:cs="Times New Roman"/>
          <w:sz w:val="24"/>
          <w:szCs w:val="24"/>
        </w:rPr>
        <w:t>Roucou’s</w:t>
      </w:r>
      <w:proofErr w:type="spellEnd"/>
      <w:r w:rsidRPr="00C73ACC">
        <w:rPr>
          <w:rFonts w:ascii="Times New Roman" w:hAnsi="Times New Roman" w:cs="Times New Roman"/>
          <w:sz w:val="24"/>
          <w:szCs w:val="24"/>
        </w:rPr>
        <w:t xml:space="preserve"> report was a new </w:t>
      </w:r>
      <w:proofErr w:type="gramStart"/>
      <w:r w:rsidRPr="00C73ACC">
        <w:rPr>
          <w:rFonts w:ascii="Times New Roman" w:hAnsi="Times New Roman" w:cs="Times New Roman"/>
          <w:sz w:val="24"/>
          <w:szCs w:val="24"/>
        </w:rPr>
        <w:t>matter which</w:t>
      </w:r>
      <w:proofErr w:type="gramEnd"/>
      <w:r w:rsidRPr="00C73ACC">
        <w:rPr>
          <w:rFonts w:ascii="Times New Roman" w:hAnsi="Times New Roman" w:cs="Times New Roman"/>
          <w:sz w:val="24"/>
          <w:szCs w:val="24"/>
        </w:rPr>
        <w:t xml:space="preserve"> was not raised in the lower court. It was therefore not permissible for the appellant to seek to challenge Mr. </w:t>
      </w:r>
      <w:proofErr w:type="spellStart"/>
      <w:r w:rsidRPr="00C73ACC">
        <w:rPr>
          <w:rFonts w:ascii="Times New Roman" w:hAnsi="Times New Roman" w:cs="Times New Roman"/>
          <w:sz w:val="24"/>
          <w:szCs w:val="24"/>
        </w:rPr>
        <w:t>Roucou’s</w:t>
      </w:r>
      <w:proofErr w:type="spellEnd"/>
      <w:r w:rsidRPr="00C73ACC">
        <w:rPr>
          <w:rFonts w:ascii="Times New Roman" w:hAnsi="Times New Roman" w:cs="Times New Roman"/>
          <w:sz w:val="24"/>
          <w:szCs w:val="24"/>
        </w:rPr>
        <w:t xml:space="preserve"> evidence and undermine his credibility. That in fact, the learned Judge </w:t>
      </w:r>
      <w:proofErr w:type="gramStart"/>
      <w:r w:rsidRPr="00C73ACC">
        <w:rPr>
          <w:rFonts w:ascii="Times New Roman" w:hAnsi="Times New Roman" w:cs="Times New Roman"/>
          <w:sz w:val="24"/>
          <w:szCs w:val="24"/>
        </w:rPr>
        <w:t>came to the conclusion</w:t>
      </w:r>
      <w:proofErr w:type="gramEnd"/>
      <w:r w:rsidRPr="00C73ACC">
        <w:rPr>
          <w:rFonts w:ascii="Times New Roman" w:hAnsi="Times New Roman" w:cs="Times New Roman"/>
          <w:sz w:val="24"/>
          <w:szCs w:val="24"/>
        </w:rPr>
        <w:t xml:space="preserve"> that Mr. </w:t>
      </w:r>
      <w:proofErr w:type="spellStart"/>
      <w:r w:rsidRPr="00C73ACC">
        <w:rPr>
          <w:rFonts w:ascii="Times New Roman" w:hAnsi="Times New Roman" w:cs="Times New Roman"/>
          <w:sz w:val="24"/>
          <w:szCs w:val="24"/>
        </w:rPr>
        <w:t>Roucou’s</w:t>
      </w:r>
      <w:proofErr w:type="spellEnd"/>
      <w:r w:rsidRPr="00C73ACC">
        <w:rPr>
          <w:rFonts w:ascii="Times New Roman" w:hAnsi="Times New Roman" w:cs="Times New Roman"/>
          <w:sz w:val="24"/>
          <w:szCs w:val="24"/>
        </w:rPr>
        <w:t xml:space="preserve"> report was demonstrably valid, reliable and borne out of an objective evaluation and assessment.</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C73ACC">
        <w:rPr>
          <w:rFonts w:ascii="Times New Roman" w:hAnsi="Times New Roman" w:cs="Times New Roman"/>
          <w:sz w:val="24"/>
          <w:szCs w:val="24"/>
        </w:rPr>
        <w:t xml:space="preserve">In the written submissions, the respondent also referred to the finding by the learned Judge </w:t>
      </w:r>
      <w:proofErr w:type="gramStart"/>
      <w:r w:rsidRPr="00C73ACC">
        <w:rPr>
          <w:rFonts w:ascii="Times New Roman" w:hAnsi="Times New Roman" w:cs="Times New Roman"/>
          <w:sz w:val="24"/>
          <w:szCs w:val="24"/>
        </w:rPr>
        <w:t xml:space="preserve">that the appellant company neither adduced a counter report nor did it object to the testimony of Mr. </w:t>
      </w:r>
      <w:proofErr w:type="spellStart"/>
      <w:r w:rsidRPr="00C73ACC">
        <w:rPr>
          <w:rFonts w:ascii="Times New Roman" w:hAnsi="Times New Roman" w:cs="Times New Roman"/>
          <w:sz w:val="24"/>
          <w:szCs w:val="24"/>
        </w:rPr>
        <w:t>Roucou</w:t>
      </w:r>
      <w:proofErr w:type="spellEnd"/>
      <w:proofErr w:type="gramEnd"/>
      <w:r w:rsidRPr="00C73ACC">
        <w:rPr>
          <w:rFonts w:ascii="Times New Roman" w:hAnsi="Times New Roman" w:cs="Times New Roman"/>
          <w:sz w:val="24"/>
          <w:szCs w:val="24"/>
        </w:rPr>
        <w:t xml:space="preserve">. </w:t>
      </w:r>
    </w:p>
    <w:p w:rsid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C73ACC">
        <w:rPr>
          <w:rFonts w:ascii="Times New Roman" w:hAnsi="Times New Roman" w:cs="Times New Roman"/>
          <w:sz w:val="24"/>
          <w:szCs w:val="24"/>
        </w:rPr>
        <w:t xml:space="preserve">The respondent therefore submitted that for the above reasons, this Court should dismiss ground 1 of the appeal on the premise </w:t>
      </w:r>
      <w:proofErr w:type="gramStart"/>
      <w:r w:rsidRPr="00C73ACC">
        <w:rPr>
          <w:rFonts w:ascii="Times New Roman" w:hAnsi="Times New Roman" w:cs="Times New Roman"/>
          <w:sz w:val="24"/>
          <w:szCs w:val="24"/>
        </w:rPr>
        <w:t>that it was misconceived and disclosed no arguable error of law</w:t>
      </w:r>
      <w:proofErr w:type="gramEnd"/>
      <w:r w:rsidRPr="00C73ACC">
        <w:rPr>
          <w:rFonts w:ascii="Times New Roman" w:hAnsi="Times New Roman" w:cs="Times New Roman"/>
          <w:sz w:val="24"/>
          <w:szCs w:val="24"/>
        </w:rPr>
        <w:t>.</w:t>
      </w:r>
    </w:p>
    <w:p w:rsidR="00C73ACC" w:rsidRDefault="00C73ACC" w:rsidP="00C73ACC">
      <w:pPr>
        <w:spacing w:line="360" w:lineRule="auto"/>
        <w:ind w:left="810" w:hanging="810"/>
        <w:jc w:val="both"/>
        <w:rPr>
          <w:rFonts w:ascii="Times New Roman" w:hAnsi="Times New Roman" w:cs="Times New Roman"/>
          <w:sz w:val="24"/>
          <w:szCs w:val="24"/>
        </w:rPr>
      </w:pPr>
    </w:p>
    <w:p w:rsidR="00C73ACC" w:rsidRPr="00C73ACC" w:rsidRDefault="00C73ACC" w:rsidP="00C73ACC">
      <w:pPr>
        <w:spacing w:line="360" w:lineRule="auto"/>
        <w:ind w:left="810" w:hanging="810"/>
        <w:jc w:val="both"/>
        <w:rPr>
          <w:rFonts w:ascii="Times New Roman" w:hAnsi="Times New Roman" w:cs="Times New Roman"/>
          <w:sz w:val="24"/>
          <w:szCs w:val="24"/>
        </w:rPr>
      </w:pPr>
    </w:p>
    <w:p w:rsidR="00C73ACC" w:rsidRPr="00C73ACC" w:rsidRDefault="00C73ACC" w:rsidP="00C73ACC">
      <w:pPr>
        <w:spacing w:line="360" w:lineRule="auto"/>
        <w:jc w:val="both"/>
        <w:rPr>
          <w:rFonts w:ascii="Times New Roman" w:hAnsi="Times New Roman" w:cs="Times New Roman"/>
          <w:b/>
          <w:sz w:val="24"/>
          <w:szCs w:val="24"/>
        </w:rPr>
      </w:pPr>
      <w:r w:rsidRPr="00C73ACC">
        <w:rPr>
          <w:rFonts w:ascii="Times New Roman" w:hAnsi="Times New Roman" w:cs="Times New Roman"/>
          <w:b/>
          <w:sz w:val="24"/>
          <w:szCs w:val="24"/>
        </w:rPr>
        <w:lastRenderedPageBreak/>
        <w:t>Court’s consideration</w:t>
      </w:r>
    </w:p>
    <w:p w:rsidR="00C73ACC" w:rsidRPr="00C73ACC" w:rsidRDefault="00C73ACC" w:rsidP="00C73ACC">
      <w:p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C73ACC">
        <w:rPr>
          <w:rFonts w:ascii="Times New Roman" w:hAnsi="Times New Roman" w:cs="Times New Roman"/>
          <w:sz w:val="24"/>
          <w:szCs w:val="24"/>
        </w:rPr>
        <w:t xml:space="preserve">This ground of appeal </w:t>
      </w:r>
      <w:proofErr w:type="gramStart"/>
      <w:r w:rsidRPr="00C73ACC">
        <w:rPr>
          <w:rFonts w:ascii="Times New Roman" w:hAnsi="Times New Roman" w:cs="Times New Roman"/>
          <w:sz w:val="24"/>
          <w:szCs w:val="24"/>
        </w:rPr>
        <w:t>is based</w:t>
      </w:r>
      <w:proofErr w:type="gramEnd"/>
      <w:r w:rsidRPr="00C73ACC">
        <w:rPr>
          <w:rFonts w:ascii="Times New Roman" w:hAnsi="Times New Roman" w:cs="Times New Roman"/>
          <w:sz w:val="24"/>
          <w:szCs w:val="24"/>
        </w:rPr>
        <w:t xml:space="preserve"> on factual findings. The trial Judge made a finding that no evidence of an inventory list </w:t>
      </w:r>
      <w:proofErr w:type="gramStart"/>
      <w:r w:rsidRPr="00C73ACC">
        <w:rPr>
          <w:rFonts w:ascii="Times New Roman" w:hAnsi="Times New Roman" w:cs="Times New Roman"/>
          <w:sz w:val="24"/>
          <w:szCs w:val="24"/>
        </w:rPr>
        <w:t>was adduced</w:t>
      </w:r>
      <w:proofErr w:type="gramEnd"/>
      <w:r w:rsidRPr="00C73ACC">
        <w:rPr>
          <w:rFonts w:ascii="Times New Roman" w:hAnsi="Times New Roman" w:cs="Times New Roman"/>
          <w:sz w:val="24"/>
          <w:szCs w:val="24"/>
        </w:rPr>
        <w:t xml:space="preserve"> prior to </w:t>
      </w:r>
      <w:proofErr w:type="spellStart"/>
      <w:r w:rsidRPr="00C73ACC">
        <w:rPr>
          <w:rFonts w:ascii="Times New Roman" w:hAnsi="Times New Roman" w:cs="Times New Roman"/>
          <w:sz w:val="24"/>
          <w:szCs w:val="24"/>
        </w:rPr>
        <w:t>Dhevatara</w:t>
      </w:r>
      <w:proofErr w:type="spellEnd"/>
      <w:r w:rsidRPr="00C73ACC">
        <w:rPr>
          <w:rFonts w:ascii="Times New Roman" w:hAnsi="Times New Roman" w:cs="Times New Roman"/>
          <w:sz w:val="24"/>
          <w:szCs w:val="24"/>
        </w:rPr>
        <w:t xml:space="preserve"> Co. Ltd taking occupancy of the premises. The trial Judge however considered the report produced by Mr. </w:t>
      </w:r>
      <w:proofErr w:type="spellStart"/>
      <w:r w:rsidRPr="00C73ACC">
        <w:rPr>
          <w:rFonts w:ascii="Times New Roman" w:hAnsi="Times New Roman" w:cs="Times New Roman"/>
          <w:sz w:val="24"/>
          <w:szCs w:val="24"/>
        </w:rPr>
        <w:t>Roucou</w:t>
      </w:r>
      <w:proofErr w:type="spellEnd"/>
      <w:r w:rsidRPr="00C73ACC">
        <w:rPr>
          <w:rFonts w:ascii="Times New Roman" w:hAnsi="Times New Roman" w:cs="Times New Roman"/>
          <w:sz w:val="24"/>
          <w:szCs w:val="24"/>
        </w:rPr>
        <w:t xml:space="preserve"> marked as exhibit P2A and P2B in which an amount of SR 152,055/= was tagged as the replacement cost for the missing/damaged items. The trial court stated that, on a balance of probabilities, the expert report was credible evidence on which it can safely act. Furthermore, that the conclusion made in the report was demonstrably valid, reliable and borne out by an objective evaluation and assessment.</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C73ACC">
        <w:rPr>
          <w:rFonts w:ascii="Times New Roman" w:hAnsi="Times New Roman" w:cs="Times New Roman"/>
          <w:sz w:val="24"/>
          <w:szCs w:val="24"/>
        </w:rPr>
        <w:t xml:space="preserve">I note that the trial Court in considering the report did not merely award the sums claimed. The court considered each of the items categorized as missing/ damaged. Through a diagnosis of each item which was alleged as missing/damaged, the court did not award the following items valued in the sum of SR 3,500/=: attentive works at electrical/TV incoming mains- SR 2,000 and attentive works to roof above apartment 3- SR 1,500. </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C73ACC">
        <w:rPr>
          <w:rFonts w:ascii="Times New Roman" w:hAnsi="Times New Roman" w:cs="Times New Roman"/>
          <w:sz w:val="24"/>
          <w:szCs w:val="24"/>
        </w:rPr>
        <w:t>On the premise of the above, it cannot be said that the trial Court premised its award of SR 136,849.50/= for missing/damaged furniture and fittings without evidence. Hence, the appellant’s argument is not sustainable.</w:t>
      </w:r>
    </w:p>
    <w:p w:rsidR="00C73ACC" w:rsidRDefault="00C73ACC" w:rsidP="00C73ACC">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C73ACC">
        <w:rPr>
          <w:rFonts w:ascii="Times New Roman" w:hAnsi="Times New Roman" w:cs="Times New Roman"/>
          <w:sz w:val="24"/>
          <w:szCs w:val="24"/>
        </w:rPr>
        <w:t>I therefore find that ground 1 of the appeal fails.</w:t>
      </w:r>
    </w:p>
    <w:p w:rsidR="00C73ACC" w:rsidRPr="00C73ACC" w:rsidRDefault="00C73ACC" w:rsidP="00C73ACC">
      <w:pPr>
        <w:spacing w:line="360" w:lineRule="auto"/>
        <w:jc w:val="both"/>
        <w:rPr>
          <w:rFonts w:ascii="Times New Roman" w:hAnsi="Times New Roman" w:cs="Times New Roman"/>
          <w:sz w:val="4"/>
          <w:szCs w:val="4"/>
        </w:rPr>
      </w:pP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t>Ground 2</w:t>
      </w: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t>Appellant’s submissions</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C73ACC">
        <w:rPr>
          <w:rFonts w:ascii="Times New Roman" w:hAnsi="Times New Roman" w:cs="Times New Roman"/>
          <w:sz w:val="24"/>
          <w:szCs w:val="24"/>
        </w:rPr>
        <w:t xml:space="preserve">Under this ground, the appellant company faulted the trial Judge for awarding </w:t>
      </w:r>
      <w:proofErr w:type="spellStart"/>
      <w:r w:rsidRPr="00C73ACC">
        <w:rPr>
          <w:rFonts w:ascii="Times New Roman" w:hAnsi="Times New Roman" w:cs="Times New Roman"/>
          <w:sz w:val="24"/>
          <w:szCs w:val="24"/>
        </w:rPr>
        <w:t>Umarji</w:t>
      </w:r>
      <w:proofErr w:type="spellEnd"/>
      <w:r w:rsidRPr="00C73ACC">
        <w:rPr>
          <w:rFonts w:ascii="Times New Roman" w:hAnsi="Times New Roman" w:cs="Times New Roman"/>
          <w:sz w:val="24"/>
          <w:szCs w:val="24"/>
        </w:rPr>
        <w:t xml:space="preserve"> the sum of USD 9,300 for consequential loss of rent. In its view, the award </w:t>
      </w:r>
      <w:proofErr w:type="gramStart"/>
      <w:r w:rsidRPr="00C73ACC">
        <w:rPr>
          <w:rFonts w:ascii="Times New Roman" w:hAnsi="Times New Roman" w:cs="Times New Roman"/>
          <w:sz w:val="24"/>
          <w:szCs w:val="24"/>
        </w:rPr>
        <w:t>was not supported</w:t>
      </w:r>
      <w:proofErr w:type="gramEnd"/>
      <w:r w:rsidRPr="00C73ACC">
        <w:rPr>
          <w:rFonts w:ascii="Times New Roman" w:hAnsi="Times New Roman" w:cs="Times New Roman"/>
          <w:sz w:val="24"/>
          <w:szCs w:val="24"/>
        </w:rPr>
        <w:t xml:space="preserve"> by evidence. That the respondent produced no evidence to show as to what amount of time it will take or </w:t>
      </w:r>
      <w:proofErr w:type="gramStart"/>
      <w:r w:rsidRPr="00C73ACC">
        <w:rPr>
          <w:rFonts w:ascii="Times New Roman" w:hAnsi="Times New Roman" w:cs="Times New Roman"/>
          <w:sz w:val="24"/>
          <w:szCs w:val="24"/>
        </w:rPr>
        <w:t>was taken</w:t>
      </w:r>
      <w:proofErr w:type="gramEnd"/>
      <w:r w:rsidRPr="00C73ACC">
        <w:rPr>
          <w:rFonts w:ascii="Times New Roman" w:hAnsi="Times New Roman" w:cs="Times New Roman"/>
          <w:sz w:val="24"/>
          <w:szCs w:val="24"/>
        </w:rPr>
        <w:t xml:space="preserve"> to remedy the alleged damages. In any event, the damages were cosmetic as confirmed by Mr. </w:t>
      </w:r>
      <w:proofErr w:type="spellStart"/>
      <w:r w:rsidRPr="00C73ACC">
        <w:rPr>
          <w:rFonts w:ascii="Times New Roman" w:hAnsi="Times New Roman" w:cs="Times New Roman"/>
          <w:sz w:val="24"/>
          <w:szCs w:val="24"/>
        </w:rPr>
        <w:t>Roucou’s</w:t>
      </w:r>
      <w:proofErr w:type="spellEnd"/>
      <w:r w:rsidRPr="00C73ACC">
        <w:rPr>
          <w:rFonts w:ascii="Times New Roman" w:hAnsi="Times New Roman" w:cs="Times New Roman"/>
          <w:sz w:val="24"/>
          <w:szCs w:val="24"/>
        </w:rPr>
        <w:t xml:space="preserve"> (quantity surveyor) report.</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C73ACC">
        <w:rPr>
          <w:rFonts w:ascii="Times New Roman" w:hAnsi="Times New Roman" w:cs="Times New Roman"/>
          <w:sz w:val="24"/>
          <w:szCs w:val="24"/>
        </w:rPr>
        <w:t>Counsel submitted that in order to establish an entitlement to substantial damages for breach of contract, the injured party must establish that:</w:t>
      </w:r>
    </w:p>
    <w:p w:rsidR="00C73ACC" w:rsidRPr="00C73ACC" w:rsidRDefault="00C73ACC" w:rsidP="00C73ACC">
      <w:pPr>
        <w:spacing w:line="360" w:lineRule="auto"/>
        <w:ind w:left="1170"/>
        <w:jc w:val="both"/>
        <w:rPr>
          <w:rFonts w:ascii="Times New Roman" w:hAnsi="Times New Roman" w:cs="Times New Roman"/>
          <w:sz w:val="24"/>
          <w:szCs w:val="24"/>
        </w:rPr>
      </w:pPr>
      <w:r w:rsidRPr="00C73ACC">
        <w:rPr>
          <w:rFonts w:ascii="Times New Roman" w:hAnsi="Times New Roman" w:cs="Times New Roman"/>
          <w:sz w:val="24"/>
          <w:szCs w:val="24"/>
        </w:rPr>
        <w:t xml:space="preserve">(a) </w:t>
      </w:r>
      <w:proofErr w:type="gramStart"/>
      <w:r w:rsidRPr="00C73ACC">
        <w:rPr>
          <w:rFonts w:ascii="Times New Roman" w:hAnsi="Times New Roman" w:cs="Times New Roman"/>
          <w:sz w:val="24"/>
          <w:szCs w:val="24"/>
        </w:rPr>
        <w:t>a</w:t>
      </w:r>
      <w:proofErr w:type="gramEnd"/>
      <w:r w:rsidRPr="00C73ACC">
        <w:rPr>
          <w:rFonts w:ascii="Times New Roman" w:hAnsi="Times New Roman" w:cs="Times New Roman"/>
          <w:sz w:val="24"/>
          <w:szCs w:val="24"/>
        </w:rPr>
        <w:t xml:space="preserve"> loss has been caused by the breach</w:t>
      </w:r>
    </w:p>
    <w:p w:rsidR="00C73ACC" w:rsidRPr="00C73ACC" w:rsidRDefault="00C73ACC" w:rsidP="00C73ACC">
      <w:pPr>
        <w:spacing w:line="360" w:lineRule="auto"/>
        <w:ind w:left="1170"/>
        <w:jc w:val="both"/>
        <w:rPr>
          <w:rFonts w:ascii="Times New Roman" w:hAnsi="Times New Roman" w:cs="Times New Roman"/>
          <w:sz w:val="24"/>
          <w:szCs w:val="24"/>
        </w:rPr>
      </w:pPr>
      <w:r w:rsidRPr="00C73ACC">
        <w:rPr>
          <w:rFonts w:ascii="Times New Roman" w:hAnsi="Times New Roman" w:cs="Times New Roman"/>
          <w:sz w:val="24"/>
          <w:szCs w:val="24"/>
        </w:rPr>
        <w:lastRenderedPageBreak/>
        <w:t xml:space="preserve">(b) </w:t>
      </w:r>
      <w:proofErr w:type="gramStart"/>
      <w:r w:rsidRPr="00C73ACC">
        <w:rPr>
          <w:rFonts w:ascii="Times New Roman" w:hAnsi="Times New Roman" w:cs="Times New Roman"/>
          <w:sz w:val="24"/>
          <w:szCs w:val="24"/>
        </w:rPr>
        <w:t>the</w:t>
      </w:r>
      <w:proofErr w:type="gramEnd"/>
      <w:r w:rsidRPr="00C73ACC">
        <w:rPr>
          <w:rFonts w:ascii="Times New Roman" w:hAnsi="Times New Roman" w:cs="Times New Roman"/>
          <w:sz w:val="24"/>
          <w:szCs w:val="24"/>
        </w:rPr>
        <w:t xml:space="preserve"> type of loss is recognized as giving an entitlement to compensation; </w:t>
      </w:r>
    </w:p>
    <w:p w:rsidR="00C73ACC" w:rsidRPr="00C73ACC" w:rsidRDefault="00C73ACC" w:rsidP="00C73ACC">
      <w:pPr>
        <w:spacing w:line="360" w:lineRule="auto"/>
        <w:ind w:left="1170"/>
        <w:jc w:val="both"/>
        <w:rPr>
          <w:rFonts w:ascii="Times New Roman" w:hAnsi="Times New Roman" w:cs="Times New Roman"/>
          <w:sz w:val="24"/>
          <w:szCs w:val="24"/>
        </w:rPr>
      </w:pPr>
      <w:r w:rsidRPr="00C73ACC">
        <w:rPr>
          <w:rFonts w:ascii="Times New Roman" w:hAnsi="Times New Roman" w:cs="Times New Roman"/>
          <w:sz w:val="24"/>
          <w:szCs w:val="24"/>
        </w:rPr>
        <w:t xml:space="preserve">(c) </w:t>
      </w:r>
      <w:proofErr w:type="gramStart"/>
      <w:r w:rsidRPr="00C73ACC">
        <w:rPr>
          <w:rFonts w:ascii="Times New Roman" w:hAnsi="Times New Roman" w:cs="Times New Roman"/>
          <w:sz w:val="24"/>
          <w:szCs w:val="24"/>
        </w:rPr>
        <w:t>the</w:t>
      </w:r>
      <w:proofErr w:type="gramEnd"/>
      <w:r w:rsidRPr="00C73ACC">
        <w:rPr>
          <w:rFonts w:ascii="Times New Roman" w:hAnsi="Times New Roman" w:cs="Times New Roman"/>
          <w:sz w:val="24"/>
          <w:szCs w:val="24"/>
        </w:rPr>
        <w:t xml:space="preserve"> loss is not too remote;</w:t>
      </w:r>
    </w:p>
    <w:p w:rsidR="00C73ACC" w:rsidRPr="00C73ACC" w:rsidRDefault="00C73ACC" w:rsidP="00C73ACC">
      <w:pPr>
        <w:spacing w:line="360" w:lineRule="auto"/>
        <w:ind w:left="1170"/>
        <w:jc w:val="both"/>
        <w:rPr>
          <w:rFonts w:ascii="Times New Roman" w:hAnsi="Times New Roman" w:cs="Times New Roman"/>
          <w:sz w:val="24"/>
          <w:szCs w:val="24"/>
        </w:rPr>
      </w:pPr>
      <w:r w:rsidRPr="00C73ACC">
        <w:rPr>
          <w:rFonts w:ascii="Times New Roman" w:hAnsi="Times New Roman" w:cs="Times New Roman"/>
          <w:sz w:val="24"/>
          <w:szCs w:val="24"/>
        </w:rPr>
        <w:t xml:space="preserve">(d) </w:t>
      </w:r>
      <w:proofErr w:type="gramStart"/>
      <w:r w:rsidRPr="00C73ACC">
        <w:rPr>
          <w:rFonts w:ascii="Times New Roman" w:hAnsi="Times New Roman" w:cs="Times New Roman"/>
          <w:sz w:val="24"/>
          <w:szCs w:val="24"/>
        </w:rPr>
        <w:t>the</w:t>
      </w:r>
      <w:proofErr w:type="gramEnd"/>
      <w:r w:rsidRPr="00C73ACC">
        <w:rPr>
          <w:rFonts w:ascii="Times New Roman" w:hAnsi="Times New Roman" w:cs="Times New Roman"/>
          <w:sz w:val="24"/>
          <w:szCs w:val="24"/>
        </w:rPr>
        <w:t xml:space="preserve"> quantification of damages to the required level of proof.</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C73ACC">
        <w:rPr>
          <w:rFonts w:ascii="Times New Roman" w:hAnsi="Times New Roman" w:cs="Times New Roman"/>
          <w:sz w:val="24"/>
          <w:szCs w:val="24"/>
        </w:rPr>
        <w:t>Counsel argued that the staff of the appellant company vacated the premises on 14</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August 2012. The respondent filed the plaint on 29</w:t>
      </w:r>
      <w:r w:rsidRPr="00C73ACC">
        <w:rPr>
          <w:rFonts w:ascii="Times New Roman" w:hAnsi="Times New Roman" w:cs="Times New Roman"/>
          <w:sz w:val="24"/>
          <w:szCs w:val="24"/>
          <w:vertAlign w:val="superscript"/>
        </w:rPr>
        <w:t>th</w:t>
      </w:r>
      <w:r w:rsidRPr="00C73ACC">
        <w:rPr>
          <w:rFonts w:ascii="Times New Roman" w:hAnsi="Times New Roman" w:cs="Times New Roman"/>
          <w:sz w:val="24"/>
          <w:szCs w:val="24"/>
        </w:rPr>
        <w:t xml:space="preserve"> August 2013. There was no evidence adduced by the respondent as </w:t>
      </w:r>
      <w:proofErr w:type="gramStart"/>
      <w:r w:rsidRPr="00C73ACC">
        <w:rPr>
          <w:rFonts w:ascii="Times New Roman" w:hAnsi="Times New Roman" w:cs="Times New Roman"/>
          <w:sz w:val="24"/>
          <w:szCs w:val="24"/>
        </w:rPr>
        <w:t>to the repair program or when the repairs took place</w:t>
      </w:r>
      <w:proofErr w:type="gramEnd"/>
      <w:r w:rsidRPr="00C73ACC">
        <w:rPr>
          <w:rFonts w:ascii="Times New Roman" w:hAnsi="Times New Roman" w:cs="Times New Roman"/>
          <w:sz w:val="24"/>
          <w:szCs w:val="24"/>
        </w:rPr>
        <w:t>.</w:t>
      </w:r>
    </w:p>
    <w:p w:rsidR="00C73ACC" w:rsidRPr="00C73ACC" w:rsidRDefault="00C73ACC" w:rsidP="00C73ACC">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C73ACC">
        <w:rPr>
          <w:rFonts w:ascii="Times New Roman" w:hAnsi="Times New Roman" w:cs="Times New Roman"/>
          <w:sz w:val="24"/>
          <w:szCs w:val="24"/>
        </w:rPr>
        <w:t xml:space="preserve">Furthermore, counsel argued that there was no written rental agreement </w:t>
      </w:r>
      <w:r w:rsidRPr="00C73ACC">
        <w:rPr>
          <w:rFonts w:ascii="Times New Roman" w:hAnsi="Times New Roman" w:cs="Times New Roman"/>
          <w:i/>
          <w:sz w:val="24"/>
          <w:szCs w:val="24"/>
        </w:rPr>
        <w:t>per se</w:t>
      </w:r>
      <w:r w:rsidRPr="00C73ACC">
        <w:rPr>
          <w:rFonts w:ascii="Times New Roman" w:hAnsi="Times New Roman" w:cs="Times New Roman"/>
          <w:sz w:val="24"/>
          <w:szCs w:val="24"/>
        </w:rPr>
        <w:t xml:space="preserve"> between the parties. That the </w:t>
      </w:r>
      <w:proofErr w:type="gramStart"/>
      <w:r w:rsidRPr="00C73ACC">
        <w:rPr>
          <w:rFonts w:ascii="Times New Roman" w:hAnsi="Times New Roman" w:cs="Times New Roman"/>
          <w:sz w:val="24"/>
          <w:szCs w:val="24"/>
        </w:rPr>
        <w:t>rental agreement referred to in the proceedings was never signed by the parties</w:t>
      </w:r>
      <w:proofErr w:type="gramEnd"/>
      <w:r w:rsidRPr="00C73ACC">
        <w:rPr>
          <w:rFonts w:ascii="Times New Roman" w:hAnsi="Times New Roman" w:cs="Times New Roman"/>
          <w:sz w:val="24"/>
          <w:szCs w:val="24"/>
        </w:rPr>
        <w:t xml:space="preserve"> therefore there was no agreement with respect to damages as a result of breach as averred in the particulars of the plaint. What existed between the parties was a statutory tenancy in terms of the Control of Rent and Tenancy Agreement Act. Such a tenancy is a </w:t>
      </w:r>
      <w:proofErr w:type="gramStart"/>
      <w:r w:rsidRPr="00C73ACC">
        <w:rPr>
          <w:rFonts w:ascii="Times New Roman" w:hAnsi="Times New Roman" w:cs="Times New Roman"/>
          <w:sz w:val="24"/>
          <w:szCs w:val="24"/>
        </w:rPr>
        <w:t>month to month</w:t>
      </w:r>
      <w:proofErr w:type="gramEnd"/>
      <w:r w:rsidRPr="00C73ACC">
        <w:rPr>
          <w:rFonts w:ascii="Times New Roman" w:hAnsi="Times New Roman" w:cs="Times New Roman"/>
          <w:sz w:val="24"/>
          <w:szCs w:val="24"/>
        </w:rPr>
        <w:t xml:space="preserve"> tenancy. Thus, Articles 1142, 1146 and 1150 of the civil code are applicable.</w:t>
      </w: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t>Respondent’s reply</w:t>
      </w:r>
    </w:p>
    <w:p w:rsidR="00C73ACC" w:rsidRPr="00C73ACC" w:rsidRDefault="003E07A5" w:rsidP="003E07A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C73ACC" w:rsidRPr="00C73ACC">
        <w:rPr>
          <w:rFonts w:ascii="Times New Roman" w:hAnsi="Times New Roman" w:cs="Times New Roman"/>
          <w:sz w:val="24"/>
          <w:szCs w:val="24"/>
        </w:rPr>
        <w:t xml:space="preserve">In reply, the respondent submitted that the learned trial Judge observed that the evidence before her in relation to loss was scant and brief and that the respondent did not file any expert evidence in relation to this issue. That having considered the claim fully, the learned Judge went on to conclude that on the balance of probabilities </w:t>
      </w:r>
      <w:proofErr w:type="gramStart"/>
      <w:r w:rsidR="00C73ACC" w:rsidRPr="00C73ACC">
        <w:rPr>
          <w:rFonts w:ascii="Times New Roman" w:hAnsi="Times New Roman" w:cs="Times New Roman"/>
          <w:sz w:val="24"/>
          <w:szCs w:val="24"/>
        </w:rPr>
        <w:t>an</w:t>
      </w:r>
      <w:proofErr w:type="gramEnd"/>
      <w:r w:rsidR="00C73ACC" w:rsidRPr="00C73ACC">
        <w:rPr>
          <w:rFonts w:ascii="Times New Roman" w:hAnsi="Times New Roman" w:cs="Times New Roman"/>
          <w:sz w:val="24"/>
          <w:szCs w:val="24"/>
        </w:rPr>
        <w:t xml:space="preserve"> order awarding three (3) months’ loss of rental income was reasonable in all the circumstances.</w:t>
      </w:r>
    </w:p>
    <w:p w:rsidR="00C73ACC" w:rsidRPr="00C73ACC" w:rsidRDefault="003E07A5" w:rsidP="003E07A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C73ACC" w:rsidRPr="00C73ACC">
        <w:rPr>
          <w:rFonts w:ascii="Times New Roman" w:hAnsi="Times New Roman" w:cs="Times New Roman"/>
          <w:sz w:val="24"/>
          <w:szCs w:val="24"/>
        </w:rPr>
        <w:t xml:space="preserve">The respondent considers that this finding was plainly open to the learned Judge having particular regard to the findings the learned Judge had made elsewhere in the judgment relating to the lack of upkeep of the demised premises. The learned Judge came to a view - in the light of the photographic and expert evidence before her that remedial works were necessary and during such time that those works were being carried out, the appellant would be unable to obtain any rental income from the premises. In the respondent’s view, the learned Judge was right to award consequential damages in those circumstances and the appellant has demonstrated no error of law to suggest that this finding should be set aside.  He therefore prayed that this ground too </w:t>
      </w:r>
      <w:proofErr w:type="gramStart"/>
      <w:r w:rsidR="00C73ACC" w:rsidRPr="00C73ACC">
        <w:rPr>
          <w:rFonts w:ascii="Times New Roman" w:hAnsi="Times New Roman" w:cs="Times New Roman"/>
          <w:sz w:val="24"/>
          <w:szCs w:val="24"/>
        </w:rPr>
        <w:t>should be dismissed</w:t>
      </w:r>
      <w:proofErr w:type="gramEnd"/>
      <w:r w:rsidR="00C73ACC" w:rsidRPr="00C73ACC">
        <w:rPr>
          <w:rFonts w:ascii="Times New Roman" w:hAnsi="Times New Roman" w:cs="Times New Roman"/>
          <w:sz w:val="24"/>
          <w:szCs w:val="24"/>
        </w:rPr>
        <w:t>.</w:t>
      </w:r>
    </w:p>
    <w:p w:rsidR="00C73ACC" w:rsidRPr="00C73ACC" w:rsidRDefault="00C73ACC" w:rsidP="00C73ACC">
      <w:pPr>
        <w:spacing w:line="360" w:lineRule="auto"/>
        <w:jc w:val="both"/>
        <w:rPr>
          <w:rFonts w:ascii="Times New Roman" w:hAnsi="Times New Roman" w:cs="Times New Roman"/>
          <w:b/>
          <w:sz w:val="24"/>
          <w:szCs w:val="24"/>
        </w:rPr>
      </w:pPr>
      <w:r w:rsidRPr="00C73ACC">
        <w:rPr>
          <w:rFonts w:ascii="Times New Roman" w:hAnsi="Times New Roman" w:cs="Times New Roman"/>
          <w:b/>
          <w:sz w:val="24"/>
          <w:szCs w:val="24"/>
        </w:rPr>
        <w:lastRenderedPageBreak/>
        <w:t>Court’s Consideration</w:t>
      </w:r>
    </w:p>
    <w:p w:rsidR="00C73ACC" w:rsidRPr="00C73ACC" w:rsidRDefault="003E07A5" w:rsidP="003E07A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C73ACC" w:rsidRPr="00C73ACC">
        <w:rPr>
          <w:rFonts w:ascii="Times New Roman" w:hAnsi="Times New Roman" w:cs="Times New Roman"/>
          <w:sz w:val="24"/>
          <w:szCs w:val="24"/>
        </w:rPr>
        <w:t>The arguments raised by both counsel rotate around the consequential loss doctrine. Furthermore, the arguments also rotate around the failure by the appellant to prove the claim for consequential loss of rental income.</w:t>
      </w:r>
    </w:p>
    <w:p w:rsidR="00C73ACC" w:rsidRPr="00C73ACC" w:rsidRDefault="003E07A5" w:rsidP="003E07A5">
      <w:pPr>
        <w:spacing w:line="360" w:lineRule="auto"/>
        <w:ind w:left="81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C73ACC" w:rsidRPr="00C73ACC">
        <w:rPr>
          <w:rFonts w:ascii="Times New Roman" w:hAnsi="Times New Roman" w:cs="Times New Roman"/>
          <w:sz w:val="24"/>
          <w:szCs w:val="24"/>
        </w:rPr>
        <w:t xml:space="preserve">Consequential loss according to </w:t>
      </w:r>
      <w:r w:rsidR="00C73ACC" w:rsidRPr="00C73ACC">
        <w:rPr>
          <w:rFonts w:ascii="Times New Roman" w:hAnsi="Times New Roman" w:cs="Times New Roman"/>
          <w:b/>
          <w:sz w:val="24"/>
          <w:szCs w:val="24"/>
        </w:rPr>
        <w:t>Black’s Law Dictionary</w:t>
      </w:r>
      <w:r w:rsidR="00C73ACC" w:rsidRPr="00C73ACC">
        <w:rPr>
          <w:rFonts w:ascii="Times New Roman" w:hAnsi="Times New Roman" w:cs="Times New Roman"/>
          <w:color w:val="000000"/>
          <w:sz w:val="24"/>
          <w:szCs w:val="24"/>
          <w:shd w:val="clear" w:color="auto" w:fill="FFFFFF"/>
        </w:rPr>
        <w:t xml:space="preserve"> </w:t>
      </w:r>
      <w:r w:rsidR="00C73ACC" w:rsidRPr="00C73ACC">
        <w:rPr>
          <w:rFonts w:ascii="Times New Roman" w:hAnsi="Times New Roman" w:cs="Times New Roman"/>
          <w:b/>
          <w:sz w:val="24"/>
          <w:szCs w:val="24"/>
        </w:rPr>
        <w:t>(10</w:t>
      </w:r>
      <w:r w:rsidR="00C73ACC" w:rsidRPr="00C73ACC">
        <w:rPr>
          <w:rFonts w:ascii="Times New Roman" w:hAnsi="Times New Roman" w:cs="Times New Roman"/>
          <w:b/>
          <w:sz w:val="24"/>
          <w:szCs w:val="24"/>
          <w:vertAlign w:val="superscript"/>
        </w:rPr>
        <w:t>th</w:t>
      </w:r>
      <w:r w:rsidR="00C73ACC" w:rsidRPr="00C73ACC">
        <w:rPr>
          <w:rFonts w:ascii="Times New Roman" w:hAnsi="Times New Roman" w:cs="Times New Roman"/>
          <w:b/>
          <w:sz w:val="24"/>
          <w:szCs w:val="24"/>
        </w:rPr>
        <w:t xml:space="preserve"> edition, 2014)</w:t>
      </w:r>
      <w:r w:rsidR="00C73ACC" w:rsidRPr="00C73ACC">
        <w:rPr>
          <w:rFonts w:ascii="Times New Roman" w:hAnsi="Times New Roman" w:cs="Times New Roman"/>
          <w:sz w:val="24"/>
          <w:szCs w:val="24"/>
        </w:rPr>
        <w:t xml:space="preserve"> is defined as losses that do not flow directly and immediately from an injurious act but that result indirectly from the act. </w:t>
      </w:r>
    </w:p>
    <w:p w:rsidR="00C73ACC" w:rsidRPr="00C73ACC" w:rsidRDefault="003E07A5" w:rsidP="003E07A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C73ACC" w:rsidRPr="00C73ACC">
        <w:rPr>
          <w:rFonts w:ascii="Times New Roman" w:hAnsi="Times New Roman" w:cs="Times New Roman"/>
          <w:sz w:val="24"/>
          <w:szCs w:val="24"/>
        </w:rPr>
        <w:t xml:space="preserve">It is trite that according to </w:t>
      </w:r>
      <w:r w:rsidR="00C73ACC" w:rsidRPr="00C73ACC">
        <w:rPr>
          <w:rFonts w:ascii="Times New Roman" w:hAnsi="Times New Roman" w:cs="Times New Roman"/>
          <w:b/>
          <w:sz w:val="24"/>
          <w:szCs w:val="24"/>
        </w:rPr>
        <w:t xml:space="preserve">Articles 1142, 1146 </w:t>
      </w:r>
      <w:r w:rsidR="00C73ACC" w:rsidRPr="00C73ACC">
        <w:rPr>
          <w:rFonts w:ascii="Times New Roman" w:hAnsi="Times New Roman" w:cs="Times New Roman"/>
          <w:sz w:val="24"/>
          <w:szCs w:val="24"/>
        </w:rPr>
        <w:t>and</w:t>
      </w:r>
      <w:r w:rsidR="00C73ACC" w:rsidRPr="00C73ACC">
        <w:rPr>
          <w:rFonts w:ascii="Times New Roman" w:hAnsi="Times New Roman" w:cs="Times New Roman"/>
          <w:b/>
          <w:sz w:val="24"/>
          <w:szCs w:val="24"/>
        </w:rPr>
        <w:t xml:space="preserve"> 1150 </w:t>
      </w:r>
      <w:r w:rsidR="00C73ACC" w:rsidRPr="00C73ACC">
        <w:rPr>
          <w:rFonts w:ascii="Times New Roman" w:hAnsi="Times New Roman" w:cs="Times New Roman"/>
          <w:sz w:val="24"/>
          <w:szCs w:val="24"/>
        </w:rPr>
        <w:t>of the</w:t>
      </w:r>
      <w:r w:rsidR="00C73ACC" w:rsidRPr="00C73ACC">
        <w:rPr>
          <w:rFonts w:ascii="Times New Roman" w:hAnsi="Times New Roman" w:cs="Times New Roman"/>
          <w:b/>
          <w:sz w:val="24"/>
          <w:szCs w:val="24"/>
        </w:rPr>
        <w:t xml:space="preserve"> Civil </w:t>
      </w:r>
      <w:proofErr w:type="gramStart"/>
      <w:r w:rsidR="00C73ACC" w:rsidRPr="00C73ACC">
        <w:rPr>
          <w:rFonts w:ascii="Times New Roman" w:hAnsi="Times New Roman" w:cs="Times New Roman"/>
          <w:b/>
          <w:sz w:val="24"/>
          <w:szCs w:val="24"/>
        </w:rPr>
        <w:t>Code</w:t>
      </w:r>
      <w:r w:rsidR="00C73ACC" w:rsidRPr="00C73ACC">
        <w:rPr>
          <w:rFonts w:ascii="Times New Roman" w:hAnsi="Times New Roman" w:cs="Times New Roman"/>
          <w:sz w:val="24"/>
          <w:szCs w:val="24"/>
        </w:rPr>
        <w:t xml:space="preserve"> which were cited by the appellant’s counsel, if a debtor</w:t>
      </w:r>
      <w:proofErr w:type="gramEnd"/>
      <w:r w:rsidR="00C73ACC" w:rsidRPr="00C73ACC">
        <w:rPr>
          <w:rFonts w:ascii="Times New Roman" w:hAnsi="Times New Roman" w:cs="Times New Roman"/>
          <w:sz w:val="24"/>
          <w:szCs w:val="24"/>
        </w:rPr>
        <w:t xml:space="preserve"> fails to perform an obligation under a contract, it gives rise to damages. </w:t>
      </w:r>
    </w:p>
    <w:p w:rsidR="00C73ACC" w:rsidRPr="00C73ACC" w:rsidRDefault="003E07A5" w:rsidP="003E07A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C73ACC" w:rsidRPr="00C73ACC">
        <w:rPr>
          <w:rFonts w:ascii="Times New Roman" w:hAnsi="Times New Roman" w:cs="Times New Roman"/>
          <w:b/>
          <w:sz w:val="24"/>
          <w:szCs w:val="24"/>
        </w:rPr>
        <w:t xml:space="preserve">Article 1149 </w:t>
      </w:r>
      <w:r w:rsidR="00C73ACC" w:rsidRPr="00C73ACC">
        <w:rPr>
          <w:rFonts w:ascii="Times New Roman" w:hAnsi="Times New Roman" w:cs="Times New Roman"/>
          <w:sz w:val="24"/>
          <w:szCs w:val="24"/>
        </w:rPr>
        <w:t>of the</w:t>
      </w:r>
      <w:r w:rsidR="00C73ACC" w:rsidRPr="00C73ACC">
        <w:rPr>
          <w:rFonts w:ascii="Times New Roman" w:hAnsi="Times New Roman" w:cs="Times New Roman"/>
          <w:b/>
          <w:sz w:val="24"/>
          <w:szCs w:val="24"/>
        </w:rPr>
        <w:t xml:space="preserve"> Civil Code</w:t>
      </w:r>
      <w:r w:rsidR="00C73ACC" w:rsidRPr="00C73ACC">
        <w:rPr>
          <w:rFonts w:ascii="Times New Roman" w:hAnsi="Times New Roman" w:cs="Times New Roman"/>
          <w:sz w:val="24"/>
          <w:szCs w:val="24"/>
        </w:rPr>
        <w:t xml:space="preserve"> goes ahead to give the categories of damages recoverable arising from breach of Contract as follows:</w:t>
      </w:r>
    </w:p>
    <w:p w:rsidR="00C73ACC" w:rsidRPr="00C73ACC" w:rsidRDefault="00C73ACC" w:rsidP="003E07A5">
      <w:pPr>
        <w:pStyle w:val="estatutes-1-section"/>
        <w:shd w:val="clear" w:color="auto" w:fill="FFFFFF"/>
        <w:ind w:left="1170" w:right="720"/>
        <w:jc w:val="both"/>
        <w:rPr>
          <w:b/>
          <w:color w:val="000000"/>
        </w:rPr>
      </w:pPr>
      <w:r w:rsidRPr="00C73ACC">
        <w:rPr>
          <w:b/>
          <w:color w:val="000000"/>
          <w:lang w:val="en-GB"/>
        </w:rPr>
        <w:t xml:space="preserve">1. The </w:t>
      </w:r>
      <w:proofErr w:type="gramStart"/>
      <w:r w:rsidRPr="00C73ACC">
        <w:rPr>
          <w:b/>
          <w:color w:val="000000"/>
          <w:lang w:val="en-GB"/>
        </w:rPr>
        <w:t>damages which are due to the creditor</w:t>
      </w:r>
      <w:proofErr w:type="gramEnd"/>
      <w:r w:rsidRPr="00C73ACC">
        <w:rPr>
          <w:b/>
          <w:color w:val="000000"/>
          <w:lang w:val="en-GB"/>
        </w:rPr>
        <w:t xml:space="preserve"> cover in general the loss that he has sustained </w:t>
      </w:r>
      <w:r w:rsidRPr="00C73ACC">
        <w:rPr>
          <w:b/>
          <w:color w:val="000000"/>
          <w:u w:val="single"/>
          <w:lang w:val="en-GB"/>
        </w:rPr>
        <w:t>and the profit of which he has been deprived</w:t>
      </w:r>
      <w:r w:rsidRPr="00C73ACC">
        <w:rPr>
          <w:b/>
          <w:color w:val="000000"/>
          <w:lang w:val="en-GB"/>
        </w:rPr>
        <w:t>, except as provided hereafter.</w:t>
      </w:r>
    </w:p>
    <w:p w:rsidR="00C73ACC" w:rsidRPr="00C73ACC" w:rsidRDefault="00C73ACC" w:rsidP="003E07A5">
      <w:pPr>
        <w:pStyle w:val="estatutes-1-section"/>
        <w:shd w:val="clear" w:color="auto" w:fill="FFFFFF"/>
        <w:ind w:left="1170" w:right="720"/>
        <w:jc w:val="both"/>
        <w:rPr>
          <w:b/>
          <w:color w:val="000000"/>
        </w:rPr>
      </w:pPr>
      <w:r w:rsidRPr="00C73ACC">
        <w:rPr>
          <w:b/>
          <w:color w:val="000000"/>
          <w:lang w:val="en-GB"/>
        </w:rPr>
        <w:t xml:space="preserve"> 2. Damages shall also be recoverable for any injury to or loss of rights of personality. These include </w:t>
      </w:r>
      <w:proofErr w:type="gramStart"/>
      <w:r w:rsidRPr="00C73ACC">
        <w:rPr>
          <w:b/>
          <w:color w:val="000000"/>
          <w:lang w:val="en-GB"/>
        </w:rPr>
        <w:t>rights which</w:t>
      </w:r>
      <w:proofErr w:type="gramEnd"/>
      <w:r w:rsidRPr="00C73ACC">
        <w:rPr>
          <w:b/>
          <w:color w:val="000000"/>
          <w:lang w:val="en-GB"/>
        </w:rPr>
        <w:t xml:space="preserve"> cannot be measured in money such as pain and suffering, and aesthetic loss and the loss of any of the amenities of life.</w:t>
      </w:r>
    </w:p>
    <w:p w:rsidR="00C73ACC" w:rsidRPr="00C73ACC" w:rsidRDefault="00C73ACC" w:rsidP="003E07A5">
      <w:pPr>
        <w:pStyle w:val="estatutes-1-section"/>
        <w:shd w:val="clear" w:color="auto" w:fill="FFFFFF"/>
        <w:ind w:left="1170" w:right="720"/>
        <w:jc w:val="both"/>
        <w:rPr>
          <w:b/>
          <w:color w:val="000000"/>
        </w:rPr>
      </w:pPr>
      <w:r w:rsidRPr="00C73ACC">
        <w:rPr>
          <w:b/>
          <w:color w:val="000000"/>
          <w:lang w:val="en-GB"/>
        </w:rPr>
        <w:t xml:space="preserve"> 3. The damages payable under paragraphs 1 and 2 of this article, and as provided in the following articles, </w:t>
      </w:r>
      <w:r w:rsidRPr="00C73ACC">
        <w:rPr>
          <w:b/>
          <w:color w:val="000000"/>
          <w:u w:val="single"/>
          <w:lang w:val="en-GB"/>
        </w:rPr>
        <w:t>shall apply as appropriate to the breach of contract and the activity of the victim</w:t>
      </w:r>
      <w:r w:rsidRPr="00C73ACC">
        <w:rPr>
          <w:b/>
          <w:color w:val="000000"/>
          <w:lang w:val="en-GB"/>
        </w:rPr>
        <w:t xml:space="preserve">. </w:t>
      </w:r>
      <w:r w:rsidRPr="00C73ACC">
        <w:rPr>
          <w:color w:val="000000"/>
          <w:lang w:val="en-GB"/>
        </w:rPr>
        <w:t>(Emphasis of Court)</w:t>
      </w:r>
    </w:p>
    <w:p w:rsidR="00C73ACC" w:rsidRPr="00C73ACC" w:rsidRDefault="003E07A5" w:rsidP="003E07A5">
      <w:pPr>
        <w:pStyle w:val="estatutes-1-section"/>
        <w:shd w:val="clear" w:color="auto" w:fill="FFFFFF"/>
        <w:spacing w:line="360" w:lineRule="auto"/>
        <w:ind w:left="900" w:hanging="900"/>
        <w:jc w:val="both"/>
        <w:rPr>
          <w:color w:val="000000"/>
          <w:lang w:val="en-GB"/>
        </w:rPr>
      </w:pPr>
      <w:r>
        <w:rPr>
          <w:color w:val="000000"/>
          <w:lang w:val="en-GB"/>
        </w:rPr>
        <w:t>[32]</w:t>
      </w:r>
      <w:r>
        <w:rPr>
          <w:color w:val="000000"/>
          <w:lang w:val="en-GB"/>
        </w:rPr>
        <w:tab/>
      </w:r>
      <w:r w:rsidR="00C73ACC" w:rsidRPr="00C73ACC">
        <w:rPr>
          <w:color w:val="000000"/>
          <w:lang w:val="en-GB"/>
        </w:rPr>
        <w:t xml:space="preserve">Following the above provision of law, the appellant’s argument that </w:t>
      </w:r>
      <w:proofErr w:type="spellStart"/>
      <w:r w:rsidR="00C73ACC" w:rsidRPr="00C73ACC">
        <w:rPr>
          <w:color w:val="000000"/>
          <w:lang w:val="en-GB"/>
        </w:rPr>
        <w:t>Umarji</w:t>
      </w:r>
      <w:proofErr w:type="spellEnd"/>
      <w:r w:rsidR="00C73ACC" w:rsidRPr="00C73ACC">
        <w:rPr>
          <w:color w:val="000000"/>
          <w:lang w:val="en-GB"/>
        </w:rPr>
        <w:t xml:space="preserve"> was solely entitled to damages resulting from the breach and nothing more </w:t>
      </w:r>
      <w:proofErr w:type="gramStart"/>
      <w:r w:rsidR="00C73ACC" w:rsidRPr="00C73ACC">
        <w:rPr>
          <w:color w:val="000000"/>
          <w:lang w:val="en-GB"/>
        </w:rPr>
        <w:t>cannot be sustained</w:t>
      </w:r>
      <w:proofErr w:type="gramEnd"/>
      <w:r w:rsidR="00C73ACC" w:rsidRPr="00C73ACC">
        <w:rPr>
          <w:color w:val="000000"/>
          <w:lang w:val="en-GB"/>
        </w:rPr>
        <w:t xml:space="preserve">. As correctly found by the trial Judge, </w:t>
      </w:r>
      <w:proofErr w:type="spellStart"/>
      <w:r w:rsidR="00C73ACC" w:rsidRPr="00C73ACC">
        <w:rPr>
          <w:color w:val="000000"/>
          <w:lang w:val="en-GB"/>
        </w:rPr>
        <w:t>Umarji</w:t>
      </w:r>
      <w:proofErr w:type="spellEnd"/>
      <w:r w:rsidR="00C73ACC" w:rsidRPr="00C73ACC">
        <w:rPr>
          <w:color w:val="000000"/>
          <w:lang w:val="en-GB"/>
        </w:rPr>
        <w:t xml:space="preserve"> was entitled to the award of consequential damages even if they were not a direct result of breach of the lease agreement.</w:t>
      </w:r>
    </w:p>
    <w:p w:rsidR="00C73ACC" w:rsidRPr="00C73ACC" w:rsidRDefault="003E07A5" w:rsidP="003E07A5">
      <w:pPr>
        <w:pStyle w:val="estatutes-1-section"/>
        <w:shd w:val="clear" w:color="auto" w:fill="FFFFFF"/>
        <w:spacing w:line="360" w:lineRule="auto"/>
        <w:ind w:left="900" w:hanging="900"/>
        <w:jc w:val="both"/>
        <w:rPr>
          <w:color w:val="000000"/>
          <w:lang w:val="en-GB"/>
        </w:rPr>
      </w:pPr>
      <w:r>
        <w:rPr>
          <w:color w:val="000000"/>
          <w:lang w:val="en-GB"/>
        </w:rPr>
        <w:t>[33]</w:t>
      </w:r>
      <w:r>
        <w:rPr>
          <w:color w:val="000000"/>
          <w:lang w:val="en-GB"/>
        </w:rPr>
        <w:tab/>
      </w:r>
      <w:r w:rsidR="00C73ACC" w:rsidRPr="00C73ACC">
        <w:rPr>
          <w:color w:val="000000"/>
          <w:lang w:val="en-GB"/>
        </w:rPr>
        <w:t>I now turn to the issue of failure to prove the claim for consequential damages. The evidence considered by the trial Court in this regard was as follows:</w:t>
      </w:r>
    </w:p>
    <w:p w:rsidR="00C73ACC" w:rsidRPr="00C73ACC" w:rsidRDefault="00C73ACC" w:rsidP="003E07A5">
      <w:pPr>
        <w:pStyle w:val="estatutes-1-section"/>
        <w:shd w:val="clear" w:color="auto" w:fill="FFFFFF"/>
        <w:spacing w:line="360" w:lineRule="auto"/>
        <w:ind w:left="1350"/>
        <w:jc w:val="both"/>
        <w:rPr>
          <w:color w:val="000000"/>
          <w:lang w:val="en-GB"/>
        </w:rPr>
      </w:pPr>
      <w:r w:rsidRPr="00C73ACC">
        <w:rPr>
          <w:color w:val="000000"/>
          <w:lang w:val="en-GB"/>
        </w:rPr>
        <w:lastRenderedPageBreak/>
        <w:t>“</w:t>
      </w:r>
      <w:r w:rsidRPr="00C73ACC">
        <w:rPr>
          <w:i/>
          <w:color w:val="000000"/>
          <w:lang w:val="en-GB"/>
        </w:rPr>
        <w:t xml:space="preserve">Mr. </w:t>
      </w:r>
      <w:proofErr w:type="spellStart"/>
      <w:r w:rsidRPr="00C73ACC">
        <w:rPr>
          <w:i/>
          <w:color w:val="000000"/>
          <w:lang w:val="en-GB"/>
        </w:rPr>
        <w:t>Umarji</w:t>
      </w:r>
      <w:proofErr w:type="spellEnd"/>
      <w:r w:rsidRPr="00C73ACC">
        <w:rPr>
          <w:i/>
          <w:color w:val="000000"/>
          <w:lang w:val="en-GB"/>
        </w:rPr>
        <w:t xml:space="preserve"> in his plaint averred that he has suffered loss and damages as a result of breach of lease by </w:t>
      </w:r>
      <w:proofErr w:type="spellStart"/>
      <w:r w:rsidRPr="00C73ACC">
        <w:rPr>
          <w:i/>
          <w:color w:val="000000"/>
          <w:lang w:val="en-GB"/>
        </w:rPr>
        <w:t>Dhevatara</w:t>
      </w:r>
      <w:proofErr w:type="spellEnd"/>
      <w:r w:rsidRPr="00C73ACC">
        <w:rPr>
          <w:i/>
          <w:color w:val="000000"/>
          <w:lang w:val="en-GB"/>
        </w:rPr>
        <w:t xml:space="preserve"> as follows: Consequential loss of rent as a result of the breach by </w:t>
      </w:r>
      <w:proofErr w:type="spellStart"/>
      <w:r w:rsidRPr="00C73ACC">
        <w:rPr>
          <w:i/>
          <w:color w:val="000000"/>
          <w:lang w:val="en-GB"/>
        </w:rPr>
        <w:t>Dhevatara</w:t>
      </w:r>
      <w:proofErr w:type="spellEnd"/>
      <w:r w:rsidRPr="00C73ACC">
        <w:rPr>
          <w:i/>
          <w:color w:val="000000"/>
          <w:lang w:val="en-GB"/>
        </w:rPr>
        <w:t xml:space="preserve"> and the time it will take to reinstate the demised premises to its original condition SR 638,400</w:t>
      </w:r>
      <w:r w:rsidRPr="00C73ACC">
        <w:rPr>
          <w:color w:val="000000"/>
          <w:lang w:val="en-GB"/>
        </w:rPr>
        <w:t>.”</w:t>
      </w:r>
    </w:p>
    <w:p w:rsidR="00C73ACC" w:rsidRPr="00C73ACC" w:rsidRDefault="003E07A5" w:rsidP="00C73ACC">
      <w:pPr>
        <w:pStyle w:val="estatutes-1-section"/>
        <w:shd w:val="clear" w:color="auto" w:fill="FFFFFF"/>
        <w:spacing w:line="360" w:lineRule="auto"/>
        <w:jc w:val="both"/>
        <w:rPr>
          <w:color w:val="000000"/>
          <w:lang w:val="en-GB"/>
        </w:rPr>
      </w:pPr>
      <w:r>
        <w:rPr>
          <w:color w:val="000000"/>
          <w:lang w:val="en-GB"/>
        </w:rPr>
        <w:t>[34]</w:t>
      </w:r>
      <w:r>
        <w:rPr>
          <w:color w:val="000000"/>
          <w:lang w:val="en-GB"/>
        </w:rPr>
        <w:tab/>
      </w:r>
      <w:r w:rsidR="00C73ACC" w:rsidRPr="00C73ACC">
        <w:rPr>
          <w:color w:val="000000"/>
          <w:lang w:val="en-GB"/>
        </w:rPr>
        <w:t xml:space="preserve">Having evaluated the evidence the trial Court held that: </w:t>
      </w:r>
    </w:p>
    <w:p w:rsidR="00C73ACC" w:rsidRPr="00C73ACC" w:rsidRDefault="00C73ACC" w:rsidP="003E07A5">
      <w:pPr>
        <w:pStyle w:val="estatutes-1-section"/>
        <w:shd w:val="clear" w:color="auto" w:fill="FFFFFF"/>
        <w:spacing w:line="360" w:lineRule="auto"/>
        <w:ind w:left="1350"/>
        <w:jc w:val="both"/>
        <w:rPr>
          <w:i/>
          <w:color w:val="000000"/>
          <w:lang w:val="en-GB"/>
        </w:rPr>
      </w:pPr>
      <w:r w:rsidRPr="00C73ACC">
        <w:rPr>
          <w:i/>
          <w:color w:val="000000"/>
          <w:lang w:val="en-GB"/>
        </w:rPr>
        <w:t xml:space="preserve">“The evidence under this head is scant and brief. Mr. </w:t>
      </w:r>
      <w:proofErr w:type="spellStart"/>
      <w:r w:rsidRPr="00C73ACC">
        <w:rPr>
          <w:i/>
          <w:color w:val="000000"/>
          <w:lang w:val="en-GB"/>
        </w:rPr>
        <w:t>Umarji</w:t>
      </w:r>
      <w:proofErr w:type="spellEnd"/>
      <w:r w:rsidRPr="00C73ACC">
        <w:rPr>
          <w:i/>
          <w:color w:val="000000"/>
          <w:lang w:val="en-GB"/>
        </w:rPr>
        <w:t xml:space="preserve"> did not provide this court with any expert evidence in relation to the issue in question. He only stated that it would be difficult to restore the demised premises to its original condition within a specified </w:t>
      </w:r>
      <w:proofErr w:type="gramStart"/>
      <w:r w:rsidRPr="00C73ACC">
        <w:rPr>
          <w:i/>
          <w:color w:val="000000"/>
          <w:lang w:val="en-GB"/>
        </w:rPr>
        <w:t>period of time</w:t>
      </w:r>
      <w:proofErr w:type="gramEnd"/>
      <w:r w:rsidRPr="00C73ACC">
        <w:rPr>
          <w:i/>
          <w:color w:val="000000"/>
          <w:lang w:val="en-GB"/>
        </w:rPr>
        <w:t xml:space="preserve"> and therefore he was claiming one year “loss of rent” in the sum of USD 48,000. Having considered the claim of Mr. </w:t>
      </w:r>
      <w:proofErr w:type="spellStart"/>
      <w:r w:rsidRPr="00C73ACC">
        <w:rPr>
          <w:i/>
          <w:color w:val="000000"/>
          <w:lang w:val="en-GB"/>
        </w:rPr>
        <w:t>Umarji</w:t>
      </w:r>
      <w:proofErr w:type="spellEnd"/>
      <w:r w:rsidRPr="00C73ACC">
        <w:rPr>
          <w:i/>
          <w:color w:val="000000"/>
          <w:lang w:val="en-GB"/>
        </w:rPr>
        <w:t xml:space="preserve">, on a balance of probabilities, this court makes an order awarding him USD 9,300 under this head, which it considers </w:t>
      </w:r>
      <w:proofErr w:type="gramStart"/>
      <w:r w:rsidRPr="00C73ACC">
        <w:rPr>
          <w:i/>
          <w:color w:val="000000"/>
          <w:lang w:val="en-GB"/>
        </w:rPr>
        <w:t>to be reasonable</w:t>
      </w:r>
      <w:proofErr w:type="gramEnd"/>
      <w:r w:rsidRPr="00C73ACC">
        <w:rPr>
          <w:i/>
          <w:color w:val="000000"/>
          <w:lang w:val="en-GB"/>
        </w:rPr>
        <w:t xml:space="preserve"> in all the circumstances of the case. [USD 3,100*3 months’ rent].”</w:t>
      </w:r>
    </w:p>
    <w:p w:rsidR="00C73ACC" w:rsidRPr="00C73ACC" w:rsidRDefault="003E07A5" w:rsidP="003E07A5">
      <w:pPr>
        <w:pStyle w:val="estatutes-1-section"/>
        <w:shd w:val="clear" w:color="auto" w:fill="FFFFFF"/>
        <w:spacing w:line="360" w:lineRule="auto"/>
        <w:ind w:left="810" w:hanging="810"/>
        <w:jc w:val="both"/>
        <w:rPr>
          <w:color w:val="000000"/>
          <w:lang w:val="en-GB"/>
        </w:rPr>
      </w:pPr>
      <w:r>
        <w:rPr>
          <w:color w:val="000000"/>
          <w:lang w:val="en-GB"/>
        </w:rPr>
        <w:t>[35]</w:t>
      </w:r>
      <w:r>
        <w:rPr>
          <w:color w:val="000000"/>
          <w:lang w:val="en-GB"/>
        </w:rPr>
        <w:tab/>
      </w:r>
      <w:r w:rsidR="00C73ACC" w:rsidRPr="00C73ACC">
        <w:rPr>
          <w:color w:val="000000"/>
          <w:lang w:val="en-GB"/>
        </w:rPr>
        <w:t xml:space="preserve">I find no fault with the award made by the trial Court. It is clear that the court did not award </w:t>
      </w:r>
      <w:proofErr w:type="spellStart"/>
      <w:r w:rsidR="00C73ACC" w:rsidRPr="00C73ACC">
        <w:rPr>
          <w:color w:val="000000"/>
          <w:lang w:val="en-GB"/>
        </w:rPr>
        <w:t>Umarji</w:t>
      </w:r>
      <w:proofErr w:type="spellEnd"/>
      <w:r w:rsidR="00C73ACC" w:rsidRPr="00C73ACC">
        <w:rPr>
          <w:color w:val="000000"/>
          <w:lang w:val="en-GB"/>
        </w:rPr>
        <w:t xml:space="preserve"> the sum of USD 48,000 he claimed in the plaint due to scanty expert evidence on how long it would take to carry out the repairs and thereby halting the leasing of the premises for habitation. I hold that the trial court correctly exercised its discretion to grant a reasonable sum. Furthermore, the court did not zero down on an arbitrary sum but provided a formula by which it arrived at the sum. </w:t>
      </w:r>
      <w:proofErr w:type="spellStart"/>
      <w:r w:rsidR="00C73ACC" w:rsidRPr="00C73ACC">
        <w:rPr>
          <w:color w:val="000000"/>
          <w:lang w:val="en-GB"/>
        </w:rPr>
        <w:t>i.e</w:t>
      </w:r>
      <w:proofErr w:type="spellEnd"/>
      <w:r w:rsidR="00C73ACC" w:rsidRPr="00C73ACC">
        <w:rPr>
          <w:color w:val="000000"/>
          <w:lang w:val="en-GB"/>
        </w:rPr>
        <w:t xml:space="preserve"> [USD 3,100 (which was the agreed rent) * 3 months]. The sum of USD 9,300 </w:t>
      </w:r>
      <w:proofErr w:type="gramStart"/>
      <w:r w:rsidR="00C73ACC" w:rsidRPr="00C73ACC">
        <w:rPr>
          <w:color w:val="000000"/>
          <w:lang w:val="en-GB"/>
        </w:rPr>
        <w:t>is therefore upheld</w:t>
      </w:r>
      <w:proofErr w:type="gramEnd"/>
      <w:r w:rsidR="00C73ACC" w:rsidRPr="00C73ACC">
        <w:rPr>
          <w:color w:val="000000"/>
          <w:lang w:val="en-GB"/>
        </w:rPr>
        <w:t>.</w:t>
      </w:r>
    </w:p>
    <w:p w:rsidR="00C73ACC" w:rsidRPr="00C73ACC" w:rsidRDefault="003E07A5" w:rsidP="00C73ACC">
      <w:pPr>
        <w:pStyle w:val="estatutes-1-section"/>
        <w:shd w:val="clear" w:color="auto" w:fill="FFFFFF"/>
        <w:spacing w:line="360" w:lineRule="auto"/>
        <w:jc w:val="both"/>
        <w:rPr>
          <w:color w:val="000000"/>
        </w:rPr>
      </w:pPr>
      <w:r>
        <w:rPr>
          <w:color w:val="000000"/>
          <w:lang w:val="en-GB"/>
        </w:rPr>
        <w:t>[36]</w:t>
      </w:r>
      <w:r>
        <w:rPr>
          <w:color w:val="000000"/>
          <w:lang w:val="en-GB"/>
        </w:rPr>
        <w:tab/>
      </w:r>
      <w:r w:rsidR="00C73ACC" w:rsidRPr="00C73ACC">
        <w:rPr>
          <w:color w:val="000000"/>
          <w:lang w:val="en-GB"/>
        </w:rPr>
        <w:t>Thus, Ground 2 of the appeal fails.</w:t>
      </w: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t>Ground 3</w:t>
      </w: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t>Appellant’s submissions</w:t>
      </w:r>
    </w:p>
    <w:p w:rsidR="00C73ACC" w:rsidRPr="00C73ACC" w:rsidRDefault="003E07A5" w:rsidP="003E07A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C73ACC" w:rsidRPr="00C73ACC">
        <w:rPr>
          <w:rFonts w:ascii="Times New Roman" w:hAnsi="Times New Roman" w:cs="Times New Roman"/>
          <w:sz w:val="24"/>
          <w:szCs w:val="24"/>
        </w:rPr>
        <w:t xml:space="preserve">The appellant faulted the learned Judge for awarding interest from the date of filing the plaint. That the learned Judge should have taken cognizance </w:t>
      </w:r>
      <w:proofErr w:type="gramStart"/>
      <w:r w:rsidR="00C73ACC" w:rsidRPr="00C73ACC">
        <w:rPr>
          <w:rFonts w:ascii="Times New Roman" w:hAnsi="Times New Roman" w:cs="Times New Roman"/>
          <w:sz w:val="24"/>
          <w:szCs w:val="24"/>
        </w:rPr>
        <w:t>that parties</w:t>
      </w:r>
      <w:proofErr w:type="gramEnd"/>
      <w:r w:rsidR="00C73ACC" w:rsidRPr="00C73ACC">
        <w:rPr>
          <w:rFonts w:ascii="Times New Roman" w:hAnsi="Times New Roman" w:cs="Times New Roman"/>
          <w:sz w:val="24"/>
          <w:szCs w:val="24"/>
        </w:rPr>
        <w:t xml:space="preserve"> completed their respective cases and judgment was reserved for 13</w:t>
      </w:r>
      <w:r w:rsidR="00C73ACC" w:rsidRPr="00C73ACC">
        <w:rPr>
          <w:rFonts w:ascii="Times New Roman" w:hAnsi="Times New Roman" w:cs="Times New Roman"/>
          <w:sz w:val="24"/>
          <w:szCs w:val="24"/>
          <w:vertAlign w:val="superscript"/>
        </w:rPr>
        <w:t>th</w:t>
      </w:r>
      <w:r w:rsidR="00C73ACC" w:rsidRPr="00C73ACC">
        <w:rPr>
          <w:rFonts w:ascii="Times New Roman" w:hAnsi="Times New Roman" w:cs="Times New Roman"/>
          <w:sz w:val="24"/>
          <w:szCs w:val="24"/>
        </w:rPr>
        <w:t xml:space="preserve"> March 2015 but was delivered on 30</w:t>
      </w:r>
      <w:r w:rsidR="00C73ACC" w:rsidRPr="00C73ACC">
        <w:rPr>
          <w:rFonts w:ascii="Times New Roman" w:hAnsi="Times New Roman" w:cs="Times New Roman"/>
          <w:sz w:val="24"/>
          <w:szCs w:val="24"/>
          <w:vertAlign w:val="superscript"/>
        </w:rPr>
        <w:t>th</w:t>
      </w:r>
      <w:r w:rsidR="00C73ACC" w:rsidRPr="00C73ACC">
        <w:rPr>
          <w:rFonts w:ascii="Times New Roman" w:hAnsi="Times New Roman" w:cs="Times New Roman"/>
          <w:sz w:val="24"/>
          <w:szCs w:val="24"/>
        </w:rPr>
        <w:t xml:space="preserve"> May 2018. Justice </w:t>
      </w:r>
      <w:proofErr w:type="gramStart"/>
      <w:r w:rsidR="00C73ACC" w:rsidRPr="00C73ACC">
        <w:rPr>
          <w:rFonts w:ascii="Times New Roman" w:hAnsi="Times New Roman" w:cs="Times New Roman"/>
          <w:sz w:val="24"/>
          <w:szCs w:val="24"/>
        </w:rPr>
        <w:t>would be better served</w:t>
      </w:r>
      <w:proofErr w:type="gramEnd"/>
      <w:r w:rsidR="00C73ACC" w:rsidRPr="00C73ACC">
        <w:rPr>
          <w:rFonts w:ascii="Times New Roman" w:hAnsi="Times New Roman" w:cs="Times New Roman"/>
          <w:sz w:val="24"/>
          <w:szCs w:val="24"/>
        </w:rPr>
        <w:t xml:space="preserve"> if the interest run from the date of judgment.</w:t>
      </w: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lastRenderedPageBreak/>
        <w:t>Respondent’s reply</w:t>
      </w:r>
    </w:p>
    <w:p w:rsidR="00C73ACC" w:rsidRPr="00C73ACC" w:rsidRDefault="003E07A5" w:rsidP="003E07A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C73ACC" w:rsidRPr="00C73ACC">
        <w:rPr>
          <w:rFonts w:ascii="Times New Roman" w:hAnsi="Times New Roman" w:cs="Times New Roman"/>
          <w:sz w:val="24"/>
          <w:szCs w:val="24"/>
        </w:rPr>
        <w:t xml:space="preserve">The respondent conceded to this ground of appeal and submitted that the correct date from which interest should run was the date of judgment rather than the date the plaint </w:t>
      </w:r>
      <w:proofErr w:type="gramStart"/>
      <w:r w:rsidR="00C73ACC" w:rsidRPr="00C73ACC">
        <w:rPr>
          <w:rFonts w:ascii="Times New Roman" w:hAnsi="Times New Roman" w:cs="Times New Roman"/>
          <w:sz w:val="24"/>
          <w:szCs w:val="24"/>
        </w:rPr>
        <w:t>was filed</w:t>
      </w:r>
      <w:proofErr w:type="gramEnd"/>
      <w:r w:rsidR="00C73ACC" w:rsidRPr="00C73ACC">
        <w:rPr>
          <w:rFonts w:ascii="Times New Roman" w:hAnsi="Times New Roman" w:cs="Times New Roman"/>
          <w:sz w:val="24"/>
          <w:szCs w:val="24"/>
        </w:rPr>
        <w:t>.</w:t>
      </w:r>
    </w:p>
    <w:p w:rsidR="00C73ACC" w:rsidRPr="00C73ACC" w:rsidRDefault="00C73ACC" w:rsidP="00C73ACC">
      <w:pPr>
        <w:jc w:val="both"/>
        <w:rPr>
          <w:rFonts w:ascii="Times New Roman" w:hAnsi="Times New Roman" w:cs="Times New Roman"/>
          <w:b/>
          <w:sz w:val="24"/>
          <w:szCs w:val="24"/>
        </w:rPr>
      </w:pPr>
      <w:r w:rsidRPr="00C73ACC">
        <w:rPr>
          <w:rFonts w:ascii="Times New Roman" w:hAnsi="Times New Roman" w:cs="Times New Roman"/>
          <w:b/>
          <w:sz w:val="24"/>
          <w:szCs w:val="24"/>
        </w:rPr>
        <w:t>Court’s consideration</w:t>
      </w:r>
    </w:p>
    <w:p w:rsidR="00C73ACC" w:rsidRPr="00C73ACC" w:rsidRDefault="003E07A5" w:rsidP="003E07A5">
      <w:pPr>
        <w:spacing w:line="36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[39]</w:t>
      </w:r>
      <w:r>
        <w:rPr>
          <w:rFonts w:ascii="Times New Roman" w:hAnsi="Times New Roman" w:cs="Times New Roman"/>
          <w:color w:val="000000" w:themeColor="text1"/>
          <w:sz w:val="24"/>
          <w:szCs w:val="24"/>
          <w:shd w:val="clear" w:color="auto" w:fill="FFFFFF"/>
        </w:rPr>
        <w:tab/>
      </w:r>
      <w:r w:rsidR="00C73ACC" w:rsidRPr="00C73ACC">
        <w:rPr>
          <w:rFonts w:ascii="Times New Roman" w:hAnsi="Times New Roman" w:cs="Times New Roman"/>
          <w:color w:val="000000" w:themeColor="text1"/>
          <w:sz w:val="24"/>
          <w:szCs w:val="24"/>
          <w:shd w:val="clear" w:color="auto" w:fill="FFFFFF"/>
        </w:rPr>
        <w:t xml:space="preserve">The appellant company claimed that the </w:t>
      </w:r>
      <w:proofErr w:type="gramStart"/>
      <w:r w:rsidR="00C73ACC" w:rsidRPr="00C73ACC">
        <w:rPr>
          <w:rFonts w:ascii="Times New Roman" w:hAnsi="Times New Roman" w:cs="Times New Roman"/>
          <w:color w:val="000000" w:themeColor="text1"/>
          <w:sz w:val="24"/>
          <w:szCs w:val="24"/>
          <w:shd w:val="clear" w:color="auto" w:fill="FFFFFF"/>
        </w:rPr>
        <w:t>interest which was awarded by the trial court</w:t>
      </w:r>
      <w:proofErr w:type="gramEnd"/>
      <w:r w:rsidR="00C73ACC" w:rsidRPr="00C73ACC">
        <w:rPr>
          <w:rFonts w:ascii="Times New Roman" w:hAnsi="Times New Roman" w:cs="Times New Roman"/>
          <w:color w:val="000000" w:themeColor="text1"/>
          <w:sz w:val="24"/>
          <w:szCs w:val="24"/>
          <w:shd w:val="clear" w:color="auto" w:fill="FFFFFF"/>
        </w:rPr>
        <w:t xml:space="preserve"> should run from the date of judgment as opposed to when the claim was filed.</w:t>
      </w:r>
    </w:p>
    <w:p w:rsidR="00C73ACC" w:rsidRPr="00C73ACC" w:rsidRDefault="00C73ACC" w:rsidP="003E07A5">
      <w:pPr>
        <w:spacing w:line="360" w:lineRule="auto"/>
        <w:ind w:left="720"/>
        <w:jc w:val="both"/>
        <w:rPr>
          <w:rStyle w:val="Emphasis"/>
          <w:rFonts w:ascii="Times New Roman" w:hAnsi="Times New Roman" w:cs="Times New Roman"/>
          <w:color w:val="000000" w:themeColor="text1"/>
          <w:sz w:val="24"/>
          <w:szCs w:val="24"/>
          <w:bdr w:val="none" w:sz="0" w:space="0" w:color="auto" w:frame="1"/>
          <w:shd w:val="clear" w:color="auto" w:fill="FFFFFF"/>
        </w:rPr>
      </w:pPr>
      <w:r w:rsidRPr="00C73ACC">
        <w:rPr>
          <w:rStyle w:val="Emphasis"/>
          <w:rFonts w:ascii="Times New Roman" w:hAnsi="Times New Roman" w:cs="Times New Roman"/>
          <w:b/>
          <w:color w:val="000000" w:themeColor="text1"/>
          <w:sz w:val="24"/>
          <w:szCs w:val="24"/>
          <w:bdr w:val="none" w:sz="0" w:space="0" w:color="auto" w:frame="1"/>
          <w:shd w:val="clear" w:color="auto" w:fill="FFFFFF"/>
        </w:rPr>
        <w:t>Section 3</w:t>
      </w:r>
      <w:r w:rsidRPr="00C73ACC">
        <w:rPr>
          <w:rStyle w:val="Emphasis"/>
          <w:rFonts w:ascii="Times New Roman" w:hAnsi="Times New Roman" w:cs="Times New Roman"/>
          <w:color w:val="000000" w:themeColor="text1"/>
          <w:sz w:val="24"/>
          <w:szCs w:val="24"/>
          <w:bdr w:val="none" w:sz="0" w:space="0" w:color="auto" w:frame="1"/>
          <w:shd w:val="clear" w:color="auto" w:fill="FFFFFF"/>
        </w:rPr>
        <w:t xml:space="preserve"> of the </w:t>
      </w:r>
      <w:r w:rsidRPr="00C73ACC">
        <w:rPr>
          <w:rStyle w:val="Emphasis"/>
          <w:rFonts w:ascii="Times New Roman" w:hAnsi="Times New Roman" w:cs="Times New Roman"/>
          <w:b/>
          <w:color w:val="000000" w:themeColor="text1"/>
          <w:sz w:val="24"/>
          <w:szCs w:val="24"/>
          <w:bdr w:val="none" w:sz="0" w:space="0" w:color="auto" w:frame="1"/>
          <w:shd w:val="clear" w:color="auto" w:fill="FFFFFF"/>
        </w:rPr>
        <w:t>Interest Act</w:t>
      </w:r>
      <w:r w:rsidRPr="00C73ACC">
        <w:rPr>
          <w:rStyle w:val="Emphasis"/>
          <w:rFonts w:ascii="Times New Roman" w:hAnsi="Times New Roman" w:cs="Times New Roman"/>
          <w:color w:val="000000" w:themeColor="text1"/>
          <w:sz w:val="24"/>
          <w:szCs w:val="24"/>
          <w:bdr w:val="none" w:sz="0" w:space="0" w:color="auto" w:frame="1"/>
          <w:shd w:val="clear" w:color="auto" w:fill="FFFFFF"/>
        </w:rPr>
        <w:t xml:space="preserve"> provides that:</w:t>
      </w:r>
    </w:p>
    <w:p w:rsidR="00C73ACC" w:rsidRPr="00C73ACC" w:rsidRDefault="00C73ACC" w:rsidP="00C73ACC">
      <w:pPr>
        <w:spacing w:line="360" w:lineRule="auto"/>
        <w:ind w:left="720" w:right="720"/>
        <w:jc w:val="both"/>
        <w:rPr>
          <w:rFonts w:ascii="Times New Roman" w:hAnsi="Times New Roman" w:cs="Times New Roman"/>
          <w:b/>
          <w:i/>
          <w:color w:val="000000" w:themeColor="text1"/>
          <w:sz w:val="24"/>
          <w:szCs w:val="24"/>
          <w:shd w:val="clear" w:color="auto" w:fill="FFFFFF"/>
        </w:rPr>
      </w:pPr>
      <w:r w:rsidRPr="00C73ACC">
        <w:rPr>
          <w:rStyle w:val="Emphasis"/>
          <w:rFonts w:ascii="Times New Roman" w:hAnsi="Times New Roman" w:cs="Times New Roman"/>
          <w:b/>
          <w:color w:val="000000" w:themeColor="text1"/>
          <w:sz w:val="24"/>
          <w:szCs w:val="24"/>
          <w:bdr w:val="none" w:sz="0" w:space="0" w:color="auto" w:frame="1"/>
          <w:shd w:val="clear" w:color="auto" w:fill="FFFFFF"/>
        </w:rPr>
        <w:t xml:space="preserve">Whenever the rate of interest </w:t>
      </w:r>
      <w:proofErr w:type="gramStart"/>
      <w:r w:rsidRPr="00C73ACC">
        <w:rPr>
          <w:rStyle w:val="Emphasis"/>
          <w:rFonts w:ascii="Times New Roman" w:hAnsi="Times New Roman" w:cs="Times New Roman"/>
          <w:b/>
          <w:color w:val="000000" w:themeColor="text1"/>
          <w:sz w:val="24"/>
          <w:szCs w:val="24"/>
          <w:bdr w:val="none" w:sz="0" w:space="0" w:color="auto" w:frame="1"/>
          <w:shd w:val="clear" w:color="auto" w:fill="FFFFFF"/>
        </w:rPr>
        <w:t>shall not be fixed</w:t>
      </w:r>
      <w:proofErr w:type="gramEnd"/>
      <w:r w:rsidRPr="00C73ACC">
        <w:rPr>
          <w:rStyle w:val="Emphasis"/>
          <w:rFonts w:ascii="Times New Roman" w:hAnsi="Times New Roman" w:cs="Times New Roman"/>
          <w:b/>
          <w:color w:val="000000" w:themeColor="text1"/>
          <w:sz w:val="24"/>
          <w:szCs w:val="24"/>
          <w:bdr w:val="none" w:sz="0" w:space="0" w:color="auto" w:frame="1"/>
          <w:shd w:val="clear" w:color="auto" w:fill="FFFFFF"/>
        </w:rPr>
        <w:t xml:space="preserve"> by contract, the legal rate of interest shall be four per centum per annum in civil or commercial matter.</w:t>
      </w:r>
    </w:p>
    <w:p w:rsidR="00C73ACC" w:rsidRPr="00C73ACC" w:rsidRDefault="003E07A5" w:rsidP="003E07A5">
      <w:pPr>
        <w:spacing w:line="360" w:lineRule="auto"/>
        <w:ind w:left="630" w:hanging="63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[40]</w:t>
      </w:r>
      <w:r>
        <w:rPr>
          <w:rFonts w:ascii="Times New Roman" w:hAnsi="Times New Roman" w:cs="Times New Roman"/>
          <w:color w:val="000000" w:themeColor="text1"/>
          <w:sz w:val="24"/>
          <w:szCs w:val="24"/>
          <w:shd w:val="clear" w:color="auto" w:fill="FFFFFF"/>
        </w:rPr>
        <w:tab/>
      </w:r>
      <w:r w:rsidR="00C73ACC" w:rsidRPr="00C73ACC">
        <w:rPr>
          <w:rFonts w:ascii="Times New Roman" w:hAnsi="Times New Roman" w:cs="Times New Roman"/>
          <w:color w:val="000000" w:themeColor="text1"/>
          <w:sz w:val="24"/>
          <w:szCs w:val="24"/>
          <w:shd w:val="clear" w:color="auto" w:fill="FFFFFF"/>
        </w:rPr>
        <w:t xml:space="preserve">The above provision of law applies to the instant case since the contract did not establish the rate of interest in case of breach. Indeed, the Supreme Court Judge ordered that the interest payable </w:t>
      </w:r>
      <w:proofErr w:type="gramStart"/>
      <w:r w:rsidR="00C73ACC" w:rsidRPr="00C73ACC">
        <w:rPr>
          <w:rFonts w:ascii="Times New Roman" w:hAnsi="Times New Roman" w:cs="Times New Roman"/>
          <w:color w:val="000000" w:themeColor="text1"/>
          <w:sz w:val="24"/>
          <w:szCs w:val="24"/>
          <w:shd w:val="clear" w:color="auto" w:fill="FFFFFF"/>
        </w:rPr>
        <w:t>is</w:t>
      </w:r>
      <w:proofErr w:type="gramEnd"/>
      <w:r w:rsidR="00C73ACC" w:rsidRPr="00C73ACC">
        <w:rPr>
          <w:rFonts w:ascii="Times New Roman" w:hAnsi="Times New Roman" w:cs="Times New Roman"/>
          <w:color w:val="000000" w:themeColor="text1"/>
          <w:sz w:val="24"/>
          <w:szCs w:val="24"/>
          <w:shd w:val="clear" w:color="auto" w:fill="FFFFFF"/>
        </w:rPr>
        <w:t xml:space="preserve"> at the legal rate.</w:t>
      </w:r>
    </w:p>
    <w:p w:rsidR="00C73ACC" w:rsidRPr="00C73ACC" w:rsidRDefault="003E07A5" w:rsidP="003E07A5">
      <w:pPr>
        <w:spacing w:line="360" w:lineRule="auto"/>
        <w:ind w:left="630" w:hanging="63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[41]</w:t>
      </w:r>
      <w:r>
        <w:rPr>
          <w:rFonts w:ascii="Times New Roman" w:hAnsi="Times New Roman" w:cs="Times New Roman"/>
          <w:color w:val="000000" w:themeColor="text1"/>
          <w:sz w:val="24"/>
          <w:szCs w:val="24"/>
          <w:shd w:val="clear" w:color="auto" w:fill="FFFFFF"/>
        </w:rPr>
        <w:tab/>
      </w:r>
      <w:r w:rsidR="00C73ACC" w:rsidRPr="00C73ACC">
        <w:rPr>
          <w:rFonts w:ascii="Times New Roman" w:hAnsi="Times New Roman" w:cs="Times New Roman"/>
          <w:color w:val="000000" w:themeColor="text1"/>
          <w:sz w:val="24"/>
          <w:szCs w:val="24"/>
          <w:shd w:val="clear" w:color="auto" w:fill="FFFFFF"/>
        </w:rPr>
        <w:t>Furthermore, the Judge ordered that the interest was to start running from 29</w:t>
      </w:r>
      <w:r w:rsidR="00C73ACC" w:rsidRPr="00C73ACC">
        <w:rPr>
          <w:rFonts w:ascii="Times New Roman" w:hAnsi="Times New Roman" w:cs="Times New Roman"/>
          <w:color w:val="000000" w:themeColor="text1"/>
          <w:sz w:val="24"/>
          <w:szCs w:val="24"/>
          <w:shd w:val="clear" w:color="auto" w:fill="FFFFFF"/>
          <w:vertAlign w:val="superscript"/>
        </w:rPr>
        <w:t>th</w:t>
      </w:r>
      <w:r w:rsidR="00C73ACC" w:rsidRPr="00C73ACC">
        <w:rPr>
          <w:rFonts w:ascii="Times New Roman" w:hAnsi="Times New Roman" w:cs="Times New Roman"/>
          <w:color w:val="000000" w:themeColor="text1"/>
          <w:sz w:val="24"/>
          <w:szCs w:val="24"/>
          <w:shd w:val="clear" w:color="auto" w:fill="FFFFFF"/>
        </w:rPr>
        <w:t xml:space="preserve"> August 2013. </w:t>
      </w:r>
      <w:proofErr w:type="gramStart"/>
      <w:r w:rsidR="00C73ACC" w:rsidRPr="00C73ACC">
        <w:rPr>
          <w:rFonts w:ascii="Times New Roman" w:hAnsi="Times New Roman" w:cs="Times New Roman"/>
          <w:color w:val="000000" w:themeColor="text1"/>
          <w:sz w:val="24"/>
          <w:szCs w:val="24"/>
          <w:shd w:val="clear" w:color="auto" w:fill="FFFFFF"/>
        </w:rPr>
        <w:t>It is this part of the order that the appellant company is challenging before this Court.</w:t>
      </w:r>
      <w:proofErr w:type="gramEnd"/>
    </w:p>
    <w:p w:rsidR="00C73ACC" w:rsidRPr="00C73ACC" w:rsidRDefault="003E07A5" w:rsidP="003E07A5">
      <w:pPr>
        <w:spacing w:line="360" w:lineRule="auto"/>
        <w:ind w:left="630" w:hanging="63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[42]</w:t>
      </w:r>
      <w:r>
        <w:rPr>
          <w:rFonts w:ascii="Times New Roman" w:hAnsi="Times New Roman" w:cs="Times New Roman"/>
          <w:color w:val="000000" w:themeColor="text1"/>
          <w:sz w:val="24"/>
          <w:szCs w:val="24"/>
          <w:shd w:val="clear" w:color="auto" w:fill="FFFFFF"/>
        </w:rPr>
        <w:tab/>
      </w:r>
      <w:r w:rsidR="00C73ACC" w:rsidRPr="00C73ACC">
        <w:rPr>
          <w:rFonts w:ascii="Times New Roman" w:hAnsi="Times New Roman" w:cs="Times New Roman"/>
          <w:color w:val="000000" w:themeColor="text1"/>
          <w:sz w:val="24"/>
          <w:szCs w:val="24"/>
          <w:shd w:val="clear" w:color="auto" w:fill="FFFFFF"/>
        </w:rPr>
        <w:t>Whereas the respondent conceded to the appellant’s arguments raised on this point, this Court ought to determine the underlying legal question:-</w:t>
      </w:r>
    </w:p>
    <w:p w:rsidR="00C73ACC" w:rsidRPr="00C73ACC" w:rsidRDefault="00C73ACC" w:rsidP="003E07A5">
      <w:pPr>
        <w:spacing w:line="360" w:lineRule="auto"/>
        <w:ind w:left="990"/>
        <w:jc w:val="both"/>
        <w:rPr>
          <w:rFonts w:ascii="Times New Roman" w:hAnsi="Times New Roman" w:cs="Times New Roman"/>
          <w:i/>
          <w:color w:val="000000" w:themeColor="text1"/>
          <w:sz w:val="24"/>
          <w:szCs w:val="24"/>
          <w:shd w:val="clear" w:color="auto" w:fill="FFFFFF"/>
        </w:rPr>
      </w:pPr>
      <w:r w:rsidRPr="00C73ACC">
        <w:rPr>
          <w:rFonts w:ascii="Times New Roman" w:hAnsi="Times New Roman" w:cs="Times New Roman"/>
          <w:i/>
          <w:color w:val="000000" w:themeColor="text1"/>
          <w:sz w:val="24"/>
          <w:szCs w:val="24"/>
          <w:shd w:val="clear" w:color="auto" w:fill="FFFFFF"/>
        </w:rPr>
        <w:t>Whether the interest awarded in this case should have accrued from 29</w:t>
      </w:r>
      <w:r w:rsidRPr="00C73ACC">
        <w:rPr>
          <w:rFonts w:ascii="Times New Roman" w:hAnsi="Times New Roman" w:cs="Times New Roman"/>
          <w:i/>
          <w:color w:val="000000" w:themeColor="text1"/>
          <w:sz w:val="24"/>
          <w:szCs w:val="24"/>
          <w:shd w:val="clear" w:color="auto" w:fill="FFFFFF"/>
          <w:vertAlign w:val="superscript"/>
        </w:rPr>
        <w:t>th</w:t>
      </w:r>
      <w:r w:rsidRPr="00C73ACC">
        <w:rPr>
          <w:rFonts w:ascii="Times New Roman" w:hAnsi="Times New Roman" w:cs="Times New Roman"/>
          <w:i/>
          <w:color w:val="000000" w:themeColor="text1"/>
          <w:sz w:val="24"/>
          <w:szCs w:val="24"/>
          <w:shd w:val="clear" w:color="auto" w:fill="FFFFFF"/>
        </w:rPr>
        <w:t xml:space="preserve"> August 2013-the date when the claim </w:t>
      </w:r>
      <w:proofErr w:type="gramStart"/>
      <w:r w:rsidRPr="00C73ACC">
        <w:rPr>
          <w:rFonts w:ascii="Times New Roman" w:hAnsi="Times New Roman" w:cs="Times New Roman"/>
          <w:i/>
          <w:color w:val="000000" w:themeColor="text1"/>
          <w:sz w:val="24"/>
          <w:szCs w:val="24"/>
          <w:shd w:val="clear" w:color="auto" w:fill="FFFFFF"/>
        </w:rPr>
        <w:t>was lodged</w:t>
      </w:r>
      <w:proofErr w:type="gramEnd"/>
      <w:r w:rsidRPr="00C73ACC">
        <w:rPr>
          <w:rFonts w:ascii="Times New Roman" w:hAnsi="Times New Roman" w:cs="Times New Roman"/>
          <w:i/>
          <w:color w:val="000000" w:themeColor="text1"/>
          <w:sz w:val="24"/>
          <w:szCs w:val="24"/>
          <w:shd w:val="clear" w:color="auto" w:fill="FFFFFF"/>
        </w:rPr>
        <w:t xml:space="preserve"> or the date of judgment?</w:t>
      </w:r>
    </w:p>
    <w:p w:rsidR="00C73ACC" w:rsidRPr="00C73ACC" w:rsidRDefault="003E07A5" w:rsidP="003E07A5">
      <w:pPr>
        <w:spacing w:line="360" w:lineRule="auto"/>
        <w:ind w:left="630" w:hanging="63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[43]</w:t>
      </w:r>
      <w:r>
        <w:rPr>
          <w:rFonts w:ascii="Times New Roman" w:hAnsi="Times New Roman" w:cs="Times New Roman"/>
          <w:color w:val="000000" w:themeColor="text1"/>
          <w:sz w:val="24"/>
          <w:szCs w:val="24"/>
          <w:shd w:val="clear" w:color="auto" w:fill="FFFFFF"/>
        </w:rPr>
        <w:tab/>
      </w:r>
      <w:r w:rsidR="00C73ACC" w:rsidRPr="00C73ACC">
        <w:rPr>
          <w:rFonts w:ascii="Times New Roman" w:hAnsi="Times New Roman" w:cs="Times New Roman"/>
          <w:color w:val="000000" w:themeColor="text1"/>
          <w:sz w:val="24"/>
          <w:szCs w:val="24"/>
          <w:shd w:val="clear" w:color="auto" w:fill="FFFFFF"/>
        </w:rPr>
        <w:t xml:space="preserve">I am alive that this appeal stems from an action for breach of an oral lease agreement and that the respondent was demanding rent arrears. It follows therefore, that the rental arrears bore interest from the date of the breach as opposed to when judgment </w:t>
      </w:r>
      <w:proofErr w:type="gramStart"/>
      <w:r w:rsidR="00C73ACC" w:rsidRPr="00C73ACC">
        <w:rPr>
          <w:rFonts w:ascii="Times New Roman" w:hAnsi="Times New Roman" w:cs="Times New Roman"/>
          <w:color w:val="000000" w:themeColor="text1"/>
          <w:sz w:val="24"/>
          <w:szCs w:val="24"/>
          <w:shd w:val="clear" w:color="auto" w:fill="FFFFFF"/>
        </w:rPr>
        <w:t>was given</w:t>
      </w:r>
      <w:proofErr w:type="gramEnd"/>
      <w:r w:rsidR="00C73ACC" w:rsidRPr="00C73ACC">
        <w:rPr>
          <w:rFonts w:ascii="Times New Roman" w:hAnsi="Times New Roman" w:cs="Times New Roman"/>
          <w:color w:val="000000" w:themeColor="text1"/>
          <w:sz w:val="24"/>
          <w:szCs w:val="24"/>
          <w:shd w:val="clear" w:color="auto" w:fill="FFFFFF"/>
        </w:rPr>
        <w:t xml:space="preserve">. I accordingly find no fault in the order given by the trial Judge that the interest payable runs from the date of the </w:t>
      </w:r>
      <w:proofErr w:type="gramStart"/>
      <w:r w:rsidR="00C73ACC" w:rsidRPr="00C73ACC">
        <w:rPr>
          <w:rFonts w:ascii="Times New Roman" w:hAnsi="Times New Roman" w:cs="Times New Roman"/>
          <w:color w:val="000000" w:themeColor="text1"/>
          <w:sz w:val="24"/>
          <w:szCs w:val="24"/>
          <w:shd w:val="clear" w:color="auto" w:fill="FFFFFF"/>
        </w:rPr>
        <w:t>claim which</w:t>
      </w:r>
      <w:proofErr w:type="gramEnd"/>
      <w:r w:rsidR="00C73ACC" w:rsidRPr="00C73ACC">
        <w:rPr>
          <w:rFonts w:ascii="Times New Roman" w:hAnsi="Times New Roman" w:cs="Times New Roman"/>
          <w:color w:val="000000" w:themeColor="text1"/>
          <w:sz w:val="24"/>
          <w:szCs w:val="24"/>
          <w:shd w:val="clear" w:color="auto" w:fill="FFFFFF"/>
        </w:rPr>
        <w:t xml:space="preserve"> is 29</w:t>
      </w:r>
      <w:r w:rsidR="00C73ACC" w:rsidRPr="00C73ACC">
        <w:rPr>
          <w:rFonts w:ascii="Times New Roman" w:hAnsi="Times New Roman" w:cs="Times New Roman"/>
          <w:color w:val="000000" w:themeColor="text1"/>
          <w:sz w:val="24"/>
          <w:szCs w:val="24"/>
          <w:shd w:val="clear" w:color="auto" w:fill="FFFFFF"/>
          <w:vertAlign w:val="superscript"/>
        </w:rPr>
        <w:t>th</w:t>
      </w:r>
      <w:r w:rsidR="00C73ACC" w:rsidRPr="00C73ACC">
        <w:rPr>
          <w:rFonts w:ascii="Times New Roman" w:hAnsi="Times New Roman" w:cs="Times New Roman"/>
          <w:color w:val="000000" w:themeColor="text1"/>
          <w:sz w:val="24"/>
          <w:szCs w:val="24"/>
          <w:shd w:val="clear" w:color="auto" w:fill="FFFFFF"/>
        </w:rPr>
        <w:t xml:space="preserve"> August 2013.</w:t>
      </w:r>
    </w:p>
    <w:p w:rsidR="00C73ACC" w:rsidRPr="00C73ACC" w:rsidRDefault="00C73ACC" w:rsidP="003E07A5">
      <w:pPr>
        <w:spacing w:line="360" w:lineRule="auto"/>
        <w:ind w:left="630"/>
        <w:jc w:val="both"/>
        <w:rPr>
          <w:rFonts w:ascii="Times New Roman" w:hAnsi="Times New Roman" w:cs="Times New Roman"/>
          <w:color w:val="000000" w:themeColor="text1"/>
          <w:sz w:val="24"/>
          <w:szCs w:val="24"/>
          <w:shd w:val="clear" w:color="auto" w:fill="FFFFFF"/>
        </w:rPr>
      </w:pPr>
      <w:r w:rsidRPr="00C73ACC">
        <w:rPr>
          <w:rFonts w:ascii="Times New Roman" w:hAnsi="Times New Roman" w:cs="Times New Roman"/>
          <w:color w:val="000000" w:themeColor="text1"/>
          <w:sz w:val="24"/>
          <w:szCs w:val="24"/>
          <w:shd w:val="clear" w:color="auto" w:fill="FFFFFF"/>
        </w:rPr>
        <w:t>Therefore, ground 3 of the appeal fails.</w:t>
      </w:r>
    </w:p>
    <w:p w:rsidR="00C73ACC" w:rsidRPr="00C73ACC" w:rsidRDefault="003E07A5" w:rsidP="003E07A5">
      <w:pPr>
        <w:spacing w:line="360" w:lineRule="auto"/>
        <w:ind w:left="630" w:hanging="630"/>
        <w:jc w:val="both"/>
        <w:rPr>
          <w:rFonts w:ascii="Times New Roman" w:hAnsi="Times New Roman" w:cs="Times New Roman"/>
          <w:color w:val="333333"/>
          <w:sz w:val="24"/>
          <w:szCs w:val="24"/>
          <w:shd w:val="clear" w:color="auto" w:fill="FFFFFF"/>
        </w:rPr>
      </w:pPr>
      <w:r>
        <w:rPr>
          <w:rFonts w:ascii="Times New Roman" w:hAnsi="Times New Roman" w:cs="Times New Roman"/>
          <w:color w:val="000000" w:themeColor="text1"/>
          <w:sz w:val="24"/>
          <w:szCs w:val="24"/>
          <w:shd w:val="clear" w:color="auto" w:fill="FFFFFF"/>
        </w:rPr>
        <w:t>[44]</w:t>
      </w:r>
      <w:r>
        <w:rPr>
          <w:rFonts w:ascii="Times New Roman" w:hAnsi="Times New Roman" w:cs="Times New Roman"/>
          <w:color w:val="000000" w:themeColor="text1"/>
          <w:sz w:val="24"/>
          <w:szCs w:val="24"/>
          <w:shd w:val="clear" w:color="auto" w:fill="FFFFFF"/>
        </w:rPr>
        <w:tab/>
      </w:r>
      <w:r w:rsidR="00C73ACC" w:rsidRPr="00C73ACC">
        <w:rPr>
          <w:rFonts w:ascii="Times New Roman" w:hAnsi="Times New Roman" w:cs="Times New Roman"/>
          <w:color w:val="000000" w:themeColor="text1"/>
          <w:sz w:val="24"/>
          <w:szCs w:val="24"/>
          <w:shd w:val="clear" w:color="auto" w:fill="FFFFFF"/>
        </w:rPr>
        <w:t>Having found that all the grounds of appeal fail, I hereby dismiss the appeal and uphold the judgment as well as the orders of the Supreme Court.</w:t>
      </w:r>
    </w:p>
    <w:p w:rsidR="00C73ACC" w:rsidRDefault="00C73ACC" w:rsidP="00B23366">
      <w:pPr>
        <w:spacing w:line="360" w:lineRule="auto"/>
        <w:ind w:left="720" w:hanging="720"/>
        <w:jc w:val="both"/>
        <w:rPr>
          <w:rFonts w:ascii="Times New Roman" w:hAnsi="Times New Roman" w:cs="Times New Roman"/>
          <w:sz w:val="24"/>
          <w:szCs w:val="24"/>
        </w:rPr>
      </w:pPr>
    </w:p>
    <w:p w:rsidR="00671FF9" w:rsidRDefault="00671FF9" w:rsidP="00F1249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Signed, dated and delivered at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de Justice, Ile du Port on 18 December 2020</w:t>
      </w:r>
    </w:p>
    <w:p w:rsidR="00E94A62" w:rsidRDefault="00E94A62" w:rsidP="00F1249D">
      <w:pPr>
        <w:pStyle w:val="NoSpacing"/>
        <w:ind w:left="720" w:hanging="720"/>
        <w:jc w:val="both"/>
        <w:rPr>
          <w:rFonts w:ascii="Times New Roman" w:hAnsi="Times New Roman" w:cs="Times New Roman"/>
          <w:sz w:val="24"/>
          <w:szCs w:val="24"/>
        </w:rPr>
      </w:pPr>
    </w:p>
    <w:p w:rsidR="00671FF9" w:rsidRDefault="00671FF9" w:rsidP="000D7EA0">
      <w:pPr>
        <w:pStyle w:val="NoSpacing"/>
        <w:spacing w:line="360" w:lineRule="auto"/>
        <w:ind w:left="720" w:hanging="720"/>
        <w:jc w:val="both"/>
        <w:rPr>
          <w:rFonts w:ascii="Times New Roman" w:hAnsi="Times New Roman" w:cs="Times New Roman"/>
          <w:sz w:val="24"/>
          <w:szCs w:val="24"/>
        </w:rPr>
      </w:pPr>
    </w:p>
    <w:p w:rsidR="00B23366" w:rsidRPr="00B42031" w:rsidRDefault="00F1249D" w:rsidP="00F1249D">
      <w:pPr>
        <w:pStyle w:val="NoSpacing"/>
        <w:ind w:left="720" w:hanging="720"/>
        <w:jc w:val="both"/>
        <w:rPr>
          <w:rFonts w:ascii="Times New Roman" w:hAnsi="Times New Roman" w:cs="Times New Roman"/>
        </w:rPr>
      </w:pPr>
      <w:r w:rsidRPr="00F1249D">
        <w:rPr>
          <w:rFonts w:ascii="Times New Roman" w:hAnsi="Times New Roman" w:cs="Times New Roman"/>
          <w:noProof/>
          <w:lang w:val="en-US"/>
        </w:rPr>
        <w:drawing>
          <wp:inline distT="0" distB="0" distL="0" distR="0">
            <wp:extent cx="1283970" cy="276225"/>
            <wp:effectExtent l="0" t="0" r="0" b="9525"/>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975" cy="316241"/>
                    </a:xfrm>
                    <a:prstGeom prst="rect">
                      <a:avLst/>
                    </a:prstGeom>
                    <a:noFill/>
                    <a:ln>
                      <a:noFill/>
                    </a:ln>
                  </pic:spPr>
                </pic:pic>
              </a:graphicData>
            </a:graphic>
          </wp:inline>
        </w:drawing>
      </w:r>
    </w:p>
    <w:p w:rsidR="00671FF9" w:rsidRDefault="00671FF9" w:rsidP="00F1249D">
      <w:pPr>
        <w:pStyle w:val="JudgmentText"/>
        <w:numPr>
          <w:ilvl w:val="0"/>
          <w:numId w:val="0"/>
        </w:numPr>
        <w:spacing w:line="240" w:lineRule="auto"/>
      </w:pPr>
      <w:r>
        <w:t>_________________</w:t>
      </w:r>
    </w:p>
    <w:p w:rsidR="00671FF9" w:rsidRDefault="00671FF9" w:rsidP="00F1249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Tibatemwa-</w:t>
      </w:r>
      <w:proofErr w:type="spellStart"/>
      <w:r>
        <w:rPr>
          <w:rFonts w:ascii="Times New Roman" w:hAnsi="Times New Roman" w:cs="Times New Roman"/>
          <w:sz w:val="24"/>
          <w:szCs w:val="24"/>
        </w:rPr>
        <w:t>Ekirikibinza</w:t>
      </w:r>
      <w:proofErr w:type="spellEnd"/>
      <w:r>
        <w:rPr>
          <w:rFonts w:ascii="Times New Roman" w:hAnsi="Times New Roman" w:cs="Times New Roman"/>
          <w:sz w:val="24"/>
          <w:szCs w:val="24"/>
        </w:rPr>
        <w:t xml:space="preserve"> JA</w:t>
      </w:r>
    </w:p>
    <w:p w:rsidR="00F1249D" w:rsidRDefault="00F1249D" w:rsidP="00F1249D">
      <w:pPr>
        <w:pStyle w:val="NoSpacing"/>
        <w:ind w:left="720" w:hanging="720"/>
        <w:jc w:val="both"/>
        <w:rPr>
          <w:rFonts w:ascii="Times New Roman" w:hAnsi="Times New Roman" w:cs="Times New Roman"/>
          <w:sz w:val="24"/>
          <w:szCs w:val="24"/>
        </w:rPr>
      </w:pPr>
    </w:p>
    <w:p w:rsidR="00671FF9" w:rsidRPr="00AB3341" w:rsidRDefault="00671FF9" w:rsidP="00F1249D">
      <w:pPr>
        <w:pStyle w:val="JudgmentText"/>
        <w:numPr>
          <w:ilvl w:val="0"/>
          <w:numId w:val="0"/>
        </w:numPr>
        <w:spacing w:line="240" w:lineRule="auto"/>
        <w:rPr>
          <w:sz w:val="2"/>
          <w:szCs w:val="2"/>
        </w:rPr>
      </w:pPr>
    </w:p>
    <w:p w:rsidR="00671FF9" w:rsidRDefault="00671FF9" w:rsidP="00F1249D">
      <w:pPr>
        <w:pStyle w:val="JudgmentText"/>
        <w:numPr>
          <w:ilvl w:val="0"/>
          <w:numId w:val="0"/>
        </w:numPr>
        <w:spacing w:line="240" w:lineRule="auto"/>
      </w:pPr>
      <w:r>
        <w:t>I concur</w:t>
      </w:r>
      <w:r>
        <w:tab/>
      </w:r>
      <w:r>
        <w:tab/>
      </w:r>
      <w:r>
        <w:tab/>
      </w:r>
      <w:r>
        <w:tab/>
      </w:r>
      <w:r>
        <w:tab/>
      </w:r>
      <w:r>
        <w:tab/>
        <w:t>________________</w:t>
      </w:r>
    </w:p>
    <w:p w:rsidR="00671FF9" w:rsidRDefault="00671FF9" w:rsidP="00F1249D">
      <w:pPr>
        <w:pStyle w:val="JudgmentText"/>
        <w:numPr>
          <w:ilvl w:val="0"/>
          <w:numId w:val="0"/>
        </w:numPr>
        <w:spacing w:line="240" w:lineRule="auto"/>
      </w:pPr>
      <w:r>
        <w:tab/>
      </w:r>
      <w:r>
        <w:tab/>
      </w:r>
      <w:r>
        <w:tab/>
      </w:r>
      <w:r>
        <w:tab/>
      </w:r>
      <w:r>
        <w:tab/>
      </w:r>
      <w:r>
        <w:tab/>
      </w:r>
      <w:r>
        <w:tab/>
      </w:r>
      <w:r w:rsidR="00E94A62">
        <w:t>Twomey JA</w:t>
      </w:r>
    </w:p>
    <w:p w:rsidR="00F1249D" w:rsidRPr="00F1249D" w:rsidRDefault="00F1249D" w:rsidP="00F1249D">
      <w:pPr>
        <w:pStyle w:val="JudgmentText"/>
        <w:numPr>
          <w:ilvl w:val="0"/>
          <w:numId w:val="0"/>
        </w:numPr>
        <w:spacing w:line="240" w:lineRule="auto"/>
        <w:rPr>
          <w:sz w:val="4"/>
          <w:szCs w:val="4"/>
        </w:rPr>
      </w:pPr>
    </w:p>
    <w:p w:rsidR="00671FF9" w:rsidRDefault="00671FF9" w:rsidP="00F1249D">
      <w:pPr>
        <w:pStyle w:val="JudgmentText"/>
        <w:numPr>
          <w:ilvl w:val="0"/>
          <w:numId w:val="0"/>
        </w:numPr>
        <w:spacing w:line="240" w:lineRule="auto"/>
      </w:pPr>
      <w:r>
        <w:t>I concur</w:t>
      </w:r>
      <w:r>
        <w:tab/>
      </w:r>
      <w:r>
        <w:tab/>
      </w:r>
      <w:r>
        <w:tab/>
      </w:r>
      <w:r>
        <w:tab/>
      </w:r>
      <w:r>
        <w:tab/>
      </w:r>
      <w:r>
        <w:tab/>
        <w:t>________________</w:t>
      </w:r>
    </w:p>
    <w:p w:rsidR="00B23366" w:rsidRDefault="00671FF9" w:rsidP="00F1249D">
      <w:pPr>
        <w:pStyle w:val="NoSpacing"/>
        <w:ind w:left="720" w:hanging="720"/>
        <w:jc w:val="both"/>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Dingake JA</w:t>
      </w:r>
    </w:p>
    <w:sectPr w:rsidR="00B2336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FB" w:rsidRDefault="002626FB" w:rsidP="006A68E2">
      <w:pPr>
        <w:spacing w:after="0" w:line="240" w:lineRule="auto"/>
      </w:pPr>
      <w:r>
        <w:separator/>
      </w:r>
    </w:p>
  </w:endnote>
  <w:endnote w:type="continuationSeparator" w:id="0">
    <w:p w:rsidR="002626FB" w:rsidRDefault="002626F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71FF0">
          <w:rPr>
            <w:noProof/>
          </w:rPr>
          <w:t>11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FB" w:rsidRDefault="002626FB" w:rsidP="006A68E2">
      <w:pPr>
        <w:spacing w:after="0" w:line="240" w:lineRule="auto"/>
      </w:pPr>
      <w:r>
        <w:separator/>
      </w:r>
    </w:p>
  </w:footnote>
  <w:footnote w:type="continuationSeparator" w:id="0">
    <w:p w:rsidR="002626FB" w:rsidRDefault="002626F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ACD"/>
    <w:multiLevelType w:val="hybridMultilevel"/>
    <w:tmpl w:val="3608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2161F"/>
    <w:multiLevelType w:val="hybridMultilevel"/>
    <w:tmpl w:val="E65C1CEC"/>
    <w:lvl w:ilvl="0" w:tplc="DBF868E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03A40"/>
    <w:multiLevelType w:val="hybridMultilevel"/>
    <w:tmpl w:val="2CDE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8097BA6"/>
    <w:multiLevelType w:val="hybridMultilevel"/>
    <w:tmpl w:val="FBEC2B2A"/>
    <w:lvl w:ilvl="0" w:tplc="1320F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32FBB"/>
    <w:multiLevelType w:val="hybridMultilevel"/>
    <w:tmpl w:val="0B1A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C6378"/>
    <w:multiLevelType w:val="hybridMultilevel"/>
    <w:tmpl w:val="15E2F5F2"/>
    <w:lvl w:ilvl="0" w:tplc="D8D29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102DC3"/>
    <w:multiLevelType w:val="hybridMultilevel"/>
    <w:tmpl w:val="A226FAD8"/>
    <w:lvl w:ilvl="0" w:tplc="B13AA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1E3B70"/>
    <w:multiLevelType w:val="hybridMultilevel"/>
    <w:tmpl w:val="D95884F6"/>
    <w:lvl w:ilvl="0" w:tplc="CE869B7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D40C88"/>
    <w:multiLevelType w:val="hybridMultilevel"/>
    <w:tmpl w:val="23F28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4"/>
  </w:num>
  <w:num w:numId="8">
    <w:abstractNumId w:val="13"/>
  </w:num>
  <w:num w:numId="9">
    <w:abstractNumId w:val="1"/>
  </w:num>
  <w:num w:numId="10">
    <w:abstractNumId w:val="13"/>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7"/>
  </w:num>
  <w:num w:numId="16">
    <w:abstractNumId w:val="12"/>
  </w:num>
  <w:num w:numId="17">
    <w:abstractNumId w:val="8"/>
  </w:num>
  <w:num w:numId="18">
    <w:abstractNumId w:val="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41D8F"/>
    <w:rsid w:val="00050ABC"/>
    <w:rsid w:val="00054033"/>
    <w:rsid w:val="00071B84"/>
    <w:rsid w:val="0008560D"/>
    <w:rsid w:val="0009242F"/>
    <w:rsid w:val="00097D19"/>
    <w:rsid w:val="000B46E7"/>
    <w:rsid w:val="000D5304"/>
    <w:rsid w:val="000D7EA0"/>
    <w:rsid w:val="00106ADF"/>
    <w:rsid w:val="001135C2"/>
    <w:rsid w:val="001428B9"/>
    <w:rsid w:val="0016760F"/>
    <w:rsid w:val="001723B1"/>
    <w:rsid w:val="001C6658"/>
    <w:rsid w:val="001C78EC"/>
    <w:rsid w:val="001D33D2"/>
    <w:rsid w:val="001E03E5"/>
    <w:rsid w:val="002015F8"/>
    <w:rsid w:val="00212006"/>
    <w:rsid w:val="0021402A"/>
    <w:rsid w:val="00214DB4"/>
    <w:rsid w:val="00235626"/>
    <w:rsid w:val="00243AE1"/>
    <w:rsid w:val="00253B36"/>
    <w:rsid w:val="00261B0B"/>
    <w:rsid w:val="002626FB"/>
    <w:rsid w:val="002D4EB8"/>
    <w:rsid w:val="002E1E2C"/>
    <w:rsid w:val="002E2AE3"/>
    <w:rsid w:val="002F2A8F"/>
    <w:rsid w:val="003137B8"/>
    <w:rsid w:val="00344425"/>
    <w:rsid w:val="00346D7F"/>
    <w:rsid w:val="00347B8B"/>
    <w:rsid w:val="003615E7"/>
    <w:rsid w:val="00380619"/>
    <w:rsid w:val="0039256E"/>
    <w:rsid w:val="003A6C9E"/>
    <w:rsid w:val="003E07A5"/>
    <w:rsid w:val="003E2E94"/>
    <w:rsid w:val="00403F4C"/>
    <w:rsid w:val="00405958"/>
    <w:rsid w:val="00412994"/>
    <w:rsid w:val="00446725"/>
    <w:rsid w:val="00463B4E"/>
    <w:rsid w:val="00472219"/>
    <w:rsid w:val="004A2599"/>
    <w:rsid w:val="004C16E0"/>
    <w:rsid w:val="005A5FCB"/>
    <w:rsid w:val="005B12AA"/>
    <w:rsid w:val="0061354A"/>
    <w:rsid w:val="00635504"/>
    <w:rsid w:val="00652326"/>
    <w:rsid w:val="00662CEA"/>
    <w:rsid w:val="00664B69"/>
    <w:rsid w:val="00671FF9"/>
    <w:rsid w:val="006872F4"/>
    <w:rsid w:val="006A68E2"/>
    <w:rsid w:val="0070371E"/>
    <w:rsid w:val="00722761"/>
    <w:rsid w:val="00795891"/>
    <w:rsid w:val="00796B89"/>
    <w:rsid w:val="007B1F36"/>
    <w:rsid w:val="007D25FE"/>
    <w:rsid w:val="008001C8"/>
    <w:rsid w:val="00800C8C"/>
    <w:rsid w:val="00825D28"/>
    <w:rsid w:val="008577B7"/>
    <w:rsid w:val="00871FF0"/>
    <w:rsid w:val="008D0CD6"/>
    <w:rsid w:val="008E771B"/>
    <w:rsid w:val="0092788B"/>
    <w:rsid w:val="009539C2"/>
    <w:rsid w:val="009858A3"/>
    <w:rsid w:val="009A769C"/>
    <w:rsid w:val="009B1EB3"/>
    <w:rsid w:val="009B4767"/>
    <w:rsid w:val="009B495E"/>
    <w:rsid w:val="009F125D"/>
    <w:rsid w:val="00A2058F"/>
    <w:rsid w:val="00A76863"/>
    <w:rsid w:val="00A901F6"/>
    <w:rsid w:val="00AB3341"/>
    <w:rsid w:val="00B03209"/>
    <w:rsid w:val="00B13129"/>
    <w:rsid w:val="00B14A69"/>
    <w:rsid w:val="00B23366"/>
    <w:rsid w:val="00B42031"/>
    <w:rsid w:val="00B950DF"/>
    <w:rsid w:val="00BB1A3E"/>
    <w:rsid w:val="00BC73B1"/>
    <w:rsid w:val="00C2466E"/>
    <w:rsid w:val="00C60FA6"/>
    <w:rsid w:val="00C73ACC"/>
    <w:rsid w:val="00C82F35"/>
    <w:rsid w:val="00CB6E73"/>
    <w:rsid w:val="00CC437E"/>
    <w:rsid w:val="00CD09C7"/>
    <w:rsid w:val="00CE12D9"/>
    <w:rsid w:val="00D00DCC"/>
    <w:rsid w:val="00D31F1B"/>
    <w:rsid w:val="00D33DBF"/>
    <w:rsid w:val="00D710E7"/>
    <w:rsid w:val="00E00117"/>
    <w:rsid w:val="00E1659A"/>
    <w:rsid w:val="00E92114"/>
    <w:rsid w:val="00E94A62"/>
    <w:rsid w:val="00ED0BFC"/>
    <w:rsid w:val="00EF13E2"/>
    <w:rsid w:val="00F07FC6"/>
    <w:rsid w:val="00F1249D"/>
    <w:rsid w:val="00F23C6A"/>
    <w:rsid w:val="00F33B83"/>
    <w:rsid w:val="00F41AD7"/>
    <w:rsid w:val="00F71B4C"/>
    <w:rsid w:val="00FA3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AE92"/>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39256E"/>
    <w:pPr>
      <w:spacing w:after="0" w:line="240" w:lineRule="auto"/>
    </w:pPr>
    <w:rPr>
      <w:lang w:val="en-GB"/>
    </w:rPr>
  </w:style>
  <w:style w:type="table" w:styleId="TableGrid">
    <w:name w:val="Table Grid"/>
    <w:basedOn w:val="TableNormal"/>
    <w:uiPriority w:val="39"/>
    <w:rsid w:val="000D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3ACC"/>
    <w:rPr>
      <w:i/>
      <w:iCs/>
    </w:rPr>
  </w:style>
  <w:style w:type="paragraph" w:customStyle="1" w:styleId="estatutes-1-section">
    <w:name w:val="estatutes-1-section"/>
    <w:basedOn w:val="Normal"/>
    <w:rsid w:val="00C73A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66FF-357A-488A-A96E-66C6EAF3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28</TotalTime>
  <Pages>11</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5</cp:revision>
  <cp:lastPrinted>2020-12-18T07:49:00Z</cp:lastPrinted>
  <dcterms:created xsi:type="dcterms:W3CDTF">2020-12-18T04:22:00Z</dcterms:created>
  <dcterms:modified xsi:type="dcterms:W3CDTF">2020-12-21T06:23:00Z</dcterms:modified>
</cp:coreProperties>
</file>