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54D2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COURT OF APPEAL OF SEYCHELLES</w:t>
      </w:r>
    </w:p>
    <w:p w14:paraId="3A29AC3E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BC1A9F3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A1D0E6" w14:textId="77777777" w:rsidR="00B85059" w:rsidRDefault="00B85059" w:rsidP="00B85059">
      <w:pPr>
        <w:spacing w:after="0" w:line="240" w:lineRule="auto"/>
        <w:ind w:left="55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Reportable</w:t>
      </w:r>
    </w:p>
    <w:p w14:paraId="7DD8110B" w14:textId="062684D7" w:rsidR="00B85059" w:rsidRDefault="00DF23F3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[2021</w:t>
      </w:r>
      <w:r w:rsidR="00B85059">
        <w:rPr>
          <w:rFonts w:ascii="Times New Roman" w:eastAsia="Calibri" w:hAnsi="Times New Roman" w:cs="Times New Roman"/>
          <w:sz w:val="24"/>
          <w:szCs w:val="24"/>
        </w:rPr>
        <w:t>] SCCA …</w:t>
      </w:r>
    </w:p>
    <w:p w14:paraId="6512DF2F" w14:textId="4BE322AA" w:rsidR="00B85059" w:rsidRDefault="00DF2207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13</w:t>
      </w:r>
      <w:r w:rsidR="00235F2A">
        <w:rPr>
          <w:rFonts w:ascii="Times New Roman" w:eastAsia="Calibri" w:hAnsi="Times New Roman" w:cs="Times New Roman"/>
          <w:sz w:val="24"/>
          <w:szCs w:val="24"/>
        </w:rPr>
        <w:t>/2020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(Arising in SCA21/20)</w:t>
      </w:r>
    </w:p>
    <w:p w14:paraId="20090896" w14:textId="77777777" w:rsidR="00B85059" w:rsidRDefault="00B85059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</w:p>
    <w:p w14:paraId="159B154C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matter between </w:t>
      </w:r>
    </w:p>
    <w:p w14:paraId="798CBDED" w14:textId="0BB7289D" w:rsidR="00B85059" w:rsidRDefault="00DF2207" w:rsidP="00B85059">
      <w:pPr>
        <w:tabs>
          <w:tab w:val="left" w:pos="540"/>
          <w:tab w:val="left" w:pos="558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GIANNI BORDINO</w:t>
      </w:r>
      <w:r w:rsid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>Applicant</w:t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ab/>
      </w:r>
    </w:p>
    <w:p w14:paraId="275F2B94" w14:textId="2A30D058" w:rsidR="00B85059" w:rsidRDefault="004674D8" w:rsidP="00B8505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(rep. by</w:t>
      </w:r>
      <w:r w:rsidR="00CB75FB" w:rsidRPr="00CB75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75FB">
        <w:rPr>
          <w:rFonts w:ascii="Times New Roman" w:eastAsia="Calibri" w:hAnsi="Times New Roman" w:cs="Times New Roman"/>
          <w:i/>
          <w:sz w:val="24"/>
          <w:szCs w:val="24"/>
        </w:rPr>
        <w:t>Mr Frank Elizabeth</w:t>
      </w:r>
      <w:r w:rsidR="00B8505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917979F" w14:textId="77777777" w:rsidR="00B85059" w:rsidRDefault="00B85059" w:rsidP="00B8505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91171" w14:textId="2DB59371" w:rsidR="00B85059" w:rsidRPr="00CB75FB" w:rsidRDefault="00B85059" w:rsidP="00CB75FB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7FEEEC12" w14:textId="19D967BD" w:rsidR="00B85059" w:rsidRDefault="00DF2207" w:rsidP="00B85059">
      <w:pPr>
        <w:tabs>
          <w:tab w:val="left" w:pos="540"/>
          <w:tab w:val="left" w:pos="558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GOVERNMENT OF SEYCHELLES</w:t>
      </w:r>
      <w:r w:rsid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>Respondent</w:t>
      </w:r>
    </w:p>
    <w:p w14:paraId="0BE36E72" w14:textId="74E3502E" w:rsidR="00B85059" w:rsidRDefault="00235F2A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(rep. by</w:t>
      </w:r>
      <w:r w:rsidR="00DF23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75FB">
        <w:rPr>
          <w:rFonts w:ascii="Times New Roman" w:eastAsia="Calibri" w:hAnsi="Times New Roman" w:cs="Times New Roman"/>
          <w:i/>
          <w:sz w:val="24"/>
          <w:szCs w:val="24"/>
        </w:rPr>
        <w:t>Miss Nissa Thompson</w:t>
      </w:r>
      <w:r w:rsidR="00B8505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2F10C14A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D3FE5D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4FD1FE64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191C8B" w14:textId="4506F7BD" w:rsidR="00B85059" w:rsidRPr="00B85059" w:rsidRDefault="00B85059" w:rsidP="00B85059">
      <w:pPr>
        <w:spacing w:before="120" w:after="0" w:line="240" w:lineRule="auto"/>
        <w:ind w:left="1886" w:hanging="1886"/>
        <w:rPr>
          <w:rFonts w:ascii="Times New Roman" w:eastAsia="Calibri" w:hAnsi="Times New Roman" w:cs="Times New Roman"/>
          <w:sz w:val="24"/>
          <w:szCs w:val="24"/>
        </w:rPr>
      </w:pPr>
      <w:r w:rsidRPr="00B85059">
        <w:rPr>
          <w:rFonts w:ascii="Times New Roman" w:eastAsia="Calibri" w:hAnsi="Times New Roman" w:cs="Times New Roman"/>
          <w:b/>
          <w:sz w:val="24"/>
          <w:szCs w:val="24"/>
        </w:rPr>
        <w:t>Neutral Citation:</w:t>
      </w:r>
      <w:r w:rsidRPr="00B8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059">
        <w:rPr>
          <w:rFonts w:ascii="Times New Roman" w:eastAsia="Calibri" w:hAnsi="Times New Roman" w:cs="Times New Roman"/>
          <w:sz w:val="24"/>
          <w:szCs w:val="24"/>
        </w:rPr>
        <w:tab/>
      </w:r>
      <w:r w:rsidR="00DF2207" w:rsidRPr="00DF23F3">
        <w:rPr>
          <w:rFonts w:ascii="Times New Roman" w:eastAsia="Calibri" w:hAnsi="Times New Roman" w:cs="Times New Roman"/>
          <w:sz w:val="24"/>
          <w:szCs w:val="24"/>
        </w:rPr>
        <w:t>Gianni Bordino v Government of Seychelles</w:t>
      </w:r>
      <w:r w:rsidR="00235F2A" w:rsidRPr="00DF2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07" w:rsidRPr="00DF23F3">
        <w:rPr>
          <w:rFonts w:ascii="Times New Roman" w:eastAsia="Calibri" w:hAnsi="Times New Roman" w:cs="Times New Roman"/>
          <w:sz w:val="24"/>
          <w:szCs w:val="24"/>
        </w:rPr>
        <w:t>(MA13</w:t>
      </w:r>
      <w:r w:rsidR="00235F2A" w:rsidRPr="00DF23F3">
        <w:rPr>
          <w:rFonts w:ascii="Times New Roman" w:eastAsia="Calibri" w:hAnsi="Times New Roman" w:cs="Times New Roman"/>
          <w:sz w:val="24"/>
          <w:szCs w:val="24"/>
        </w:rPr>
        <w:t>/2020</w:t>
      </w:r>
      <w:r w:rsidRPr="00DF23F3">
        <w:rPr>
          <w:rFonts w:ascii="Times New Roman" w:eastAsia="Calibri" w:hAnsi="Times New Roman" w:cs="Times New Roman"/>
          <w:sz w:val="24"/>
          <w:szCs w:val="24"/>
        </w:rPr>
        <w:t>) [2020</w:t>
      </w:r>
      <w:r w:rsidRPr="00B85059">
        <w:rPr>
          <w:rFonts w:ascii="Times New Roman" w:eastAsia="Calibri" w:hAnsi="Times New Roman" w:cs="Times New Roman"/>
          <w:sz w:val="24"/>
          <w:szCs w:val="24"/>
        </w:rPr>
        <w:t xml:space="preserve">] SCCA     </w:t>
      </w:r>
      <w:r w:rsidR="00BC39CB">
        <w:rPr>
          <w:rFonts w:ascii="Times New Roman" w:eastAsia="Calibri" w:hAnsi="Times New Roman" w:cs="Times New Roman"/>
          <w:sz w:val="24"/>
          <w:szCs w:val="24"/>
        </w:rPr>
        <w:t>25</w:t>
      </w:r>
      <w:r w:rsidR="00DF2207">
        <w:rPr>
          <w:rFonts w:ascii="Times New Roman" w:eastAsia="Calibri" w:hAnsi="Times New Roman" w:cs="Times New Roman"/>
          <w:sz w:val="24"/>
          <w:szCs w:val="24"/>
        </w:rPr>
        <w:t xml:space="preserve"> February </w:t>
      </w:r>
      <w:r w:rsidR="00DF23F3">
        <w:rPr>
          <w:rFonts w:ascii="Times New Roman" w:eastAsia="Calibri" w:hAnsi="Times New Roman" w:cs="Times New Roman"/>
          <w:sz w:val="24"/>
          <w:szCs w:val="24"/>
        </w:rPr>
        <w:t>2021</w:t>
      </w:r>
    </w:p>
    <w:p w14:paraId="4C68CEA5" w14:textId="651BC6AE" w:rsidR="00B85059" w:rsidRPr="00B85059" w:rsidRDefault="00B85059" w:rsidP="00B85059">
      <w:pPr>
        <w:spacing w:after="0" w:line="240" w:lineRule="auto"/>
        <w:ind w:left="1890" w:hanging="1890"/>
        <w:rPr>
          <w:rFonts w:ascii="Times New Roman" w:eastAsia="Calibri" w:hAnsi="Times New Roman" w:cs="Times New Roman"/>
          <w:sz w:val="24"/>
          <w:szCs w:val="24"/>
        </w:rPr>
      </w:pPr>
      <w:r w:rsidRPr="00B85059">
        <w:rPr>
          <w:rFonts w:ascii="Times New Roman" w:eastAsia="Calibri" w:hAnsi="Times New Roman" w:cs="Times New Roman"/>
          <w:b/>
          <w:sz w:val="24"/>
          <w:szCs w:val="24"/>
        </w:rPr>
        <w:t xml:space="preserve">Before: </w:t>
      </w:r>
      <w:r w:rsidRP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5059">
        <w:rPr>
          <w:rFonts w:ascii="Times New Roman" w:eastAsia="Calibri" w:hAnsi="Times New Roman" w:cs="Times New Roman"/>
          <w:sz w:val="24"/>
          <w:szCs w:val="24"/>
        </w:rPr>
        <w:t>Robinson</w:t>
      </w:r>
      <w:r w:rsidR="00AB3E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85059">
        <w:rPr>
          <w:rFonts w:ascii="Times New Roman" w:eastAsia="Calibri" w:hAnsi="Times New Roman" w:cs="Times New Roman"/>
          <w:sz w:val="24"/>
          <w:szCs w:val="24"/>
        </w:rPr>
        <w:t>J</w:t>
      </w:r>
      <w:r w:rsidR="004674D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E9AF175" w14:textId="1EAFAAB5" w:rsidR="00E2078F" w:rsidRPr="00041F7A" w:rsidRDefault="00B85059" w:rsidP="009120F2">
      <w:pPr>
        <w:spacing w:after="0" w:line="240" w:lineRule="auto"/>
        <w:ind w:left="1890" w:hanging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59">
        <w:rPr>
          <w:rFonts w:ascii="Times New Roman" w:eastAsia="Calibri" w:hAnsi="Times New Roman" w:cs="Times New Roman"/>
          <w:b/>
          <w:sz w:val="24"/>
          <w:szCs w:val="24"/>
        </w:rPr>
        <w:t xml:space="preserve">Summary: </w:t>
      </w:r>
      <w:r w:rsidRP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4218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A6412" w:rsidRPr="002A64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C82353" w:rsidRPr="002A6412">
        <w:rPr>
          <w:rFonts w:ascii="Times New Roman" w:eastAsia="Times New Roman" w:hAnsi="Times New Roman" w:cs="Times New Roman"/>
          <w:sz w:val="24"/>
          <w:szCs w:val="24"/>
        </w:rPr>
        <w:t>resh</w:t>
      </w:r>
      <w:r w:rsidR="00C82353" w:rsidRPr="00041F7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A6412">
        <w:rPr>
          <w:rFonts w:ascii="Times New Roman" w:eastAsia="Times New Roman" w:hAnsi="Times New Roman" w:cs="Times New Roman"/>
          <w:sz w:val="24"/>
          <w:szCs w:val="24"/>
        </w:rPr>
        <w:t>pplication for a</w:t>
      </w:r>
      <w:r w:rsidR="009120F2" w:rsidRPr="00041F7A">
        <w:rPr>
          <w:rFonts w:ascii="Times New Roman" w:eastAsia="Times New Roman" w:hAnsi="Times New Roman" w:cs="Times New Roman"/>
          <w:sz w:val="24"/>
          <w:szCs w:val="24"/>
        </w:rPr>
        <w:t xml:space="preserve"> stay of execution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E4E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="00F42186">
        <w:rPr>
          <w:rFonts w:ascii="Times New Roman" w:eastAsia="Times New Roman" w:hAnsi="Times New Roman" w:cs="Times New Roman"/>
          <w:sz w:val="24"/>
          <w:szCs w:val="24"/>
        </w:rPr>
        <w:t>Supreme Court's judgmen</w:t>
      </w:r>
      <w:r w:rsidR="00DE1C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under section 230 of </w:t>
      </w:r>
      <w:r w:rsidR="002A64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>he Seychelles Code of Civil Procedure and rule 2</w:t>
      </w:r>
      <w:r w:rsidR="008369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 (1) of </w:t>
      </w:r>
      <w:r w:rsidR="001D79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he Seychelles Court of Appeal Rules read </w:t>
      </w:r>
      <w:r w:rsidR="00DA5738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="003E0502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D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 w:rsidR="008369F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56E13">
        <w:rPr>
          <w:rFonts w:ascii="Times New Roman" w:eastAsia="Times New Roman" w:hAnsi="Times New Roman" w:cs="Times New Roman"/>
          <w:sz w:val="24"/>
          <w:szCs w:val="24"/>
        </w:rPr>
        <w:t xml:space="preserve"> of the said Rules</w:t>
      </w:r>
      <w:r w:rsidR="00980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625">
        <w:rPr>
          <w:rFonts w:ascii="Times New Roman" w:eastAsia="Times New Roman" w:hAnsi="Times New Roman" w:cs="Times New Roman"/>
          <w:sz w:val="24"/>
          <w:szCs w:val="24"/>
        </w:rPr>
        <w:t>An a</w:t>
      </w:r>
      <w:r w:rsidR="003814F3">
        <w:rPr>
          <w:rFonts w:ascii="Times New Roman" w:eastAsia="Times New Roman" w:hAnsi="Times New Roman" w:cs="Times New Roman"/>
          <w:sz w:val="24"/>
          <w:szCs w:val="24"/>
        </w:rPr>
        <w:t xml:space="preserve">pplication to the discretion of </w:t>
      </w:r>
      <w:r w:rsidR="00C97625">
        <w:rPr>
          <w:rFonts w:ascii="Times New Roman" w:eastAsia="Times New Roman" w:hAnsi="Times New Roman" w:cs="Times New Roman"/>
          <w:sz w:val="24"/>
          <w:szCs w:val="24"/>
        </w:rPr>
        <w:t>a single Justice of Appeal</w:t>
      </w:r>
      <w:r w:rsidR="00381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0458">
        <w:rPr>
          <w:rFonts w:ascii="Times New Roman" w:eastAsia="Times New Roman" w:hAnsi="Times New Roman" w:cs="Times New Roman"/>
          <w:sz w:val="24"/>
          <w:szCs w:val="24"/>
        </w:rPr>
        <w:t>Irregularities in the form of the affidavit</w:t>
      </w:r>
      <w:r w:rsidR="00980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DED">
        <w:rPr>
          <w:rFonts w:ascii="Times New Roman" w:eastAsia="Times New Roman" w:hAnsi="Times New Roman" w:cs="Times New Roman"/>
          <w:sz w:val="24"/>
          <w:szCs w:val="24"/>
        </w:rPr>
        <w:t>Besides, t</w:t>
      </w:r>
      <w:r w:rsidR="009809B3">
        <w:rPr>
          <w:rFonts w:ascii="Times New Roman" w:eastAsia="Times New Roman" w:hAnsi="Times New Roman" w:cs="Times New Roman"/>
          <w:sz w:val="24"/>
          <w:szCs w:val="24"/>
        </w:rPr>
        <w:t>he Applicant did not prove his application</w:t>
      </w:r>
      <w:r w:rsidR="001558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63FB"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9809B3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1558B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9809B3">
        <w:rPr>
          <w:rFonts w:ascii="Times New Roman" w:eastAsia="Times New Roman" w:hAnsi="Times New Roman" w:cs="Times New Roman"/>
          <w:sz w:val="24"/>
          <w:szCs w:val="24"/>
        </w:rPr>
        <w:t xml:space="preserve"> dismissed</w:t>
      </w:r>
      <w:r w:rsidR="0044045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F0DED">
        <w:rPr>
          <w:rFonts w:ascii="Times New Roman" w:eastAsia="Times New Roman" w:hAnsi="Times New Roman" w:cs="Times New Roman"/>
          <w:sz w:val="24"/>
          <w:szCs w:val="24"/>
        </w:rPr>
        <w:t>ith costs.</w:t>
      </w:r>
    </w:p>
    <w:p w14:paraId="392DCFB9" w14:textId="22588FAE" w:rsidR="00B85059" w:rsidRPr="00041F7A" w:rsidRDefault="00B85059" w:rsidP="009120F2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41F7A">
        <w:rPr>
          <w:rFonts w:ascii="Times New Roman" w:eastAsia="Times New Roman" w:hAnsi="Times New Roman" w:cs="Times New Roman"/>
          <w:b/>
          <w:sz w:val="24"/>
          <w:szCs w:val="24"/>
        </w:rPr>
        <w:t>Delivered:</w:t>
      </w:r>
      <w:r w:rsidRPr="0004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F2" w:rsidRPr="00041F7A">
        <w:rPr>
          <w:rFonts w:ascii="Times New Roman" w:eastAsia="Times New Roman" w:hAnsi="Times New Roman" w:cs="Times New Roman"/>
          <w:sz w:val="24"/>
          <w:szCs w:val="24"/>
        </w:rPr>
        <w:tab/>
      </w:r>
      <w:r w:rsidR="00BC39C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B1404">
        <w:rPr>
          <w:rFonts w:ascii="Times New Roman" w:eastAsia="Times New Roman" w:hAnsi="Times New Roman" w:cs="Times New Roman"/>
          <w:sz w:val="24"/>
          <w:szCs w:val="24"/>
        </w:rPr>
        <w:t xml:space="preserve"> February</w:t>
      </w:r>
      <w:r w:rsidR="00DF23F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2D86CB38" w14:textId="77777777" w:rsidR="00B85059" w:rsidRDefault="00B85059" w:rsidP="00B8505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272EE31C" w14:textId="77777777" w:rsidR="00B85059" w:rsidRDefault="00B85059" w:rsidP="00B850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ORDER</w:t>
      </w:r>
    </w:p>
    <w:p w14:paraId="4CCB72C0" w14:textId="2B26DB73" w:rsidR="00B85059" w:rsidRPr="00B85059" w:rsidRDefault="00B85059" w:rsidP="00B85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4ABE">
        <w:rPr>
          <w:rFonts w:ascii="Times New Roman" w:eastAsia="Calibri" w:hAnsi="Times New Roman" w:cs="Times New Roman"/>
          <w:sz w:val="24"/>
          <w:szCs w:val="24"/>
        </w:rPr>
        <w:t>The application</w:t>
      </w:r>
      <w:r w:rsidR="00B35960">
        <w:rPr>
          <w:rFonts w:ascii="Times New Roman" w:eastAsia="Calibri" w:hAnsi="Times New Roman" w:cs="Times New Roman"/>
          <w:sz w:val="24"/>
          <w:szCs w:val="24"/>
        </w:rPr>
        <w:t xml:space="preserve"> for a stay of execution</w:t>
      </w:r>
      <w:r w:rsidRPr="008D4ABE">
        <w:rPr>
          <w:rFonts w:ascii="Times New Roman" w:eastAsia="Calibri" w:hAnsi="Times New Roman" w:cs="Times New Roman"/>
          <w:sz w:val="24"/>
          <w:szCs w:val="24"/>
        </w:rPr>
        <w:t xml:space="preserve"> is dismissed</w:t>
      </w:r>
      <w:r w:rsidR="008D4ABE" w:rsidRPr="008D4ABE">
        <w:rPr>
          <w:rFonts w:ascii="Times New Roman" w:eastAsia="Calibri" w:hAnsi="Times New Roman" w:cs="Times New Roman"/>
          <w:sz w:val="24"/>
          <w:szCs w:val="24"/>
        </w:rPr>
        <w:t xml:space="preserve"> with costs</w:t>
      </w:r>
    </w:p>
    <w:p w14:paraId="33FE17D4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4DEF5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RULING</w:t>
      </w:r>
    </w:p>
    <w:p w14:paraId="284A26A9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9EA13" w14:textId="77777777" w:rsidR="00B85059" w:rsidRDefault="00B85059" w:rsidP="00B85059"/>
    <w:p w14:paraId="5A55BC15" w14:textId="63CD5953" w:rsidR="00B85059" w:rsidRPr="00B85059" w:rsidRDefault="00B85059" w:rsidP="00B85059">
      <w:pPr>
        <w:spacing w:after="240"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059">
        <w:rPr>
          <w:rFonts w:ascii="Times New Roman" w:eastAsia="Times New Roman" w:hAnsi="Times New Roman" w:cs="Times New Roman"/>
          <w:b/>
          <w:sz w:val="24"/>
          <w:szCs w:val="24"/>
        </w:rPr>
        <w:t>ROBINSON J</w:t>
      </w:r>
      <w:r w:rsidR="00DF23F3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261D6206" w14:textId="2C98C699" w:rsidR="004173E0" w:rsidRDefault="006952A1" w:rsidP="004173E0">
      <w:pPr>
        <w:pStyle w:val="JudgmentText"/>
        <w:numPr>
          <w:ilvl w:val="0"/>
          <w:numId w:val="1"/>
        </w:numPr>
        <w:ind w:hanging="720"/>
      </w:pPr>
      <w:r>
        <w:t>A single Justice of Appeal</w:t>
      </w:r>
      <w:r w:rsidR="00F75B45">
        <w:t xml:space="preserve"> designated by the President of the Court of Appeal, may exercise any power vested in the Court of Appeal, save for an application for special leave to appeal </w:t>
      </w:r>
      <w:r w:rsidR="00F75B45">
        <w:lastRenderedPageBreak/>
        <w:t xml:space="preserve">to </w:t>
      </w:r>
      <w:r w:rsidR="00EB4919">
        <w:t>it</w:t>
      </w:r>
      <w:r w:rsidR="00F75B45">
        <w:t xml:space="preserve">, under rule 5 of </w:t>
      </w:r>
      <w:r w:rsidR="00394E30">
        <w:t>T</w:t>
      </w:r>
      <w:r w:rsidR="00F75B45">
        <w:t xml:space="preserve">he </w:t>
      </w:r>
      <w:r w:rsidR="000859AB">
        <w:t>Seychelles Court of Appeal Rules</w:t>
      </w:r>
      <w:r w:rsidR="00F75B45">
        <w:t>, 2005, as amended,</w:t>
      </w:r>
      <w:r w:rsidR="000859AB">
        <w:t xml:space="preserve"> (hereinafter referred to as ″</w:t>
      </w:r>
      <w:r w:rsidR="000859AB" w:rsidRPr="000859AB">
        <w:rPr>
          <w:i/>
        </w:rPr>
        <w:t>The Rules</w:t>
      </w:r>
      <w:r w:rsidR="000859AB">
        <w:t>″)</w:t>
      </w:r>
      <w:r w:rsidR="00F75B45">
        <w:t xml:space="preserve">. </w:t>
      </w:r>
    </w:p>
    <w:p w14:paraId="32A4071D" w14:textId="629C0921" w:rsidR="00E86168" w:rsidRDefault="00E50467" w:rsidP="00272CD1">
      <w:pPr>
        <w:pStyle w:val="JudgmentText"/>
        <w:numPr>
          <w:ilvl w:val="0"/>
          <w:numId w:val="1"/>
        </w:numPr>
        <w:ind w:hanging="720"/>
      </w:pPr>
      <w:r>
        <w:t>T</w:t>
      </w:r>
      <w:r w:rsidR="00225BE2">
        <w:t xml:space="preserve">his application </w:t>
      </w:r>
      <w:r w:rsidR="004173E0">
        <w:t>is asking for a stay</w:t>
      </w:r>
      <w:r w:rsidR="00726310">
        <w:t xml:space="preserve"> of execution of a judgment</w:t>
      </w:r>
      <w:r w:rsidR="007E1A14">
        <w:t xml:space="preserve"> of the</w:t>
      </w:r>
      <w:r w:rsidR="004173E0">
        <w:t xml:space="preserve"> learned </w:t>
      </w:r>
      <w:r w:rsidR="007E1A14">
        <w:t>Chief Justice</w:t>
      </w:r>
      <w:r w:rsidR="004173E0">
        <w:t xml:space="preserve"> </w:t>
      </w:r>
      <w:r w:rsidR="00225BE2">
        <w:t>under section 230 of the Seychelles Code of Civil Procedure</w:t>
      </w:r>
      <w:r w:rsidR="006B20E3">
        <w:t xml:space="preserve"> (hereinafter referred to as the ″</w:t>
      </w:r>
      <w:r w:rsidR="006B20E3" w:rsidRPr="006B20E3">
        <w:rPr>
          <w:i/>
        </w:rPr>
        <w:t>Code</w:t>
      </w:r>
      <w:r w:rsidR="006B20E3">
        <w:t>″)</w:t>
      </w:r>
      <w:r w:rsidR="00AF014D">
        <w:t>,</w:t>
      </w:r>
      <w:r w:rsidR="006B20E3">
        <w:t xml:space="preserve"> and r</w:t>
      </w:r>
      <w:r w:rsidR="00225BE2">
        <w:t>ule</w:t>
      </w:r>
      <w:r w:rsidR="00C24D09">
        <w:t xml:space="preserve"> 2</w:t>
      </w:r>
      <w:r w:rsidR="00394E30">
        <w:t>0</w:t>
      </w:r>
      <w:r w:rsidR="00C24D09">
        <w:t xml:space="preserve"> (1) </w:t>
      </w:r>
      <w:r w:rsidR="00225BE2">
        <w:t>of The Rules</w:t>
      </w:r>
      <w:r w:rsidR="00686747">
        <w:t>,</w:t>
      </w:r>
      <w:r w:rsidR="00225BE2">
        <w:t xml:space="preserve"> </w:t>
      </w:r>
      <w:r w:rsidR="006B20E3">
        <w:t>read together with r</w:t>
      </w:r>
      <w:r w:rsidR="00225BE2">
        <w:t xml:space="preserve">ule </w:t>
      </w:r>
      <w:r w:rsidR="00394E30">
        <w:t>16</w:t>
      </w:r>
      <w:r w:rsidR="00225BE2">
        <w:t xml:space="preserve"> of </w:t>
      </w:r>
      <w:r w:rsidR="00C24D09">
        <w:t>The</w:t>
      </w:r>
      <w:r w:rsidR="00225BE2">
        <w:t xml:space="preserve"> R</w:t>
      </w:r>
      <w:r w:rsidR="00C24D09">
        <w:t xml:space="preserve">ules. </w:t>
      </w:r>
      <w:r w:rsidR="0035368A">
        <w:t xml:space="preserve">Rule </w:t>
      </w:r>
      <w:r w:rsidR="001563FB">
        <w:t>20</w:t>
      </w:r>
      <w:r w:rsidR="0035368A">
        <w:t xml:space="preserve"> (1) of The Rules</w:t>
      </w:r>
      <w:r w:rsidR="00750751">
        <w:t xml:space="preserve"> </w:t>
      </w:r>
      <w:r w:rsidR="001563FB">
        <w:t xml:space="preserve">is to the effect that </w:t>
      </w:r>
      <w:r w:rsidR="001563FB" w:rsidRPr="00F968B4">
        <w:t>an appeal shall not operate as a stay of execution or of proceedings under the decision appealed from unless the Court of Appeal so orders</w:t>
      </w:r>
      <w:r w:rsidR="001563FB">
        <w:t xml:space="preserve">. </w:t>
      </w:r>
      <w:r w:rsidR="009C6CAD">
        <w:t>This is an application to my discretion under The Rules.</w:t>
      </w:r>
      <w:r w:rsidR="006E71A4">
        <w:t xml:space="preserve"> </w:t>
      </w:r>
      <w:r w:rsidR="00E86168">
        <w:t xml:space="preserve">The Respondent strongly resisted the application through Counsel. </w:t>
      </w:r>
    </w:p>
    <w:p w14:paraId="50464556" w14:textId="43BB4BFB" w:rsidR="00225BE2" w:rsidRDefault="00C61A43" w:rsidP="00272CD1">
      <w:pPr>
        <w:pStyle w:val="JudgmentText"/>
        <w:numPr>
          <w:ilvl w:val="0"/>
          <w:numId w:val="1"/>
        </w:numPr>
        <w:ind w:hanging="720"/>
      </w:pPr>
      <w:r>
        <w:t>The Applicant had initially made an application for a stay of execution of the learned Chief Justice's judgment, before the Supreme Court,</w:t>
      </w:r>
      <w:r w:rsidRPr="00041F7A">
        <w:t xml:space="preserve"> </w:t>
      </w:r>
      <w:r w:rsidR="00BC39CB">
        <w:t xml:space="preserve">under section 230 of </w:t>
      </w:r>
      <w:r w:rsidR="002B1A94">
        <w:t xml:space="preserve">the </w:t>
      </w:r>
      <w:r w:rsidR="00E86168">
        <w:t>Code, which application was dismissed.</w:t>
      </w:r>
    </w:p>
    <w:p w14:paraId="1FBFE876" w14:textId="32D4C0E6" w:rsidR="001D57A5" w:rsidRDefault="001D57A5" w:rsidP="001D57A5">
      <w:pPr>
        <w:pStyle w:val="JudgmentText"/>
        <w:numPr>
          <w:ilvl w:val="0"/>
          <w:numId w:val="1"/>
        </w:numPr>
        <w:ind w:hanging="720"/>
      </w:pPr>
      <w:r>
        <w:t xml:space="preserve">The Respondent </w:t>
      </w:r>
      <w:r w:rsidR="00DF23F3">
        <w:t>made an application to</w:t>
      </w:r>
      <w:r>
        <w:t xml:space="preserve"> amend the affidavit in reply</w:t>
      </w:r>
      <w:r w:rsidR="00CB0F40">
        <w:t xml:space="preserve"> sworn to by Superintendent Hein Prinsloo after </w:t>
      </w:r>
      <w:r w:rsidR="00F968B4">
        <w:t xml:space="preserve">the </w:t>
      </w:r>
      <w:r w:rsidR="00CB0F40">
        <w:t>hearing</w:t>
      </w:r>
      <w:r w:rsidR="00F968B4">
        <w:t xml:space="preserve"> of</w:t>
      </w:r>
      <w:r w:rsidR="00CB0F40">
        <w:t xml:space="preserve"> submissions</w:t>
      </w:r>
      <w:r w:rsidR="00AF30FE">
        <w:t xml:space="preserve">. </w:t>
      </w:r>
      <w:r w:rsidR="00F968B4">
        <w:t>T</w:t>
      </w:r>
      <w:r>
        <w:t xml:space="preserve">he Respondent </w:t>
      </w:r>
      <w:r w:rsidR="00CB0F40">
        <w:t>wanted to correct some irregularities in the form of the affidavit in reply after the Applicant had attacked Super</w:t>
      </w:r>
      <w:r w:rsidR="007E364B">
        <w:t xml:space="preserve">intendent Prinsloo's affidavit. </w:t>
      </w:r>
      <w:bookmarkStart w:id="0" w:name="_GoBack"/>
      <w:bookmarkEnd w:id="0"/>
      <w:r>
        <w:t xml:space="preserve">The Applicant </w:t>
      </w:r>
      <w:r w:rsidR="0035368A">
        <w:t xml:space="preserve">strongly </w:t>
      </w:r>
      <w:r>
        <w:t>resisted the application to amend through Counsel.</w:t>
      </w:r>
      <w:r w:rsidR="00BA625A">
        <w:t xml:space="preserve"> </w:t>
      </w:r>
      <w:r w:rsidR="007B4516">
        <w:t>I am not concerned with whether or not the application</w:t>
      </w:r>
      <w:r w:rsidR="00F0698C">
        <w:t xml:space="preserve"> to amend</w:t>
      </w:r>
      <w:r w:rsidR="006517B3">
        <w:t xml:space="preserve"> is regular.</w:t>
      </w:r>
      <w:r w:rsidR="00F0698C">
        <w:t xml:space="preserve"> </w:t>
      </w:r>
      <w:r w:rsidR="007B4516">
        <w:t xml:space="preserve">Suffice it to state that </w:t>
      </w:r>
      <w:r>
        <w:t>the Respondent's Counsel withdrew the application</w:t>
      </w:r>
      <w:r w:rsidR="007B4516">
        <w:t xml:space="preserve"> to amend, on the 16 February 2021</w:t>
      </w:r>
      <w:r w:rsidR="00A43F3A">
        <w:t>, after</w:t>
      </w:r>
      <w:r>
        <w:t xml:space="preserve"> </w:t>
      </w:r>
      <w:r w:rsidR="00BA625A">
        <w:t>I</w:t>
      </w:r>
      <w:r w:rsidR="00770BE5">
        <w:t xml:space="preserve"> made</w:t>
      </w:r>
      <w:r w:rsidR="00EB4919">
        <w:t xml:space="preserve"> it clear</w:t>
      </w:r>
      <w:r w:rsidR="000E2BB9">
        <w:t xml:space="preserve"> on that </w:t>
      </w:r>
      <w:r w:rsidR="00A43F3A">
        <w:t>date that</w:t>
      </w:r>
      <w:r>
        <w:t xml:space="preserve"> the Applicant's </w:t>
      </w:r>
      <w:r w:rsidR="00EC500D">
        <w:t xml:space="preserve">originating </w:t>
      </w:r>
      <w:r>
        <w:t>application was not without its challenges.</w:t>
      </w:r>
    </w:p>
    <w:p w14:paraId="42E0A79E" w14:textId="3D377497" w:rsidR="00770BE5" w:rsidRDefault="00770BE5" w:rsidP="001D57A5">
      <w:pPr>
        <w:pStyle w:val="JudgmentText"/>
        <w:numPr>
          <w:ilvl w:val="0"/>
          <w:numId w:val="1"/>
        </w:numPr>
        <w:ind w:hanging="720"/>
      </w:pPr>
      <w:r>
        <w:t xml:space="preserve">I have considered the </w:t>
      </w:r>
      <w:r w:rsidR="00207DA6">
        <w:t>originating application, the affidavit in reply, and both parties' written and oral submission</w:t>
      </w:r>
      <w:r w:rsidR="00ED7908">
        <w:t>s</w:t>
      </w:r>
      <w:r w:rsidR="000E2BB9">
        <w:t xml:space="preserve"> with care.</w:t>
      </w:r>
    </w:p>
    <w:p w14:paraId="56DFE118" w14:textId="563BC7F5" w:rsidR="00726310" w:rsidRDefault="00726310" w:rsidP="00EB4919">
      <w:pPr>
        <w:pStyle w:val="JudgmentText"/>
        <w:numPr>
          <w:ilvl w:val="0"/>
          <w:numId w:val="1"/>
        </w:numPr>
        <w:ind w:hanging="720"/>
      </w:pPr>
      <w:r>
        <w:t xml:space="preserve">Firstly, I consider the form of the affidavit. The affidavit was deponed to by Gianni Bordino. </w:t>
      </w:r>
      <w:r w:rsidR="0008507B">
        <w:t>T</w:t>
      </w:r>
      <w:r>
        <w:t>he affidavit does not</w:t>
      </w:r>
      <w:r w:rsidR="0008507B">
        <w:t xml:space="preserve"> state</w:t>
      </w:r>
      <w:r>
        <w:t xml:space="preserve"> </w:t>
      </w:r>
      <w:r w:rsidR="001D57A5">
        <w:t>the occupation of Gianni Bordino</w:t>
      </w:r>
      <w:r>
        <w:t xml:space="preserve">. If </w:t>
      </w:r>
      <w:r w:rsidR="0008507B">
        <w:t xml:space="preserve">Gianni Bordino </w:t>
      </w:r>
      <w:r>
        <w:t xml:space="preserve">is of no </w:t>
      </w:r>
      <w:r w:rsidRPr="004D6F76">
        <w:rPr>
          <w:i/>
        </w:rPr>
        <w:t>″occupation″</w:t>
      </w:r>
      <w:r>
        <w:t>, the words ″</w:t>
      </w:r>
      <w:r w:rsidRPr="009F6CB2">
        <w:rPr>
          <w:i/>
        </w:rPr>
        <w:t>of no occupation</w:t>
      </w:r>
      <w:r>
        <w:t xml:space="preserve">″ </w:t>
      </w:r>
      <w:r w:rsidR="00EB4919">
        <w:t xml:space="preserve">should have been added after his address. It is worthy of note that the affidavit does not even give the address of Gianni </w:t>
      </w:r>
      <w:r w:rsidR="00EB4919">
        <w:lastRenderedPageBreak/>
        <w:t xml:space="preserve">Bordino: see, for example, </w:t>
      </w:r>
      <w:r w:rsidR="00EB4919" w:rsidRPr="00EB4919">
        <w:rPr>
          <w:i/>
        </w:rPr>
        <w:t>Hyde v Hyde, 59 L. T. 523</w:t>
      </w:r>
      <w:r w:rsidR="00235C09">
        <w:rPr>
          <w:rStyle w:val="FootnoteReference"/>
          <w:i/>
        </w:rPr>
        <w:footnoteReference w:id="1"/>
      </w:r>
      <w:r w:rsidR="00EB4919">
        <w:t xml:space="preserve"> and </w:t>
      </w:r>
      <w:r w:rsidR="00EB4919" w:rsidRPr="00235C09">
        <w:rPr>
          <w:i/>
        </w:rPr>
        <w:t>Re Levy, 37 W. R. 396</w:t>
      </w:r>
      <w:r w:rsidR="00235C09">
        <w:rPr>
          <w:rStyle w:val="FootnoteReference"/>
          <w:i/>
        </w:rPr>
        <w:footnoteReference w:id="2"/>
      </w:r>
      <w:r w:rsidR="00EB4919">
        <w:t xml:space="preserve">, </w:t>
      </w:r>
      <w:r w:rsidR="00235C09">
        <w:t xml:space="preserve">in which </w:t>
      </w:r>
      <w:r w:rsidR="00EB4919">
        <w:t xml:space="preserve">affidavits giving no address were rejected. </w:t>
      </w:r>
    </w:p>
    <w:p w14:paraId="4674D9EF" w14:textId="77777777" w:rsidR="00207DA6" w:rsidRDefault="00E11041" w:rsidP="00542F62">
      <w:pPr>
        <w:pStyle w:val="JudgmentText"/>
        <w:numPr>
          <w:ilvl w:val="0"/>
          <w:numId w:val="1"/>
        </w:numPr>
        <w:ind w:hanging="720"/>
      </w:pPr>
      <w:r>
        <w:t>T</w:t>
      </w:r>
      <w:r w:rsidR="00321736">
        <w:t xml:space="preserve">he affidavit is irregular for other reasons. </w:t>
      </w:r>
      <w:r w:rsidR="005A439F">
        <w:t xml:space="preserve">I give </w:t>
      </w:r>
      <w:r w:rsidR="00667F48">
        <w:t xml:space="preserve">some of the reasons why </w:t>
      </w:r>
      <w:r w:rsidR="002E649D">
        <w:t>the affidavit</w:t>
      </w:r>
      <w:r w:rsidR="00667F48">
        <w:t xml:space="preserve"> is </w:t>
      </w:r>
      <w:r w:rsidR="001E758F">
        <w:t>irregular</w:t>
      </w:r>
      <w:r w:rsidR="00A43F3A">
        <w:t>.</w:t>
      </w:r>
      <w:r w:rsidR="008E1EF8" w:rsidRPr="00F968B4">
        <w:t xml:space="preserve"> </w:t>
      </w:r>
    </w:p>
    <w:p w14:paraId="217EF221" w14:textId="0BD97CE5" w:rsidR="00542F62" w:rsidRPr="00542F62" w:rsidRDefault="008E1EF8" w:rsidP="00542F62">
      <w:pPr>
        <w:pStyle w:val="JudgmentText"/>
        <w:numPr>
          <w:ilvl w:val="0"/>
          <w:numId w:val="1"/>
        </w:numPr>
        <w:ind w:hanging="720"/>
      </w:pPr>
      <w:r w:rsidRPr="00F968B4">
        <w:t xml:space="preserve">I have </w:t>
      </w:r>
      <w:r w:rsidR="00321736" w:rsidRPr="00F968B4">
        <w:t>considered the</w:t>
      </w:r>
      <w:r w:rsidR="00CE3397" w:rsidRPr="00CE3397">
        <w:t xml:space="preserve"> </w:t>
      </w:r>
      <w:r w:rsidR="00CE3397" w:rsidRPr="00F968B4">
        <w:t>proper rules of conduct for the exercise of judicial discretion</w:t>
      </w:r>
      <w:r w:rsidR="00CE3397">
        <w:t>,</w:t>
      </w:r>
      <w:r w:rsidR="00321736" w:rsidRPr="00F968B4">
        <w:t xml:space="preserve"> </w:t>
      </w:r>
      <w:r w:rsidR="00CE3397">
        <w:t xml:space="preserve">which have been laid down by </w:t>
      </w:r>
      <w:r w:rsidRPr="00F968B4">
        <w:t>various</w:t>
      </w:r>
      <w:r w:rsidR="00321736" w:rsidRPr="00F968B4">
        <w:t xml:space="preserve"> cases</w:t>
      </w:r>
      <w:r w:rsidR="00073BEF">
        <w:rPr>
          <w:rStyle w:val="FootnoteReference"/>
        </w:rPr>
        <w:footnoteReference w:id="3"/>
      </w:r>
      <w:r w:rsidR="00321736" w:rsidRPr="00F968B4">
        <w:t xml:space="preserve"> </w:t>
      </w:r>
      <w:r w:rsidR="00BC39CB">
        <w:t xml:space="preserve">with respect to section 230 of the Code and rule 20 (1) of The Rules, </w:t>
      </w:r>
      <w:r w:rsidR="00321736" w:rsidRPr="00F968B4">
        <w:t xml:space="preserve">referred </w:t>
      </w:r>
      <w:r w:rsidRPr="00F968B4">
        <w:t xml:space="preserve">to </w:t>
      </w:r>
      <w:r w:rsidR="00CE3397">
        <w:t xml:space="preserve">by both Counsel </w:t>
      </w:r>
      <w:r w:rsidR="00E11041">
        <w:t>―</w:t>
      </w:r>
      <w:r w:rsidR="00321736" w:rsidRPr="00F968B4">
        <w:t xml:space="preserve"> </w:t>
      </w:r>
    </w:p>
    <w:p w14:paraId="08BC0B0A" w14:textId="66AA7CD7" w:rsidR="00542F62" w:rsidRDefault="00542F62" w:rsidP="00F968B4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11041">
        <w:rPr>
          <w:sz w:val="24"/>
          <w:szCs w:val="24"/>
        </w:rPr>
        <w:t xml:space="preserve">where </w:t>
      </w:r>
      <w:r w:rsidR="00CE3397">
        <w:rPr>
          <w:sz w:val="24"/>
          <w:szCs w:val="24"/>
        </w:rPr>
        <w:t xml:space="preserve">the </w:t>
      </w:r>
      <w:r w:rsidRPr="00E11041">
        <w:rPr>
          <w:sz w:val="24"/>
          <w:szCs w:val="24"/>
        </w:rPr>
        <w:t>special circumstances of the case so require;</w:t>
      </w:r>
    </w:p>
    <w:p w14:paraId="06E50A5E" w14:textId="77777777" w:rsidR="00BC39CB" w:rsidRPr="00E11041" w:rsidRDefault="00BC39CB" w:rsidP="00BC39CB">
      <w:pPr>
        <w:pStyle w:val="ListParagraph"/>
        <w:shd w:val="clear" w:color="auto" w:fill="FFFFFF"/>
        <w:ind w:left="1620"/>
        <w:jc w:val="both"/>
        <w:textAlignment w:val="baseline"/>
        <w:rPr>
          <w:sz w:val="24"/>
          <w:szCs w:val="24"/>
        </w:rPr>
      </w:pPr>
    </w:p>
    <w:p w14:paraId="6DDD215F" w14:textId="26194CC4" w:rsidR="00542F62" w:rsidRDefault="00E11041" w:rsidP="00F968B4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="00542F62" w:rsidRPr="00E11041">
        <w:rPr>
          <w:sz w:val="24"/>
          <w:szCs w:val="24"/>
        </w:rPr>
        <w:t>there is proof of substantial loss that may otherwise result;</w:t>
      </w:r>
    </w:p>
    <w:p w14:paraId="658AEF31" w14:textId="77777777" w:rsidR="00BC39CB" w:rsidRPr="00BC39CB" w:rsidRDefault="00BC39CB" w:rsidP="00BC39CB">
      <w:pPr>
        <w:pStyle w:val="ListParagraph"/>
        <w:rPr>
          <w:sz w:val="24"/>
          <w:szCs w:val="24"/>
        </w:rPr>
      </w:pPr>
    </w:p>
    <w:p w14:paraId="1BCB6914" w14:textId="77777777" w:rsidR="00BC39CB" w:rsidRPr="00E11041" w:rsidRDefault="00BC39CB" w:rsidP="00BC39CB">
      <w:pPr>
        <w:pStyle w:val="ListParagraph"/>
        <w:shd w:val="clear" w:color="auto" w:fill="FFFFFF"/>
        <w:ind w:left="1620"/>
        <w:jc w:val="both"/>
        <w:textAlignment w:val="baseline"/>
        <w:rPr>
          <w:sz w:val="24"/>
          <w:szCs w:val="24"/>
        </w:rPr>
      </w:pPr>
    </w:p>
    <w:p w14:paraId="1D64C7AE" w14:textId="3BD7ED92" w:rsidR="00542F62" w:rsidRDefault="00E11041" w:rsidP="00F968B4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where there is a</w:t>
      </w:r>
      <w:r w:rsidR="00F968B4" w:rsidRPr="00E11041">
        <w:rPr>
          <w:sz w:val="24"/>
          <w:szCs w:val="24"/>
        </w:rPr>
        <w:t xml:space="preserve"> </w:t>
      </w:r>
      <w:r w:rsidR="00542F62" w:rsidRPr="00E11041">
        <w:rPr>
          <w:sz w:val="24"/>
          <w:szCs w:val="24"/>
        </w:rPr>
        <w:t xml:space="preserve">substantial question of law to be adjudicated upon </w:t>
      </w:r>
      <w:r>
        <w:rPr>
          <w:sz w:val="24"/>
          <w:szCs w:val="24"/>
        </w:rPr>
        <w:t>at the hearing of the appeal;</w:t>
      </w:r>
    </w:p>
    <w:p w14:paraId="5FC16A25" w14:textId="77777777" w:rsidR="00BC39CB" w:rsidRPr="00E11041" w:rsidRDefault="00BC39CB" w:rsidP="00BC39CB">
      <w:pPr>
        <w:pStyle w:val="ListParagraph"/>
        <w:shd w:val="clear" w:color="auto" w:fill="FFFFFF"/>
        <w:ind w:left="1620"/>
        <w:jc w:val="both"/>
        <w:textAlignment w:val="baseline"/>
        <w:rPr>
          <w:sz w:val="24"/>
          <w:szCs w:val="24"/>
        </w:rPr>
      </w:pPr>
    </w:p>
    <w:p w14:paraId="6432B7A4" w14:textId="6624279D" w:rsidR="00542F62" w:rsidRPr="00E11041" w:rsidRDefault="00F968B4" w:rsidP="00F968B4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11041">
        <w:rPr>
          <w:sz w:val="24"/>
          <w:szCs w:val="24"/>
        </w:rPr>
        <w:t>where, if a stay</w:t>
      </w:r>
      <w:r w:rsidR="00542F62" w:rsidRPr="00321736">
        <w:rPr>
          <w:sz w:val="24"/>
          <w:szCs w:val="24"/>
        </w:rPr>
        <w:t xml:space="preserve"> is not gra</w:t>
      </w:r>
      <w:r w:rsidRPr="00E11041">
        <w:rPr>
          <w:sz w:val="24"/>
          <w:szCs w:val="24"/>
        </w:rPr>
        <w:t>nted, the appeal would be rendered nugatory if successful.</w:t>
      </w:r>
    </w:p>
    <w:p w14:paraId="4FE69FD5" w14:textId="77777777" w:rsidR="002B6694" w:rsidRPr="002B6694" w:rsidRDefault="002B6694" w:rsidP="002B6694">
      <w:pPr>
        <w:pStyle w:val="ListParagraph"/>
        <w:shd w:val="clear" w:color="auto" w:fill="FFFFFF"/>
        <w:ind w:left="1620"/>
        <w:textAlignment w:val="baseline"/>
        <w:rPr>
          <w:color w:val="333333"/>
          <w:sz w:val="24"/>
          <w:szCs w:val="24"/>
          <w:lang w:val="en-US"/>
        </w:rPr>
      </w:pPr>
    </w:p>
    <w:p w14:paraId="1A0DBAA8" w14:textId="22D30DC0" w:rsidR="001E758F" w:rsidRDefault="00F968B4" w:rsidP="00073BEF">
      <w:pPr>
        <w:pStyle w:val="JudgmentText"/>
        <w:numPr>
          <w:ilvl w:val="0"/>
          <w:numId w:val="1"/>
        </w:numPr>
        <w:ind w:hanging="720"/>
      </w:pPr>
      <w:r>
        <w:t xml:space="preserve">The Applicant's affidavit </w:t>
      </w:r>
      <w:r w:rsidR="00E11041">
        <w:t>briefly</w:t>
      </w:r>
      <w:r>
        <w:t xml:space="preserve"> avers that </w:t>
      </w:r>
      <w:r w:rsidR="0040200D">
        <w:t>he</w:t>
      </w:r>
      <w:r w:rsidR="00E11041" w:rsidRPr="008A6C8A">
        <w:t xml:space="preserve"> has </w:t>
      </w:r>
      <w:r w:rsidR="008A6C8A" w:rsidRPr="008A6C8A">
        <w:t xml:space="preserve">a good chance of success </w:t>
      </w:r>
      <w:r w:rsidR="00E11041" w:rsidRPr="008A6C8A">
        <w:t>in</w:t>
      </w:r>
      <w:r w:rsidR="00E11041">
        <w:t xml:space="preserve"> his appeal</w:t>
      </w:r>
      <w:r w:rsidR="00073BEF">
        <w:t xml:space="preserve">; </w:t>
      </w:r>
      <w:r>
        <w:t>that if I were not to grant a stay of execution of the judgment, the appeal would be rendered nugatory if successful</w:t>
      </w:r>
      <w:r w:rsidR="00073BEF">
        <w:t xml:space="preserve">; and that </w:t>
      </w:r>
      <w:r w:rsidR="00073BEF" w:rsidRPr="00073BEF">
        <w:t xml:space="preserve">there </w:t>
      </w:r>
      <w:r w:rsidR="00073BEF">
        <w:t>are</w:t>
      </w:r>
      <w:r w:rsidR="00073BEF" w:rsidRPr="00073BEF">
        <w:t xml:space="preserve"> substantial question</w:t>
      </w:r>
      <w:r w:rsidR="00073BEF">
        <w:t>s</w:t>
      </w:r>
      <w:r w:rsidR="00073BEF" w:rsidRPr="00073BEF">
        <w:t xml:space="preserve"> of law to be adjudicated upon at the hearing of the appeal</w:t>
      </w:r>
      <w:r w:rsidR="00073BEF">
        <w:t xml:space="preserve">. </w:t>
      </w:r>
      <w:r w:rsidR="005C1971">
        <w:t>For her part, t</w:t>
      </w:r>
      <w:r w:rsidR="00E11041">
        <w:t>he Respondent</w:t>
      </w:r>
      <w:r w:rsidR="001E758F">
        <w:t>'</w:t>
      </w:r>
      <w:r w:rsidR="00B73A99">
        <w:t>s Counsel</w:t>
      </w:r>
      <w:r w:rsidR="00E11041">
        <w:t xml:space="preserve"> submitted that the affidavit does not meet th</w:t>
      </w:r>
      <w:r w:rsidR="00B61E9E">
        <w:t xml:space="preserve">e requirements expounded in the </w:t>
      </w:r>
      <w:r w:rsidR="00E11041">
        <w:t>cases</w:t>
      </w:r>
      <w:r w:rsidR="00B73A99">
        <w:t>.</w:t>
      </w:r>
      <w:r w:rsidR="003559D7">
        <w:t xml:space="preserve"> </w:t>
      </w:r>
    </w:p>
    <w:p w14:paraId="34D49EE8" w14:textId="5882FD65" w:rsidR="00C95869" w:rsidRPr="006D7433" w:rsidRDefault="00C95869" w:rsidP="00C95869">
      <w:pPr>
        <w:pStyle w:val="JudgmentText"/>
        <w:numPr>
          <w:ilvl w:val="0"/>
          <w:numId w:val="1"/>
        </w:numPr>
        <w:ind w:hanging="720"/>
      </w:pPr>
      <w:r>
        <w:t xml:space="preserve">In </w:t>
      </w:r>
      <w:r w:rsidRPr="00FC3525">
        <w:rPr>
          <w:bCs/>
          <w:i/>
        </w:rPr>
        <w:t>Islands</w:t>
      </w:r>
      <w:r w:rsidRPr="00FC3525">
        <w:rPr>
          <w:rStyle w:val="Strong"/>
          <w:b w:val="0"/>
          <w:i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C3525">
        <w:rPr>
          <w:bCs/>
          <w:i/>
        </w:rPr>
        <w:t>Development Company Limited v EME Management Services Limited SCA 31/09</w:t>
      </w:r>
      <w:r w:rsidRPr="00FC3525">
        <w:rPr>
          <w:bCs/>
        </w:rPr>
        <w:t> (</w:t>
      </w:r>
      <w:r w:rsidRPr="001E758F">
        <w:t>delivered on 11 December 2009),</w:t>
      </w:r>
      <w:r w:rsidR="00C417E2">
        <w:t xml:space="preserve"> Fernando</w:t>
      </w:r>
      <w:r>
        <w:t xml:space="preserve"> </w:t>
      </w:r>
      <w:r w:rsidRPr="00C95869">
        <w:rPr>
          <w:i/>
        </w:rPr>
        <w:t>JA</w:t>
      </w:r>
      <w:r w:rsidR="00E86168" w:rsidRPr="00E86168">
        <w:t>,</w:t>
      </w:r>
      <w:r w:rsidRPr="00E86168">
        <w:t xml:space="preserve"> </w:t>
      </w:r>
      <w:r>
        <w:t xml:space="preserve">as he was then, </w:t>
      </w:r>
      <w:r w:rsidRPr="001E758F">
        <w:t xml:space="preserve">stated the </w:t>
      </w:r>
      <w:r w:rsidRPr="00FC3525">
        <w:rPr>
          <w:bCs/>
        </w:rPr>
        <w:t>following:</w:t>
      </w:r>
      <w:r w:rsidRPr="00FC3525">
        <w:rPr>
          <w:bCs/>
          <w:i/>
        </w:rPr>
        <w:t xml:space="preserve"> </w:t>
      </w:r>
      <w:r w:rsidR="00C417E2">
        <w:rPr>
          <w:bCs/>
          <w:i/>
        </w:rPr>
        <w:t>″</w:t>
      </w:r>
      <w:r w:rsidR="00C417E2" w:rsidRPr="00C417E2">
        <w:rPr>
          <w:bCs/>
        </w:rPr>
        <w:t>[m]</w:t>
      </w:r>
      <w:r w:rsidRPr="00281C58">
        <w:rPr>
          <w:bCs/>
          <w:i/>
        </w:rPr>
        <w:t xml:space="preserve">aking broad statements in an Affidavit without substantiating them, in a case which has to be decided purely on the basis of the averments contained in affidavits, does not </w:t>
      </w:r>
      <w:r w:rsidRPr="00281C58">
        <w:rPr>
          <w:bCs/>
          <w:i/>
        </w:rPr>
        <w:lastRenderedPageBreak/>
        <w:t>espouse the cause of the party relying on such affidavit″.</w:t>
      </w:r>
      <w:r w:rsidRPr="00281C5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D7433" w:rsidRPr="006D7433">
        <w:rPr>
          <w:b/>
          <w:bCs/>
        </w:rPr>
        <w:t>Islands</w:t>
      </w:r>
      <w:r w:rsidR="006D7433" w:rsidRPr="006D7433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6D7433" w:rsidRPr="006D7433">
        <w:rPr>
          <w:b/>
          <w:bCs/>
        </w:rPr>
        <w:t>Development Company Limited</w:t>
      </w:r>
      <w:r w:rsidR="006D7433">
        <w:rPr>
          <w:bCs/>
        </w:rPr>
        <w:t xml:space="preserve">, </w:t>
      </w:r>
      <w:r w:rsidR="006D7433" w:rsidRPr="006D7433">
        <w:rPr>
          <w:bCs/>
          <w:i/>
        </w:rPr>
        <w:t>supra</w:t>
      </w:r>
      <w:r w:rsidR="006D7433">
        <w:rPr>
          <w:bCs/>
        </w:rPr>
        <w:t xml:space="preserve">, </w:t>
      </w:r>
      <w:r w:rsidR="00207DA6">
        <w:rPr>
          <w:bCs/>
        </w:rPr>
        <w:t>clarifies</w:t>
      </w:r>
      <w:r w:rsidR="006A3633">
        <w:rPr>
          <w:bCs/>
        </w:rPr>
        <w:t xml:space="preserve"> that an a</w:t>
      </w:r>
      <w:r w:rsidR="006D7433">
        <w:rPr>
          <w:bCs/>
        </w:rPr>
        <w:t>pplicant has to prove the applicant</w:t>
      </w:r>
      <w:r w:rsidR="00156EE2">
        <w:t>'</w:t>
      </w:r>
      <w:r w:rsidR="006D7433">
        <w:rPr>
          <w:bCs/>
        </w:rPr>
        <w:t xml:space="preserve">s application. </w:t>
      </w:r>
    </w:p>
    <w:p w14:paraId="2C4438E4" w14:textId="32529A2E" w:rsidR="0057541A" w:rsidRDefault="006A3633" w:rsidP="004926A2">
      <w:pPr>
        <w:pStyle w:val="JudgmentText"/>
        <w:numPr>
          <w:ilvl w:val="0"/>
          <w:numId w:val="1"/>
        </w:numPr>
        <w:ind w:hanging="720"/>
      </w:pPr>
      <w:r>
        <w:t xml:space="preserve">One of the principles expounded by the cases is </w:t>
      </w:r>
      <w:r w:rsidR="00B73A99">
        <w:t xml:space="preserve">that, although </w:t>
      </w:r>
      <w:r w:rsidR="00B73A99" w:rsidRPr="00B73A99">
        <w:t>an</w:t>
      </w:r>
      <w:r w:rsidR="00B73A99" w:rsidRPr="00F968B4">
        <w:t xml:space="preserve"> </w:t>
      </w:r>
      <w:r w:rsidR="00B73A99">
        <w:t>a</w:t>
      </w:r>
      <w:r w:rsidR="00B73A99" w:rsidRPr="00F968B4">
        <w:t>pplicant may have a good cha</w:t>
      </w:r>
      <w:r w:rsidR="00B73A99">
        <w:t xml:space="preserve">nce of success in the </w:t>
      </w:r>
      <w:r w:rsidR="001E758F">
        <w:t>a</w:t>
      </w:r>
      <w:r w:rsidR="00B73A99">
        <w:t>pplicant</w:t>
      </w:r>
      <w:r w:rsidR="001E758F">
        <w:t>'</w:t>
      </w:r>
      <w:r w:rsidR="00B73A99">
        <w:t>s</w:t>
      </w:r>
      <w:r w:rsidR="00B73A99" w:rsidRPr="00F968B4">
        <w:t xml:space="preserve"> appeal, for that reason alone, no stay will be granted unless </w:t>
      </w:r>
      <w:r w:rsidR="00B73A99">
        <w:t xml:space="preserve">that </w:t>
      </w:r>
      <w:r w:rsidR="001E758F">
        <w:t>a</w:t>
      </w:r>
      <w:r w:rsidR="00B73A99">
        <w:t>pplicant satisfies the court</w:t>
      </w:r>
      <w:r w:rsidR="00B73A99" w:rsidRPr="00F968B4">
        <w:t xml:space="preserve"> that, if the subject matter w</w:t>
      </w:r>
      <w:r w:rsidR="001E758F">
        <w:t>ere</w:t>
      </w:r>
      <w:r w:rsidR="00B73A99" w:rsidRPr="00F968B4">
        <w:t xml:space="preserve"> dealt with, the appeal, if successful, would be </w:t>
      </w:r>
      <w:r w:rsidR="00B73A99">
        <w:t xml:space="preserve">rendered </w:t>
      </w:r>
      <w:r w:rsidR="00B73A99" w:rsidRPr="00F968B4">
        <w:t>nugatory.</w:t>
      </w:r>
      <w:r w:rsidR="00B73A99">
        <w:t xml:space="preserve"> </w:t>
      </w:r>
      <w:r w:rsidR="003559D7" w:rsidRPr="003559D7">
        <w:t xml:space="preserve">As correctly submitted by the Respondent's Counsel, </w:t>
      </w:r>
      <w:r w:rsidR="003559D7">
        <w:t>t</w:t>
      </w:r>
      <w:r w:rsidR="00E43989" w:rsidRPr="00F968B4">
        <w:t xml:space="preserve">here is no affidavit or </w:t>
      </w:r>
      <w:r w:rsidR="00E43989">
        <w:t>tangible fact upon which I could conclude that, if I were not to grant a stay of execution of the judgment, the appeal would be rendered nugatory if successful</w:t>
      </w:r>
      <w:r w:rsidR="00E43989" w:rsidRPr="00F968B4">
        <w:t>.</w:t>
      </w:r>
      <w:r w:rsidR="003559D7">
        <w:t xml:space="preserve"> </w:t>
      </w:r>
      <w:r w:rsidR="001764FC">
        <w:t xml:space="preserve">It follows, therefore, </w:t>
      </w:r>
      <w:r w:rsidR="005C10B7">
        <w:t xml:space="preserve">that </w:t>
      </w:r>
      <w:r w:rsidR="001764FC">
        <w:t>the question of wh</w:t>
      </w:r>
      <w:r w:rsidR="00940561">
        <w:t>ether or not the Applicant has</w:t>
      </w:r>
      <w:r w:rsidR="001764FC">
        <w:t xml:space="preserve"> </w:t>
      </w:r>
      <w:r>
        <w:t xml:space="preserve">a good chance of success </w:t>
      </w:r>
      <w:r w:rsidR="006D7433">
        <w:t>in his appeal</w:t>
      </w:r>
      <w:r w:rsidR="00B47B99">
        <w:t xml:space="preserve"> </w:t>
      </w:r>
      <w:r w:rsidR="001764FC">
        <w:t>does not arise for consideration.</w:t>
      </w:r>
      <w:r w:rsidR="006D7433">
        <w:t xml:space="preserve"> </w:t>
      </w:r>
    </w:p>
    <w:p w14:paraId="4BA6A54D" w14:textId="4C6ACCF8" w:rsidR="003559D7" w:rsidRDefault="003559D7" w:rsidP="008D4E9A">
      <w:pPr>
        <w:pStyle w:val="JudgmentText"/>
        <w:numPr>
          <w:ilvl w:val="0"/>
          <w:numId w:val="1"/>
        </w:numPr>
        <w:ind w:hanging="720"/>
      </w:pPr>
      <w:r>
        <w:t xml:space="preserve">Also, </w:t>
      </w:r>
      <w:r w:rsidRPr="003559D7">
        <w:t xml:space="preserve">the substantial questions of law to be adjudicated upon by the </w:t>
      </w:r>
      <w:r>
        <w:t>Court of Appeal</w:t>
      </w:r>
      <w:r w:rsidRPr="003559D7">
        <w:t xml:space="preserve"> are unclear. </w:t>
      </w:r>
      <w:r>
        <w:t xml:space="preserve">I opine that it is </w:t>
      </w:r>
      <w:r w:rsidR="008A6C8A">
        <w:t xml:space="preserve">not enough for the </w:t>
      </w:r>
      <w:r w:rsidR="00156EE2">
        <w:t>Applicant's affi</w:t>
      </w:r>
      <w:r w:rsidR="00E86168">
        <w:t>davit</w:t>
      </w:r>
      <w:r w:rsidRPr="003559D7">
        <w:t xml:space="preserve"> </w:t>
      </w:r>
      <w:r w:rsidR="00156EE2">
        <w:t xml:space="preserve">to reproduce grounds of appeal. </w:t>
      </w:r>
      <w:r w:rsidRPr="003559D7">
        <w:t xml:space="preserve">The affidavit should develop </w:t>
      </w:r>
      <w:r w:rsidR="003C0D1C">
        <w:t xml:space="preserve">the </w:t>
      </w:r>
      <w:r w:rsidRPr="003559D7">
        <w:t xml:space="preserve">substantial questions of law to be adjudicated upon by the </w:t>
      </w:r>
      <w:r>
        <w:t>Court of Appeal.</w:t>
      </w:r>
      <w:r w:rsidR="00CE3397">
        <w:t xml:space="preserve"> Hence, I conclude that the Applicant has not proved his application.</w:t>
      </w:r>
    </w:p>
    <w:p w14:paraId="1E84E565" w14:textId="0DBB84CF" w:rsidR="001C0802" w:rsidRDefault="00496FCD" w:rsidP="00496FCD">
      <w:pPr>
        <w:pStyle w:val="JudgmentText"/>
        <w:numPr>
          <w:ilvl w:val="0"/>
          <w:numId w:val="1"/>
        </w:numPr>
        <w:ind w:hanging="720"/>
      </w:pPr>
      <w:r>
        <w:t xml:space="preserve">For the reasons stated above, I dismiss the application with costs. </w:t>
      </w:r>
    </w:p>
    <w:p w14:paraId="4C5327DE" w14:textId="77777777" w:rsidR="00CE3397" w:rsidRPr="00496FCD" w:rsidRDefault="00CE3397" w:rsidP="00CE3397">
      <w:pPr>
        <w:pStyle w:val="JudgmentText"/>
        <w:numPr>
          <w:ilvl w:val="0"/>
          <w:numId w:val="0"/>
        </w:numPr>
        <w:ind w:left="720"/>
      </w:pPr>
    </w:p>
    <w:p w14:paraId="7BD36AF4" w14:textId="265142E0" w:rsidR="001C0802" w:rsidRPr="00041F7A" w:rsidRDefault="001C0802" w:rsidP="00041F7A">
      <w:pPr>
        <w:pStyle w:val="judgmenttext0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041F7A">
        <w:rPr>
          <w:lang w:val="en-GB"/>
        </w:rPr>
        <w:t>Signed, dated an</w:t>
      </w:r>
      <w:r w:rsidR="00496FCD">
        <w:rPr>
          <w:lang w:val="en-GB"/>
        </w:rPr>
        <w:t>d delivered at Ile du Port on 25 February 2021</w:t>
      </w:r>
    </w:p>
    <w:p w14:paraId="2C2304F9" w14:textId="77777777" w:rsidR="001C0802" w:rsidRDefault="001C0802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126B10CF" w14:textId="77777777" w:rsidR="005E771D" w:rsidRDefault="005E771D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3070A047" w14:textId="77777777" w:rsidR="005E771D" w:rsidRDefault="005E771D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4256BC91" w14:textId="77777777" w:rsidR="00A43F3A" w:rsidRDefault="00A43F3A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148CCBB0" w14:textId="77777777" w:rsidR="00A43F3A" w:rsidRPr="00041F7A" w:rsidRDefault="00A43F3A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56829082" w14:textId="77777777" w:rsidR="001C0802" w:rsidRPr="00E53F6C" w:rsidRDefault="001C0802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78BB1BE8" w14:textId="0A0753E8" w:rsidR="001C0802" w:rsidRPr="00041F7A" w:rsidRDefault="001C0802" w:rsidP="00041F7A">
      <w:pPr>
        <w:pStyle w:val="judgmenttext0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041F7A">
        <w:rPr>
          <w:lang w:val="en-GB"/>
        </w:rPr>
        <w:t>Robinson J</w:t>
      </w:r>
      <w:r w:rsidR="007E52B4">
        <w:rPr>
          <w:lang w:val="en-GB"/>
        </w:rPr>
        <w:t xml:space="preserve">ustice of </w:t>
      </w:r>
      <w:r w:rsidRPr="00041F7A">
        <w:rPr>
          <w:lang w:val="en-GB"/>
        </w:rPr>
        <w:t>A</w:t>
      </w:r>
      <w:r w:rsidR="007E52B4">
        <w:rPr>
          <w:lang w:val="en-GB"/>
        </w:rPr>
        <w:t>ppeal</w:t>
      </w:r>
    </w:p>
    <w:p w14:paraId="148E5A45" w14:textId="477540FF" w:rsidR="000D59F2" w:rsidRPr="00041F7A" w:rsidRDefault="000D59F2" w:rsidP="00041F7A">
      <w:pPr>
        <w:pStyle w:val="judgmenttext0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69AD52C1" w14:textId="61F7853B" w:rsidR="001C0802" w:rsidRPr="001C0802" w:rsidRDefault="001C0802" w:rsidP="001C0802">
      <w:pPr>
        <w:shd w:val="clear" w:color="auto" w:fill="FFFFFF"/>
        <w:tabs>
          <w:tab w:val="left" w:pos="63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B1C9B3" w14:textId="167F6285" w:rsidR="00B85059" w:rsidRPr="00C86B4E" w:rsidRDefault="00B85059" w:rsidP="00041F7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059" w:rsidRPr="00C8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C46D" w14:textId="77777777" w:rsidR="00726310" w:rsidRDefault="00726310" w:rsidP="00235F2A">
      <w:pPr>
        <w:spacing w:after="0" w:line="240" w:lineRule="auto"/>
      </w:pPr>
      <w:r>
        <w:separator/>
      </w:r>
    </w:p>
  </w:endnote>
  <w:endnote w:type="continuationSeparator" w:id="0">
    <w:p w14:paraId="46467477" w14:textId="77777777" w:rsidR="00726310" w:rsidRDefault="00726310" w:rsidP="0023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11AD" w14:textId="77777777" w:rsidR="00496FCD" w:rsidRDefault="0049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1666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965E" w14:textId="65432F45" w:rsidR="00726310" w:rsidRPr="00496FCD" w:rsidRDefault="0072631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6F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6FC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6F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4BF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6FC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F027764" w14:textId="77777777" w:rsidR="00726310" w:rsidRDefault="007263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DE59" w14:textId="77777777" w:rsidR="00496FCD" w:rsidRDefault="0049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88F6" w14:textId="77777777" w:rsidR="00726310" w:rsidRDefault="00726310" w:rsidP="00235F2A">
      <w:pPr>
        <w:spacing w:after="0" w:line="240" w:lineRule="auto"/>
      </w:pPr>
      <w:r>
        <w:separator/>
      </w:r>
    </w:p>
  </w:footnote>
  <w:footnote w:type="continuationSeparator" w:id="0">
    <w:p w14:paraId="5123ABB0" w14:textId="77777777" w:rsidR="00726310" w:rsidRDefault="00726310" w:rsidP="00235F2A">
      <w:pPr>
        <w:spacing w:after="0" w:line="240" w:lineRule="auto"/>
      </w:pPr>
      <w:r>
        <w:continuationSeparator/>
      </w:r>
    </w:p>
  </w:footnote>
  <w:footnote w:id="1">
    <w:p w14:paraId="76B01AC9" w14:textId="697F11BA" w:rsidR="00235C09" w:rsidRPr="00235C09" w:rsidRDefault="00235C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Supreme Court Practice 1970 Part 1 Orders 1-112  Affidavits </w:t>
      </w:r>
      <w:r>
        <w:rPr>
          <w:lang w:val="en-US"/>
        </w:rPr>
        <w:t xml:space="preserve">O. 41/1/5 </w:t>
      </w:r>
    </w:p>
  </w:footnote>
  <w:footnote w:id="2">
    <w:p w14:paraId="00E05CBA" w14:textId="49B921E7" w:rsidR="00235C09" w:rsidRPr="00235C09" w:rsidRDefault="00235C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667A3CF2" w14:textId="26DF4002" w:rsidR="00073BEF" w:rsidRPr="00073BEF" w:rsidRDefault="00073B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83575">
        <w:t xml:space="preserve">See, for example, </w:t>
      </w:r>
      <w:r w:rsidRPr="002B6694">
        <w:rPr>
          <w:i/>
          <w:iCs/>
        </w:rPr>
        <w:t>MacDonald Pool v Despilly William CS No. 244 of 1993</w:t>
      </w:r>
      <w:r w:rsidRPr="002B6694">
        <w:rPr>
          <w:i/>
        </w:rPr>
        <w:t xml:space="preserve"> </w:t>
      </w:r>
      <w:r w:rsidRPr="00041F7A">
        <w:t>(11 October 1996)</w:t>
      </w:r>
      <w:r w:rsidRPr="001D2928">
        <w:t>,</w:t>
      </w:r>
      <w:r>
        <w:t xml:space="preserve"> </w:t>
      </w:r>
      <w:r w:rsidRPr="002B6694">
        <w:rPr>
          <w:i/>
          <w:iCs/>
        </w:rPr>
        <w:t>Falcon Enterprise v Essack &amp; Ors (2001) SLR 137</w:t>
      </w:r>
      <w:r w:rsidRPr="002B6694">
        <w:rPr>
          <w:iCs/>
        </w:rPr>
        <w:t xml:space="preserve">, </w:t>
      </w:r>
      <w:r w:rsidRPr="002B6694">
        <w:rPr>
          <w:i/>
          <w:iCs/>
        </w:rPr>
        <w:t>Lablache de Charmoy v Lablache de Charmoy Civil Appeal SCA MA08/2019 [2019] SCCA 35</w:t>
      </w:r>
      <w:r>
        <w:rPr>
          <w:iCs/>
        </w:rPr>
        <w:t xml:space="preserve"> (17 September 2019),</w:t>
      </w:r>
      <w:r w:rsidRPr="002B6694">
        <w:rPr>
          <w:iCs/>
        </w:rPr>
        <w:t xml:space="preserve"> </w:t>
      </w:r>
      <w:r w:rsidRPr="002B6694">
        <w:rPr>
          <w:i/>
          <w:iCs/>
        </w:rPr>
        <w:t>Elmasry and Anor v Hua Sun (SCA 28/2019) [2020]</w:t>
      </w:r>
      <w:r w:rsidRPr="002B6694">
        <w:rPr>
          <w:iCs/>
        </w:rPr>
        <w:t xml:space="preserve"> </w:t>
      </w:r>
      <w:r w:rsidRPr="00073BEF">
        <w:rPr>
          <w:i/>
          <w:iCs/>
        </w:rPr>
        <w:t>SCCA 2</w:t>
      </w:r>
      <w:r w:rsidRPr="002B6694">
        <w:rPr>
          <w:iCs/>
        </w:rPr>
        <w:t xml:space="preserve"> (23 June 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74C" w14:textId="77777777" w:rsidR="00496FCD" w:rsidRDefault="0049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1D35" w14:textId="77777777" w:rsidR="00496FCD" w:rsidRDefault="00496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2D28" w14:textId="77777777" w:rsidR="00496FCD" w:rsidRDefault="00496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3AF"/>
    <w:multiLevelType w:val="hybridMultilevel"/>
    <w:tmpl w:val="0F06AABC"/>
    <w:lvl w:ilvl="0" w:tplc="10A4A3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2350"/>
    <w:multiLevelType w:val="hybridMultilevel"/>
    <w:tmpl w:val="AF222E72"/>
    <w:lvl w:ilvl="0" w:tplc="60724B7E">
      <w:start w:val="7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A7D28"/>
    <w:multiLevelType w:val="hybridMultilevel"/>
    <w:tmpl w:val="5882DB2A"/>
    <w:lvl w:ilvl="0" w:tplc="4B02D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D28"/>
    <w:multiLevelType w:val="hybridMultilevel"/>
    <w:tmpl w:val="ED9E7CAC"/>
    <w:lvl w:ilvl="0" w:tplc="BB147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75D20"/>
    <w:multiLevelType w:val="hybridMultilevel"/>
    <w:tmpl w:val="B7C0BD70"/>
    <w:lvl w:ilvl="0" w:tplc="4B02D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4F5"/>
    <w:multiLevelType w:val="multilevel"/>
    <w:tmpl w:val="00FC4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C6B43"/>
    <w:multiLevelType w:val="hybridMultilevel"/>
    <w:tmpl w:val="3F54DD00"/>
    <w:lvl w:ilvl="0" w:tplc="B89E27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03D9D"/>
    <w:multiLevelType w:val="hybridMultilevel"/>
    <w:tmpl w:val="D0CA5FB8"/>
    <w:lvl w:ilvl="0" w:tplc="98C2C020">
      <w:start w:val="1"/>
      <w:numFmt w:val="lowerRoman"/>
      <w:lvlText w:val="(%1)"/>
      <w:lvlJc w:val="left"/>
      <w:pPr>
        <w:ind w:left="16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7542D2"/>
    <w:multiLevelType w:val="multilevel"/>
    <w:tmpl w:val="1CC89892"/>
    <w:numStyleLink w:val="Judgments"/>
  </w:abstractNum>
  <w:abstractNum w:abstractNumId="9" w15:restartNumberingAfterBreak="0">
    <w:nsid w:val="30E627B1"/>
    <w:multiLevelType w:val="multilevel"/>
    <w:tmpl w:val="F9D276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1" w15:restartNumberingAfterBreak="0">
    <w:nsid w:val="430F4B86"/>
    <w:multiLevelType w:val="hybridMultilevel"/>
    <w:tmpl w:val="75ACB33C"/>
    <w:lvl w:ilvl="0" w:tplc="BB14633C">
      <w:start w:val="1"/>
      <w:numFmt w:val="decimal"/>
      <w:lvlText w:val="%1)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C55B6D"/>
    <w:multiLevelType w:val="hybridMultilevel"/>
    <w:tmpl w:val="3E12BC9C"/>
    <w:lvl w:ilvl="0" w:tplc="67D23A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D09C3"/>
    <w:multiLevelType w:val="multilevel"/>
    <w:tmpl w:val="37CC0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45BF5"/>
    <w:multiLevelType w:val="hybridMultilevel"/>
    <w:tmpl w:val="91BC72A2"/>
    <w:lvl w:ilvl="0" w:tplc="4AF6239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0105"/>
    <w:multiLevelType w:val="multilevel"/>
    <w:tmpl w:val="AF307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E4ED8"/>
    <w:multiLevelType w:val="hybridMultilevel"/>
    <w:tmpl w:val="CB42236C"/>
    <w:lvl w:ilvl="0" w:tplc="39C238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D481F"/>
    <w:multiLevelType w:val="multilevel"/>
    <w:tmpl w:val="22569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E3235"/>
    <w:multiLevelType w:val="multilevel"/>
    <w:tmpl w:val="AD96D5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14A78"/>
    <w:multiLevelType w:val="multilevel"/>
    <w:tmpl w:val="3CF01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F0627"/>
    <w:multiLevelType w:val="multilevel"/>
    <w:tmpl w:val="876E2C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94076"/>
    <w:multiLevelType w:val="multilevel"/>
    <w:tmpl w:val="3DDE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E00AF"/>
    <w:multiLevelType w:val="hybridMultilevel"/>
    <w:tmpl w:val="149AAA52"/>
    <w:lvl w:ilvl="0" w:tplc="9E662B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BD03BC"/>
    <w:multiLevelType w:val="multilevel"/>
    <w:tmpl w:val="DD243B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931A3"/>
    <w:multiLevelType w:val="hybridMultilevel"/>
    <w:tmpl w:val="22C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6319"/>
    <w:multiLevelType w:val="hybridMultilevel"/>
    <w:tmpl w:val="FEFEF990"/>
    <w:lvl w:ilvl="0" w:tplc="C3C016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26FE9"/>
    <w:multiLevelType w:val="hybridMultilevel"/>
    <w:tmpl w:val="777A0FB6"/>
    <w:lvl w:ilvl="0" w:tplc="FE466AD8">
      <w:start w:val="1"/>
      <w:numFmt w:val="decimal"/>
      <w:lvlText w:val="[%1]"/>
      <w:lvlJc w:val="righ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8A1839"/>
    <w:multiLevelType w:val="multilevel"/>
    <w:tmpl w:val="D1BA68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2209A"/>
    <w:multiLevelType w:val="multilevel"/>
    <w:tmpl w:val="B78ADF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7"/>
  </w:num>
  <w:num w:numId="5">
    <w:abstractNumId w:val="11"/>
  </w:num>
  <w:num w:numId="6">
    <w:abstractNumId w:val="25"/>
  </w:num>
  <w:num w:numId="7">
    <w:abstractNumId w:val="16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1"/>
  </w:num>
  <w:num w:numId="13">
    <w:abstractNumId w:val="22"/>
  </w:num>
  <w:num w:numId="14">
    <w:abstractNumId w:val="14"/>
  </w:num>
  <w:num w:numId="15">
    <w:abstractNumId w:val="18"/>
  </w:num>
  <w:num w:numId="16">
    <w:abstractNumId w:val="20"/>
  </w:num>
  <w:num w:numId="17">
    <w:abstractNumId w:val="24"/>
  </w:num>
  <w:num w:numId="18">
    <w:abstractNumId w:val="19"/>
  </w:num>
  <w:num w:numId="19">
    <w:abstractNumId w:val="21"/>
  </w:num>
  <w:num w:numId="20">
    <w:abstractNumId w:val="17"/>
  </w:num>
  <w:num w:numId="21">
    <w:abstractNumId w:val="15"/>
  </w:num>
  <w:num w:numId="22">
    <w:abstractNumId w:val="13"/>
  </w:num>
  <w:num w:numId="23">
    <w:abstractNumId w:val="3"/>
  </w:num>
  <w:num w:numId="24">
    <w:abstractNumId w:val="23"/>
  </w:num>
  <w:num w:numId="25">
    <w:abstractNumId w:val="7"/>
  </w:num>
  <w:num w:numId="26">
    <w:abstractNumId w:val="29"/>
  </w:num>
  <w:num w:numId="27">
    <w:abstractNumId w:val="5"/>
  </w:num>
  <w:num w:numId="28">
    <w:abstractNumId w:val="28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MzUwMjc3MDMzNrZU0lEKTi0uzszPAykwqwUApDPNHywAAAA="/>
  </w:docVars>
  <w:rsids>
    <w:rsidRoot w:val="00B85059"/>
    <w:rsid w:val="0004133F"/>
    <w:rsid w:val="00041F7A"/>
    <w:rsid w:val="00054ACE"/>
    <w:rsid w:val="00055846"/>
    <w:rsid w:val="0005790E"/>
    <w:rsid w:val="000674C6"/>
    <w:rsid w:val="00073BEF"/>
    <w:rsid w:val="0008507B"/>
    <w:rsid w:val="000859AB"/>
    <w:rsid w:val="00090B08"/>
    <w:rsid w:val="000A1366"/>
    <w:rsid w:val="000D02A4"/>
    <w:rsid w:val="000D4F9F"/>
    <w:rsid w:val="000D59F2"/>
    <w:rsid w:val="000D5BE7"/>
    <w:rsid w:val="000D68F0"/>
    <w:rsid w:val="000E2BB9"/>
    <w:rsid w:val="0010459E"/>
    <w:rsid w:val="00117308"/>
    <w:rsid w:val="0012228F"/>
    <w:rsid w:val="001558BC"/>
    <w:rsid w:val="001563FB"/>
    <w:rsid w:val="00156EE2"/>
    <w:rsid w:val="00165B8F"/>
    <w:rsid w:val="001764FC"/>
    <w:rsid w:val="00180571"/>
    <w:rsid w:val="00181439"/>
    <w:rsid w:val="001963AB"/>
    <w:rsid w:val="00197E0D"/>
    <w:rsid w:val="001A6ABE"/>
    <w:rsid w:val="001C0802"/>
    <w:rsid w:val="001C33A1"/>
    <w:rsid w:val="001D2928"/>
    <w:rsid w:val="001D57A5"/>
    <w:rsid w:val="001D7962"/>
    <w:rsid w:val="001E758F"/>
    <w:rsid w:val="00207DA6"/>
    <w:rsid w:val="002118DA"/>
    <w:rsid w:val="0021411C"/>
    <w:rsid w:val="00225BE2"/>
    <w:rsid w:val="00235C09"/>
    <w:rsid w:val="00235F2A"/>
    <w:rsid w:val="002709D1"/>
    <w:rsid w:val="00272CD1"/>
    <w:rsid w:val="0027581E"/>
    <w:rsid w:val="00281C58"/>
    <w:rsid w:val="00285870"/>
    <w:rsid w:val="00286572"/>
    <w:rsid w:val="002A6412"/>
    <w:rsid w:val="002B1A94"/>
    <w:rsid w:val="002B3000"/>
    <w:rsid w:val="002B6694"/>
    <w:rsid w:val="002B77BE"/>
    <w:rsid w:val="002C1408"/>
    <w:rsid w:val="002E649D"/>
    <w:rsid w:val="002E6E8B"/>
    <w:rsid w:val="00304F0A"/>
    <w:rsid w:val="00313E7C"/>
    <w:rsid w:val="00321736"/>
    <w:rsid w:val="0034491F"/>
    <w:rsid w:val="0035368A"/>
    <w:rsid w:val="00353D21"/>
    <w:rsid w:val="003559D7"/>
    <w:rsid w:val="003814F3"/>
    <w:rsid w:val="00383575"/>
    <w:rsid w:val="00394E30"/>
    <w:rsid w:val="00396272"/>
    <w:rsid w:val="003C0D1C"/>
    <w:rsid w:val="003E0502"/>
    <w:rsid w:val="003E1A1D"/>
    <w:rsid w:val="0040200D"/>
    <w:rsid w:val="00405C3C"/>
    <w:rsid w:val="004173E0"/>
    <w:rsid w:val="00423D59"/>
    <w:rsid w:val="00434DDC"/>
    <w:rsid w:val="00440458"/>
    <w:rsid w:val="004674D8"/>
    <w:rsid w:val="00483D13"/>
    <w:rsid w:val="004926A2"/>
    <w:rsid w:val="00496FCD"/>
    <w:rsid w:val="004B1404"/>
    <w:rsid w:val="004D04EA"/>
    <w:rsid w:val="004D6F76"/>
    <w:rsid w:val="004F0F52"/>
    <w:rsid w:val="004F4AB5"/>
    <w:rsid w:val="00503F39"/>
    <w:rsid w:val="00504989"/>
    <w:rsid w:val="005364A9"/>
    <w:rsid w:val="00542F62"/>
    <w:rsid w:val="00563B51"/>
    <w:rsid w:val="0057541A"/>
    <w:rsid w:val="005A439F"/>
    <w:rsid w:val="005C10B7"/>
    <w:rsid w:val="005C1971"/>
    <w:rsid w:val="005C3722"/>
    <w:rsid w:val="005E771D"/>
    <w:rsid w:val="005E7A57"/>
    <w:rsid w:val="005F0DE2"/>
    <w:rsid w:val="005F0DED"/>
    <w:rsid w:val="005F1A09"/>
    <w:rsid w:val="005F44F4"/>
    <w:rsid w:val="00602E5A"/>
    <w:rsid w:val="00621C96"/>
    <w:rsid w:val="00625076"/>
    <w:rsid w:val="0062576D"/>
    <w:rsid w:val="006257EE"/>
    <w:rsid w:val="00625862"/>
    <w:rsid w:val="006275E6"/>
    <w:rsid w:val="00634656"/>
    <w:rsid w:val="006517B3"/>
    <w:rsid w:val="006574E3"/>
    <w:rsid w:val="00661FD8"/>
    <w:rsid w:val="00667F48"/>
    <w:rsid w:val="00671EE5"/>
    <w:rsid w:val="006762B3"/>
    <w:rsid w:val="006825F6"/>
    <w:rsid w:val="00686747"/>
    <w:rsid w:val="006937C3"/>
    <w:rsid w:val="006952A1"/>
    <w:rsid w:val="006A3633"/>
    <w:rsid w:val="006A5D1B"/>
    <w:rsid w:val="006B20E3"/>
    <w:rsid w:val="006D47CE"/>
    <w:rsid w:val="006D54D0"/>
    <w:rsid w:val="006D7433"/>
    <w:rsid w:val="006E6B42"/>
    <w:rsid w:val="006E71A4"/>
    <w:rsid w:val="006F5B81"/>
    <w:rsid w:val="007212D1"/>
    <w:rsid w:val="00726310"/>
    <w:rsid w:val="00734BF1"/>
    <w:rsid w:val="00750751"/>
    <w:rsid w:val="00770BE5"/>
    <w:rsid w:val="007716BC"/>
    <w:rsid w:val="007935D2"/>
    <w:rsid w:val="007A5604"/>
    <w:rsid w:val="007B4516"/>
    <w:rsid w:val="007C0A0A"/>
    <w:rsid w:val="007C715C"/>
    <w:rsid w:val="007D08C1"/>
    <w:rsid w:val="007D60B8"/>
    <w:rsid w:val="007D6C3D"/>
    <w:rsid w:val="007E1A14"/>
    <w:rsid w:val="007E364B"/>
    <w:rsid w:val="007E52B4"/>
    <w:rsid w:val="00832C50"/>
    <w:rsid w:val="00836571"/>
    <w:rsid w:val="008369FF"/>
    <w:rsid w:val="00856FE0"/>
    <w:rsid w:val="00871541"/>
    <w:rsid w:val="008818AC"/>
    <w:rsid w:val="008A24FB"/>
    <w:rsid w:val="008A3283"/>
    <w:rsid w:val="008A6C8A"/>
    <w:rsid w:val="008B0C8C"/>
    <w:rsid w:val="008B10E1"/>
    <w:rsid w:val="008C3811"/>
    <w:rsid w:val="008D4ABE"/>
    <w:rsid w:val="008D4E9A"/>
    <w:rsid w:val="008D5D76"/>
    <w:rsid w:val="008E1EF8"/>
    <w:rsid w:val="008E3354"/>
    <w:rsid w:val="008E5E9F"/>
    <w:rsid w:val="00902F77"/>
    <w:rsid w:val="00905413"/>
    <w:rsid w:val="009120F2"/>
    <w:rsid w:val="00940561"/>
    <w:rsid w:val="009809B3"/>
    <w:rsid w:val="00981B30"/>
    <w:rsid w:val="0099188E"/>
    <w:rsid w:val="00993136"/>
    <w:rsid w:val="009A3D12"/>
    <w:rsid w:val="009B5159"/>
    <w:rsid w:val="009C6CAD"/>
    <w:rsid w:val="009F6CB2"/>
    <w:rsid w:val="00A23E3C"/>
    <w:rsid w:val="00A43F3A"/>
    <w:rsid w:val="00A84596"/>
    <w:rsid w:val="00A9228E"/>
    <w:rsid w:val="00AB3E4E"/>
    <w:rsid w:val="00AC6634"/>
    <w:rsid w:val="00AD4C84"/>
    <w:rsid w:val="00AF014D"/>
    <w:rsid w:val="00AF30FE"/>
    <w:rsid w:val="00B01A25"/>
    <w:rsid w:val="00B02D6F"/>
    <w:rsid w:val="00B323DC"/>
    <w:rsid w:val="00B35960"/>
    <w:rsid w:val="00B47B99"/>
    <w:rsid w:val="00B61E9E"/>
    <w:rsid w:val="00B73A99"/>
    <w:rsid w:val="00B841D3"/>
    <w:rsid w:val="00B85059"/>
    <w:rsid w:val="00B859C1"/>
    <w:rsid w:val="00BA1CB8"/>
    <w:rsid w:val="00BA625A"/>
    <w:rsid w:val="00BA76E8"/>
    <w:rsid w:val="00BC39CB"/>
    <w:rsid w:val="00BC41BC"/>
    <w:rsid w:val="00BD6378"/>
    <w:rsid w:val="00BD6EB2"/>
    <w:rsid w:val="00BE6808"/>
    <w:rsid w:val="00BF4FFB"/>
    <w:rsid w:val="00C047EE"/>
    <w:rsid w:val="00C06951"/>
    <w:rsid w:val="00C17C96"/>
    <w:rsid w:val="00C2191A"/>
    <w:rsid w:val="00C24286"/>
    <w:rsid w:val="00C24D09"/>
    <w:rsid w:val="00C417E2"/>
    <w:rsid w:val="00C61A30"/>
    <w:rsid w:val="00C61A43"/>
    <w:rsid w:val="00C8027C"/>
    <w:rsid w:val="00C82353"/>
    <w:rsid w:val="00C83960"/>
    <w:rsid w:val="00C86B4E"/>
    <w:rsid w:val="00C95869"/>
    <w:rsid w:val="00C97625"/>
    <w:rsid w:val="00CA01F4"/>
    <w:rsid w:val="00CA4DF3"/>
    <w:rsid w:val="00CB0F40"/>
    <w:rsid w:val="00CB75FB"/>
    <w:rsid w:val="00CC3FE3"/>
    <w:rsid w:val="00CD263D"/>
    <w:rsid w:val="00CD61AA"/>
    <w:rsid w:val="00CD7C00"/>
    <w:rsid w:val="00CE3397"/>
    <w:rsid w:val="00CE45E7"/>
    <w:rsid w:val="00CF45CB"/>
    <w:rsid w:val="00D048C0"/>
    <w:rsid w:val="00D42162"/>
    <w:rsid w:val="00D700D6"/>
    <w:rsid w:val="00D8465F"/>
    <w:rsid w:val="00DA5738"/>
    <w:rsid w:val="00DA7EBD"/>
    <w:rsid w:val="00DD45A4"/>
    <w:rsid w:val="00DE1C71"/>
    <w:rsid w:val="00DF2207"/>
    <w:rsid w:val="00DF23F3"/>
    <w:rsid w:val="00E11041"/>
    <w:rsid w:val="00E2078F"/>
    <w:rsid w:val="00E2097E"/>
    <w:rsid w:val="00E43989"/>
    <w:rsid w:val="00E50467"/>
    <w:rsid w:val="00E52AC5"/>
    <w:rsid w:val="00E53F6C"/>
    <w:rsid w:val="00E56E13"/>
    <w:rsid w:val="00E633BB"/>
    <w:rsid w:val="00E86168"/>
    <w:rsid w:val="00E92246"/>
    <w:rsid w:val="00EA4B3E"/>
    <w:rsid w:val="00EB4919"/>
    <w:rsid w:val="00EC050D"/>
    <w:rsid w:val="00EC500D"/>
    <w:rsid w:val="00ED2733"/>
    <w:rsid w:val="00ED7908"/>
    <w:rsid w:val="00F0698C"/>
    <w:rsid w:val="00F25974"/>
    <w:rsid w:val="00F25D10"/>
    <w:rsid w:val="00F42186"/>
    <w:rsid w:val="00F75B45"/>
    <w:rsid w:val="00F86BB0"/>
    <w:rsid w:val="00F968B4"/>
    <w:rsid w:val="00FA3457"/>
    <w:rsid w:val="00FA5DCE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B80E"/>
  <w15:chartTrackingRefBased/>
  <w15:docId w15:val="{3F8BBA53-9C69-4D73-8479-B56991E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59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D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35F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Judgments">
    <w:name w:val="Judgments"/>
    <w:uiPriority w:val="99"/>
    <w:rsid w:val="00235F2A"/>
    <w:pPr>
      <w:numPr>
        <w:numId w:val="2"/>
      </w:numPr>
    </w:pPr>
  </w:style>
  <w:style w:type="paragraph" w:customStyle="1" w:styleId="JudgmentText">
    <w:name w:val="Judgment Text"/>
    <w:basedOn w:val="ListParagraph"/>
    <w:qFormat/>
    <w:rsid w:val="00235F2A"/>
    <w:pPr>
      <w:widowControl/>
      <w:numPr>
        <w:numId w:val="3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character" w:customStyle="1" w:styleId="st">
    <w:name w:val="st"/>
    <w:basedOn w:val="DefaultParagraphFont"/>
    <w:rsid w:val="00235F2A"/>
  </w:style>
  <w:style w:type="character" w:styleId="Emphasis">
    <w:name w:val="Emphasis"/>
    <w:basedOn w:val="DefaultParagraphFont"/>
    <w:uiPriority w:val="20"/>
    <w:qFormat/>
    <w:rsid w:val="00235F2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F2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5F2A"/>
    <w:rPr>
      <w:vertAlign w:val="superscript"/>
    </w:rPr>
  </w:style>
  <w:style w:type="paragraph" w:customStyle="1" w:styleId="western">
    <w:name w:val="western"/>
    <w:basedOn w:val="Normal"/>
    <w:rsid w:val="004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BE"/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B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2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dgmenttext0">
    <w:name w:val="judgmenttext"/>
    <w:basedOn w:val="Normal"/>
    <w:rsid w:val="001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B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BB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E1A14"/>
    <w:rPr>
      <w:b/>
      <w:bCs/>
    </w:rPr>
  </w:style>
  <w:style w:type="paragraph" w:customStyle="1" w:styleId="rtejustify">
    <w:name w:val="rtejustify"/>
    <w:basedOn w:val="Normal"/>
    <w:rsid w:val="002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44-4575-4669-BC82-0762CD9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155</cp:revision>
  <cp:lastPrinted>2021-03-03T07:11:00Z</cp:lastPrinted>
  <dcterms:created xsi:type="dcterms:W3CDTF">2021-02-16T02:57:00Z</dcterms:created>
  <dcterms:modified xsi:type="dcterms:W3CDTF">2021-03-03T08:09:00Z</dcterms:modified>
</cp:coreProperties>
</file>