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F40588"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9118F">
        <w:rPr>
          <w:rFonts w:ascii="Times New Roman" w:hAnsi="Times New Roman" w:cs="Times New Roman"/>
          <w:sz w:val="24"/>
          <w:szCs w:val="24"/>
        </w:rPr>
        <w:t>2</w:t>
      </w:r>
      <w:r>
        <w:rPr>
          <w:rFonts w:ascii="Times New Roman" w:hAnsi="Times New Roman" w:cs="Times New Roman"/>
          <w:sz w:val="24"/>
          <w:szCs w:val="24"/>
        </w:rPr>
        <w:t>1</w:t>
      </w:r>
      <w:r w:rsidR="0069118F">
        <w:rPr>
          <w:rFonts w:ascii="Times New Roman" w:hAnsi="Times New Roman" w:cs="Times New Roman"/>
          <w:sz w:val="24"/>
          <w:szCs w:val="24"/>
        </w:rPr>
        <w:t>]</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9F010D">
        <w:rPr>
          <w:rFonts w:ascii="Times New Roman" w:hAnsi="Times New Roman" w:cs="Times New Roman"/>
          <w:sz w:val="24"/>
          <w:szCs w:val="24"/>
        </w:rPr>
        <w:t>5</w:t>
      </w:r>
    </w:p>
    <w:p w:rsidR="0069118F" w:rsidRDefault="0069118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w:t>
      </w:r>
      <w:r w:rsidR="008D0CD6">
        <w:rPr>
          <w:rFonts w:ascii="Times New Roman" w:hAnsi="Times New Roman" w:cs="Times New Roman"/>
          <w:sz w:val="24"/>
          <w:szCs w:val="24"/>
        </w:rPr>
        <w:t xml:space="preserve">CA </w:t>
      </w:r>
      <w:r>
        <w:rPr>
          <w:rFonts w:ascii="Times New Roman" w:hAnsi="Times New Roman" w:cs="Times New Roman"/>
          <w:sz w:val="24"/>
          <w:szCs w:val="24"/>
        </w:rPr>
        <w:t>MA 06/2021</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69118F">
        <w:rPr>
          <w:rFonts w:ascii="Times New Roman" w:hAnsi="Times New Roman" w:cs="Times New Roman"/>
          <w:sz w:val="24"/>
          <w:szCs w:val="24"/>
        </w:rPr>
        <w:t>rising from SCA 29/2020)</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69118F" w:rsidP="00214DB4">
      <w:pPr>
        <w:pStyle w:val="Partynames"/>
      </w:pPr>
      <w:r>
        <w:t>H. SAVY INSURANCE COMPANY LIMITED</w:t>
      </w:r>
      <w:r w:rsidR="002E2AE3" w:rsidRPr="00214DB4">
        <w:tab/>
      </w:r>
      <w:r w:rsidR="007B1F36">
        <w:t>App</w:t>
      </w:r>
      <w:r>
        <w:t>licant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69118F">
        <w:t xml:space="preserve">Ms. Alexandra </w:t>
      </w:r>
      <w:proofErr w:type="spellStart"/>
      <w:r w:rsidR="0069118F">
        <w:t>Benoiton</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69118F" w:rsidP="00214DB4">
      <w:pPr>
        <w:pStyle w:val="Partynames"/>
      </w:pPr>
      <w:r>
        <w:t>MARLENE ERNESTA</w:t>
      </w:r>
      <w:r>
        <w:tab/>
        <w:t>1</w:t>
      </w:r>
      <w:r w:rsidRPr="007B1F36">
        <w:rPr>
          <w:vertAlign w:val="superscript"/>
        </w:rPr>
        <w:t>st</w:t>
      </w:r>
      <w:r>
        <w:t xml:space="preserve"> </w:t>
      </w:r>
      <w:r w:rsidRPr="004A2599">
        <w:t>Respondent</w:t>
      </w:r>
    </w:p>
    <w:p w:rsidR="0069118F" w:rsidRDefault="0069118F" w:rsidP="00214DB4">
      <w:pPr>
        <w:pStyle w:val="Partynames"/>
      </w:pPr>
      <w:r>
        <w:t>GERMAIN ERNESTA</w:t>
      </w:r>
      <w:r>
        <w:tab/>
        <w:t>2</w:t>
      </w:r>
      <w:r w:rsidRPr="007B1F36">
        <w:rPr>
          <w:vertAlign w:val="superscript"/>
        </w:rPr>
        <w:t>nd</w:t>
      </w:r>
      <w:r>
        <w:t xml:space="preserve"> 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69118F">
        <w:rPr>
          <w:rFonts w:ascii="Times New Roman" w:hAnsi="Times New Roman" w:cs="Times New Roman"/>
          <w:i/>
          <w:sz w:val="24"/>
          <w:szCs w:val="24"/>
        </w:rPr>
        <w:t>Ms. Kelly Louise)</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69118F">
        <w:rPr>
          <w:rFonts w:ascii="Times New Roman" w:hAnsi="Times New Roman" w:cs="Times New Roman"/>
          <w:i/>
          <w:sz w:val="24"/>
          <w:szCs w:val="24"/>
        </w:rPr>
        <w:t xml:space="preserve">H. </w:t>
      </w:r>
      <w:proofErr w:type="spellStart"/>
      <w:r w:rsidR="0069118F">
        <w:rPr>
          <w:rFonts w:ascii="Times New Roman" w:hAnsi="Times New Roman" w:cs="Times New Roman"/>
          <w:i/>
          <w:sz w:val="24"/>
          <w:szCs w:val="24"/>
        </w:rPr>
        <w:t>Savy</w:t>
      </w:r>
      <w:proofErr w:type="spellEnd"/>
      <w:r w:rsidR="0069118F">
        <w:rPr>
          <w:rFonts w:ascii="Times New Roman" w:hAnsi="Times New Roman" w:cs="Times New Roman"/>
          <w:i/>
          <w:sz w:val="24"/>
          <w:szCs w:val="24"/>
        </w:rPr>
        <w:t xml:space="preserve"> Insurance Company Limited</w:t>
      </w:r>
      <w:r w:rsidR="00D31F1B" w:rsidRPr="004A2599">
        <w:rPr>
          <w:rFonts w:ascii="Times New Roman" w:hAnsi="Times New Roman" w:cs="Times New Roman"/>
          <w:i/>
          <w:sz w:val="24"/>
          <w:szCs w:val="24"/>
        </w:rPr>
        <w:t xml:space="preserve"> v </w:t>
      </w:r>
      <w:proofErr w:type="spellStart"/>
      <w:r w:rsidR="0069118F">
        <w:rPr>
          <w:rFonts w:ascii="Times New Roman" w:hAnsi="Times New Roman" w:cs="Times New Roman"/>
          <w:i/>
          <w:sz w:val="24"/>
          <w:szCs w:val="24"/>
        </w:rPr>
        <w:t>Ernesta</w:t>
      </w:r>
      <w:proofErr w:type="spellEnd"/>
      <w:r w:rsidR="0069118F">
        <w:rPr>
          <w:rFonts w:ascii="Times New Roman" w:hAnsi="Times New Roman" w:cs="Times New Roman"/>
          <w:i/>
          <w:sz w:val="24"/>
          <w:szCs w:val="24"/>
        </w:rPr>
        <w:t xml:space="preserve"> &amp; </w:t>
      </w:r>
      <w:proofErr w:type="gramStart"/>
      <w:r w:rsidR="0069118F">
        <w:rPr>
          <w:rFonts w:ascii="Times New Roman" w:hAnsi="Times New Roman" w:cs="Times New Roman"/>
          <w:i/>
          <w:sz w:val="24"/>
          <w:szCs w:val="24"/>
        </w:rPr>
        <w:t>Or</w:t>
      </w:r>
      <w:proofErr w:type="gramEnd"/>
      <w:r w:rsidR="001137AF">
        <w:rPr>
          <w:rFonts w:ascii="Times New Roman" w:hAnsi="Times New Roman" w:cs="Times New Roman"/>
          <w:i/>
          <w:sz w:val="24"/>
          <w:szCs w:val="24"/>
        </w:rPr>
        <w:t xml:space="preserve"> </w:t>
      </w:r>
      <w:r w:rsidR="001137AF" w:rsidRPr="00F40588">
        <w:rPr>
          <w:rFonts w:ascii="Times New Roman" w:hAnsi="Times New Roman" w:cs="Times New Roman"/>
          <w:sz w:val="24"/>
          <w:szCs w:val="24"/>
        </w:rPr>
        <w:t>(SCA MA 06/2021)</w:t>
      </w:r>
      <w:r w:rsidR="00662CEA">
        <w:rPr>
          <w:rFonts w:ascii="Times New Roman" w:hAnsi="Times New Roman" w:cs="Times New Roman"/>
          <w:i/>
          <w:sz w:val="24"/>
          <w:szCs w:val="24"/>
        </w:rPr>
        <w:t xml:space="preserve"> </w:t>
      </w:r>
      <w:r w:rsidR="008D0CD6">
        <w:rPr>
          <w:rFonts w:ascii="Times New Roman" w:hAnsi="Times New Roman" w:cs="Times New Roman"/>
          <w:sz w:val="24"/>
          <w:szCs w:val="24"/>
        </w:rPr>
        <w:t>[20</w:t>
      </w:r>
      <w:r w:rsidR="001137AF">
        <w:rPr>
          <w:rFonts w:ascii="Times New Roman" w:hAnsi="Times New Roman" w:cs="Times New Roman"/>
          <w:sz w:val="24"/>
          <w:szCs w:val="24"/>
        </w:rPr>
        <w:t>21</w:t>
      </w:r>
      <w:r w:rsidR="008D0CD6">
        <w:rPr>
          <w:rFonts w:ascii="Times New Roman" w:hAnsi="Times New Roman" w:cs="Times New Roman"/>
          <w:sz w:val="24"/>
          <w:szCs w:val="24"/>
        </w:rPr>
        <w:t xml:space="preserve">] </w:t>
      </w:r>
      <w:r w:rsidR="001137AF">
        <w:rPr>
          <w:rFonts w:ascii="Times New Roman" w:hAnsi="Times New Roman" w:cs="Times New Roman"/>
          <w:sz w:val="24"/>
          <w:szCs w:val="24"/>
        </w:rPr>
        <w:t xml:space="preserve">  </w:t>
      </w:r>
      <w:r w:rsidR="008D0CD6">
        <w:rPr>
          <w:rFonts w:ascii="Times New Roman" w:hAnsi="Times New Roman" w:cs="Times New Roman"/>
          <w:sz w:val="24"/>
          <w:szCs w:val="24"/>
        </w:rPr>
        <w:t>SCCA</w:t>
      </w:r>
      <w:r w:rsidR="001137AF">
        <w:rPr>
          <w:rFonts w:ascii="Times New Roman" w:hAnsi="Times New Roman" w:cs="Times New Roman"/>
          <w:sz w:val="24"/>
          <w:szCs w:val="24"/>
        </w:rPr>
        <w:t xml:space="preserve"> </w:t>
      </w:r>
      <w:r w:rsidR="009F010D">
        <w:rPr>
          <w:rFonts w:ascii="Times New Roman" w:hAnsi="Times New Roman" w:cs="Times New Roman"/>
          <w:sz w:val="24"/>
          <w:szCs w:val="24"/>
        </w:rPr>
        <w:t>5</w:t>
      </w:r>
      <w:bookmarkStart w:id="0" w:name="_GoBack"/>
      <w:bookmarkEnd w:id="0"/>
      <w:r w:rsidR="001137AF">
        <w:rPr>
          <w:rFonts w:ascii="Times New Roman" w:hAnsi="Times New Roman" w:cs="Times New Roman"/>
          <w:sz w:val="24"/>
          <w:szCs w:val="24"/>
        </w:rPr>
        <w:t xml:space="preserve">       23</w:t>
      </w:r>
      <w:r w:rsidR="001137AF" w:rsidRPr="001137AF">
        <w:rPr>
          <w:rFonts w:ascii="Times New Roman" w:hAnsi="Times New Roman" w:cs="Times New Roman"/>
          <w:sz w:val="24"/>
          <w:szCs w:val="24"/>
          <w:vertAlign w:val="superscript"/>
        </w:rPr>
        <w:t>rd</w:t>
      </w:r>
      <w:r w:rsidR="001137AF">
        <w:rPr>
          <w:rFonts w:ascii="Times New Roman" w:hAnsi="Times New Roman" w:cs="Times New Roman"/>
          <w:sz w:val="24"/>
          <w:szCs w:val="24"/>
        </w:rPr>
        <w:t xml:space="preserve"> March 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Pr>
          <w:rFonts w:ascii="Times New Roman" w:hAnsi="Times New Roman" w:cs="Times New Roman"/>
          <w:b/>
          <w:sz w:val="24"/>
          <w:szCs w:val="24"/>
        </w:rPr>
        <w:t>Fernando P</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137AF">
        <w:rPr>
          <w:rFonts w:ascii="Times New Roman" w:hAnsi="Times New Roman" w:cs="Times New Roman"/>
          <w:sz w:val="24"/>
          <w:szCs w:val="24"/>
        </w:rPr>
        <w:t>23</w:t>
      </w:r>
      <w:r w:rsidR="001137AF" w:rsidRPr="001137AF">
        <w:rPr>
          <w:rFonts w:ascii="Times New Roman" w:hAnsi="Times New Roman" w:cs="Times New Roman"/>
          <w:sz w:val="24"/>
          <w:szCs w:val="24"/>
          <w:vertAlign w:val="superscript"/>
        </w:rPr>
        <w:t>rd</w:t>
      </w:r>
      <w:r w:rsidR="001137AF">
        <w:rPr>
          <w:rFonts w:ascii="Times New Roman" w:hAnsi="Times New Roman" w:cs="Times New Roman"/>
          <w:sz w:val="24"/>
          <w:szCs w:val="24"/>
        </w:rPr>
        <w:t xml:space="preserve"> March 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137AF" w:rsidRPr="001137AF">
        <w:rPr>
          <w:rFonts w:ascii="Times New Roman" w:hAnsi="Times New Roman" w:cs="Times New Roman"/>
          <w:sz w:val="24"/>
          <w:szCs w:val="24"/>
        </w:rPr>
        <w:t>2</w:t>
      </w:r>
      <w:r w:rsidR="004A4AC1">
        <w:rPr>
          <w:rFonts w:ascii="Times New Roman" w:hAnsi="Times New Roman" w:cs="Times New Roman"/>
          <w:sz w:val="24"/>
          <w:szCs w:val="24"/>
        </w:rPr>
        <w:t>3</w:t>
      </w:r>
      <w:r w:rsidR="004A4AC1" w:rsidRPr="004A4AC1">
        <w:rPr>
          <w:rFonts w:ascii="Times New Roman" w:hAnsi="Times New Roman" w:cs="Times New Roman"/>
          <w:sz w:val="24"/>
          <w:szCs w:val="24"/>
          <w:vertAlign w:val="superscript"/>
        </w:rPr>
        <w:t>rd</w:t>
      </w:r>
      <w:r w:rsidR="004A4AC1">
        <w:rPr>
          <w:rFonts w:ascii="Times New Roman" w:hAnsi="Times New Roman" w:cs="Times New Roman"/>
          <w:sz w:val="24"/>
          <w:szCs w:val="24"/>
        </w:rPr>
        <w:t xml:space="preserve"> </w:t>
      </w:r>
      <w:r w:rsidR="001137AF" w:rsidRPr="001137AF">
        <w:rPr>
          <w:rFonts w:ascii="Times New Roman" w:hAnsi="Times New Roman" w:cs="Times New Roman"/>
          <w:sz w:val="24"/>
          <w:szCs w:val="24"/>
        </w:rPr>
        <w:t>March 2021</w:t>
      </w:r>
    </w:p>
    <w:p w:rsidR="001137AF" w:rsidRDefault="001137AF" w:rsidP="00214DB4">
      <w:pPr>
        <w:tabs>
          <w:tab w:val="left" w:pos="2892"/>
        </w:tabs>
        <w:spacing w:before="120" w:after="0" w:line="240" w:lineRule="auto"/>
        <w:jc w:val="center"/>
        <w:rPr>
          <w:rFonts w:ascii="Times New Roman" w:hAnsi="Times New Roman" w:cs="Times New Roman"/>
          <w:b/>
          <w:sz w:val="24"/>
          <w:szCs w:val="24"/>
        </w:rPr>
      </w:pPr>
    </w:p>
    <w:p w:rsidR="00ED0BFC" w:rsidRDefault="00F40588"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REASONS FOR RULING</w:t>
      </w:r>
      <w:r w:rsidR="00ED0BFC" w:rsidRPr="004A2599">
        <w:rPr>
          <w:rFonts w:ascii="Times New Roman" w:hAnsi="Times New Roman" w:cs="Times New Roman"/>
          <w:b/>
          <w:sz w:val="24"/>
          <w:szCs w:val="24"/>
        </w:rPr>
        <w:t xml:space="preserve"> </w:t>
      </w:r>
      <w:r>
        <w:rPr>
          <w:rFonts w:ascii="Times New Roman" w:hAnsi="Times New Roman" w:cs="Times New Roman"/>
          <w:b/>
          <w:sz w:val="24"/>
          <w:szCs w:val="24"/>
        </w:rPr>
        <w:t>DELIVERED ON 23</w:t>
      </w:r>
      <w:r w:rsidRPr="00F40588">
        <w:rPr>
          <w:rFonts w:ascii="Times New Roman" w:hAnsi="Times New Roman" w:cs="Times New Roman"/>
          <w:b/>
          <w:sz w:val="24"/>
          <w:szCs w:val="24"/>
          <w:vertAlign w:val="superscript"/>
        </w:rPr>
        <w:t>RD</w:t>
      </w:r>
      <w:r>
        <w:rPr>
          <w:rFonts w:ascii="Times New Roman" w:hAnsi="Times New Roman" w:cs="Times New Roman"/>
          <w:b/>
          <w:sz w:val="24"/>
          <w:szCs w:val="24"/>
        </w:rPr>
        <w:t xml:space="preserve"> MARCH 2021</w:t>
      </w:r>
    </w:p>
    <w:p w:rsidR="001137AF" w:rsidRPr="004A2599" w:rsidRDefault="001137AF" w:rsidP="001137AF">
      <w:pPr>
        <w:tabs>
          <w:tab w:val="left" w:pos="2892"/>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722761" w:rsidRPr="004A2599" w:rsidRDefault="00722761" w:rsidP="00722761">
      <w:pPr>
        <w:rPr>
          <w:rFonts w:ascii="Times New Roman" w:hAnsi="Times New Roman" w:cs="Times New Roman"/>
          <w:sz w:val="24"/>
          <w:szCs w:val="24"/>
        </w:rPr>
      </w:pPr>
    </w:p>
    <w:p w:rsidR="005B12AA" w:rsidRPr="0098556E" w:rsidRDefault="008D0CD6" w:rsidP="005B12AA">
      <w:pPr>
        <w:pStyle w:val="JudgmentText"/>
        <w:numPr>
          <w:ilvl w:val="0"/>
          <w:numId w:val="0"/>
        </w:numPr>
        <w:spacing w:line="480" w:lineRule="auto"/>
        <w:ind w:left="720" w:hanging="720"/>
        <w:rPr>
          <w:b/>
          <w:sz w:val="25"/>
          <w:szCs w:val="25"/>
        </w:rPr>
      </w:pPr>
      <w:r w:rsidRPr="0098556E">
        <w:rPr>
          <w:b/>
          <w:sz w:val="25"/>
          <w:szCs w:val="25"/>
        </w:rPr>
        <w:t>FERNANDO P</w:t>
      </w: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lang w:val="en-US"/>
        </w:rPr>
      </w:pPr>
      <w:r w:rsidRPr="0098556E">
        <w:rPr>
          <w:rFonts w:ascii="Times New Roman" w:hAnsi="Times New Roman" w:cs="Times New Roman"/>
          <w:sz w:val="25"/>
          <w:szCs w:val="25"/>
        </w:rPr>
        <w:t>This was an application filed on the 18</w:t>
      </w:r>
      <w:r w:rsidRPr="0098556E">
        <w:rPr>
          <w:rFonts w:ascii="Times New Roman" w:hAnsi="Times New Roman" w:cs="Times New Roman"/>
          <w:sz w:val="25"/>
          <w:szCs w:val="25"/>
          <w:vertAlign w:val="superscript"/>
        </w:rPr>
        <w:t>th</w:t>
      </w:r>
      <w:r w:rsidRPr="0098556E">
        <w:rPr>
          <w:rFonts w:ascii="Times New Roman" w:hAnsi="Times New Roman" w:cs="Times New Roman"/>
          <w:sz w:val="25"/>
          <w:szCs w:val="25"/>
        </w:rPr>
        <w:t xml:space="preserve"> of March 2021, for leave for an extension of time to provide security for costs. </w:t>
      </w:r>
      <w:proofErr w:type="gramStart"/>
      <w:r w:rsidRPr="0098556E">
        <w:rPr>
          <w:rFonts w:ascii="Times New Roman" w:hAnsi="Times New Roman" w:cs="Times New Roman"/>
          <w:sz w:val="25"/>
          <w:szCs w:val="25"/>
        </w:rPr>
        <w:t>I dismissed the application after hearing both parties and hereby give the reasons for the dismissal.</w:t>
      </w:r>
      <w:proofErr w:type="gramEnd"/>
      <w:r w:rsidRPr="0098556E">
        <w:rPr>
          <w:rFonts w:ascii="Times New Roman" w:hAnsi="Times New Roman" w:cs="Times New Roman"/>
          <w:sz w:val="25"/>
          <w:szCs w:val="25"/>
        </w:rPr>
        <w:t xml:space="preserve">  </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According to </w:t>
      </w:r>
      <w:r w:rsidRPr="0098556E">
        <w:rPr>
          <w:rFonts w:ascii="Times New Roman" w:hAnsi="Times New Roman" w:cs="Times New Roman"/>
          <w:b/>
          <w:bCs/>
          <w:sz w:val="25"/>
          <w:szCs w:val="25"/>
        </w:rPr>
        <w:t xml:space="preserve">rule 27(1) </w:t>
      </w:r>
      <w:bookmarkStart w:id="1" w:name="_Hlk67416256"/>
      <w:r w:rsidRPr="0098556E">
        <w:rPr>
          <w:rFonts w:ascii="Times New Roman" w:hAnsi="Times New Roman" w:cs="Times New Roman"/>
          <w:b/>
          <w:bCs/>
          <w:sz w:val="25"/>
          <w:szCs w:val="25"/>
        </w:rPr>
        <w:t>of the Court of Appeal Rules</w:t>
      </w:r>
      <w:bookmarkEnd w:id="1"/>
      <w:r w:rsidRPr="0098556E">
        <w:rPr>
          <w:rFonts w:ascii="Times New Roman" w:hAnsi="Times New Roman" w:cs="Times New Roman"/>
          <w:b/>
          <w:bCs/>
          <w:sz w:val="25"/>
          <w:szCs w:val="25"/>
        </w:rPr>
        <w:t>, 2005</w:t>
      </w:r>
      <w:r w:rsidRPr="0098556E">
        <w:rPr>
          <w:rFonts w:ascii="Times New Roman" w:hAnsi="Times New Roman" w:cs="Times New Roman"/>
          <w:sz w:val="25"/>
          <w:szCs w:val="25"/>
        </w:rPr>
        <w:t xml:space="preserve"> the appellant shall provide good and sufficient security for the payment of all such costs of the appeal as may become payable within 14 days after filing the notice of appeal.</w:t>
      </w:r>
    </w:p>
    <w:p w:rsidR="0098556E" w:rsidRPr="0098556E" w:rsidRDefault="0098556E" w:rsidP="0098556E">
      <w:pPr>
        <w:pStyle w:val="ListParagraph"/>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 </w:t>
      </w: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lastRenderedPageBreak/>
        <w:t xml:space="preserve">It has been the accepted practice of this Court that the </w:t>
      </w:r>
      <w:proofErr w:type="gramStart"/>
      <w:r w:rsidRPr="0098556E">
        <w:rPr>
          <w:rFonts w:ascii="Times New Roman" w:hAnsi="Times New Roman" w:cs="Times New Roman"/>
          <w:sz w:val="25"/>
          <w:szCs w:val="25"/>
        </w:rPr>
        <w:t>time period</w:t>
      </w:r>
      <w:proofErr w:type="gramEnd"/>
      <w:r w:rsidRPr="0098556E">
        <w:rPr>
          <w:rFonts w:ascii="Times New Roman" w:hAnsi="Times New Roman" w:cs="Times New Roman"/>
          <w:sz w:val="25"/>
          <w:szCs w:val="25"/>
        </w:rPr>
        <w:t xml:space="preserve"> of 14 days begins to run not from the date of the filing of the notice of appeal, but from the date the appellant receives the notice of the Registrar of the costs to be paid.</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b/>
          <w:bCs/>
          <w:sz w:val="25"/>
          <w:szCs w:val="25"/>
        </w:rPr>
        <w:t xml:space="preserve">Rule 27(3) of the Court of Appeal Rules </w:t>
      </w:r>
      <w:r w:rsidRPr="0098556E">
        <w:rPr>
          <w:rFonts w:ascii="Times New Roman" w:hAnsi="Times New Roman" w:cs="Times New Roman"/>
          <w:sz w:val="25"/>
          <w:szCs w:val="25"/>
        </w:rPr>
        <w:t xml:space="preserve">states if the security </w:t>
      </w:r>
      <w:proofErr w:type="gramStart"/>
      <w:r w:rsidRPr="0098556E">
        <w:rPr>
          <w:rFonts w:ascii="Times New Roman" w:hAnsi="Times New Roman" w:cs="Times New Roman"/>
          <w:sz w:val="25"/>
          <w:szCs w:val="25"/>
        </w:rPr>
        <w:t>is not furnished</w:t>
      </w:r>
      <w:proofErr w:type="gramEnd"/>
      <w:r w:rsidRPr="0098556E">
        <w:rPr>
          <w:rFonts w:ascii="Times New Roman" w:hAnsi="Times New Roman" w:cs="Times New Roman"/>
          <w:sz w:val="25"/>
          <w:szCs w:val="25"/>
        </w:rPr>
        <w:t xml:space="preserve"> within the prescribed time, the notice of appeal shall be deemed to have been withdrawn and the appellant shall pay the respondent the costs of the abortive appeal.</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In this case the notice dated 27</w:t>
      </w:r>
      <w:r w:rsidRPr="0098556E">
        <w:rPr>
          <w:rFonts w:ascii="Times New Roman" w:hAnsi="Times New Roman" w:cs="Times New Roman"/>
          <w:sz w:val="25"/>
          <w:szCs w:val="25"/>
          <w:vertAlign w:val="superscript"/>
        </w:rPr>
        <w:t>th</w:t>
      </w:r>
      <w:r w:rsidRPr="0098556E">
        <w:rPr>
          <w:rFonts w:ascii="Times New Roman" w:hAnsi="Times New Roman" w:cs="Times New Roman"/>
          <w:sz w:val="25"/>
          <w:szCs w:val="25"/>
        </w:rPr>
        <w:t xml:space="preserve"> of August 2020 pertaining to the security for </w:t>
      </w:r>
      <w:proofErr w:type="gramStart"/>
      <w:r w:rsidRPr="0098556E">
        <w:rPr>
          <w:rFonts w:ascii="Times New Roman" w:hAnsi="Times New Roman" w:cs="Times New Roman"/>
          <w:sz w:val="25"/>
          <w:szCs w:val="25"/>
        </w:rPr>
        <w:t>costs which</w:t>
      </w:r>
      <w:proofErr w:type="gramEnd"/>
      <w:r w:rsidRPr="0098556E">
        <w:rPr>
          <w:rFonts w:ascii="Times New Roman" w:hAnsi="Times New Roman" w:cs="Times New Roman"/>
          <w:sz w:val="25"/>
          <w:szCs w:val="25"/>
        </w:rPr>
        <w:t xml:space="preserve"> was fixed at SR 5,000/- was received at the office of the attorney for the appellant on the 2</w:t>
      </w:r>
      <w:r w:rsidRPr="0098556E">
        <w:rPr>
          <w:rFonts w:ascii="Times New Roman" w:hAnsi="Times New Roman" w:cs="Times New Roman"/>
          <w:sz w:val="25"/>
          <w:szCs w:val="25"/>
          <w:vertAlign w:val="superscript"/>
        </w:rPr>
        <w:t>nd</w:t>
      </w:r>
      <w:r w:rsidRPr="0098556E">
        <w:rPr>
          <w:rFonts w:ascii="Times New Roman" w:hAnsi="Times New Roman" w:cs="Times New Roman"/>
          <w:sz w:val="25"/>
          <w:szCs w:val="25"/>
        </w:rPr>
        <w:t xml:space="preserve"> of September 2020. Thus, the </w:t>
      </w:r>
      <w:proofErr w:type="gramStart"/>
      <w:r w:rsidRPr="0098556E">
        <w:rPr>
          <w:rFonts w:ascii="Times New Roman" w:hAnsi="Times New Roman" w:cs="Times New Roman"/>
          <w:sz w:val="25"/>
          <w:szCs w:val="25"/>
        </w:rPr>
        <w:t>time period</w:t>
      </w:r>
      <w:proofErr w:type="gramEnd"/>
      <w:r w:rsidRPr="0098556E">
        <w:rPr>
          <w:rFonts w:ascii="Times New Roman" w:hAnsi="Times New Roman" w:cs="Times New Roman"/>
          <w:sz w:val="25"/>
          <w:szCs w:val="25"/>
        </w:rPr>
        <w:t xml:space="preserve"> for the payment of costs was on or before 22</w:t>
      </w:r>
      <w:r w:rsidRPr="0098556E">
        <w:rPr>
          <w:rFonts w:ascii="Times New Roman" w:hAnsi="Times New Roman" w:cs="Times New Roman"/>
          <w:sz w:val="25"/>
          <w:szCs w:val="25"/>
          <w:vertAlign w:val="superscript"/>
        </w:rPr>
        <w:t>nd</w:t>
      </w:r>
      <w:r w:rsidRPr="0098556E">
        <w:rPr>
          <w:rFonts w:ascii="Times New Roman" w:hAnsi="Times New Roman" w:cs="Times New Roman"/>
          <w:sz w:val="25"/>
          <w:szCs w:val="25"/>
        </w:rPr>
        <w:t xml:space="preserve"> of September 2020. Since no payment had been effected, the Assistant Registrar of the Court had informed the attorney for the appellant by letter dated 27</w:t>
      </w:r>
      <w:r w:rsidRPr="0098556E">
        <w:rPr>
          <w:rFonts w:ascii="Times New Roman" w:hAnsi="Times New Roman" w:cs="Times New Roman"/>
          <w:sz w:val="25"/>
          <w:szCs w:val="25"/>
          <w:vertAlign w:val="superscript"/>
        </w:rPr>
        <w:t>th</w:t>
      </w:r>
      <w:r w:rsidRPr="0098556E">
        <w:rPr>
          <w:rFonts w:ascii="Times New Roman" w:hAnsi="Times New Roman" w:cs="Times New Roman"/>
          <w:sz w:val="25"/>
          <w:szCs w:val="25"/>
        </w:rPr>
        <w:t xml:space="preserve"> November 2020 that security had not been </w:t>
      </w:r>
      <w:r w:rsidR="00C71F11">
        <w:rPr>
          <w:rFonts w:ascii="Times New Roman" w:hAnsi="Times New Roman" w:cs="Times New Roman"/>
          <w:sz w:val="25"/>
          <w:szCs w:val="25"/>
        </w:rPr>
        <w:t xml:space="preserve">paid </w:t>
      </w:r>
      <w:r w:rsidRPr="0098556E">
        <w:rPr>
          <w:rFonts w:ascii="Times New Roman" w:hAnsi="Times New Roman" w:cs="Times New Roman"/>
          <w:sz w:val="25"/>
          <w:szCs w:val="25"/>
        </w:rPr>
        <w:t xml:space="preserve">up to that date and drawn the attention of the attorney to rule 27(3) of the Court of Appeal Rules referred to </w:t>
      </w:r>
      <w:proofErr w:type="spellStart"/>
      <w:r w:rsidRPr="0098556E">
        <w:rPr>
          <w:rFonts w:ascii="Times New Roman" w:hAnsi="Times New Roman" w:cs="Times New Roman"/>
          <w:sz w:val="25"/>
          <w:szCs w:val="25"/>
        </w:rPr>
        <w:t>at</w:t>
      </w:r>
      <w:proofErr w:type="spellEnd"/>
      <w:r w:rsidRPr="0098556E">
        <w:rPr>
          <w:rFonts w:ascii="Times New Roman" w:hAnsi="Times New Roman" w:cs="Times New Roman"/>
          <w:sz w:val="25"/>
          <w:szCs w:val="25"/>
        </w:rPr>
        <w:t xml:space="preserve"> paragraph 4 above. This letter </w:t>
      </w:r>
      <w:proofErr w:type="gramStart"/>
      <w:r w:rsidRPr="0098556E">
        <w:rPr>
          <w:rFonts w:ascii="Times New Roman" w:hAnsi="Times New Roman" w:cs="Times New Roman"/>
          <w:sz w:val="25"/>
          <w:szCs w:val="25"/>
        </w:rPr>
        <w:t>had been received</w:t>
      </w:r>
      <w:proofErr w:type="gramEnd"/>
      <w:r w:rsidRPr="0098556E">
        <w:rPr>
          <w:rFonts w:ascii="Times New Roman" w:hAnsi="Times New Roman" w:cs="Times New Roman"/>
          <w:sz w:val="25"/>
          <w:szCs w:val="25"/>
        </w:rPr>
        <w:t xml:space="preserve"> at the attorney’s office on the 4</w:t>
      </w:r>
      <w:r w:rsidRPr="0098556E">
        <w:rPr>
          <w:rFonts w:ascii="Times New Roman" w:hAnsi="Times New Roman" w:cs="Times New Roman"/>
          <w:sz w:val="25"/>
          <w:szCs w:val="25"/>
          <w:vertAlign w:val="superscript"/>
        </w:rPr>
        <w:t>th</w:t>
      </w:r>
      <w:r w:rsidRPr="0098556E">
        <w:rPr>
          <w:rFonts w:ascii="Times New Roman" w:hAnsi="Times New Roman" w:cs="Times New Roman"/>
          <w:sz w:val="25"/>
          <w:szCs w:val="25"/>
        </w:rPr>
        <w:t xml:space="preserve"> of December 2020.</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The application for leave for an extension of time to provide security for costs </w:t>
      </w:r>
      <w:proofErr w:type="gramStart"/>
      <w:r w:rsidRPr="0098556E">
        <w:rPr>
          <w:rFonts w:ascii="Times New Roman" w:hAnsi="Times New Roman" w:cs="Times New Roman"/>
          <w:sz w:val="25"/>
          <w:szCs w:val="25"/>
        </w:rPr>
        <w:t>had been filed</w:t>
      </w:r>
      <w:proofErr w:type="gramEnd"/>
      <w:r w:rsidRPr="0098556E">
        <w:rPr>
          <w:rFonts w:ascii="Times New Roman" w:hAnsi="Times New Roman" w:cs="Times New Roman"/>
          <w:sz w:val="25"/>
          <w:szCs w:val="25"/>
        </w:rPr>
        <w:t xml:space="preserve"> as stated at paragraph 1 above, on the 18</w:t>
      </w:r>
      <w:r w:rsidRPr="0098556E">
        <w:rPr>
          <w:rFonts w:ascii="Times New Roman" w:hAnsi="Times New Roman" w:cs="Times New Roman"/>
          <w:sz w:val="25"/>
          <w:szCs w:val="25"/>
          <w:vertAlign w:val="superscript"/>
        </w:rPr>
        <w:t>th</w:t>
      </w:r>
      <w:r w:rsidRPr="0098556E">
        <w:rPr>
          <w:rFonts w:ascii="Times New Roman" w:hAnsi="Times New Roman" w:cs="Times New Roman"/>
          <w:sz w:val="25"/>
          <w:szCs w:val="25"/>
        </w:rPr>
        <w:t xml:space="preserve"> of March 2021, about 6 months after it became due.</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According to </w:t>
      </w:r>
      <w:r w:rsidRPr="0098556E">
        <w:rPr>
          <w:rFonts w:ascii="Times New Roman" w:hAnsi="Times New Roman" w:cs="Times New Roman"/>
          <w:b/>
          <w:bCs/>
          <w:sz w:val="25"/>
          <w:szCs w:val="25"/>
        </w:rPr>
        <w:t>rule 26 of the Court of Appeal Rules</w:t>
      </w:r>
      <w:r w:rsidRPr="0098556E">
        <w:rPr>
          <w:rFonts w:ascii="Times New Roman" w:hAnsi="Times New Roman" w:cs="Times New Roman"/>
          <w:sz w:val="25"/>
          <w:szCs w:val="25"/>
        </w:rPr>
        <w:t xml:space="preserve"> </w:t>
      </w:r>
      <w:r w:rsidRPr="0098556E">
        <w:rPr>
          <w:rFonts w:ascii="Times New Roman" w:hAnsi="Times New Roman" w:cs="Times New Roman"/>
          <w:b/>
          <w:bCs/>
          <w:sz w:val="25"/>
          <w:szCs w:val="25"/>
        </w:rPr>
        <w:t>“</w:t>
      </w:r>
      <w:r w:rsidRPr="0098556E">
        <w:rPr>
          <w:rFonts w:ascii="Times New Roman" w:hAnsi="Times New Roman" w:cs="Times New Roman"/>
          <w:i/>
          <w:iCs/>
          <w:sz w:val="25"/>
          <w:szCs w:val="25"/>
        </w:rPr>
        <w:t xml:space="preserve">The times fixed within the Rules </w:t>
      </w:r>
      <w:r w:rsidRPr="0098556E">
        <w:rPr>
          <w:rFonts w:ascii="Times New Roman" w:hAnsi="Times New Roman" w:cs="Times New Roman"/>
          <w:i/>
          <w:iCs/>
          <w:sz w:val="25"/>
          <w:szCs w:val="25"/>
          <w:u w:val="single"/>
        </w:rPr>
        <w:t>may, on good cause shown</w:t>
      </w:r>
      <w:r w:rsidRPr="0098556E">
        <w:rPr>
          <w:rFonts w:ascii="Times New Roman" w:hAnsi="Times New Roman" w:cs="Times New Roman"/>
          <w:i/>
          <w:iCs/>
          <w:sz w:val="25"/>
          <w:szCs w:val="25"/>
        </w:rPr>
        <w:t xml:space="preserve"> be extended by the President or a Judge designated by the President or may be extended by the Court</w:t>
      </w:r>
      <w:r w:rsidRPr="0098556E">
        <w:rPr>
          <w:rFonts w:ascii="Times New Roman" w:hAnsi="Times New Roman" w:cs="Times New Roman"/>
          <w:sz w:val="25"/>
          <w:szCs w:val="25"/>
        </w:rPr>
        <w:t>.</w:t>
      </w:r>
      <w:r w:rsidRPr="0098556E">
        <w:rPr>
          <w:rFonts w:ascii="Times New Roman" w:hAnsi="Times New Roman" w:cs="Times New Roman"/>
          <w:b/>
          <w:bCs/>
          <w:sz w:val="25"/>
          <w:szCs w:val="25"/>
        </w:rPr>
        <w:t>”</w:t>
      </w:r>
      <w:r w:rsidRPr="0098556E">
        <w:rPr>
          <w:rFonts w:ascii="Times New Roman" w:hAnsi="Times New Roman" w:cs="Times New Roman"/>
          <w:sz w:val="25"/>
          <w:szCs w:val="25"/>
        </w:rPr>
        <w:t xml:space="preserve"> (emphasis added by me) It is clear that an extension of time </w:t>
      </w:r>
      <w:proofErr w:type="gramStart"/>
      <w:r w:rsidRPr="0098556E">
        <w:rPr>
          <w:rFonts w:ascii="Times New Roman" w:hAnsi="Times New Roman" w:cs="Times New Roman"/>
          <w:sz w:val="25"/>
          <w:szCs w:val="25"/>
        </w:rPr>
        <w:t>is granted</w:t>
      </w:r>
      <w:proofErr w:type="gramEnd"/>
      <w:r w:rsidRPr="0098556E">
        <w:rPr>
          <w:rFonts w:ascii="Times New Roman" w:hAnsi="Times New Roman" w:cs="Times New Roman"/>
          <w:sz w:val="25"/>
          <w:szCs w:val="25"/>
        </w:rPr>
        <w:t xml:space="preserve"> at the discretion of the Court and only where good cause is shown.</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The reasons adduced by Mr. L Woodcock, General Manager of H </w:t>
      </w:r>
      <w:proofErr w:type="spellStart"/>
      <w:r w:rsidRPr="0098556E">
        <w:rPr>
          <w:rFonts w:ascii="Times New Roman" w:hAnsi="Times New Roman" w:cs="Times New Roman"/>
          <w:sz w:val="25"/>
          <w:szCs w:val="25"/>
        </w:rPr>
        <w:t>Savy</w:t>
      </w:r>
      <w:proofErr w:type="spellEnd"/>
      <w:r w:rsidRPr="0098556E">
        <w:rPr>
          <w:rFonts w:ascii="Times New Roman" w:hAnsi="Times New Roman" w:cs="Times New Roman"/>
          <w:sz w:val="25"/>
          <w:szCs w:val="25"/>
        </w:rPr>
        <w:t xml:space="preserve"> Insurance Company Limited on behalf of the appellant, for an extension of time, according to the affidavit filed in support of the application are to be found at paragraphs 7 and 8 of his affidavit, namely:</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3"/>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“That due to </w:t>
      </w:r>
      <w:bookmarkStart w:id="2" w:name="_Hlk67417516"/>
      <w:r w:rsidRPr="0098556E">
        <w:rPr>
          <w:rFonts w:ascii="Times New Roman" w:hAnsi="Times New Roman" w:cs="Times New Roman"/>
          <w:sz w:val="25"/>
          <w:szCs w:val="25"/>
        </w:rPr>
        <w:t xml:space="preserve">administrative procedures </w:t>
      </w:r>
      <w:bookmarkEnd w:id="2"/>
      <w:r w:rsidRPr="0098556E">
        <w:rPr>
          <w:rFonts w:ascii="Times New Roman" w:hAnsi="Times New Roman" w:cs="Times New Roman"/>
          <w:sz w:val="25"/>
          <w:szCs w:val="25"/>
        </w:rPr>
        <w:t>payment of the funds were not credited to my Attorney’s client’s account on time.</w:t>
      </w:r>
    </w:p>
    <w:p w:rsidR="0098556E" w:rsidRPr="0098556E" w:rsidRDefault="0098556E" w:rsidP="0098556E">
      <w:pPr>
        <w:pStyle w:val="ListParagraph"/>
        <w:numPr>
          <w:ilvl w:val="0"/>
          <w:numId w:val="13"/>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That my Attorney has made multiple attempts to pay the security for costs since the funds were transferred into her account but has been unsuccessful in light of the lapse of time.”</w:t>
      </w:r>
      <w:r w:rsidR="00C71F11">
        <w:rPr>
          <w:rFonts w:ascii="Times New Roman" w:hAnsi="Times New Roman" w:cs="Times New Roman"/>
          <w:sz w:val="25"/>
          <w:szCs w:val="25"/>
        </w:rPr>
        <w:t xml:space="preserve"> (verbatim)</w:t>
      </w:r>
    </w:p>
    <w:p w:rsidR="0098556E" w:rsidRPr="0098556E" w:rsidRDefault="0098556E" w:rsidP="0098556E">
      <w:pPr>
        <w:pStyle w:val="ListParagraph"/>
        <w:spacing w:line="360" w:lineRule="auto"/>
        <w:ind w:left="1490"/>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The Rules of the Court of Appeal </w:t>
      </w:r>
      <w:proofErr w:type="gramStart"/>
      <w:r w:rsidRPr="0098556E">
        <w:rPr>
          <w:rFonts w:ascii="Times New Roman" w:hAnsi="Times New Roman" w:cs="Times New Roman"/>
          <w:sz w:val="25"/>
          <w:szCs w:val="25"/>
        </w:rPr>
        <w:t>cannot be circumvented</w:t>
      </w:r>
      <w:proofErr w:type="gramEnd"/>
      <w:r w:rsidRPr="0098556E">
        <w:rPr>
          <w:rFonts w:ascii="Times New Roman" w:hAnsi="Times New Roman" w:cs="Times New Roman"/>
          <w:sz w:val="25"/>
          <w:szCs w:val="25"/>
        </w:rPr>
        <w:t xml:space="preserve"> due to the administrative procedures of the applicant company. </w:t>
      </w:r>
      <w:proofErr w:type="gramStart"/>
      <w:r w:rsidRPr="0098556E">
        <w:rPr>
          <w:rFonts w:ascii="Times New Roman" w:hAnsi="Times New Roman" w:cs="Times New Roman"/>
          <w:sz w:val="25"/>
          <w:szCs w:val="25"/>
        </w:rPr>
        <w:t>Further</w:t>
      </w:r>
      <w:proofErr w:type="gramEnd"/>
      <w:r w:rsidRPr="0098556E">
        <w:rPr>
          <w:rFonts w:ascii="Times New Roman" w:hAnsi="Times New Roman" w:cs="Times New Roman"/>
          <w:sz w:val="25"/>
          <w:szCs w:val="25"/>
        </w:rPr>
        <w:t xml:space="preserve"> the deponent does not even specify what these administrative procedures are. </w:t>
      </w:r>
      <w:proofErr w:type="gramStart"/>
      <w:r w:rsidRPr="0098556E">
        <w:rPr>
          <w:rFonts w:ascii="Times New Roman" w:hAnsi="Times New Roman" w:cs="Times New Roman"/>
          <w:sz w:val="25"/>
          <w:szCs w:val="25"/>
        </w:rPr>
        <w:t xml:space="preserve">Further the deponent cannot </w:t>
      </w:r>
      <w:proofErr w:type="spellStart"/>
      <w:r w:rsidRPr="0098556E">
        <w:rPr>
          <w:rFonts w:ascii="Times New Roman" w:hAnsi="Times New Roman" w:cs="Times New Roman"/>
          <w:sz w:val="25"/>
          <w:szCs w:val="25"/>
        </w:rPr>
        <w:t>depone</w:t>
      </w:r>
      <w:proofErr w:type="spellEnd"/>
      <w:r w:rsidRPr="0098556E">
        <w:rPr>
          <w:rFonts w:ascii="Times New Roman" w:hAnsi="Times New Roman" w:cs="Times New Roman"/>
          <w:sz w:val="25"/>
          <w:szCs w:val="25"/>
        </w:rPr>
        <w:t xml:space="preserve"> as to the “multiple attempts to pay the security for costs by its attorney”, since according to </w:t>
      </w:r>
      <w:r w:rsidRPr="0098556E">
        <w:rPr>
          <w:rFonts w:ascii="Times New Roman" w:hAnsi="Times New Roman" w:cs="Times New Roman"/>
          <w:b/>
          <w:bCs/>
          <w:sz w:val="25"/>
          <w:szCs w:val="25"/>
        </w:rPr>
        <w:t>section 170 of the Seychelles Code of Civil Procedure</w:t>
      </w:r>
      <w:r w:rsidRPr="0098556E">
        <w:rPr>
          <w:rFonts w:ascii="Times New Roman" w:hAnsi="Times New Roman" w:cs="Times New Roman"/>
          <w:sz w:val="25"/>
          <w:szCs w:val="25"/>
        </w:rPr>
        <w:t xml:space="preserve"> </w:t>
      </w:r>
      <w:r w:rsidRPr="0098556E">
        <w:rPr>
          <w:rFonts w:ascii="Times New Roman" w:hAnsi="Times New Roman" w:cs="Times New Roman"/>
          <w:b/>
          <w:bCs/>
          <w:sz w:val="25"/>
          <w:szCs w:val="25"/>
        </w:rPr>
        <w:t>“</w:t>
      </w:r>
      <w:r w:rsidRPr="0098556E">
        <w:rPr>
          <w:rFonts w:ascii="Times New Roman" w:hAnsi="Times New Roman" w:cs="Times New Roman"/>
          <w:i/>
          <w:iCs/>
          <w:sz w:val="25"/>
          <w:szCs w:val="25"/>
        </w:rPr>
        <w:t xml:space="preserve">Affidavits </w:t>
      </w:r>
      <w:r w:rsidRPr="0098556E">
        <w:rPr>
          <w:rFonts w:ascii="Times New Roman" w:hAnsi="Times New Roman" w:cs="Times New Roman"/>
          <w:i/>
          <w:iCs/>
          <w:color w:val="000000"/>
          <w:sz w:val="25"/>
          <w:szCs w:val="25"/>
          <w:shd w:val="clear" w:color="auto" w:fill="FFFFFF"/>
        </w:rPr>
        <w:t>shall be confined to such facts as the witness is able of his own knowledge to prove, except on interlocutory applications, on which statements as to his belief, with the grounds thereof, may be admitted</w:t>
      </w:r>
      <w:r w:rsidRPr="0098556E">
        <w:rPr>
          <w:rFonts w:ascii="Times New Roman" w:hAnsi="Times New Roman" w:cs="Times New Roman"/>
          <w:color w:val="000000"/>
          <w:sz w:val="25"/>
          <w:szCs w:val="25"/>
          <w:shd w:val="clear" w:color="auto" w:fill="FFFFFF"/>
        </w:rPr>
        <w:t>.</w:t>
      </w:r>
      <w:r w:rsidRPr="0098556E">
        <w:rPr>
          <w:rFonts w:ascii="Times New Roman" w:hAnsi="Times New Roman" w:cs="Times New Roman"/>
          <w:b/>
          <w:bCs/>
          <w:color w:val="000000"/>
          <w:sz w:val="25"/>
          <w:szCs w:val="25"/>
          <w:shd w:val="clear" w:color="auto" w:fill="FFFFFF"/>
        </w:rPr>
        <w:t>”</w:t>
      </w:r>
      <w:proofErr w:type="gramEnd"/>
      <w:r w:rsidRPr="0098556E">
        <w:rPr>
          <w:rFonts w:ascii="Times New Roman" w:hAnsi="Times New Roman" w:cs="Times New Roman"/>
          <w:color w:val="000000"/>
          <w:sz w:val="25"/>
          <w:szCs w:val="25"/>
          <w:shd w:val="clear" w:color="auto" w:fill="FFFFFF"/>
        </w:rPr>
        <w:t xml:space="preserve"> It is also clear from the averment of the deponent that the</w:t>
      </w:r>
      <w:r w:rsidRPr="0098556E">
        <w:rPr>
          <w:rFonts w:ascii="Times New Roman" w:hAnsi="Times New Roman" w:cs="Times New Roman"/>
          <w:sz w:val="25"/>
          <w:szCs w:val="25"/>
        </w:rPr>
        <w:t xml:space="preserve"> multiple attempts to pay the security for costs by its attorney had been after the </w:t>
      </w:r>
      <w:proofErr w:type="gramStart"/>
      <w:r w:rsidRPr="0098556E">
        <w:rPr>
          <w:rFonts w:ascii="Times New Roman" w:hAnsi="Times New Roman" w:cs="Times New Roman"/>
          <w:sz w:val="25"/>
          <w:szCs w:val="25"/>
        </w:rPr>
        <w:t>time period</w:t>
      </w:r>
      <w:proofErr w:type="gramEnd"/>
      <w:r w:rsidRPr="0098556E">
        <w:rPr>
          <w:rFonts w:ascii="Times New Roman" w:hAnsi="Times New Roman" w:cs="Times New Roman"/>
          <w:sz w:val="25"/>
          <w:szCs w:val="25"/>
        </w:rPr>
        <w:t xml:space="preserve"> for the payment of security ha</w:t>
      </w:r>
      <w:r w:rsidR="00C71F11">
        <w:rPr>
          <w:rFonts w:ascii="Times New Roman" w:hAnsi="Times New Roman" w:cs="Times New Roman"/>
          <w:sz w:val="25"/>
          <w:szCs w:val="25"/>
        </w:rPr>
        <w:t>d</w:t>
      </w:r>
      <w:r w:rsidRPr="0098556E">
        <w:rPr>
          <w:rFonts w:ascii="Times New Roman" w:hAnsi="Times New Roman" w:cs="Times New Roman"/>
          <w:sz w:val="25"/>
          <w:szCs w:val="25"/>
        </w:rPr>
        <w:t xml:space="preserve"> lapsed</w:t>
      </w:r>
      <w:r w:rsidR="00C71F11">
        <w:rPr>
          <w:rFonts w:ascii="Times New Roman" w:hAnsi="Times New Roman" w:cs="Times New Roman"/>
          <w:sz w:val="25"/>
          <w:szCs w:val="25"/>
        </w:rPr>
        <w:t>,</w:t>
      </w:r>
      <w:r w:rsidRPr="0098556E">
        <w:rPr>
          <w:rFonts w:ascii="Times New Roman" w:hAnsi="Times New Roman" w:cs="Times New Roman"/>
          <w:sz w:val="25"/>
          <w:szCs w:val="25"/>
        </w:rPr>
        <w:t xml:space="preserve"> and therefore why such attempts had been unsuccessful.</w:t>
      </w:r>
    </w:p>
    <w:p w:rsidR="0098556E" w:rsidRPr="0098556E" w:rsidRDefault="0098556E" w:rsidP="0098556E">
      <w:pPr>
        <w:pStyle w:val="ListParagraph"/>
        <w:spacing w:line="360" w:lineRule="auto"/>
        <w:jc w:val="both"/>
        <w:rPr>
          <w:rFonts w:ascii="Times New Roman" w:hAnsi="Times New Roman" w:cs="Times New Roman"/>
          <w:sz w:val="25"/>
          <w:szCs w:val="25"/>
        </w:rPr>
      </w:pPr>
    </w:p>
    <w:p w:rsidR="0098556E" w:rsidRPr="0098556E" w:rsidRDefault="0098556E" w:rsidP="0098556E">
      <w:pPr>
        <w:pStyle w:val="ListParagraph"/>
        <w:numPr>
          <w:ilvl w:val="0"/>
          <w:numId w:val="12"/>
        </w:numPr>
        <w:spacing w:line="360" w:lineRule="auto"/>
        <w:jc w:val="both"/>
        <w:rPr>
          <w:rFonts w:ascii="Times New Roman" w:hAnsi="Times New Roman" w:cs="Times New Roman"/>
          <w:sz w:val="25"/>
          <w:szCs w:val="25"/>
        </w:rPr>
      </w:pPr>
      <w:r w:rsidRPr="0098556E">
        <w:rPr>
          <w:rFonts w:ascii="Times New Roman" w:hAnsi="Times New Roman" w:cs="Times New Roman"/>
          <w:sz w:val="25"/>
          <w:szCs w:val="25"/>
        </w:rPr>
        <w:t xml:space="preserve">I am of the view that ‘good cause’ has not been shown for the exercise of my discretion to grant an extension of time to furnish security and therefore dismiss the application. </w:t>
      </w:r>
      <w:r w:rsidRPr="0098556E">
        <w:rPr>
          <w:rFonts w:ascii="Times New Roman" w:hAnsi="Times New Roman" w:cs="Times New Roman"/>
          <w:color w:val="000000"/>
          <w:sz w:val="25"/>
          <w:szCs w:val="25"/>
          <w:shd w:val="clear" w:color="auto" w:fill="FFFFFF"/>
        </w:rPr>
        <w:t xml:space="preserve"> </w:t>
      </w:r>
    </w:p>
    <w:p w:rsidR="0098556E" w:rsidRPr="0098556E" w:rsidRDefault="0098556E" w:rsidP="0098556E">
      <w:pPr>
        <w:pStyle w:val="ListParagraph"/>
        <w:rPr>
          <w:rFonts w:ascii="Times New Roman" w:hAnsi="Times New Roman" w:cs="Times New Roman"/>
          <w:sz w:val="25"/>
          <w:szCs w:val="25"/>
        </w:rPr>
      </w:pPr>
    </w:p>
    <w:p w:rsidR="0098556E" w:rsidRPr="0098556E" w:rsidRDefault="0098556E" w:rsidP="0098556E">
      <w:pPr>
        <w:pStyle w:val="ListParagraph"/>
        <w:spacing w:line="360" w:lineRule="auto"/>
        <w:jc w:val="both"/>
        <w:rPr>
          <w:rFonts w:ascii="Times New Roman" w:hAnsi="Times New Roman" w:cs="Times New Roman"/>
          <w:sz w:val="4"/>
          <w:szCs w:val="4"/>
        </w:rPr>
      </w:pPr>
    </w:p>
    <w:p w:rsidR="0098556E" w:rsidRDefault="0098556E" w:rsidP="0098556E">
      <w:pPr>
        <w:pStyle w:val="JudgmentText"/>
        <w:numPr>
          <w:ilvl w:val="0"/>
          <w:numId w:val="0"/>
        </w:numPr>
        <w:ind w:left="360"/>
      </w:pPr>
      <w:r w:rsidRPr="00A22E70">
        <w:t>Signed, dated and delivered at Ile du Port on 2</w:t>
      </w:r>
      <w:r w:rsidR="004A4AC1">
        <w:t>3</w:t>
      </w:r>
      <w:r w:rsidR="004A4AC1" w:rsidRPr="004A4AC1">
        <w:rPr>
          <w:vertAlign w:val="superscript"/>
        </w:rPr>
        <w:t>rd</w:t>
      </w:r>
      <w:r w:rsidR="004A4AC1">
        <w:t xml:space="preserve"> </w:t>
      </w:r>
      <w:r>
        <w:t xml:space="preserve">March </w:t>
      </w:r>
      <w:r w:rsidRPr="00A22E70">
        <w:t>202</w:t>
      </w:r>
      <w:r>
        <w:t>1</w:t>
      </w:r>
    </w:p>
    <w:p w:rsidR="0098556E" w:rsidRDefault="0098556E" w:rsidP="0098556E">
      <w:pPr>
        <w:pStyle w:val="JudgmentText"/>
        <w:numPr>
          <w:ilvl w:val="0"/>
          <w:numId w:val="0"/>
        </w:numPr>
        <w:ind w:left="360"/>
        <w:rPr>
          <w:sz w:val="10"/>
          <w:szCs w:val="10"/>
        </w:rPr>
      </w:pPr>
    </w:p>
    <w:p w:rsidR="00C71F11" w:rsidRDefault="00C71F11" w:rsidP="0098556E">
      <w:pPr>
        <w:pStyle w:val="JudgmentText"/>
        <w:numPr>
          <w:ilvl w:val="0"/>
          <w:numId w:val="0"/>
        </w:numPr>
        <w:ind w:left="360"/>
        <w:rPr>
          <w:sz w:val="10"/>
          <w:szCs w:val="10"/>
        </w:rPr>
      </w:pPr>
    </w:p>
    <w:p w:rsidR="0098556E" w:rsidRPr="0098556E" w:rsidRDefault="0098556E" w:rsidP="0098556E">
      <w:pPr>
        <w:keepNext/>
        <w:ind w:left="360"/>
        <w:rPr>
          <w:rFonts w:ascii="Times New Roman" w:hAnsi="Times New Roman" w:cs="Times New Roman"/>
          <w:sz w:val="24"/>
          <w:szCs w:val="24"/>
        </w:rPr>
      </w:pPr>
      <w:r w:rsidRPr="0098556E">
        <w:rPr>
          <w:rFonts w:ascii="Times New Roman" w:hAnsi="Times New Roman" w:cs="Times New Roman"/>
          <w:sz w:val="24"/>
          <w:szCs w:val="24"/>
        </w:rPr>
        <w:t>____________</w:t>
      </w:r>
    </w:p>
    <w:p w:rsidR="0098556E" w:rsidRPr="0098556E" w:rsidRDefault="0098556E" w:rsidP="0098556E">
      <w:pPr>
        <w:pStyle w:val="ListParagraph"/>
        <w:keepNext/>
        <w:ind w:left="360"/>
        <w:rPr>
          <w:rFonts w:ascii="Times New Roman" w:hAnsi="Times New Roman" w:cs="Times New Roman"/>
          <w:sz w:val="24"/>
          <w:szCs w:val="24"/>
        </w:rPr>
      </w:pPr>
      <w:r>
        <w:rPr>
          <w:rFonts w:ascii="Times New Roman" w:hAnsi="Times New Roman" w:cs="Times New Roman"/>
          <w:sz w:val="24"/>
          <w:szCs w:val="24"/>
        </w:rPr>
        <w:t>Fernando, President</w:t>
      </w:r>
    </w:p>
    <w:p w:rsidR="0098556E" w:rsidRPr="0098556E" w:rsidRDefault="0098556E" w:rsidP="0098556E"/>
    <w:sectPr w:rsidR="0098556E" w:rsidRPr="0098556E" w:rsidSect="0098556E">
      <w:footerReference w:type="default" r:id="rId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24" w:rsidRDefault="00F54E24" w:rsidP="006A68E2">
      <w:pPr>
        <w:spacing w:after="0" w:line="240" w:lineRule="auto"/>
      </w:pPr>
      <w:r>
        <w:separator/>
      </w:r>
    </w:p>
  </w:endnote>
  <w:endnote w:type="continuationSeparator" w:id="0">
    <w:p w:rsidR="00F54E24" w:rsidRDefault="00F54E2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F010D">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24" w:rsidRDefault="00F54E24" w:rsidP="006A68E2">
      <w:pPr>
        <w:spacing w:after="0" w:line="240" w:lineRule="auto"/>
      </w:pPr>
      <w:r>
        <w:separator/>
      </w:r>
    </w:p>
  </w:footnote>
  <w:footnote w:type="continuationSeparator" w:id="0">
    <w:p w:rsidR="00F54E24" w:rsidRDefault="00F54E2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3557E"/>
    <w:multiLevelType w:val="hybridMultilevel"/>
    <w:tmpl w:val="25F47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ED2AC8"/>
    <w:multiLevelType w:val="hybridMultilevel"/>
    <w:tmpl w:val="E822ECE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36388"/>
    <w:rsid w:val="00040193"/>
    <w:rsid w:val="00071B84"/>
    <w:rsid w:val="0008560D"/>
    <w:rsid w:val="0009242F"/>
    <w:rsid w:val="00097D19"/>
    <w:rsid w:val="000D5304"/>
    <w:rsid w:val="001135C2"/>
    <w:rsid w:val="001137AF"/>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A4AC1"/>
    <w:rsid w:val="004C16E0"/>
    <w:rsid w:val="005A5FCB"/>
    <w:rsid w:val="005B12AA"/>
    <w:rsid w:val="005D42E0"/>
    <w:rsid w:val="0061354A"/>
    <w:rsid w:val="00635504"/>
    <w:rsid w:val="00652326"/>
    <w:rsid w:val="00662CEA"/>
    <w:rsid w:val="0069118F"/>
    <w:rsid w:val="006A68E2"/>
    <w:rsid w:val="0070371E"/>
    <w:rsid w:val="00722761"/>
    <w:rsid w:val="00796B89"/>
    <w:rsid w:val="007B1F36"/>
    <w:rsid w:val="007D25FE"/>
    <w:rsid w:val="008001C8"/>
    <w:rsid w:val="008577B7"/>
    <w:rsid w:val="008D0CD6"/>
    <w:rsid w:val="008E771B"/>
    <w:rsid w:val="009539C2"/>
    <w:rsid w:val="0098556E"/>
    <w:rsid w:val="009858A3"/>
    <w:rsid w:val="009A769C"/>
    <w:rsid w:val="009B1EB3"/>
    <w:rsid w:val="009B495E"/>
    <w:rsid w:val="009F010D"/>
    <w:rsid w:val="009F125D"/>
    <w:rsid w:val="00A2058F"/>
    <w:rsid w:val="00B03209"/>
    <w:rsid w:val="00B950DF"/>
    <w:rsid w:val="00BB1A3E"/>
    <w:rsid w:val="00BC73B1"/>
    <w:rsid w:val="00C2466E"/>
    <w:rsid w:val="00C71F11"/>
    <w:rsid w:val="00CC437E"/>
    <w:rsid w:val="00CD09C7"/>
    <w:rsid w:val="00CE12D9"/>
    <w:rsid w:val="00D31F1B"/>
    <w:rsid w:val="00D33DBF"/>
    <w:rsid w:val="00D710E7"/>
    <w:rsid w:val="00E1659A"/>
    <w:rsid w:val="00ED0BFC"/>
    <w:rsid w:val="00EF13E2"/>
    <w:rsid w:val="00F33B83"/>
    <w:rsid w:val="00F40588"/>
    <w:rsid w:val="00F54E24"/>
    <w:rsid w:val="00F80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A97"/>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8547713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F92E-9967-4FF8-AE71-B57C0C21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32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8</cp:revision>
  <cp:lastPrinted>2021-03-24T07:10:00Z</cp:lastPrinted>
  <dcterms:created xsi:type="dcterms:W3CDTF">2021-03-24T05:53:00Z</dcterms:created>
  <dcterms:modified xsi:type="dcterms:W3CDTF">2021-03-25T06:10:00Z</dcterms:modified>
</cp:coreProperties>
</file>