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5DE8B" w14:textId="77777777" w:rsidR="001D33D2" w:rsidRPr="002D3611" w:rsidRDefault="00AE25A3" w:rsidP="00FE6657">
      <w:pPr>
        <w:tabs>
          <w:tab w:val="left" w:pos="4092"/>
        </w:tabs>
        <w:spacing w:after="0" w:line="480" w:lineRule="auto"/>
        <w:jc w:val="center"/>
        <w:rPr>
          <w:rFonts w:ascii="Times" w:hAnsi="Times" w:cs="Times New Roman"/>
          <w:b/>
          <w:sz w:val="24"/>
          <w:szCs w:val="24"/>
        </w:rPr>
      </w:pPr>
      <w:r w:rsidRPr="002D3611">
        <w:rPr>
          <w:rFonts w:ascii="Times" w:hAnsi="Times" w:cs="Times New Roman"/>
          <w:b/>
          <w:sz w:val="24"/>
          <w:szCs w:val="24"/>
        </w:rPr>
        <w:t>IN THE SEYCHELLES</w:t>
      </w:r>
      <w:r w:rsidR="001D33D2" w:rsidRPr="002D3611">
        <w:rPr>
          <w:rFonts w:ascii="Times" w:hAnsi="Times" w:cs="Times New Roman"/>
          <w:b/>
          <w:sz w:val="24"/>
          <w:szCs w:val="24"/>
        </w:rPr>
        <w:t xml:space="preserve"> COURT OF </w:t>
      </w:r>
      <w:r w:rsidRPr="002D3611">
        <w:rPr>
          <w:rFonts w:ascii="Times" w:hAnsi="Times" w:cs="Times New Roman"/>
          <w:b/>
          <w:sz w:val="24"/>
          <w:szCs w:val="24"/>
        </w:rPr>
        <w:t>A</w:t>
      </w:r>
      <w:r w:rsidR="00DB1C6C" w:rsidRPr="002D3611">
        <w:rPr>
          <w:rFonts w:ascii="Times" w:hAnsi="Times" w:cs="Times New Roman"/>
          <w:b/>
          <w:sz w:val="24"/>
          <w:szCs w:val="24"/>
        </w:rPr>
        <w:t>P</w:t>
      </w:r>
      <w:r w:rsidRPr="002D3611">
        <w:rPr>
          <w:rFonts w:ascii="Times" w:hAnsi="Times" w:cs="Times New Roman"/>
          <w:b/>
          <w:sz w:val="24"/>
          <w:szCs w:val="24"/>
        </w:rPr>
        <w:t>PEAL</w:t>
      </w:r>
    </w:p>
    <w:p w14:paraId="21F7724F" w14:textId="77777777" w:rsidR="009539C2" w:rsidRPr="002D3611" w:rsidRDefault="009539C2" w:rsidP="00214DB4">
      <w:pPr>
        <w:pBdr>
          <w:bottom w:val="single" w:sz="4" w:space="1" w:color="auto"/>
        </w:pBdr>
        <w:tabs>
          <w:tab w:val="left" w:pos="4092"/>
        </w:tabs>
        <w:spacing w:line="240" w:lineRule="auto"/>
        <w:jc w:val="center"/>
        <w:rPr>
          <w:rFonts w:ascii="Times" w:hAnsi="Times" w:cs="Times New Roman"/>
          <w:b/>
          <w:sz w:val="24"/>
          <w:szCs w:val="24"/>
        </w:rPr>
      </w:pPr>
    </w:p>
    <w:p w14:paraId="2CE9052F" w14:textId="77777777" w:rsidR="00ED0BFC" w:rsidRPr="002D3611" w:rsidRDefault="00ED0BFC" w:rsidP="00214DB4">
      <w:pPr>
        <w:spacing w:after="0" w:line="240" w:lineRule="auto"/>
        <w:ind w:left="5580"/>
        <w:rPr>
          <w:rFonts w:ascii="Times" w:hAnsi="Times" w:cs="Times New Roman"/>
          <w:b/>
          <w:sz w:val="24"/>
          <w:szCs w:val="24"/>
          <w:u w:val="single"/>
        </w:rPr>
      </w:pPr>
      <w:r w:rsidRPr="002D3611">
        <w:rPr>
          <w:rFonts w:ascii="Times" w:hAnsi="Times" w:cs="Times New Roman"/>
          <w:b/>
          <w:sz w:val="24"/>
          <w:szCs w:val="24"/>
          <w:u w:val="single"/>
        </w:rPr>
        <w:t>Reportable</w:t>
      </w:r>
    </w:p>
    <w:p w14:paraId="0278B6AB" w14:textId="0ECE830A" w:rsidR="00AE25A3" w:rsidRPr="002D3611" w:rsidRDefault="00BC73B1" w:rsidP="00214DB4">
      <w:pPr>
        <w:spacing w:after="0" w:line="240" w:lineRule="auto"/>
        <w:ind w:left="5580"/>
        <w:rPr>
          <w:rFonts w:ascii="Times" w:hAnsi="Times" w:cs="Times New Roman"/>
          <w:sz w:val="24"/>
          <w:szCs w:val="24"/>
        </w:rPr>
      </w:pPr>
      <w:r w:rsidRPr="002D3611">
        <w:rPr>
          <w:rFonts w:ascii="Times" w:hAnsi="Times" w:cs="Times New Roman"/>
          <w:sz w:val="24"/>
          <w:szCs w:val="24"/>
        </w:rPr>
        <w:t>[20</w:t>
      </w:r>
      <w:r w:rsidR="00AE25A3" w:rsidRPr="002D3611">
        <w:rPr>
          <w:rFonts w:ascii="Times" w:hAnsi="Times" w:cs="Times New Roman"/>
          <w:sz w:val="24"/>
          <w:szCs w:val="24"/>
        </w:rPr>
        <w:t>2</w:t>
      </w:r>
      <w:r w:rsidR="00C66776" w:rsidRPr="002D3611">
        <w:rPr>
          <w:rFonts w:ascii="Times" w:hAnsi="Times" w:cs="Times New Roman"/>
          <w:sz w:val="24"/>
          <w:szCs w:val="24"/>
        </w:rPr>
        <w:t>1</w:t>
      </w:r>
      <w:r w:rsidR="00AE25A3" w:rsidRPr="002D3611">
        <w:rPr>
          <w:rFonts w:ascii="Times" w:hAnsi="Times" w:cs="Times New Roman"/>
          <w:sz w:val="24"/>
          <w:szCs w:val="24"/>
        </w:rPr>
        <w:t>]</w:t>
      </w:r>
      <w:r w:rsidRPr="002D3611">
        <w:rPr>
          <w:rFonts w:ascii="Times" w:hAnsi="Times" w:cs="Times New Roman"/>
          <w:sz w:val="24"/>
          <w:szCs w:val="24"/>
        </w:rPr>
        <w:t xml:space="preserve"> SC</w:t>
      </w:r>
      <w:r w:rsidR="00AE25A3" w:rsidRPr="002D3611">
        <w:rPr>
          <w:rFonts w:ascii="Times" w:hAnsi="Times" w:cs="Times New Roman"/>
          <w:sz w:val="24"/>
          <w:szCs w:val="24"/>
        </w:rPr>
        <w:t xml:space="preserve">CA </w:t>
      </w:r>
      <w:r w:rsidR="00D324F6">
        <w:rPr>
          <w:rFonts w:ascii="Times" w:hAnsi="Times" w:cs="Times New Roman"/>
          <w:sz w:val="24"/>
          <w:szCs w:val="24"/>
        </w:rPr>
        <w:t>34</w:t>
      </w:r>
      <w:r w:rsidR="00C66776" w:rsidRPr="002D3611">
        <w:rPr>
          <w:rFonts w:ascii="Times" w:hAnsi="Times" w:cs="Times New Roman"/>
          <w:sz w:val="24"/>
          <w:szCs w:val="24"/>
        </w:rPr>
        <w:t xml:space="preserve">  </w:t>
      </w:r>
      <w:r w:rsidR="008B3BC5" w:rsidRPr="002D3611">
        <w:rPr>
          <w:rFonts w:ascii="Times" w:hAnsi="Times" w:cs="Times New Roman"/>
          <w:sz w:val="24"/>
          <w:szCs w:val="24"/>
        </w:rPr>
        <w:t xml:space="preserve">  </w:t>
      </w:r>
      <w:r w:rsidR="006A55D1" w:rsidRPr="002D3611">
        <w:rPr>
          <w:rFonts w:ascii="Times" w:hAnsi="Times" w:cs="Times New Roman"/>
          <w:sz w:val="24"/>
          <w:szCs w:val="24"/>
        </w:rPr>
        <w:t>(</w:t>
      </w:r>
      <w:r w:rsidR="00D324F6">
        <w:rPr>
          <w:rFonts w:ascii="Times" w:hAnsi="Times" w:cs="Times New Roman"/>
          <w:sz w:val="24"/>
          <w:szCs w:val="24"/>
        </w:rPr>
        <w:t xml:space="preserve">13 </w:t>
      </w:r>
      <w:r w:rsidR="00623933" w:rsidRPr="002D3611">
        <w:rPr>
          <w:rFonts w:ascii="Times" w:hAnsi="Times" w:cs="Times New Roman"/>
          <w:sz w:val="24"/>
          <w:szCs w:val="24"/>
        </w:rPr>
        <w:t>August</w:t>
      </w:r>
      <w:r w:rsidR="00A72D3A" w:rsidRPr="002D3611">
        <w:rPr>
          <w:rFonts w:ascii="Times" w:hAnsi="Times" w:cs="Times New Roman"/>
          <w:sz w:val="24"/>
          <w:szCs w:val="24"/>
        </w:rPr>
        <w:t xml:space="preserve"> 2021</w:t>
      </w:r>
      <w:r w:rsidR="006A55D1" w:rsidRPr="002D3611">
        <w:rPr>
          <w:rFonts w:ascii="Times" w:hAnsi="Times" w:cs="Times New Roman"/>
          <w:sz w:val="24"/>
          <w:szCs w:val="24"/>
        </w:rPr>
        <w:t>)</w:t>
      </w:r>
      <w:r w:rsidR="00C66776" w:rsidRPr="002D3611">
        <w:rPr>
          <w:rFonts w:ascii="Times" w:hAnsi="Times" w:cs="Times New Roman"/>
          <w:sz w:val="24"/>
          <w:szCs w:val="24"/>
        </w:rPr>
        <w:t xml:space="preserve"> </w:t>
      </w:r>
    </w:p>
    <w:p w14:paraId="6C046262" w14:textId="5B86CA66" w:rsidR="00AE25A3" w:rsidRPr="002D3611" w:rsidRDefault="00C66776" w:rsidP="009F35F6">
      <w:pPr>
        <w:spacing w:after="0" w:line="240" w:lineRule="auto"/>
        <w:ind w:left="5580"/>
        <w:rPr>
          <w:rFonts w:ascii="Times" w:hAnsi="Times" w:cs="Times New Roman"/>
          <w:sz w:val="24"/>
          <w:szCs w:val="24"/>
        </w:rPr>
      </w:pPr>
      <w:r w:rsidRPr="002D3611">
        <w:rPr>
          <w:rFonts w:ascii="Times" w:hAnsi="Times" w:cs="Times New Roman"/>
          <w:sz w:val="24"/>
          <w:szCs w:val="24"/>
        </w:rPr>
        <w:t>SCA</w:t>
      </w:r>
      <w:r w:rsidR="009F35F6" w:rsidRPr="002D3611">
        <w:rPr>
          <w:rFonts w:ascii="Times" w:hAnsi="Times" w:cs="Times New Roman"/>
          <w:sz w:val="24"/>
          <w:szCs w:val="24"/>
        </w:rPr>
        <w:t xml:space="preserve"> </w:t>
      </w:r>
      <w:r w:rsidR="00623933" w:rsidRPr="002D3611">
        <w:rPr>
          <w:rFonts w:ascii="Times" w:hAnsi="Times" w:cs="Times New Roman"/>
          <w:sz w:val="24"/>
          <w:szCs w:val="24"/>
        </w:rPr>
        <w:t>68</w:t>
      </w:r>
      <w:r w:rsidRPr="002D3611">
        <w:rPr>
          <w:rFonts w:ascii="Times" w:hAnsi="Times" w:cs="Times New Roman"/>
          <w:sz w:val="24"/>
          <w:szCs w:val="24"/>
        </w:rPr>
        <w:t>/</w:t>
      </w:r>
      <w:r w:rsidR="009F35F6" w:rsidRPr="002D3611">
        <w:rPr>
          <w:rFonts w:ascii="Times" w:hAnsi="Times" w:cs="Times New Roman"/>
          <w:sz w:val="24"/>
          <w:szCs w:val="24"/>
        </w:rPr>
        <w:t>2</w:t>
      </w:r>
      <w:r w:rsidR="006A55D1" w:rsidRPr="002D3611">
        <w:rPr>
          <w:rFonts w:ascii="Times" w:hAnsi="Times" w:cs="Times New Roman"/>
          <w:sz w:val="24"/>
          <w:szCs w:val="24"/>
        </w:rPr>
        <w:t>0</w:t>
      </w:r>
      <w:r w:rsidR="00A72D3A" w:rsidRPr="002D3611">
        <w:rPr>
          <w:rFonts w:ascii="Times" w:hAnsi="Times" w:cs="Times New Roman"/>
          <w:sz w:val="24"/>
          <w:szCs w:val="24"/>
        </w:rPr>
        <w:t>18</w:t>
      </w:r>
      <w:r w:rsidR="009F35F6" w:rsidRPr="002D3611">
        <w:rPr>
          <w:rFonts w:ascii="Times" w:hAnsi="Times" w:cs="Times New Roman"/>
          <w:sz w:val="24"/>
          <w:szCs w:val="24"/>
        </w:rPr>
        <w:t xml:space="preserve"> </w:t>
      </w:r>
    </w:p>
    <w:p w14:paraId="7F3F4681" w14:textId="74115708" w:rsidR="002E2AE3" w:rsidRPr="002D3611" w:rsidRDefault="00D324F6" w:rsidP="00FE6657">
      <w:pPr>
        <w:spacing w:after="0" w:line="240" w:lineRule="auto"/>
        <w:ind w:left="5580"/>
        <w:rPr>
          <w:rFonts w:ascii="Times" w:hAnsi="Times" w:cs="Times New Roman"/>
          <w:sz w:val="24"/>
          <w:szCs w:val="24"/>
        </w:rPr>
      </w:pPr>
      <w:r>
        <w:rPr>
          <w:rFonts w:ascii="Times" w:hAnsi="Times" w:cs="Times New Roman"/>
          <w:sz w:val="24"/>
          <w:szCs w:val="24"/>
        </w:rPr>
        <w:t>(</w:t>
      </w:r>
      <w:r w:rsidR="006A55D1" w:rsidRPr="002D3611">
        <w:rPr>
          <w:rFonts w:ascii="Times" w:hAnsi="Times" w:cs="Times New Roman"/>
          <w:sz w:val="24"/>
          <w:szCs w:val="24"/>
        </w:rPr>
        <w:t>Appeal from</w:t>
      </w:r>
      <w:r w:rsidR="00C66776" w:rsidRPr="002D3611">
        <w:rPr>
          <w:rFonts w:ascii="Times" w:hAnsi="Times" w:cs="Times New Roman"/>
          <w:sz w:val="24"/>
          <w:szCs w:val="24"/>
        </w:rPr>
        <w:t xml:space="preserve"> C</w:t>
      </w:r>
      <w:r w:rsidR="00623933" w:rsidRPr="002D3611">
        <w:rPr>
          <w:rFonts w:ascii="Times" w:hAnsi="Times" w:cs="Times New Roman"/>
          <w:sz w:val="24"/>
          <w:szCs w:val="24"/>
        </w:rPr>
        <w:t>S 2</w:t>
      </w:r>
      <w:r w:rsidR="00C66776" w:rsidRPr="002D3611">
        <w:rPr>
          <w:rFonts w:ascii="Times" w:hAnsi="Times" w:cs="Times New Roman"/>
          <w:sz w:val="24"/>
          <w:szCs w:val="24"/>
        </w:rPr>
        <w:t>/201</w:t>
      </w:r>
      <w:r w:rsidR="00623933" w:rsidRPr="002D3611">
        <w:rPr>
          <w:rFonts w:ascii="Times" w:hAnsi="Times" w:cs="Times New Roman"/>
          <w:sz w:val="24"/>
          <w:szCs w:val="24"/>
        </w:rPr>
        <w:t>7</w:t>
      </w:r>
      <w:r w:rsidR="00AE25A3" w:rsidRPr="002D3611">
        <w:rPr>
          <w:rFonts w:ascii="Times" w:hAnsi="Times" w:cs="Times New Roman"/>
          <w:sz w:val="24"/>
          <w:szCs w:val="24"/>
        </w:rPr>
        <w:t>)</w:t>
      </w:r>
      <w:r w:rsidR="00B328F1" w:rsidRPr="002D3611">
        <w:rPr>
          <w:rFonts w:ascii="Times" w:hAnsi="Times" w:cs="Times New Roman"/>
          <w:sz w:val="24"/>
          <w:szCs w:val="24"/>
        </w:rPr>
        <w:t xml:space="preserve"> </w:t>
      </w:r>
      <w:r w:rsidR="006A55D1" w:rsidRPr="002D3611">
        <w:rPr>
          <w:rFonts w:ascii="Times" w:hAnsi="Times" w:cs="Times New Roman"/>
          <w:sz w:val="24"/>
          <w:szCs w:val="24"/>
        </w:rPr>
        <w:t xml:space="preserve">[2018] </w:t>
      </w:r>
      <w:r w:rsidR="00B328F1" w:rsidRPr="002D3611">
        <w:rPr>
          <w:rFonts w:ascii="Times" w:hAnsi="Times" w:cs="Times New Roman"/>
          <w:sz w:val="24"/>
          <w:szCs w:val="24"/>
        </w:rPr>
        <w:t xml:space="preserve">SCSC </w:t>
      </w:r>
      <w:r w:rsidR="00623933" w:rsidRPr="002D3611">
        <w:rPr>
          <w:rFonts w:ascii="Times" w:hAnsi="Times" w:cs="Times New Roman"/>
          <w:sz w:val="24"/>
          <w:szCs w:val="24"/>
        </w:rPr>
        <w:t>976</w:t>
      </w:r>
    </w:p>
    <w:p w14:paraId="3980D234" w14:textId="77777777" w:rsidR="006A68E2" w:rsidRPr="002D3611" w:rsidRDefault="006A68E2" w:rsidP="00214DB4">
      <w:pPr>
        <w:spacing w:after="0" w:line="240" w:lineRule="auto"/>
        <w:ind w:left="5580"/>
        <w:rPr>
          <w:rFonts w:ascii="Times" w:hAnsi="Times" w:cs="Times New Roman"/>
          <w:sz w:val="24"/>
          <w:szCs w:val="24"/>
        </w:rPr>
      </w:pPr>
    </w:p>
    <w:p w14:paraId="1E0CDACD" w14:textId="77777777" w:rsidR="002D4EB8" w:rsidRPr="002D3611" w:rsidRDefault="002D4EB8" w:rsidP="00214DB4">
      <w:pPr>
        <w:tabs>
          <w:tab w:val="left" w:pos="540"/>
          <w:tab w:val="left" w:pos="4092"/>
        </w:tabs>
        <w:spacing w:after="0" w:line="240" w:lineRule="auto"/>
        <w:rPr>
          <w:rFonts w:ascii="Times" w:hAnsi="Times" w:cs="Times New Roman"/>
          <w:sz w:val="24"/>
          <w:szCs w:val="24"/>
        </w:rPr>
      </w:pPr>
      <w:r w:rsidRPr="002D3611">
        <w:rPr>
          <w:rFonts w:ascii="Times" w:hAnsi="Times" w:cs="Times New Roman"/>
          <w:sz w:val="24"/>
          <w:szCs w:val="24"/>
        </w:rPr>
        <w:t>In the matter between</w:t>
      </w:r>
      <w:r w:rsidR="008577B7" w:rsidRPr="002D3611">
        <w:rPr>
          <w:rFonts w:ascii="Times" w:hAnsi="Times" w:cs="Times New Roman"/>
          <w:sz w:val="24"/>
          <w:szCs w:val="24"/>
        </w:rPr>
        <w:t xml:space="preserve"> </w:t>
      </w:r>
    </w:p>
    <w:p w14:paraId="6E32B001" w14:textId="13525576" w:rsidR="002E2AE3" w:rsidRPr="002D3611" w:rsidRDefault="00623933" w:rsidP="00214DB4">
      <w:pPr>
        <w:pStyle w:val="Partynames"/>
        <w:rPr>
          <w:rFonts w:ascii="Times" w:hAnsi="Times"/>
        </w:rPr>
      </w:pPr>
      <w:r w:rsidRPr="002D3611">
        <w:rPr>
          <w:rFonts w:ascii="Times" w:hAnsi="Times"/>
        </w:rPr>
        <w:t>MOHAMED ISA KHUDABIN</w:t>
      </w:r>
      <w:r w:rsidR="00064593" w:rsidRPr="002D3611">
        <w:rPr>
          <w:rFonts w:ascii="Times" w:hAnsi="Times"/>
        </w:rPr>
        <w:tab/>
      </w:r>
      <w:r w:rsidR="00B328F1" w:rsidRPr="002D3611">
        <w:rPr>
          <w:rFonts w:ascii="Times" w:hAnsi="Times"/>
        </w:rPr>
        <w:tab/>
      </w:r>
      <w:r w:rsidR="00B328F1" w:rsidRPr="002D3611">
        <w:rPr>
          <w:rFonts w:ascii="Times" w:hAnsi="Times"/>
        </w:rPr>
        <w:tab/>
      </w:r>
      <w:r w:rsidR="00AE25A3" w:rsidRPr="002D3611">
        <w:rPr>
          <w:rFonts w:ascii="Times" w:hAnsi="Times"/>
        </w:rPr>
        <w:t>App</w:t>
      </w:r>
      <w:r w:rsidR="00B328F1" w:rsidRPr="002D3611">
        <w:rPr>
          <w:rFonts w:ascii="Times" w:hAnsi="Times"/>
        </w:rPr>
        <w:t>ellant</w:t>
      </w:r>
    </w:p>
    <w:p w14:paraId="299705C9" w14:textId="77777777" w:rsidR="002E2AE3" w:rsidRPr="002D3611" w:rsidRDefault="002E2AE3" w:rsidP="00214DB4">
      <w:pPr>
        <w:pStyle w:val="Attorneysnames"/>
        <w:rPr>
          <w:rFonts w:ascii="Times" w:hAnsi="Times"/>
        </w:rPr>
      </w:pPr>
      <w:r w:rsidRPr="002D3611">
        <w:rPr>
          <w:rFonts w:ascii="Times" w:hAnsi="Times"/>
        </w:rPr>
        <w:t>(</w:t>
      </w:r>
      <w:proofErr w:type="gramStart"/>
      <w:r w:rsidRPr="002D3611">
        <w:rPr>
          <w:rFonts w:ascii="Times" w:hAnsi="Times"/>
        </w:rPr>
        <w:t>rep</w:t>
      </w:r>
      <w:proofErr w:type="gramEnd"/>
      <w:r w:rsidRPr="002D3611">
        <w:rPr>
          <w:rFonts w:ascii="Times" w:hAnsi="Times"/>
        </w:rPr>
        <w:t>. by</w:t>
      </w:r>
      <w:r w:rsidR="00C66776" w:rsidRPr="002D3611">
        <w:rPr>
          <w:rFonts w:ascii="Times" w:hAnsi="Times"/>
        </w:rPr>
        <w:t xml:space="preserve"> </w:t>
      </w:r>
      <w:r w:rsidR="00A72D3A" w:rsidRPr="002D3611">
        <w:rPr>
          <w:rFonts w:ascii="Times" w:hAnsi="Times"/>
        </w:rPr>
        <w:t>Joel Camille</w:t>
      </w:r>
      <w:r w:rsidR="003814FD" w:rsidRPr="002D3611">
        <w:rPr>
          <w:rFonts w:ascii="Times" w:hAnsi="Times"/>
        </w:rPr>
        <w:t>)</w:t>
      </w:r>
      <w:r w:rsidR="0070371E" w:rsidRPr="002D3611">
        <w:rPr>
          <w:rFonts w:ascii="Times" w:hAnsi="Times"/>
        </w:rPr>
        <w:t xml:space="preserve"> </w:t>
      </w:r>
    </w:p>
    <w:p w14:paraId="21C5A765" w14:textId="77777777" w:rsidR="00380619" w:rsidRPr="002D3611" w:rsidRDefault="00380619" w:rsidP="00214DB4">
      <w:pPr>
        <w:tabs>
          <w:tab w:val="left" w:pos="540"/>
          <w:tab w:val="left" w:pos="4092"/>
          <w:tab w:val="left" w:pos="5580"/>
        </w:tabs>
        <w:spacing w:after="0" w:line="240" w:lineRule="auto"/>
        <w:rPr>
          <w:rFonts w:ascii="Times" w:hAnsi="Times" w:cs="Times New Roman"/>
          <w:sz w:val="24"/>
          <w:szCs w:val="24"/>
        </w:rPr>
      </w:pPr>
    </w:p>
    <w:p w14:paraId="36B38A16" w14:textId="77777777" w:rsidR="009539C2" w:rsidRPr="002D3611" w:rsidRDefault="002D4EB8" w:rsidP="00214DB4">
      <w:pPr>
        <w:tabs>
          <w:tab w:val="left" w:pos="540"/>
          <w:tab w:val="left" w:pos="4092"/>
          <w:tab w:val="left" w:pos="5580"/>
        </w:tabs>
        <w:spacing w:after="0" w:line="240" w:lineRule="auto"/>
        <w:rPr>
          <w:rFonts w:ascii="Times" w:hAnsi="Times" w:cs="Times New Roman"/>
          <w:sz w:val="24"/>
          <w:szCs w:val="24"/>
        </w:rPr>
      </w:pPr>
      <w:proofErr w:type="gramStart"/>
      <w:r w:rsidRPr="002D3611">
        <w:rPr>
          <w:rFonts w:ascii="Times" w:hAnsi="Times" w:cs="Times New Roman"/>
          <w:sz w:val="24"/>
          <w:szCs w:val="24"/>
        </w:rPr>
        <w:t>and</w:t>
      </w:r>
      <w:proofErr w:type="gramEnd"/>
    </w:p>
    <w:p w14:paraId="20C530E8" w14:textId="77777777" w:rsidR="00F33B83" w:rsidRPr="002D3611" w:rsidRDefault="00F33B83" w:rsidP="00214DB4">
      <w:pPr>
        <w:tabs>
          <w:tab w:val="left" w:pos="540"/>
          <w:tab w:val="left" w:pos="5580"/>
          <w:tab w:val="left" w:pos="6480"/>
        </w:tabs>
        <w:spacing w:after="0" w:line="240" w:lineRule="auto"/>
        <w:rPr>
          <w:rFonts w:ascii="Times" w:hAnsi="Times" w:cs="Times New Roman"/>
          <w:b/>
          <w:sz w:val="24"/>
          <w:szCs w:val="24"/>
        </w:rPr>
      </w:pPr>
    </w:p>
    <w:p w14:paraId="47F1EFA0" w14:textId="7CED3E95" w:rsidR="00A72D3A" w:rsidRPr="002D3611" w:rsidRDefault="00A72D3A" w:rsidP="00214DB4">
      <w:pPr>
        <w:pStyle w:val="Partynames"/>
        <w:rPr>
          <w:rFonts w:ascii="Times" w:hAnsi="Times"/>
        </w:rPr>
      </w:pPr>
      <w:r w:rsidRPr="002D3611">
        <w:rPr>
          <w:rFonts w:ascii="Times" w:hAnsi="Times"/>
        </w:rPr>
        <w:t xml:space="preserve">1. </w:t>
      </w:r>
      <w:r w:rsidR="00623933" w:rsidRPr="002D3611">
        <w:rPr>
          <w:rFonts w:ascii="Times" w:hAnsi="Times"/>
        </w:rPr>
        <w:t>WILLETTE PORICE</w:t>
      </w:r>
    </w:p>
    <w:p w14:paraId="7249E7D3" w14:textId="12B5F10D" w:rsidR="002E2AE3" w:rsidRPr="002D3611" w:rsidRDefault="00A72D3A" w:rsidP="00214DB4">
      <w:pPr>
        <w:pStyle w:val="Partynames"/>
        <w:rPr>
          <w:rFonts w:ascii="Times" w:hAnsi="Times"/>
        </w:rPr>
      </w:pPr>
      <w:r w:rsidRPr="002D3611">
        <w:rPr>
          <w:rFonts w:ascii="Times" w:hAnsi="Times"/>
        </w:rPr>
        <w:t xml:space="preserve">2. </w:t>
      </w:r>
      <w:r w:rsidR="00623933" w:rsidRPr="002D3611">
        <w:rPr>
          <w:rFonts w:ascii="Times" w:hAnsi="Times"/>
        </w:rPr>
        <w:t>YVONNE LILINE PORICE</w:t>
      </w:r>
      <w:r w:rsidR="00623933" w:rsidRPr="002D3611">
        <w:rPr>
          <w:rFonts w:ascii="Times" w:hAnsi="Times"/>
        </w:rPr>
        <w:tab/>
      </w:r>
      <w:r w:rsidR="00623933" w:rsidRPr="002D3611">
        <w:rPr>
          <w:rFonts w:ascii="Times" w:hAnsi="Times"/>
        </w:rPr>
        <w:tab/>
      </w:r>
      <w:r w:rsidR="00623933" w:rsidRPr="002D3611">
        <w:rPr>
          <w:rFonts w:ascii="Times" w:hAnsi="Times"/>
        </w:rPr>
        <w:tab/>
      </w:r>
      <w:r w:rsidR="002E2AE3" w:rsidRPr="002D3611">
        <w:rPr>
          <w:rFonts w:ascii="Times" w:hAnsi="Times"/>
        </w:rPr>
        <w:t>Respondent</w:t>
      </w:r>
      <w:r w:rsidRPr="002D3611">
        <w:rPr>
          <w:rFonts w:ascii="Times" w:hAnsi="Times"/>
        </w:rPr>
        <w:t>s</w:t>
      </w:r>
    </w:p>
    <w:p w14:paraId="184F6CC9" w14:textId="68842E4F" w:rsidR="002E2AE3" w:rsidRPr="002D3611" w:rsidRDefault="002E2AE3" w:rsidP="00214DB4">
      <w:pPr>
        <w:tabs>
          <w:tab w:val="left" w:pos="540"/>
          <w:tab w:val="left" w:pos="4092"/>
        </w:tabs>
        <w:spacing w:after="0" w:line="240" w:lineRule="auto"/>
        <w:rPr>
          <w:rFonts w:ascii="Times" w:hAnsi="Times" w:cs="Times New Roman"/>
          <w:i/>
          <w:sz w:val="24"/>
          <w:szCs w:val="24"/>
        </w:rPr>
      </w:pPr>
      <w:r w:rsidRPr="002D3611">
        <w:rPr>
          <w:rFonts w:ascii="Times" w:hAnsi="Times" w:cs="Times New Roman"/>
          <w:i/>
          <w:sz w:val="24"/>
          <w:szCs w:val="24"/>
        </w:rPr>
        <w:t>(</w:t>
      </w:r>
      <w:proofErr w:type="gramStart"/>
      <w:r w:rsidRPr="002D3611">
        <w:rPr>
          <w:rFonts w:ascii="Times" w:hAnsi="Times" w:cs="Times New Roman"/>
          <w:i/>
          <w:sz w:val="24"/>
          <w:szCs w:val="24"/>
        </w:rPr>
        <w:t>rep</w:t>
      </w:r>
      <w:proofErr w:type="gramEnd"/>
      <w:r w:rsidRPr="002D3611">
        <w:rPr>
          <w:rFonts w:ascii="Times" w:hAnsi="Times" w:cs="Times New Roman"/>
          <w:i/>
          <w:sz w:val="24"/>
          <w:szCs w:val="24"/>
        </w:rPr>
        <w:t>. by</w:t>
      </w:r>
      <w:r w:rsidR="0003172C">
        <w:rPr>
          <w:rFonts w:ascii="Times" w:hAnsi="Times" w:cs="Times New Roman"/>
          <w:i/>
          <w:sz w:val="24"/>
          <w:szCs w:val="24"/>
        </w:rPr>
        <w:t xml:space="preserve"> Kelly Louise</w:t>
      </w:r>
      <w:r w:rsidRPr="002D3611">
        <w:rPr>
          <w:rFonts w:ascii="Times" w:hAnsi="Times" w:cs="Times New Roman"/>
          <w:i/>
          <w:sz w:val="24"/>
          <w:szCs w:val="24"/>
        </w:rPr>
        <w:t>)</w:t>
      </w:r>
    </w:p>
    <w:p w14:paraId="3A0D1A7C" w14:textId="77777777" w:rsidR="002E2AE3" w:rsidRPr="002D3611" w:rsidRDefault="00A72D3A" w:rsidP="00AE25A3">
      <w:pPr>
        <w:pStyle w:val="Partynames"/>
        <w:rPr>
          <w:rFonts w:ascii="Times" w:hAnsi="Times"/>
          <w:i/>
        </w:rPr>
      </w:pPr>
      <w:r w:rsidRPr="002D3611">
        <w:rPr>
          <w:rFonts w:ascii="Times" w:hAnsi="Times"/>
        </w:rPr>
        <w:t>_____________________________________________________________________________</w:t>
      </w:r>
      <w:r w:rsidR="00B328F1" w:rsidRPr="002D3611">
        <w:rPr>
          <w:rFonts w:ascii="Times" w:hAnsi="Times"/>
        </w:rPr>
        <w:tab/>
      </w:r>
    </w:p>
    <w:p w14:paraId="23BDDB1E" w14:textId="4953DCFA" w:rsidR="00FE6657" w:rsidRPr="002D3611" w:rsidRDefault="00405958" w:rsidP="00A72D3A">
      <w:pPr>
        <w:spacing w:before="120" w:after="0" w:line="240" w:lineRule="auto"/>
        <w:ind w:left="1886" w:hanging="1886"/>
        <w:rPr>
          <w:rFonts w:ascii="Times" w:hAnsi="Times" w:cs="Times New Roman"/>
          <w:sz w:val="24"/>
          <w:szCs w:val="24"/>
        </w:rPr>
      </w:pPr>
      <w:r w:rsidRPr="002D3611">
        <w:rPr>
          <w:rFonts w:ascii="Times" w:hAnsi="Times" w:cs="Times New Roman"/>
          <w:b/>
          <w:sz w:val="24"/>
          <w:szCs w:val="24"/>
        </w:rPr>
        <w:t>Neutral Citation:</w:t>
      </w:r>
      <w:r w:rsidR="004A2599" w:rsidRPr="002D3611">
        <w:rPr>
          <w:rFonts w:ascii="Times" w:hAnsi="Times" w:cs="Times New Roman"/>
          <w:sz w:val="24"/>
          <w:szCs w:val="24"/>
        </w:rPr>
        <w:t xml:space="preserve"> </w:t>
      </w:r>
      <w:r w:rsidR="00A51F9A" w:rsidRPr="002D3611">
        <w:rPr>
          <w:rFonts w:ascii="Times" w:hAnsi="Times" w:cs="Times New Roman"/>
          <w:sz w:val="24"/>
          <w:szCs w:val="24"/>
        </w:rPr>
        <w:t xml:space="preserve"> </w:t>
      </w:r>
      <w:r w:rsidR="00623933" w:rsidRPr="002D3611">
        <w:rPr>
          <w:rFonts w:ascii="Times" w:hAnsi="Times" w:cs="Times New Roman"/>
          <w:i/>
          <w:sz w:val="24"/>
          <w:szCs w:val="24"/>
        </w:rPr>
        <w:t xml:space="preserve">Mohamed </w:t>
      </w:r>
      <w:proofErr w:type="spellStart"/>
      <w:r w:rsidR="00623933" w:rsidRPr="002D3611">
        <w:rPr>
          <w:rFonts w:ascii="Times" w:hAnsi="Times" w:cs="Times New Roman"/>
          <w:i/>
          <w:sz w:val="24"/>
          <w:szCs w:val="24"/>
        </w:rPr>
        <w:t>Khudabin</w:t>
      </w:r>
      <w:proofErr w:type="spellEnd"/>
      <w:r w:rsidR="00A72D3A" w:rsidRPr="002D3611">
        <w:rPr>
          <w:rFonts w:ascii="Times" w:hAnsi="Times" w:cs="Times New Roman"/>
          <w:i/>
          <w:sz w:val="24"/>
          <w:szCs w:val="24"/>
        </w:rPr>
        <w:t xml:space="preserve"> v </w:t>
      </w:r>
      <w:proofErr w:type="spellStart"/>
      <w:r w:rsidR="00623933" w:rsidRPr="002D3611">
        <w:rPr>
          <w:rFonts w:ascii="Times" w:hAnsi="Times" w:cs="Times New Roman"/>
          <w:i/>
          <w:sz w:val="24"/>
          <w:szCs w:val="24"/>
        </w:rPr>
        <w:t>Porice</w:t>
      </w:r>
      <w:proofErr w:type="spellEnd"/>
      <w:r w:rsidR="00623933" w:rsidRPr="002D3611">
        <w:rPr>
          <w:rFonts w:ascii="Times" w:hAnsi="Times" w:cs="Times New Roman"/>
          <w:i/>
          <w:sz w:val="24"/>
          <w:szCs w:val="24"/>
        </w:rPr>
        <w:t xml:space="preserve"> </w:t>
      </w:r>
      <w:r w:rsidR="00A72D3A" w:rsidRPr="002D3611">
        <w:rPr>
          <w:rFonts w:ascii="Times" w:hAnsi="Times" w:cs="Times New Roman"/>
          <w:i/>
          <w:sz w:val="24"/>
          <w:szCs w:val="24"/>
        </w:rPr>
        <w:t>&amp;</w:t>
      </w:r>
      <w:r w:rsidR="00623933" w:rsidRPr="002D3611">
        <w:rPr>
          <w:rFonts w:ascii="Times" w:hAnsi="Times" w:cs="Times New Roman"/>
          <w:i/>
          <w:sz w:val="24"/>
          <w:szCs w:val="24"/>
        </w:rPr>
        <w:t xml:space="preserve"> Anor</w:t>
      </w:r>
      <w:r w:rsidR="00064593" w:rsidRPr="002D3611">
        <w:rPr>
          <w:rFonts w:ascii="Times" w:hAnsi="Times" w:cs="Times New Roman"/>
          <w:i/>
          <w:sz w:val="24"/>
          <w:szCs w:val="24"/>
        </w:rPr>
        <w:t xml:space="preserve"> </w:t>
      </w:r>
      <w:r w:rsidR="00FE6657" w:rsidRPr="002D3611">
        <w:rPr>
          <w:rFonts w:ascii="Times" w:hAnsi="Times" w:cs="Times New Roman"/>
          <w:sz w:val="24"/>
          <w:szCs w:val="24"/>
        </w:rPr>
        <w:t xml:space="preserve">[2021] SCCA        </w:t>
      </w:r>
      <w:r w:rsidR="006A55D1" w:rsidRPr="002D3611">
        <w:rPr>
          <w:rFonts w:ascii="Times" w:hAnsi="Times" w:cs="Times New Roman"/>
          <w:sz w:val="24"/>
          <w:szCs w:val="24"/>
        </w:rPr>
        <w:t>(</w:t>
      </w:r>
      <w:r w:rsidR="00D324F6">
        <w:rPr>
          <w:rFonts w:ascii="Times" w:hAnsi="Times" w:cs="Times New Roman"/>
          <w:sz w:val="24"/>
          <w:szCs w:val="24"/>
        </w:rPr>
        <w:t xml:space="preserve">13 </w:t>
      </w:r>
      <w:r w:rsidR="00623933" w:rsidRPr="002D3611">
        <w:rPr>
          <w:rFonts w:ascii="Times" w:hAnsi="Times" w:cs="Times New Roman"/>
          <w:sz w:val="24"/>
          <w:szCs w:val="24"/>
        </w:rPr>
        <w:t>August</w:t>
      </w:r>
      <w:r w:rsidR="00FE6657" w:rsidRPr="002D3611">
        <w:rPr>
          <w:rFonts w:ascii="Times" w:hAnsi="Times" w:cs="Times New Roman"/>
          <w:sz w:val="24"/>
          <w:szCs w:val="24"/>
        </w:rPr>
        <w:t xml:space="preserve"> 2021</w:t>
      </w:r>
      <w:r w:rsidR="006A55D1" w:rsidRPr="002D3611">
        <w:rPr>
          <w:rFonts w:ascii="Times" w:hAnsi="Times" w:cs="Times New Roman"/>
          <w:sz w:val="24"/>
          <w:szCs w:val="24"/>
        </w:rPr>
        <w:t>)</w:t>
      </w:r>
      <w:r w:rsidR="00FE6657" w:rsidRPr="002D3611">
        <w:rPr>
          <w:rFonts w:ascii="Times" w:hAnsi="Times" w:cs="Times New Roman"/>
          <w:sz w:val="24"/>
          <w:szCs w:val="24"/>
        </w:rPr>
        <w:t xml:space="preserve"> SCA </w:t>
      </w:r>
      <w:r w:rsidR="00623933" w:rsidRPr="002D3611">
        <w:rPr>
          <w:rFonts w:ascii="Times" w:hAnsi="Times" w:cs="Times New Roman"/>
          <w:sz w:val="24"/>
          <w:szCs w:val="24"/>
        </w:rPr>
        <w:t>68</w:t>
      </w:r>
      <w:r w:rsidR="00FE6657" w:rsidRPr="002D3611">
        <w:rPr>
          <w:rFonts w:ascii="Times" w:hAnsi="Times" w:cs="Times New Roman"/>
          <w:sz w:val="24"/>
          <w:szCs w:val="24"/>
        </w:rPr>
        <w:t>/20</w:t>
      </w:r>
      <w:r w:rsidR="00623933" w:rsidRPr="002D3611">
        <w:rPr>
          <w:rFonts w:ascii="Times" w:hAnsi="Times" w:cs="Times New Roman"/>
          <w:sz w:val="24"/>
          <w:szCs w:val="24"/>
        </w:rPr>
        <w:t>18</w:t>
      </w:r>
      <w:r w:rsidR="00A72D3A" w:rsidRPr="002D3611">
        <w:rPr>
          <w:rFonts w:ascii="Times" w:hAnsi="Times" w:cs="Times New Roman"/>
          <w:sz w:val="24"/>
          <w:szCs w:val="24"/>
        </w:rPr>
        <w:t xml:space="preserve"> </w:t>
      </w:r>
      <w:r w:rsidR="00D324F6">
        <w:rPr>
          <w:rFonts w:ascii="Times" w:hAnsi="Times" w:cs="Times New Roman"/>
          <w:sz w:val="24"/>
          <w:szCs w:val="24"/>
        </w:rPr>
        <w:t>(</w:t>
      </w:r>
      <w:r w:rsidR="00FE6657" w:rsidRPr="002D3611">
        <w:rPr>
          <w:rFonts w:ascii="Times" w:hAnsi="Times" w:cs="Times New Roman"/>
          <w:sz w:val="24"/>
          <w:szCs w:val="24"/>
        </w:rPr>
        <w:t>Arising in C</w:t>
      </w:r>
      <w:r w:rsidR="00623933" w:rsidRPr="002D3611">
        <w:rPr>
          <w:rFonts w:ascii="Times" w:hAnsi="Times" w:cs="Times New Roman"/>
          <w:sz w:val="24"/>
          <w:szCs w:val="24"/>
        </w:rPr>
        <w:t>S</w:t>
      </w:r>
      <w:r w:rsidR="00FE6657" w:rsidRPr="002D3611">
        <w:rPr>
          <w:rFonts w:ascii="Times" w:hAnsi="Times" w:cs="Times New Roman"/>
          <w:sz w:val="24"/>
          <w:szCs w:val="24"/>
        </w:rPr>
        <w:t xml:space="preserve"> </w:t>
      </w:r>
      <w:r w:rsidR="00623933" w:rsidRPr="002D3611">
        <w:rPr>
          <w:rFonts w:ascii="Times" w:hAnsi="Times" w:cs="Times New Roman"/>
          <w:sz w:val="24"/>
          <w:szCs w:val="24"/>
        </w:rPr>
        <w:t>2</w:t>
      </w:r>
      <w:r w:rsidR="00FE6657" w:rsidRPr="002D3611">
        <w:rPr>
          <w:rFonts w:ascii="Times" w:hAnsi="Times" w:cs="Times New Roman"/>
          <w:sz w:val="24"/>
          <w:szCs w:val="24"/>
        </w:rPr>
        <w:t>/201</w:t>
      </w:r>
      <w:r w:rsidR="00623933" w:rsidRPr="002D3611">
        <w:rPr>
          <w:rFonts w:ascii="Times" w:hAnsi="Times" w:cs="Times New Roman"/>
          <w:sz w:val="24"/>
          <w:szCs w:val="24"/>
        </w:rPr>
        <w:t>7</w:t>
      </w:r>
      <w:r w:rsidR="00FE6657" w:rsidRPr="002D3611">
        <w:rPr>
          <w:rFonts w:ascii="Times" w:hAnsi="Times" w:cs="Times New Roman"/>
          <w:sz w:val="24"/>
          <w:szCs w:val="24"/>
        </w:rPr>
        <w:t xml:space="preserve">) SCSC </w:t>
      </w:r>
      <w:r w:rsidR="00623933" w:rsidRPr="002D3611">
        <w:rPr>
          <w:rFonts w:ascii="Times" w:hAnsi="Times" w:cs="Times New Roman"/>
          <w:sz w:val="24"/>
          <w:szCs w:val="24"/>
        </w:rPr>
        <w:t>976</w:t>
      </w:r>
    </w:p>
    <w:p w14:paraId="458BE018" w14:textId="7D53317D" w:rsidR="002E2AE3" w:rsidRPr="002D3611" w:rsidRDefault="009F125D" w:rsidP="00FE6657">
      <w:pPr>
        <w:tabs>
          <w:tab w:val="left" w:pos="1890"/>
        </w:tabs>
        <w:spacing w:after="0" w:line="240" w:lineRule="auto"/>
        <w:rPr>
          <w:rFonts w:ascii="Times" w:hAnsi="Times" w:cs="Times New Roman"/>
          <w:sz w:val="24"/>
          <w:szCs w:val="24"/>
        </w:rPr>
      </w:pPr>
      <w:r w:rsidRPr="002D3611">
        <w:rPr>
          <w:rFonts w:ascii="Times" w:hAnsi="Times" w:cs="Times New Roman"/>
          <w:b/>
          <w:sz w:val="24"/>
          <w:szCs w:val="24"/>
        </w:rPr>
        <w:t>Before</w:t>
      </w:r>
      <w:r w:rsidR="00405958" w:rsidRPr="002D3611">
        <w:rPr>
          <w:rFonts w:ascii="Times" w:hAnsi="Times" w:cs="Times New Roman"/>
          <w:b/>
          <w:sz w:val="24"/>
          <w:szCs w:val="24"/>
        </w:rPr>
        <w:t xml:space="preserve">: </w:t>
      </w:r>
      <w:r w:rsidR="004A2599" w:rsidRPr="002D3611">
        <w:rPr>
          <w:rFonts w:ascii="Times" w:hAnsi="Times" w:cs="Times New Roman"/>
          <w:b/>
          <w:sz w:val="24"/>
          <w:szCs w:val="24"/>
        </w:rPr>
        <w:tab/>
      </w:r>
      <w:r w:rsidR="00A72D3A" w:rsidRPr="002D3611">
        <w:rPr>
          <w:rFonts w:ascii="Times" w:hAnsi="Times" w:cs="Times New Roman"/>
          <w:sz w:val="24"/>
          <w:szCs w:val="24"/>
        </w:rPr>
        <w:t>Fernando, PCA</w:t>
      </w:r>
      <w:r w:rsidR="001D166D" w:rsidRPr="002D3611">
        <w:rPr>
          <w:rFonts w:ascii="Times" w:hAnsi="Times" w:cs="Times New Roman"/>
          <w:sz w:val="24"/>
          <w:szCs w:val="24"/>
        </w:rPr>
        <w:t xml:space="preserve">, </w:t>
      </w:r>
      <w:r w:rsidR="002E2AE3" w:rsidRPr="002D3611">
        <w:rPr>
          <w:rFonts w:ascii="Times" w:hAnsi="Times" w:cs="Times New Roman"/>
          <w:sz w:val="24"/>
          <w:szCs w:val="24"/>
        </w:rPr>
        <w:t>Twomey</w:t>
      </w:r>
      <w:r w:rsidR="00CB05F8" w:rsidRPr="002D3611">
        <w:rPr>
          <w:rFonts w:ascii="Times" w:hAnsi="Times" w:cs="Times New Roman"/>
          <w:sz w:val="24"/>
          <w:szCs w:val="24"/>
        </w:rPr>
        <w:t>,</w:t>
      </w:r>
      <w:r w:rsidR="00373EDC" w:rsidRPr="002D3611">
        <w:rPr>
          <w:rFonts w:ascii="Times" w:hAnsi="Times" w:cs="Times New Roman"/>
          <w:sz w:val="24"/>
          <w:szCs w:val="24"/>
        </w:rPr>
        <w:t xml:space="preserve"> JA </w:t>
      </w:r>
      <w:r w:rsidR="001D166D" w:rsidRPr="002D3611">
        <w:rPr>
          <w:rFonts w:ascii="Times" w:hAnsi="Times" w:cs="Times New Roman"/>
          <w:sz w:val="24"/>
          <w:szCs w:val="24"/>
        </w:rPr>
        <w:t xml:space="preserve">and </w:t>
      </w:r>
      <w:r w:rsidR="00623933" w:rsidRPr="002D3611">
        <w:rPr>
          <w:rFonts w:ascii="Times" w:hAnsi="Times" w:cs="Times New Roman"/>
          <w:sz w:val="24"/>
          <w:szCs w:val="24"/>
        </w:rPr>
        <w:t xml:space="preserve">Robinson </w:t>
      </w:r>
      <w:r w:rsidR="001D166D" w:rsidRPr="002D3611">
        <w:rPr>
          <w:rFonts w:ascii="Times" w:hAnsi="Times" w:cs="Times New Roman"/>
          <w:sz w:val="24"/>
          <w:szCs w:val="24"/>
        </w:rPr>
        <w:t>JA</w:t>
      </w:r>
      <w:r w:rsidR="00CB05F8" w:rsidRPr="002D3611">
        <w:rPr>
          <w:rFonts w:ascii="Times" w:hAnsi="Times" w:cs="Times New Roman"/>
          <w:sz w:val="24"/>
          <w:szCs w:val="24"/>
        </w:rPr>
        <w:t xml:space="preserve"> </w:t>
      </w:r>
    </w:p>
    <w:p w14:paraId="2220DC86" w14:textId="79AF0E93" w:rsidR="00344425" w:rsidRPr="002D3611" w:rsidRDefault="00346D7F" w:rsidP="00214DB4">
      <w:pPr>
        <w:spacing w:after="0" w:line="240" w:lineRule="auto"/>
        <w:ind w:left="1890" w:hanging="1890"/>
        <w:rPr>
          <w:rFonts w:ascii="Times" w:hAnsi="Times" w:cs="Times New Roman"/>
          <w:sz w:val="24"/>
          <w:szCs w:val="24"/>
        </w:rPr>
      </w:pPr>
      <w:r w:rsidRPr="002D3611">
        <w:rPr>
          <w:rFonts w:ascii="Times" w:hAnsi="Times" w:cs="Times New Roman"/>
          <w:b/>
          <w:sz w:val="24"/>
          <w:szCs w:val="24"/>
        </w:rPr>
        <w:t xml:space="preserve">Summary: </w:t>
      </w:r>
      <w:r w:rsidR="00F33B83" w:rsidRPr="002D3611">
        <w:rPr>
          <w:rFonts w:ascii="Times" w:hAnsi="Times" w:cs="Times New Roman"/>
          <w:b/>
          <w:sz w:val="24"/>
          <w:szCs w:val="24"/>
        </w:rPr>
        <w:tab/>
      </w:r>
      <w:r w:rsidR="001D166D" w:rsidRPr="002D3611">
        <w:rPr>
          <w:rFonts w:ascii="Times" w:hAnsi="Times" w:cs="Times New Roman"/>
          <w:sz w:val="24"/>
          <w:szCs w:val="24"/>
        </w:rPr>
        <w:t>A</w:t>
      </w:r>
      <w:r w:rsidR="00FE6657" w:rsidRPr="002D3611">
        <w:rPr>
          <w:rFonts w:ascii="Times" w:hAnsi="Times" w:cs="Times New Roman"/>
          <w:sz w:val="24"/>
          <w:szCs w:val="24"/>
        </w:rPr>
        <w:t xml:space="preserve">ppeal against </w:t>
      </w:r>
      <w:r w:rsidR="000323C9" w:rsidRPr="002D3611">
        <w:rPr>
          <w:rFonts w:ascii="Times" w:hAnsi="Times" w:cs="Times New Roman"/>
          <w:sz w:val="24"/>
          <w:szCs w:val="24"/>
        </w:rPr>
        <w:t xml:space="preserve">the </w:t>
      </w:r>
      <w:r w:rsidR="00FE6657" w:rsidRPr="002D3611">
        <w:rPr>
          <w:rFonts w:ascii="Times" w:hAnsi="Times" w:cs="Times New Roman"/>
          <w:sz w:val="24"/>
          <w:szCs w:val="24"/>
        </w:rPr>
        <w:t xml:space="preserve">decision of Supreme Court </w:t>
      </w:r>
      <w:r w:rsidR="00623933" w:rsidRPr="002D3611">
        <w:rPr>
          <w:rFonts w:ascii="Times" w:hAnsi="Times" w:cs="Times New Roman"/>
          <w:sz w:val="24"/>
          <w:szCs w:val="24"/>
        </w:rPr>
        <w:t xml:space="preserve">granting a </w:t>
      </w:r>
      <w:r w:rsidR="00623933" w:rsidRPr="002D3611">
        <w:rPr>
          <w:rFonts w:ascii="Times" w:hAnsi="Times" w:cs="Times New Roman"/>
          <w:i/>
          <w:sz w:val="24"/>
          <w:szCs w:val="24"/>
        </w:rPr>
        <w:t xml:space="preserve">droit de </w:t>
      </w:r>
      <w:proofErr w:type="spellStart"/>
      <w:r w:rsidR="00623933" w:rsidRPr="002D3611">
        <w:rPr>
          <w:rFonts w:ascii="Times" w:hAnsi="Times" w:cs="Times New Roman"/>
          <w:i/>
          <w:sz w:val="24"/>
          <w:szCs w:val="24"/>
        </w:rPr>
        <w:t>superficie</w:t>
      </w:r>
      <w:proofErr w:type="spellEnd"/>
      <w:r w:rsidR="00623933" w:rsidRPr="002D3611">
        <w:rPr>
          <w:rFonts w:ascii="Times" w:hAnsi="Times" w:cs="Times New Roman"/>
          <w:sz w:val="24"/>
          <w:szCs w:val="24"/>
        </w:rPr>
        <w:t xml:space="preserve"> to </w:t>
      </w:r>
      <w:r w:rsidR="0003172C">
        <w:rPr>
          <w:rFonts w:ascii="Times" w:hAnsi="Times" w:cs="Times New Roman"/>
          <w:sz w:val="24"/>
          <w:szCs w:val="24"/>
        </w:rPr>
        <w:t>r</w:t>
      </w:r>
      <w:r w:rsidR="00623933" w:rsidRPr="002D3611">
        <w:rPr>
          <w:rFonts w:ascii="Times" w:hAnsi="Times" w:cs="Times New Roman"/>
          <w:sz w:val="24"/>
          <w:szCs w:val="24"/>
        </w:rPr>
        <w:t xml:space="preserve">espondents </w:t>
      </w:r>
      <w:r w:rsidR="0003172C">
        <w:rPr>
          <w:rFonts w:ascii="Times" w:hAnsi="Times" w:cs="Times New Roman"/>
          <w:sz w:val="24"/>
          <w:szCs w:val="24"/>
        </w:rPr>
        <w:t>–</w:t>
      </w:r>
      <w:r w:rsidR="00623933" w:rsidRPr="002D3611">
        <w:rPr>
          <w:rFonts w:ascii="Times" w:hAnsi="Times" w:cs="Times New Roman"/>
          <w:sz w:val="24"/>
          <w:szCs w:val="24"/>
        </w:rPr>
        <w:t xml:space="preserve"> </w:t>
      </w:r>
      <w:r w:rsidR="0003172C">
        <w:rPr>
          <w:rFonts w:ascii="Times" w:hAnsi="Times" w:cs="Times New Roman"/>
          <w:sz w:val="24"/>
          <w:szCs w:val="24"/>
        </w:rPr>
        <w:t xml:space="preserve">in course of appeal it emerged that one of the respondents had passed away before the case in court a quo </w:t>
      </w:r>
      <w:proofErr w:type="gramStart"/>
      <w:r w:rsidR="0003172C">
        <w:rPr>
          <w:rFonts w:ascii="Times" w:hAnsi="Times" w:cs="Times New Roman"/>
          <w:sz w:val="24"/>
          <w:szCs w:val="24"/>
        </w:rPr>
        <w:t>had been completed</w:t>
      </w:r>
      <w:proofErr w:type="gramEnd"/>
      <w:r w:rsidR="0003172C">
        <w:rPr>
          <w:rFonts w:ascii="Times" w:hAnsi="Times" w:cs="Times New Roman"/>
          <w:sz w:val="24"/>
          <w:szCs w:val="24"/>
        </w:rPr>
        <w:t xml:space="preserve"> –case has to be sent back for appreciation of that fact by the court.</w:t>
      </w:r>
    </w:p>
    <w:p w14:paraId="61B8D86B" w14:textId="25C614FF" w:rsidR="00344425" w:rsidRPr="002D3611" w:rsidRDefault="00344425" w:rsidP="00214DB4">
      <w:pPr>
        <w:tabs>
          <w:tab w:val="left" w:pos="720"/>
          <w:tab w:val="left" w:pos="1440"/>
          <w:tab w:val="left" w:pos="2160"/>
        </w:tabs>
        <w:spacing w:after="0" w:line="240" w:lineRule="auto"/>
        <w:ind w:left="1890" w:hanging="1890"/>
        <w:rPr>
          <w:rFonts w:ascii="Times" w:hAnsi="Times" w:cs="Times New Roman"/>
          <w:sz w:val="24"/>
          <w:szCs w:val="24"/>
        </w:rPr>
      </w:pPr>
      <w:r w:rsidRPr="002D3611">
        <w:rPr>
          <w:rFonts w:ascii="Times" w:hAnsi="Times" w:cs="Times New Roman"/>
          <w:b/>
          <w:sz w:val="24"/>
          <w:szCs w:val="24"/>
        </w:rPr>
        <w:t xml:space="preserve">Heard: </w:t>
      </w:r>
      <w:r w:rsidR="005B12AA" w:rsidRPr="002D3611">
        <w:rPr>
          <w:rFonts w:ascii="Times" w:hAnsi="Times" w:cs="Times New Roman"/>
          <w:sz w:val="24"/>
          <w:szCs w:val="24"/>
        </w:rPr>
        <w:tab/>
      </w:r>
      <w:r w:rsidR="005B12AA" w:rsidRPr="002D3611">
        <w:rPr>
          <w:rFonts w:ascii="Times" w:hAnsi="Times" w:cs="Times New Roman"/>
          <w:sz w:val="24"/>
          <w:szCs w:val="24"/>
        </w:rPr>
        <w:tab/>
      </w:r>
      <w:r w:rsidR="0003172C">
        <w:rPr>
          <w:rFonts w:ascii="Times" w:hAnsi="Times" w:cs="Times New Roman"/>
          <w:sz w:val="24"/>
          <w:szCs w:val="24"/>
        </w:rPr>
        <w:t xml:space="preserve">5 </w:t>
      </w:r>
      <w:r w:rsidR="00623933" w:rsidRPr="002D3611">
        <w:rPr>
          <w:rFonts w:ascii="Times" w:hAnsi="Times" w:cs="Times New Roman"/>
          <w:sz w:val="24"/>
          <w:szCs w:val="24"/>
        </w:rPr>
        <w:t>August</w:t>
      </w:r>
      <w:r w:rsidR="00CB05F8" w:rsidRPr="002D3611">
        <w:rPr>
          <w:rFonts w:ascii="Times" w:hAnsi="Times" w:cs="Times New Roman"/>
          <w:sz w:val="24"/>
          <w:szCs w:val="24"/>
        </w:rPr>
        <w:t xml:space="preserve"> 202</w:t>
      </w:r>
      <w:r w:rsidR="00373EDC" w:rsidRPr="002D3611">
        <w:rPr>
          <w:rFonts w:ascii="Times" w:hAnsi="Times" w:cs="Times New Roman"/>
          <w:sz w:val="24"/>
          <w:szCs w:val="24"/>
        </w:rPr>
        <w:t>1</w:t>
      </w:r>
    </w:p>
    <w:p w14:paraId="0B53759D" w14:textId="119D9AE7" w:rsidR="00344425" w:rsidRDefault="00344425" w:rsidP="00214DB4">
      <w:pPr>
        <w:pBdr>
          <w:bottom w:val="single" w:sz="4" w:space="1" w:color="auto"/>
        </w:pBdr>
        <w:spacing w:after="0" w:line="240" w:lineRule="auto"/>
        <w:ind w:left="1890" w:hanging="1890"/>
        <w:rPr>
          <w:rFonts w:ascii="Times" w:hAnsi="Times" w:cs="Times New Roman"/>
          <w:sz w:val="24"/>
          <w:szCs w:val="24"/>
        </w:rPr>
      </w:pPr>
      <w:r w:rsidRPr="002D3611">
        <w:rPr>
          <w:rFonts w:ascii="Times" w:hAnsi="Times" w:cs="Times New Roman"/>
          <w:b/>
          <w:sz w:val="24"/>
          <w:szCs w:val="24"/>
        </w:rPr>
        <w:t>Delivered:</w:t>
      </w:r>
      <w:r w:rsidR="004A2599" w:rsidRPr="002D3611">
        <w:rPr>
          <w:rFonts w:ascii="Times" w:hAnsi="Times" w:cs="Times New Roman"/>
          <w:b/>
          <w:sz w:val="24"/>
          <w:szCs w:val="24"/>
        </w:rPr>
        <w:tab/>
      </w:r>
      <w:r w:rsidR="0003172C" w:rsidRPr="0003172C">
        <w:rPr>
          <w:rFonts w:ascii="Times" w:hAnsi="Times" w:cs="Times New Roman"/>
          <w:sz w:val="24"/>
          <w:szCs w:val="24"/>
        </w:rPr>
        <w:t xml:space="preserve">13 </w:t>
      </w:r>
      <w:r w:rsidR="00623933" w:rsidRPr="002D3611">
        <w:rPr>
          <w:rFonts w:ascii="Times" w:hAnsi="Times" w:cs="Times New Roman"/>
          <w:sz w:val="24"/>
          <w:szCs w:val="24"/>
        </w:rPr>
        <w:t>August</w:t>
      </w:r>
      <w:r w:rsidR="00641FE5" w:rsidRPr="002D3611">
        <w:rPr>
          <w:rFonts w:ascii="Times" w:hAnsi="Times" w:cs="Times New Roman"/>
          <w:sz w:val="24"/>
          <w:szCs w:val="24"/>
        </w:rPr>
        <w:t xml:space="preserve"> 2021</w:t>
      </w:r>
    </w:p>
    <w:p w14:paraId="664C59CC" w14:textId="77777777" w:rsidR="0003172C" w:rsidRPr="002D3611" w:rsidRDefault="0003172C" w:rsidP="00214DB4">
      <w:pPr>
        <w:pBdr>
          <w:bottom w:val="single" w:sz="4" w:space="1" w:color="auto"/>
        </w:pBdr>
        <w:spacing w:after="0" w:line="240" w:lineRule="auto"/>
        <w:ind w:left="1890" w:hanging="1890"/>
        <w:rPr>
          <w:rFonts w:ascii="Times" w:hAnsi="Times" w:cs="Times New Roman"/>
          <w:sz w:val="24"/>
          <w:szCs w:val="24"/>
        </w:rPr>
      </w:pPr>
    </w:p>
    <w:p w14:paraId="1BD3BB5D" w14:textId="77777777" w:rsidR="00ED0BFC" w:rsidRPr="002D3611" w:rsidRDefault="00ED0BFC" w:rsidP="00214DB4">
      <w:pPr>
        <w:tabs>
          <w:tab w:val="left" w:pos="2892"/>
        </w:tabs>
        <w:spacing w:before="120" w:after="0" w:line="240" w:lineRule="auto"/>
        <w:jc w:val="center"/>
        <w:rPr>
          <w:rFonts w:ascii="Times" w:hAnsi="Times" w:cs="Times New Roman"/>
          <w:b/>
          <w:sz w:val="24"/>
          <w:szCs w:val="24"/>
        </w:rPr>
      </w:pPr>
      <w:r w:rsidRPr="002D3611">
        <w:rPr>
          <w:rFonts w:ascii="Times" w:hAnsi="Times" w:cs="Times New Roman"/>
          <w:b/>
          <w:sz w:val="24"/>
          <w:szCs w:val="24"/>
        </w:rPr>
        <w:t xml:space="preserve">ORDER </w:t>
      </w:r>
    </w:p>
    <w:p w14:paraId="24C7A286" w14:textId="5C50F4CB" w:rsidR="00373EDC" w:rsidRPr="002D3611" w:rsidRDefault="0003172C" w:rsidP="00635D3C">
      <w:pPr>
        <w:spacing w:line="240" w:lineRule="auto"/>
        <w:rPr>
          <w:rFonts w:ascii="Times" w:hAnsi="Times" w:cs="Times New Roman"/>
          <w:sz w:val="24"/>
          <w:szCs w:val="24"/>
        </w:rPr>
      </w:pPr>
      <w:r>
        <w:rPr>
          <w:rFonts w:ascii="Times" w:hAnsi="Times" w:cs="Times New Roman"/>
          <w:sz w:val="24"/>
          <w:szCs w:val="24"/>
        </w:rPr>
        <w:t>T</w:t>
      </w:r>
      <w:r w:rsidRPr="0003172C">
        <w:rPr>
          <w:rFonts w:ascii="Times" w:hAnsi="Times" w:cs="Times New Roman"/>
          <w:sz w:val="24"/>
          <w:szCs w:val="24"/>
        </w:rPr>
        <w:t xml:space="preserve">he decision and orders of the Supreme Court </w:t>
      </w:r>
      <w:r>
        <w:rPr>
          <w:rFonts w:ascii="Times" w:hAnsi="Times" w:cs="Times New Roman"/>
          <w:sz w:val="24"/>
          <w:szCs w:val="24"/>
        </w:rPr>
        <w:t xml:space="preserve">are </w:t>
      </w:r>
      <w:r w:rsidRPr="0003172C">
        <w:rPr>
          <w:rFonts w:ascii="Times" w:hAnsi="Times" w:cs="Times New Roman"/>
          <w:sz w:val="24"/>
          <w:szCs w:val="24"/>
        </w:rPr>
        <w:t>quash</w:t>
      </w:r>
      <w:r>
        <w:rPr>
          <w:rFonts w:ascii="Times" w:hAnsi="Times" w:cs="Times New Roman"/>
          <w:sz w:val="24"/>
          <w:szCs w:val="24"/>
        </w:rPr>
        <w:t>ed</w:t>
      </w:r>
      <w:r w:rsidRPr="0003172C">
        <w:rPr>
          <w:rFonts w:ascii="Times" w:hAnsi="Times" w:cs="Times New Roman"/>
          <w:sz w:val="24"/>
          <w:szCs w:val="24"/>
        </w:rPr>
        <w:t xml:space="preserve"> and remit</w:t>
      </w:r>
      <w:r>
        <w:rPr>
          <w:rFonts w:ascii="Times" w:hAnsi="Times" w:cs="Times New Roman"/>
          <w:sz w:val="24"/>
          <w:szCs w:val="24"/>
        </w:rPr>
        <w:t xml:space="preserve">ted to the Supreme </w:t>
      </w:r>
      <w:proofErr w:type="gramStart"/>
      <w:r>
        <w:rPr>
          <w:rFonts w:ascii="Times" w:hAnsi="Times" w:cs="Times New Roman"/>
          <w:sz w:val="24"/>
          <w:szCs w:val="24"/>
        </w:rPr>
        <w:t xml:space="preserve">Court </w:t>
      </w:r>
      <w:r w:rsidRPr="0003172C">
        <w:rPr>
          <w:rFonts w:ascii="Times" w:hAnsi="Times" w:cs="Times New Roman"/>
          <w:sz w:val="24"/>
          <w:szCs w:val="24"/>
        </w:rPr>
        <w:t xml:space="preserve"> for</w:t>
      </w:r>
      <w:proofErr w:type="gramEnd"/>
      <w:r w:rsidRPr="0003172C">
        <w:rPr>
          <w:rFonts w:ascii="Times" w:hAnsi="Times" w:cs="Times New Roman"/>
          <w:sz w:val="24"/>
          <w:szCs w:val="24"/>
        </w:rPr>
        <w:t xml:space="preserve"> fresh consideration and decision. </w:t>
      </w:r>
      <w:r w:rsidR="00373EDC" w:rsidRPr="002D3611">
        <w:rPr>
          <w:rFonts w:ascii="Times" w:hAnsi="Times" w:cs="Times New Roman"/>
          <w:sz w:val="24"/>
          <w:szCs w:val="24"/>
        </w:rPr>
        <w:t>_____________________________________________________________________________</w:t>
      </w:r>
    </w:p>
    <w:p w14:paraId="19B2A9F3" w14:textId="77777777" w:rsidR="00E001F8" w:rsidRPr="002D3611" w:rsidRDefault="00373EDC" w:rsidP="00E001F8">
      <w:pPr>
        <w:pStyle w:val="JudgmentText"/>
        <w:numPr>
          <w:ilvl w:val="0"/>
          <w:numId w:val="0"/>
        </w:numPr>
        <w:spacing w:after="0" w:line="480" w:lineRule="auto"/>
        <w:ind w:left="720" w:hanging="720"/>
        <w:rPr>
          <w:rFonts w:ascii="Times" w:hAnsi="Times"/>
          <w:b/>
        </w:rPr>
      </w:pPr>
      <w:r w:rsidRPr="002D3611">
        <w:rPr>
          <w:rFonts w:ascii="Times" w:hAnsi="Times"/>
          <w:b/>
        </w:rPr>
        <w:t>T</w:t>
      </w:r>
      <w:r w:rsidR="005B12AA" w:rsidRPr="002D3611">
        <w:rPr>
          <w:rFonts w:ascii="Times" w:hAnsi="Times"/>
          <w:b/>
        </w:rPr>
        <w:t xml:space="preserve">WOMEY </w:t>
      </w:r>
      <w:r w:rsidR="00CB05F8" w:rsidRPr="002D3611">
        <w:rPr>
          <w:rFonts w:ascii="Times" w:hAnsi="Times"/>
          <w:b/>
        </w:rPr>
        <w:t>JA</w:t>
      </w:r>
      <w:r w:rsidR="005B12AA" w:rsidRPr="002D3611">
        <w:rPr>
          <w:rFonts w:ascii="Times" w:hAnsi="Times"/>
          <w:b/>
        </w:rPr>
        <w:t xml:space="preserve"> </w:t>
      </w:r>
    </w:p>
    <w:p w14:paraId="762E9CC0" w14:textId="77777777" w:rsidR="00A23115" w:rsidRPr="002D3611" w:rsidRDefault="00913944" w:rsidP="00E001F8">
      <w:pPr>
        <w:pStyle w:val="JudgmentText"/>
        <w:numPr>
          <w:ilvl w:val="0"/>
          <w:numId w:val="0"/>
        </w:numPr>
        <w:spacing w:after="0" w:line="480" w:lineRule="auto"/>
        <w:ind w:left="720" w:hanging="720"/>
        <w:rPr>
          <w:rFonts w:ascii="Times" w:hAnsi="Times"/>
          <w:b/>
        </w:rPr>
      </w:pPr>
      <w:r w:rsidRPr="002D3611">
        <w:rPr>
          <w:rFonts w:ascii="Times" w:hAnsi="Times"/>
          <w:b/>
        </w:rPr>
        <w:t>Introduction</w:t>
      </w:r>
    </w:p>
    <w:p w14:paraId="3E3E2A15" w14:textId="46253D80" w:rsidR="00676075" w:rsidRPr="002D3611" w:rsidRDefault="00676075" w:rsidP="00676075">
      <w:pPr>
        <w:pStyle w:val="JudgmentText"/>
        <w:rPr>
          <w:rFonts w:ascii="Times" w:hAnsi="Times"/>
        </w:rPr>
      </w:pPr>
      <w:r w:rsidRPr="002D3611">
        <w:rPr>
          <w:rFonts w:ascii="Times" w:hAnsi="Times"/>
        </w:rPr>
        <w:t xml:space="preserve">A </w:t>
      </w:r>
      <w:r w:rsidRPr="002D3611">
        <w:rPr>
          <w:rFonts w:ascii="Times" w:hAnsi="Times"/>
          <w:i/>
        </w:rPr>
        <w:t xml:space="preserve">droit de </w:t>
      </w:r>
      <w:proofErr w:type="spellStart"/>
      <w:r w:rsidRPr="002D3611">
        <w:rPr>
          <w:rFonts w:ascii="Times" w:hAnsi="Times"/>
          <w:i/>
        </w:rPr>
        <w:t>superficie</w:t>
      </w:r>
      <w:proofErr w:type="spellEnd"/>
      <w:r w:rsidRPr="002D3611">
        <w:rPr>
          <w:rFonts w:ascii="Times" w:hAnsi="Times"/>
        </w:rPr>
        <w:t xml:space="preserve"> is a creation of French juris</w:t>
      </w:r>
      <w:r w:rsidR="002D3611" w:rsidRPr="002D3611">
        <w:rPr>
          <w:rFonts w:ascii="Times" w:hAnsi="Times"/>
        </w:rPr>
        <w:t>p</w:t>
      </w:r>
      <w:r w:rsidRPr="002D3611">
        <w:rPr>
          <w:rFonts w:ascii="Times" w:hAnsi="Times"/>
        </w:rPr>
        <w:t xml:space="preserve">rudential </w:t>
      </w:r>
      <w:proofErr w:type="gramStart"/>
      <w:r w:rsidRPr="002D3611">
        <w:rPr>
          <w:rFonts w:ascii="Times" w:hAnsi="Times"/>
        </w:rPr>
        <w:t>law which</w:t>
      </w:r>
      <w:proofErr w:type="gramEnd"/>
      <w:r w:rsidRPr="002D3611">
        <w:rPr>
          <w:rFonts w:ascii="Times" w:hAnsi="Times"/>
        </w:rPr>
        <w:t xml:space="preserve"> Seychellois law ha</w:t>
      </w:r>
      <w:r w:rsidR="002D3611" w:rsidRPr="002D3611">
        <w:rPr>
          <w:rFonts w:ascii="Times" w:hAnsi="Times"/>
        </w:rPr>
        <w:t>s inherited but qualified. In this jurisdiction (</w:t>
      </w:r>
      <w:r w:rsidRPr="002D3611">
        <w:rPr>
          <w:rFonts w:ascii="Times" w:hAnsi="Times"/>
        </w:rPr>
        <w:t>before the enactment of the Civ</w:t>
      </w:r>
      <w:r w:rsidR="002D3611" w:rsidRPr="002D3611">
        <w:rPr>
          <w:rFonts w:ascii="Times" w:hAnsi="Times"/>
        </w:rPr>
        <w:t xml:space="preserve">il </w:t>
      </w:r>
      <w:r w:rsidR="009A0315" w:rsidRPr="002D3611">
        <w:rPr>
          <w:rFonts w:ascii="Times" w:hAnsi="Times"/>
        </w:rPr>
        <w:t>Code 2021</w:t>
      </w:r>
      <w:r w:rsidR="002D3611" w:rsidRPr="002D3611">
        <w:rPr>
          <w:rFonts w:ascii="Times" w:hAnsi="Times"/>
        </w:rPr>
        <w:t>)</w:t>
      </w:r>
      <w:r w:rsidR="009A0315" w:rsidRPr="002D3611">
        <w:rPr>
          <w:rFonts w:ascii="Times" w:hAnsi="Times"/>
        </w:rPr>
        <w:t>, the Court of</w:t>
      </w:r>
      <w:r w:rsidRPr="002D3611">
        <w:rPr>
          <w:rFonts w:ascii="Times" w:hAnsi="Times"/>
        </w:rPr>
        <w:t xml:space="preserve"> Appeal in</w:t>
      </w:r>
      <w:r w:rsidRPr="002D3611">
        <w:rPr>
          <w:rFonts w:ascii="Times" w:hAnsi="Times"/>
          <w:color w:val="333333"/>
        </w:rPr>
        <w:t> </w:t>
      </w:r>
      <w:r w:rsidRPr="002D3611">
        <w:rPr>
          <w:rStyle w:val="Emphasis"/>
          <w:rFonts w:ascii="Times" w:hAnsi="Times"/>
          <w:color w:val="333333"/>
          <w:bdr w:val="none" w:sz="0" w:space="0" w:color="auto" w:frame="1"/>
        </w:rPr>
        <w:t xml:space="preserve">Cable and Wireless (Seychelles) Ltd v </w:t>
      </w:r>
      <w:proofErr w:type="spellStart"/>
      <w:r w:rsidRPr="002D3611">
        <w:rPr>
          <w:rStyle w:val="Emphasis"/>
          <w:rFonts w:ascii="Times" w:hAnsi="Times"/>
          <w:color w:val="333333"/>
          <w:bdr w:val="none" w:sz="0" w:space="0" w:color="auto" w:frame="1"/>
        </w:rPr>
        <w:t>Innocente</w:t>
      </w:r>
      <w:proofErr w:type="spellEnd"/>
      <w:r w:rsidRPr="002D3611">
        <w:rPr>
          <w:rStyle w:val="Emphasis"/>
          <w:rFonts w:ascii="Times" w:hAnsi="Times"/>
          <w:color w:val="333333"/>
          <w:bdr w:val="none" w:sz="0" w:space="0" w:color="auto" w:frame="1"/>
        </w:rPr>
        <w:t xml:space="preserve"> </w:t>
      </w:r>
      <w:proofErr w:type="spellStart"/>
      <w:r w:rsidRPr="002D3611">
        <w:rPr>
          <w:rStyle w:val="Emphasis"/>
          <w:rFonts w:ascii="Times" w:hAnsi="Times"/>
          <w:color w:val="333333"/>
          <w:bdr w:val="none" w:sz="0" w:space="0" w:color="auto" w:frame="1"/>
        </w:rPr>
        <w:t>Gangadoo</w:t>
      </w:r>
      <w:proofErr w:type="spellEnd"/>
      <w:r w:rsidRPr="002D3611">
        <w:rPr>
          <w:rStyle w:val="Emphasis"/>
          <w:rFonts w:ascii="Times" w:hAnsi="Times"/>
          <w:color w:val="333333"/>
          <w:bdr w:val="none" w:sz="0" w:space="0" w:color="auto" w:frame="1"/>
        </w:rPr>
        <w:t> </w:t>
      </w:r>
      <w:r w:rsidRPr="002D3611">
        <w:rPr>
          <w:rFonts w:ascii="Times" w:hAnsi="Times"/>
          <w:color w:val="333333"/>
        </w:rPr>
        <w:t xml:space="preserve">(Civil </w:t>
      </w:r>
      <w:r w:rsidRPr="002D3611">
        <w:rPr>
          <w:rFonts w:ascii="Times" w:hAnsi="Times"/>
          <w:color w:val="333333"/>
        </w:rPr>
        <w:lastRenderedPageBreak/>
        <w:t xml:space="preserve">Appeal SCA 14/2015) [2018] SCCA 29 (31 August 2018), held </w:t>
      </w:r>
      <w:r w:rsidR="002D3611" w:rsidRPr="002D3611">
        <w:rPr>
          <w:rFonts w:ascii="Times" w:hAnsi="Times"/>
          <w:color w:val="333333"/>
        </w:rPr>
        <w:t xml:space="preserve">with regard to its application </w:t>
      </w:r>
      <w:r w:rsidRPr="002D3611">
        <w:rPr>
          <w:rFonts w:ascii="Times" w:hAnsi="Times"/>
          <w:color w:val="333333"/>
        </w:rPr>
        <w:t>that:</w:t>
      </w:r>
    </w:p>
    <w:p w14:paraId="71E13075" w14:textId="61FD044A" w:rsidR="00676075" w:rsidRPr="002D3611" w:rsidRDefault="00676075" w:rsidP="002D3611">
      <w:pPr>
        <w:pStyle w:val="JudgmentText"/>
        <w:numPr>
          <w:ilvl w:val="0"/>
          <w:numId w:val="0"/>
        </w:numPr>
        <w:shd w:val="clear" w:color="auto" w:fill="FFFFFF"/>
        <w:spacing w:after="0" w:line="276" w:lineRule="auto"/>
        <w:ind w:left="1440"/>
        <w:textAlignment w:val="baseline"/>
        <w:rPr>
          <w:rStyle w:val="Emphasis"/>
          <w:rFonts w:ascii="Times" w:hAnsi="Times"/>
          <w:color w:val="333333"/>
          <w:bdr w:val="none" w:sz="0" w:space="0" w:color="auto" w:frame="1"/>
        </w:rPr>
      </w:pPr>
      <w:r w:rsidRPr="002D3611">
        <w:rPr>
          <w:rStyle w:val="Emphasis"/>
          <w:rFonts w:ascii="Times" w:hAnsi="Times"/>
          <w:color w:val="333333"/>
          <w:bdr w:val="none" w:sz="0" w:space="0" w:color="auto" w:frame="1"/>
        </w:rPr>
        <w:t>“The presumption arising from Article 553</w:t>
      </w:r>
      <w:r w:rsidR="009A0315" w:rsidRPr="002D3611">
        <w:rPr>
          <w:rStyle w:val="Emphasis"/>
          <w:rFonts w:ascii="Times" w:hAnsi="Times"/>
          <w:color w:val="333333"/>
          <w:bdr w:val="none" w:sz="0" w:space="0" w:color="auto" w:frame="1"/>
        </w:rPr>
        <w:t xml:space="preserve"> [of the Civil Code]</w:t>
      </w:r>
      <w:r w:rsidRPr="002D3611">
        <w:rPr>
          <w:rStyle w:val="Emphasis"/>
          <w:rFonts w:ascii="Times" w:hAnsi="Times"/>
          <w:color w:val="333333"/>
          <w:bdr w:val="none" w:sz="0" w:space="0" w:color="auto" w:frame="1"/>
        </w:rPr>
        <w:t xml:space="preserve"> is that buildings on land are presumed to be that of the landowner unless he permits another to build on the land. In consequence of this provision</w:t>
      </w:r>
      <w:r w:rsidR="002D3611" w:rsidRPr="002D3611">
        <w:rPr>
          <w:rStyle w:val="Emphasis"/>
          <w:rFonts w:ascii="Times" w:hAnsi="Times"/>
          <w:color w:val="333333"/>
          <w:bdr w:val="none" w:sz="0" w:space="0" w:color="auto" w:frame="1"/>
        </w:rPr>
        <w:t>,</w:t>
      </w:r>
      <w:r w:rsidRPr="002D3611">
        <w:rPr>
          <w:rStyle w:val="Emphasis"/>
          <w:rFonts w:ascii="Times" w:hAnsi="Times"/>
          <w:color w:val="333333"/>
          <w:bdr w:val="none" w:sz="0" w:space="0" w:color="auto" w:frame="1"/>
        </w:rPr>
        <w:t xml:space="preserve"> it is clear that rights in constructions or </w:t>
      </w:r>
      <w:proofErr w:type="spellStart"/>
      <w:r w:rsidRPr="002D3611">
        <w:rPr>
          <w:rStyle w:val="Emphasis"/>
          <w:rFonts w:ascii="Times" w:hAnsi="Times"/>
          <w:color w:val="333333"/>
          <w:bdr w:val="none" w:sz="0" w:space="0" w:color="auto" w:frame="1"/>
        </w:rPr>
        <w:t>superficiary</w:t>
      </w:r>
      <w:proofErr w:type="spellEnd"/>
      <w:r w:rsidRPr="002D3611">
        <w:rPr>
          <w:rStyle w:val="Emphasis"/>
          <w:rFonts w:ascii="Times" w:hAnsi="Times"/>
          <w:color w:val="333333"/>
          <w:bdr w:val="none" w:sz="0" w:space="0" w:color="auto" w:frame="1"/>
        </w:rPr>
        <w:t xml:space="preserve"> erections or plantations can be distinct from those rights attaching to the soil or the land. A droit de </w:t>
      </w:r>
      <w:proofErr w:type="spellStart"/>
      <w:r w:rsidRPr="002D3611">
        <w:rPr>
          <w:rStyle w:val="Emphasis"/>
          <w:rFonts w:ascii="Times" w:hAnsi="Times"/>
          <w:color w:val="333333"/>
          <w:bdr w:val="none" w:sz="0" w:space="0" w:color="auto" w:frame="1"/>
        </w:rPr>
        <w:t>superficie</w:t>
      </w:r>
      <w:proofErr w:type="spellEnd"/>
      <w:r w:rsidRPr="002D3611">
        <w:rPr>
          <w:rStyle w:val="Emphasis"/>
          <w:rFonts w:ascii="Times" w:hAnsi="Times"/>
          <w:color w:val="333333"/>
          <w:bdr w:val="none" w:sz="0" w:space="0" w:color="auto" w:frame="1"/>
        </w:rPr>
        <w:t xml:space="preserve"> is distinct from the rights of the owner of the land</w:t>
      </w:r>
      <w:r w:rsidR="009A0315" w:rsidRPr="002D3611">
        <w:rPr>
          <w:rStyle w:val="Emphasis"/>
          <w:rFonts w:ascii="Times" w:hAnsi="Times"/>
          <w:color w:val="333333"/>
          <w:bdr w:val="none" w:sz="0" w:space="0" w:color="auto" w:frame="1"/>
        </w:rPr>
        <w:t>…</w:t>
      </w:r>
      <w:r w:rsidR="002D3611" w:rsidRPr="002D3611">
        <w:rPr>
          <w:rStyle w:val="Emphasis"/>
          <w:rFonts w:ascii="Times" w:hAnsi="Times"/>
          <w:color w:val="333333"/>
          <w:bdr w:val="none" w:sz="0" w:space="0" w:color="auto" w:frame="1"/>
        </w:rPr>
        <w:t>”</w:t>
      </w:r>
    </w:p>
    <w:p w14:paraId="5168F625" w14:textId="77777777" w:rsidR="009A0315" w:rsidRPr="002D3611" w:rsidRDefault="009A0315" w:rsidP="002D3611">
      <w:pPr>
        <w:pStyle w:val="JudgmentText"/>
        <w:numPr>
          <w:ilvl w:val="0"/>
          <w:numId w:val="0"/>
        </w:numPr>
        <w:shd w:val="clear" w:color="auto" w:fill="FFFFFF"/>
        <w:spacing w:after="0"/>
        <w:textAlignment w:val="baseline"/>
        <w:rPr>
          <w:rFonts w:ascii="Times" w:hAnsi="Times"/>
          <w:color w:val="333333"/>
        </w:rPr>
      </w:pPr>
    </w:p>
    <w:p w14:paraId="68C4BE98" w14:textId="21E4B69C" w:rsidR="002D3611" w:rsidRPr="0003172C" w:rsidRDefault="002D3611" w:rsidP="002D3611">
      <w:pPr>
        <w:pStyle w:val="JudgmentText"/>
        <w:shd w:val="clear" w:color="auto" w:fill="FFFFFF"/>
        <w:spacing w:after="0"/>
        <w:textAlignment w:val="baseline"/>
        <w:rPr>
          <w:rStyle w:val="Emphasis"/>
          <w:rFonts w:ascii="Times" w:hAnsi="Times"/>
          <w:i w:val="0"/>
          <w:iCs w:val="0"/>
          <w:color w:val="333333"/>
        </w:rPr>
      </w:pPr>
      <w:r w:rsidRPr="002D3611">
        <w:rPr>
          <w:rStyle w:val="Emphasis"/>
          <w:rFonts w:ascii="Times" w:hAnsi="Times"/>
          <w:i w:val="0"/>
          <w:color w:val="333333"/>
          <w:bdr w:val="none" w:sz="0" w:space="0" w:color="auto" w:frame="1"/>
        </w:rPr>
        <w:t>Further, in</w:t>
      </w:r>
      <w:r w:rsidRPr="002D3611">
        <w:rPr>
          <w:rStyle w:val="Emphasis"/>
          <w:rFonts w:ascii="Times" w:hAnsi="Times"/>
          <w:color w:val="333333"/>
          <w:bdr w:val="none" w:sz="0" w:space="0" w:color="auto" w:frame="1"/>
        </w:rPr>
        <w:t xml:space="preserve"> Adonis v Celeste, </w:t>
      </w:r>
      <w:r w:rsidRPr="002D3611">
        <w:rPr>
          <w:rStyle w:val="Emphasis"/>
          <w:rFonts w:ascii="Times" w:hAnsi="Times"/>
          <w:i w:val="0"/>
          <w:color w:val="333333"/>
          <w:bdr w:val="none" w:sz="0" w:space="0" w:color="auto" w:frame="1"/>
        </w:rPr>
        <w:t>CS 124/2012</w:t>
      </w:r>
      <w:r w:rsidRPr="002D3611">
        <w:rPr>
          <w:rStyle w:val="Emphasis"/>
          <w:rFonts w:ascii="Times" w:hAnsi="Times"/>
          <w:color w:val="333333"/>
          <w:bdr w:val="none" w:sz="0" w:space="0" w:color="auto" w:frame="1"/>
        </w:rPr>
        <w:t xml:space="preserve">, </w:t>
      </w:r>
      <w:r w:rsidRPr="002D3611">
        <w:rPr>
          <w:rStyle w:val="Emphasis"/>
          <w:rFonts w:ascii="Times" w:hAnsi="Times"/>
          <w:i w:val="0"/>
          <w:color w:val="333333"/>
          <w:bdr w:val="none" w:sz="0" w:space="0" w:color="auto" w:frame="1"/>
        </w:rPr>
        <w:t>the Supreme Court relying on</w:t>
      </w:r>
      <w:r w:rsidRPr="002D3611">
        <w:rPr>
          <w:rStyle w:val="Emphasis"/>
          <w:rFonts w:ascii="Times" w:hAnsi="Times"/>
          <w:color w:val="333333"/>
          <w:bdr w:val="none" w:sz="0" w:space="0" w:color="auto" w:frame="1"/>
        </w:rPr>
        <w:t xml:space="preserve"> </w:t>
      </w:r>
      <w:proofErr w:type="spellStart"/>
      <w:r w:rsidRPr="002D3611">
        <w:rPr>
          <w:rStyle w:val="Emphasis"/>
          <w:rFonts w:ascii="Times" w:hAnsi="Times"/>
          <w:color w:val="333333"/>
          <w:bdr w:val="none" w:sz="0" w:space="0" w:color="auto" w:frame="1"/>
        </w:rPr>
        <w:t>Malbrook</w:t>
      </w:r>
      <w:proofErr w:type="spellEnd"/>
      <w:r w:rsidRPr="002D3611">
        <w:rPr>
          <w:rStyle w:val="Emphasis"/>
          <w:rFonts w:ascii="Times" w:hAnsi="Times"/>
          <w:color w:val="333333"/>
          <w:bdr w:val="none" w:sz="0" w:space="0" w:color="auto" w:frame="1"/>
        </w:rPr>
        <w:t xml:space="preserve"> v Barra </w:t>
      </w:r>
      <w:r w:rsidRPr="002D3611">
        <w:rPr>
          <w:rStyle w:val="Emphasis"/>
          <w:rFonts w:ascii="Times" w:hAnsi="Times"/>
          <w:i w:val="0"/>
          <w:color w:val="333333"/>
          <w:bdr w:val="none" w:sz="0" w:space="0" w:color="auto" w:frame="1"/>
        </w:rPr>
        <w:t>(1978) SLR 196</w:t>
      </w:r>
      <w:r w:rsidRPr="002D3611">
        <w:rPr>
          <w:rStyle w:val="Emphasis"/>
          <w:rFonts w:ascii="Times" w:hAnsi="Times"/>
          <w:color w:val="333333"/>
          <w:bdr w:val="none" w:sz="0" w:space="0" w:color="auto" w:frame="1"/>
        </w:rPr>
        <w:t xml:space="preserve"> </w:t>
      </w:r>
      <w:r w:rsidRPr="002D3611">
        <w:rPr>
          <w:rStyle w:val="Emphasis"/>
          <w:rFonts w:ascii="Times" w:hAnsi="Times"/>
          <w:i w:val="0"/>
          <w:color w:val="333333"/>
          <w:bdr w:val="none" w:sz="0" w:space="0" w:color="auto" w:frame="1"/>
        </w:rPr>
        <w:t>and</w:t>
      </w:r>
      <w:r w:rsidRPr="002D3611">
        <w:rPr>
          <w:rStyle w:val="Emphasis"/>
          <w:rFonts w:ascii="Times" w:hAnsi="Times"/>
          <w:color w:val="333333"/>
          <w:bdr w:val="none" w:sz="0" w:space="0" w:color="auto" w:frame="1"/>
        </w:rPr>
        <w:t xml:space="preserve"> </w:t>
      </w:r>
      <w:proofErr w:type="spellStart"/>
      <w:r w:rsidRPr="002D3611">
        <w:rPr>
          <w:rStyle w:val="Emphasis"/>
          <w:rFonts w:ascii="Times" w:hAnsi="Times"/>
          <w:color w:val="333333"/>
          <w:bdr w:val="none" w:sz="0" w:space="0" w:color="auto" w:frame="1"/>
        </w:rPr>
        <w:t>Youpa</w:t>
      </w:r>
      <w:proofErr w:type="spellEnd"/>
      <w:r w:rsidRPr="002D3611">
        <w:rPr>
          <w:rStyle w:val="Emphasis"/>
          <w:rFonts w:ascii="Times" w:hAnsi="Times"/>
          <w:color w:val="333333"/>
          <w:bdr w:val="none" w:sz="0" w:space="0" w:color="auto" w:frame="1"/>
        </w:rPr>
        <w:t xml:space="preserve"> v Marie</w:t>
      </w:r>
      <w:r w:rsidRPr="002D3611">
        <w:rPr>
          <w:rStyle w:val="Emphasis"/>
          <w:rFonts w:ascii="Times" w:hAnsi="Times"/>
          <w:i w:val="0"/>
          <w:color w:val="333333"/>
          <w:bdr w:val="none" w:sz="0" w:space="0" w:color="auto" w:frame="1"/>
        </w:rPr>
        <w:t xml:space="preserve"> (1992) SLR 249 found that:</w:t>
      </w:r>
    </w:p>
    <w:p w14:paraId="3C7DEF04" w14:textId="77777777" w:rsidR="0003172C" w:rsidRDefault="0003172C" w:rsidP="0003172C">
      <w:pPr>
        <w:pStyle w:val="Unnumberedquote"/>
        <w:numPr>
          <w:ilvl w:val="0"/>
          <w:numId w:val="0"/>
        </w:numPr>
        <w:ind w:left="1440"/>
        <w:jc w:val="left"/>
        <w:rPr>
          <w:rStyle w:val="Emphasis"/>
        </w:rPr>
      </w:pPr>
    </w:p>
    <w:p w14:paraId="5ED0B990" w14:textId="53C80BEA" w:rsidR="002D3611" w:rsidRPr="002D3611" w:rsidRDefault="002D3611" w:rsidP="0003172C">
      <w:pPr>
        <w:pStyle w:val="Unnumberedquote"/>
        <w:numPr>
          <w:ilvl w:val="0"/>
          <w:numId w:val="0"/>
        </w:numPr>
        <w:ind w:left="1440"/>
        <w:jc w:val="left"/>
      </w:pPr>
      <w:r w:rsidRPr="002D3611">
        <w:rPr>
          <w:rStyle w:val="Emphasis"/>
        </w:rPr>
        <w:t>“[A]</w:t>
      </w:r>
      <w:proofErr w:type="spellStart"/>
      <w:r w:rsidRPr="002D3611">
        <w:rPr>
          <w:rStyle w:val="Emphasis"/>
        </w:rPr>
        <w:t>lthough</w:t>
      </w:r>
      <w:proofErr w:type="spellEnd"/>
      <w:r w:rsidRPr="002D3611">
        <w:rPr>
          <w:rStyle w:val="Emphasis"/>
        </w:rPr>
        <w:t xml:space="preserve"> such a right is personal to the grantee, a purchaser of land that is subject to a droit de </w:t>
      </w:r>
      <w:proofErr w:type="spellStart"/>
      <w:r w:rsidRPr="002D3611">
        <w:rPr>
          <w:rStyle w:val="Emphasis"/>
        </w:rPr>
        <w:t>superficie</w:t>
      </w:r>
      <w:proofErr w:type="spellEnd"/>
      <w:r w:rsidRPr="002D3611">
        <w:rPr>
          <w:rStyle w:val="Emphasis"/>
        </w:rPr>
        <w:t xml:space="preserve"> takes the land subject to the droit de </w:t>
      </w:r>
      <w:proofErr w:type="spellStart"/>
      <w:r w:rsidRPr="002D3611">
        <w:rPr>
          <w:rStyle w:val="Emphasis"/>
        </w:rPr>
        <w:t>superficie</w:t>
      </w:r>
      <w:proofErr w:type="spellEnd"/>
      <w:r w:rsidRPr="002D3611">
        <w:rPr>
          <w:rStyle w:val="Emphasis"/>
        </w:rPr>
        <w:t>.</w:t>
      </w:r>
    </w:p>
    <w:p w14:paraId="2DCFF438" w14:textId="5D11A74B" w:rsidR="002D3611" w:rsidRDefault="002D3611" w:rsidP="0003172C">
      <w:pPr>
        <w:pStyle w:val="Unnumberedquote"/>
        <w:numPr>
          <w:ilvl w:val="0"/>
          <w:numId w:val="0"/>
        </w:numPr>
        <w:ind w:left="1440"/>
        <w:jc w:val="left"/>
        <w:rPr>
          <w:rStyle w:val="Emphasis"/>
        </w:rPr>
      </w:pPr>
      <w:r w:rsidRPr="002D3611">
        <w:rPr>
          <w:rStyle w:val="Emphasis"/>
        </w:rPr>
        <w:t xml:space="preserve">Hence a droit de </w:t>
      </w:r>
      <w:proofErr w:type="spellStart"/>
      <w:r w:rsidRPr="002D3611">
        <w:rPr>
          <w:rStyle w:val="Emphasis"/>
        </w:rPr>
        <w:t>superficie</w:t>
      </w:r>
      <w:proofErr w:type="spellEnd"/>
      <w:r w:rsidRPr="002D3611">
        <w:rPr>
          <w:rStyle w:val="Emphasis"/>
        </w:rPr>
        <w:t xml:space="preserve"> persists with the transfer of property from the owner of the land to his successor in title.”</w:t>
      </w:r>
    </w:p>
    <w:p w14:paraId="094BC8FB" w14:textId="77777777" w:rsidR="0003172C" w:rsidRPr="002D3611" w:rsidRDefault="0003172C" w:rsidP="0003172C">
      <w:pPr>
        <w:pStyle w:val="Unnumberedquote"/>
        <w:numPr>
          <w:ilvl w:val="0"/>
          <w:numId w:val="0"/>
        </w:numPr>
        <w:ind w:left="1440"/>
        <w:jc w:val="left"/>
      </w:pPr>
    </w:p>
    <w:p w14:paraId="29A95FE0" w14:textId="1DD8D24D" w:rsidR="00676075" w:rsidRPr="002D3611" w:rsidRDefault="00676075" w:rsidP="00676075">
      <w:pPr>
        <w:pStyle w:val="JudgmentText"/>
        <w:rPr>
          <w:rFonts w:ascii="Times" w:hAnsi="Times"/>
        </w:rPr>
      </w:pPr>
      <w:r w:rsidRPr="002D3611">
        <w:rPr>
          <w:rFonts w:ascii="Times" w:hAnsi="Times"/>
        </w:rPr>
        <w:t xml:space="preserve">In </w:t>
      </w:r>
      <w:r w:rsidR="002D3611">
        <w:rPr>
          <w:rFonts w:ascii="Times" w:hAnsi="Times"/>
        </w:rPr>
        <w:t xml:space="preserve">addition, in </w:t>
      </w:r>
      <w:r w:rsidRPr="002D3611">
        <w:rPr>
          <w:rFonts w:ascii="Times" w:hAnsi="Times"/>
          <w:i/>
          <w:color w:val="000000"/>
        </w:rPr>
        <w:t xml:space="preserve">Ministry of Land Use and Housing v </w:t>
      </w:r>
      <w:proofErr w:type="spellStart"/>
      <w:r w:rsidRPr="002D3611">
        <w:rPr>
          <w:rFonts w:ascii="Times" w:hAnsi="Times"/>
          <w:i/>
          <w:color w:val="000000"/>
        </w:rPr>
        <w:t>Stravens</w:t>
      </w:r>
      <w:proofErr w:type="spellEnd"/>
      <w:r w:rsidRPr="002D3611">
        <w:rPr>
          <w:rFonts w:ascii="Times" w:hAnsi="Times"/>
          <w:color w:val="000000"/>
        </w:rPr>
        <w:t xml:space="preserve"> (Civil Appeal SCA 24/2014) [2017] SCCA 13 (21 April 2017)</w:t>
      </w:r>
      <w:r w:rsidR="009A0315" w:rsidRPr="002D3611">
        <w:rPr>
          <w:rFonts w:ascii="Times" w:hAnsi="Times"/>
          <w:color w:val="000000"/>
        </w:rPr>
        <w:t>, the Court of A</w:t>
      </w:r>
      <w:r w:rsidRPr="002D3611">
        <w:rPr>
          <w:rFonts w:ascii="Times" w:hAnsi="Times"/>
          <w:color w:val="000000"/>
        </w:rPr>
        <w:t xml:space="preserve">ppeal </w:t>
      </w:r>
      <w:r w:rsidR="009A0315" w:rsidRPr="002D3611">
        <w:rPr>
          <w:rFonts w:ascii="Times" w:hAnsi="Times"/>
          <w:color w:val="000000"/>
        </w:rPr>
        <w:t>went further to state that:</w:t>
      </w:r>
      <w:r w:rsidRPr="002D3611">
        <w:rPr>
          <w:rFonts w:ascii="Times" w:hAnsi="Times"/>
          <w:color w:val="000000"/>
        </w:rPr>
        <w:t xml:space="preserve"> </w:t>
      </w:r>
    </w:p>
    <w:p w14:paraId="64A3F231" w14:textId="5D579563" w:rsidR="000A60A6" w:rsidRDefault="00676075" w:rsidP="0003172C">
      <w:pPr>
        <w:pStyle w:val="Jjmntheading2"/>
        <w:spacing w:line="276" w:lineRule="auto"/>
        <w:ind w:left="720"/>
        <w:rPr>
          <w:rFonts w:ascii="Times" w:hAnsi="Times"/>
          <w:shd w:val="clear" w:color="auto" w:fill="FFFFFF"/>
          <w:lang w:val="en-US"/>
        </w:rPr>
      </w:pPr>
      <w:r w:rsidRPr="002D3611">
        <w:rPr>
          <w:rFonts w:ascii="Times" w:hAnsi="Times"/>
          <w:shd w:val="clear" w:color="auto" w:fill="FFFFFF"/>
          <w:lang w:val="en-US"/>
        </w:rPr>
        <w:t>“[U]</w:t>
      </w:r>
      <w:proofErr w:type="spellStart"/>
      <w:r w:rsidRPr="002D3611">
        <w:rPr>
          <w:rFonts w:ascii="Times" w:hAnsi="Times"/>
          <w:shd w:val="clear" w:color="auto" w:fill="FFFFFF"/>
          <w:lang w:val="en-US"/>
        </w:rPr>
        <w:t>nless</w:t>
      </w:r>
      <w:proofErr w:type="spellEnd"/>
      <w:r w:rsidRPr="002D3611">
        <w:rPr>
          <w:rFonts w:ascii="Times" w:hAnsi="Times"/>
          <w:shd w:val="clear" w:color="auto" w:fill="FFFFFF"/>
          <w:lang w:val="en-US"/>
        </w:rPr>
        <w:t xml:space="preserve"> expressly stated or inferred otherwise from the intention of the parties, a </w:t>
      </w:r>
      <w:r w:rsidRPr="002D3611">
        <w:rPr>
          <w:rFonts w:ascii="Times" w:hAnsi="Times"/>
          <w:iCs/>
          <w:bdr w:val="none" w:sz="0" w:space="0" w:color="auto" w:frame="1"/>
          <w:shd w:val="clear" w:color="auto" w:fill="FFFFFF"/>
          <w:lang w:val="en-US"/>
        </w:rPr>
        <w:t xml:space="preserve">droit de </w:t>
      </w:r>
      <w:proofErr w:type="spellStart"/>
      <w:r w:rsidRPr="002D3611">
        <w:rPr>
          <w:rFonts w:ascii="Times" w:hAnsi="Times"/>
          <w:iCs/>
          <w:bdr w:val="none" w:sz="0" w:space="0" w:color="auto" w:frame="1"/>
          <w:shd w:val="clear" w:color="auto" w:fill="FFFFFF"/>
          <w:lang w:val="en-US"/>
        </w:rPr>
        <w:t>superficie</w:t>
      </w:r>
      <w:proofErr w:type="spellEnd"/>
      <w:r w:rsidRPr="002D3611">
        <w:rPr>
          <w:rFonts w:ascii="Times" w:hAnsi="Times"/>
          <w:shd w:val="clear" w:color="auto" w:fill="FFFFFF"/>
          <w:lang w:val="en-US"/>
        </w:rPr>
        <w:t> may well be perpetual.”</w:t>
      </w:r>
    </w:p>
    <w:p w14:paraId="040AE94F" w14:textId="77777777" w:rsidR="0003172C" w:rsidRPr="002D3611" w:rsidRDefault="0003172C" w:rsidP="0003172C">
      <w:pPr>
        <w:pStyle w:val="Jjmntheading2"/>
        <w:spacing w:line="276" w:lineRule="auto"/>
        <w:ind w:left="720"/>
        <w:rPr>
          <w:rFonts w:ascii="Times" w:eastAsia="Times New Roman" w:hAnsi="Times"/>
          <w:lang w:val="en-US"/>
        </w:rPr>
      </w:pPr>
    </w:p>
    <w:p w14:paraId="7214ACBD" w14:textId="215A76CE" w:rsidR="00E5334B" w:rsidRPr="002D3611" w:rsidRDefault="000A60A6" w:rsidP="00E5334B">
      <w:pPr>
        <w:pStyle w:val="JudgmentText"/>
        <w:rPr>
          <w:rFonts w:ascii="Times" w:hAnsi="Times"/>
        </w:rPr>
      </w:pPr>
      <w:r w:rsidRPr="002D3611">
        <w:rPr>
          <w:rFonts w:ascii="Times" w:hAnsi="Times"/>
        </w:rPr>
        <w:t xml:space="preserve">It </w:t>
      </w:r>
      <w:proofErr w:type="gramStart"/>
      <w:r w:rsidRPr="002D3611">
        <w:rPr>
          <w:rFonts w:ascii="Times" w:hAnsi="Times"/>
        </w:rPr>
        <w:t>must also be noted</w:t>
      </w:r>
      <w:proofErr w:type="gramEnd"/>
      <w:r w:rsidRPr="002D3611">
        <w:rPr>
          <w:rFonts w:ascii="Times" w:hAnsi="Times"/>
        </w:rPr>
        <w:t xml:space="preserve"> that a </w:t>
      </w:r>
      <w:r w:rsidRPr="002D3611">
        <w:rPr>
          <w:rFonts w:ascii="Times" w:hAnsi="Times"/>
          <w:i/>
        </w:rPr>
        <w:t xml:space="preserve">droit de </w:t>
      </w:r>
      <w:proofErr w:type="spellStart"/>
      <w:r w:rsidRPr="002D3611">
        <w:rPr>
          <w:rFonts w:ascii="Times" w:hAnsi="Times"/>
          <w:i/>
        </w:rPr>
        <w:t>superficie</w:t>
      </w:r>
      <w:proofErr w:type="spellEnd"/>
      <w:r w:rsidRPr="002D3611">
        <w:rPr>
          <w:rFonts w:ascii="Times" w:hAnsi="Times"/>
          <w:i/>
        </w:rPr>
        <w:t xml:space="preserve"> </w:t>
      </w:r>
      <w:r w:rsidRPr="002D3611">
        <w:rPr>
          <w:rFonts w:ascii="Times" w:hAnsi="Times"/>
        </w:rPr>
        <w:t xml:space="preserve">is capable of being registered as an overriding property right at the Land Registry under section </w:t>
      </w:r>
      <w:r w:rsidRPr="002D3611">
        <w:rPr>
          <w:rFonts w:ascii="Times" w:hAnsi="Times"/>
          <w:iCs/>
          <w:color w:val="333333"/>
          <w:bdr w:val="none" w:sz="0" w:space="0" w:color="auto" w:frame="1"/>
          <w:shd w:val="clear" w:color="auto" w:fill="FFFFFF"/>
          <w:lang w:val="en-US"/>
        </w:rPr>
        <w:t>25(g) of the Land Registration Act (Cap107). </w:t>
      </w:r>
    </w:p>
    <w:p w14:paraId="734DB7E7" w14:textId="0D2EF677" w:rsidR="000A60A6" w:rsidRPr="002D3611" w:rsidRDefault="000A60A6" w:rsidP="000A60A6">
      <w:pPr>
        <w:pStyle w:val="Jjmntheading1"/>
        <w:rPr>
          <w:rFonts w:ascii="Times" w:hAnsi="Times"/>
        </w:rPr>
      </w:pPr>
      <w:r w:rsidRPr="002D3611">
        <w:rPr>
          <w:rFonts w:ascii="Times" w:hAnsi="Times"/>
        </w:rPr>
        <w:t>The present case</w:t>
      </w:r>
    </w:p>
    <w:p w14:paraId="143A7300" w14:textId="4AD9403B" w:rsidR="000A60A6" w:rsidRPr="002D3611" w:rsidRDefault="000A60A6" w:rsidP="00E5334B">
      <w:pPr>
        <w:pStyle w:val="JudgmentText"/>
        <w:rPr>
          <w:rFonts w:ascii="Times" w:hAnsi="Times"/>
        </w:rPr>
      </w:pPr>
      <w:r w:rsidRPr="002D3611">
        <w:rPr>
          <w:rFonts w:ascii="Times" w:hAnsi="Times"/>
        </w:rPr>
        <w:t xml:space="preserve">The Appellant, Mohamed </w:t>
      </w:r>
      <w:proofErr w:type="spellStart"/>
      <w:r w:rsidRPr="002D3611">
        <w:rPr>
          <w:rFonts w:ascii="Times" w:hAnsi="Times"/>
        </w:rPr>
        <w:t>Khudabin</w:t>
      </w:r>
      <w:proofErr w:type="spellEnd"/>
      <w:r w:rsidRPr="002D3611">
        <w:rPr>
          <w:rFonts w:ascii="Times" w:hAnsi="Times"/>
        </w:rPr>
        <w:t xml:space="preserve">, by plaint entered on 11 January 2017 prayed for an order from the court for the vacation of his property by the Respondents, </w:t>
      </w:r>
      <w:proofErr w:type="spellStart"/>
      <w:r w:rsidRPr="002D3611">
        <w:rPr>
          <w:rFonts w:ascii="Times" w:hAnsi="Times"/>
        </w:rPr>
        <w:t>Willette</w:t>
      </w:r>
      <w:proofErr w:type="spellEnd"/>
      <w:r w:rsidRPr="002D3611">
        <w:rPr>
          <w:rFonts w:ascii="Times" w:hAnsi="Times"/>
        </w:rPr>
        <w:t xml:space="preserve"> and Yvonne </w:t>
      </w:r>
      <w:proofErr w:type="spellStart"/>
      <w:r w:rsidRPr="002D3611">
        <w:rPr>
          <w:rFonts w:ascii="Times" w:hAnsi="Times"/>
        </w:rPr>
        <w:t>Liline</w:t>
      </w:r>
      <w:proofErr w:type="spellEnd"/>
      <w:r w:rsidRPr="002D3611">
        <w:rPr>
          <w:rFonts w:ascii="Times" w:hAnsi="Times"/>
        </w:rPr>
        <w:t xml:space="preserve"> </w:t>
      </w:r>
      <w:proofErr w:type="spellStart"/>
      <w:r w:rsidRPr="002D3611">
        <w:rPr>
          <w:rFonts w:ascii="Times" w:hAnsi="Times"/>
        </w:rPr>
        <w:t>Porice</w:t>
      </w:r>
      <w:proofErr w:type="spellEnd"/>
      <w:r w:rsidR="00613A0E" w:rsidRPr="002D3611">
        <w:rPr>
          <w:rFonts w:ascii="Times" w:hAnsi="Times"/>
        </w:rPr>
        <w:t xml:space="preserve">. He testified that he had inherited land parcel V5117 from his father, John </w:t>
      </w:r>
      <w:proofErr w:type="spellStart"/>
      <w:r w:rsidR="00613A0E" w:rsidRPr="002D3611">
        <w:rPr>
          <w:rFonts w:ascii="Times" w:hAnsi="Times"/>
        </w:rPr>
        <w:t>Lalande</w:t>
      </w:r>
      <w:proofErr w:type="spellEnd"/>
      <w:r w:rsidR="00613A0E" w:rsidRPr="002D3611">
        <w:rPr>
          <w:rFonts w:ascii="Times" w:hAnsi="Times"/>
        </w:rPr>
        <w:t xml:space="preserve"> aka Ibrahim </w:t>
      </w:r>
      <w:proofErr w:type="spellStart"/>
      <w:r w:rsidR="00613A0E" w:rsidRPr="002D3611">
        <w:rPr>
          <w:rFonts w:ascii="Times" w:hAnsi="Times"/>
        </w:rPr>
        <w:t>Adolwais</w:t>
      </w:r>
      <w:proofErr w:type="spellEnd"/>
      <w:r w:rsidR="00613A0E" w:rsidRPr="002D3611">
        <w:rPr>
          <w:rFonts w:ascii="Times" w:hAnsi="Times"/>
        </w:rPr>
        <w:t xml:space="preserve">, </w:t>
      </w:r>
      <w:proofErr w:type="gramStart"/>
      <w:r w:rsidR="00613A0E" w:rsidRPr="002D3611">
        <w:rPr>
          <w:rFonts w:ascii="Times" w:hAnsi="Times"/>
        </w:rPr>
        <w:t>( the</w:t>
      </w:r>
      <w:proofErr w:type="gramEnd"/>
      <w:r w:rsidR="00613A0E" w:rsidRPr="002D3611">
        <w:rPr>
          <w:rFonts w:ascii="Times" w:hAnsi="Times"/>
        </w:rPr>
        <w:t xml:space="preserve"> deceased). On the land</w:t>
      </w:r>
      <w:r w:rsidR="001C2FB3" w:rsidRPr="002D3611">
        <w:rPr>
          <w:rFonts w:ascii="Times" w:hAnsi="Times"/>
        </w:rPr>
        <w:t>,</w:t>
      </w:r>
      <w:r w:rsidR="00613A0E" w:rsidRPr="002D3611">
        <w:rPr>
          <w:rFonts w:ascii="Times" w:hAnsi="Times"/>
        </w:rPr>
        <w:t xml:space="preserve"> was a house partly made of brick and partly of corrugated iron sheets in which his father had granted his sisters, </w:t>
      </w:r>
      <w:proofErr w:type="spellStart"/>
      <w:r w:rsidR="00613A0E" w:rsidRPr="002D3611">
        <w:rPr>
          <w:rFonts w:ascii="Times" w:hAnsi="Times"/>
        </w:rPr>
        <w:lastRenderedPageBreak/>
        <w:t>Pierreline</w:t>
      </w:r>
      <w:proofErr w:type="spellEnd"/>
      <w:r w:rsidR="00613A0E" w:rsidRPr="002D3611">
        <w:rPr>
          <w:rFonts w:ascii="Times" w:hAnsi="Times"/>
        </w:rPr>
        <w:t xml:space="preserve"> Pointe and Christa </w:t>
      </w:r>
      <w:proofErr w:type="spellStart"/>
      <w:r w:rsidR="00613A0E" w:rsidRPr="002D3611">
        <w:rPr>
          <w:rFonts w:ascii="Times" w:hAnsi="Times"/>
        </w:rPr>
        <w:t>Lalande</w:t>
      </w:r>
      <w:proofErr w:type="spellEnd"/>
      <w:r w:rsidR="00613A0E" w:rsidRPr="002D3611">
        <w:rPr>
          <w:rFonts w:ascii="Times" w:hAnsi="Times"/>
        </w:rPr>
        <w:t xml:space="preserve"> permission to reside. </w:t>
      </w:r>
      <w:proofErr w:type="spellStart"/>
      <w:r w:rsidR="00613A0E" w:rsidRPr="002D3611">
        <w:rPr>
          <w:rFonts w:ascii="Times" w:hAnsi="Times"/>
        </w:rPr>
        <w:t>Pierreli</w:t>
      </w:r>
      <w:r w:rsidR="001C2FB3" w:rsidRPr="002D3611">
        <w:rPr>
          <w:rFonts w:ascii="Times" w:hAnsi="Times"/>
        </w:rPr>
        <w:t>ne</w:t>
      </w:r>
      <w:proofErr w:type="spellEnd"/>
      <w:r w:rsidR="001C2FB3" w:rsidRPr="002D3611">
        <w:rPr>
          <w:rFonts w:ascii="Times" w:hAnsi="Times"/>
        </w:rPr>
        <w:t xml:space="preserve"> Pointe’s daughter, </w:t>
      </w:r>
      <w:proofErr w:type="spellStart"/>
      <w:r w:rsidR="001C2FB3" w:rsidRPr="002D3611">
        <w:rPr>
          <w:rFonts w:ascii="Times" w:hAnsi="Times"/>
        </w:rPr>
        <w:t>W</w:t>
      </w:r>
      <w:r w:rsidR="00613A0E" w:rsidRPr="002D3611">
        <w:rPr>
          <w:rFonts w:ascii="Times" w:hAnsi="Times"/>
        </w:rPr>
        <w:t>illette</w:t>
      </w:r>
      <w:proofErr w:type="spellEnd"/>
      <w:r w:rsidR="00613A0E" w:rsidRPr="002D3611">
        <w:rPr>
          <w:rFonts w:ascii="Times" w:hAnsi="Times"/>
        </w:rPr>
        <w:t xml:space="preserve"> </w:t>
      </w:r>
      <w:proofErr w:type="spellStart"/>
      <w:r w:rsidR="00613A0E" w:rsidRPr="002D3611">
        <w:rPr>
          <w:rFonts w:ascii="Times" w:hAnsi="Times"/>
        </w:rPr>
        <w:t>Porice</w:t>
      </w:r>
      <w:proofErr w:type="spellEnd"/>
      <w:r w:rsidR="0003172C">
        <w:rPr>
          <w:rFonts w:ascii="Times" w:hAnsi="Times"/>
        </w:rPr>
        <w:t xml:space="preserve"> (the First Respondent)</w:t>
      </w:r>
      <w:r w:rsidR="00613A0E" w:rsidRPr="002D3611">
        <w:rPr>
          <w:rFonts w:ascii="Times" w:hAnsi="Times"/>
        </w:rPr>
        <w:t xml:space="preserve"> grew</w:t>
      </w:r>
      <w:r w:rsidR="001C2FB3" w:rsidRPr="002D3611">
        <w:rPr>
          <w:rFonts w:ascii="Times" w:hAnsi="Times"/>
        </w:rPr>
        <w:t xml:space="preserve"> </w:t>
      </w:r>
      <w:r w:rsidR="00613A0E" w:rsidRPr="002D3611">
        <w:rPr>
          <w:rFonts w:ascii="Times" w:hAnsi="Times"/>
        </w:rPr>
        <w:t xml:space="preserve">up in the house as </w:t>
      </w:r>
      <w:r w:rsidR="001C2FB3" w:rsidRPr="002D3611">
        <w:rPr>
          <w:rFonts w:ascii="Times" w:hAnsi="Times"/>
        </w:rPr>
        <w:t>d</w:t>
      </w:r>
      <w:r w:rsidR="00613A0E" w:rsidRPr="002D3611">
        <w:rPr>
          <w:rFonts w:ascii="Times" w:hAnsi="Times"/>
        </w:rPr>
        <w:t xml:space="preserve">id </w:t>
      </w:r>
      <w:r w:rsidR="001C2FB3" w:rsidRPr="002D3611">
        <w:rPr>
          <w:rFonts w:ascii="Times" w:hAnsi="Times"/>
        </w:rPr>
        <w:t xml:space="preserve">her daughter, Yvonne </w:t>
      </w:r>
      <w:proofErr w:type="spellStart"/>
      <w:r w:rsidR="001C2FB3" w:rsidRPr="002D3611">
        <w:rPr>
          <w:rFonts w:ascii="Times" w:hAnsi="Times"/>
        </w:rPr>
        <w:t>Liline</w:t>
      </w:r>
      <w:proofErr w:type="spellEnd"/>
      <w:r w:rsidR="001C2FB3" w:rsidRPr="002D3611">
        <w:rPr>
          <w:rFonts w:ascii="Times" w:hAnsi="Times"/>
        </w:rPr>
        <w:t xml:space="preserve"> </w:t>
      </w:r>
      <w:proofErr w:type="spellStart"/>
      <w:r w:rsidR="001C2FB3" w:rsidRPr="002D3611">
        <w:rPr>
          <w:rFonts w:ascii="Times" w:hAnsi="Times"/>
        </w:rPr>
        <w:t>Porice</w:t>
      </w:r>
      <w:proofErr w:type="spellEnd"/>
      <w:r w:rsidR="001C2FB3" w:rsidRPr="002D3611">
        <w:rPr>
          <w:rFonts w:ascii="Times" w:hAnsi="Times"/>
        </w:rPr>
        <w:t xml:space="preserve">. </w:t>
      </w:r>
      <w:r w:rsidR="0003172C">
        <w:rPr>
          <w:rFonts w:ascii="Times" w:hAnsi="Times"/>
        </w:rPr>
        <w:t>It was averred in the Plaint that they</w:t>
      </w:r>
      <w:r w:rsidR="001C2FB3" w:rsidRPr="002D3611">
        <w:rPr>
          <w:rFonts w:ascii="Times" w:hAnsi="Times"/>
        </w:rPr>
        <w:t xml:space="preserve"> continue to reside on the property without Mr. </w:t>
      </w:r>
      <w:proofErr w:type="spellStart"/>
      <w:r w:rsidR="001C2FB3" w:rsidRPr="002D3611">
        <w:rPr>
          <w:rFonts w:ascii="Times" w:hAnsi="Times"/>
        </w:rPr>
        <w:t>Khudabin’s</w:t>
      </w:r>
      <w:proofErr w:type="spellEnd"/>
      <w:r w:rsidR="001C2FB3" w:rsidRPr="002D3611">
        <w:rPr>
          <w:rFonts w:ascii="Times" w:hAnsi="Times"/>
        </w:rPr>
        <w:t xml:space="preserve"> permission and have over the years improved the dwelling home. When they set out to carry out further works on the house, Mr. </w:t>
      </w:r>
      <w:proofErr w:type="spellStart"/>
      <w:r w:rsidR="001C2FB3" w:rsidRPr="002D3611">
        <w:rPr>
          <w:rFonts w:ascii="Times" w:hAnsi="Times"/>
        </w:rPr>
        <w:t>Khudabin</w:t>
      </w:r>
      <w:proofErr w:type="spellEnd"/>
      <w:r w:rsidR="001C2FB3" w:rsidRPr="002D3611">
        <w:rPr>
          <w:rFonts w:ascii="Times" w:hAnsi="Times"/>
        </w:rPr>
        <w:t xml:space="preserve"> sought their eviction, the present subject matter of this appeal.</w:t>
      </w:r>
    </w:p>
    <w:p w14:paraId="02B34535" w14:textId="7D72265A" w:rsidR="001C2FB3" w:rsidRPr="002D3611" w:rsidRDefault="001C2FB3" w:rsidP="00E5334B">
      <w:pPr>
        <w:pStyle w:val="JudgmentText"/>
        <w:rPr>
          <w:rFonts w:ascii="Times" w:hAnsi="Times"/>
        </w:rPr>
      </w:pPr>
      <w:r w:rsidRPr="002D3611">
        <w:rPr>
          <w:rFonts w:ascii="Times" w:hAnsi="Times"/>
        </w:rPr>
        <w:t>The two Respondents</w:t>
      </w:r>
      <w:r w:rsidR="00567727" w:rsidRPr="002D3611">
        <w:rPr>
          <w:rFonts w:ascii="Times" w:hAnsi="Times"/>
        </w:rPr>
        <w:t xml:space="preserve"> in their joint statement of defe</w:t>
      </w:r>
      <w:r w:rsidR="00721E8B" w:rsidRPr="002D3611">
        <w:rPr>
          <w:rFonts w:ascii="Times" w:hAnsi="Times"/>
        </w:rPr>
        <w:t xml:space="preserve">nce averred that they had been in </w:t>
      </w:r>
      <w:r w:rsidR="00567727" w:rsidRPr="002D3611">
        <w:rPr>
          <w:rFonts w:ascii="Times" w:hAnsi="Times"/>
        </w:rPr>
        <w:t xml:space="preserve">occupation of the property with the permission of Mr. </w:t>
      </w:r>
      <w:proofErr w:type="spellStart"/>
      <w:r w:rsidR="00567727" w:rsidRPr="002D3611">
        <w:rPr>
          <w:rFonts w:ascii="Times" w:hAnsi="Times"/>
        </w:rPr>
        <w:t>Khudab</w:t>
      </w:r>
      <w:r w:rsidR="00721E8B" w:rsidRPr="002D3611">
        <w:rPr>
          <w:rFonts w:ascii="Times" w:hAnsi="Times"/>
        </w:rPr>
        <w:t>in’s</w:t>
      </w:r>
      <w:proofErr w:type="spellEnd"/>
      <w:r w:rsidR="00721E8B" w:rsidRPr="002D3611">
        <w:rPr>
          <w:rFonts w:ascii="Times" w:hAnsi="Times"/>
        </w:rPr>
        <w:t xml:space="preserve"> father and had been authorised to build an</w:t>
      </w:r>
      <w:r w:rsidR="00567727" w:rsidRPr="002D3611">
        <w:rPr>
          <w:rFonts w:ascii="Times" w:hAnsi="Times"/>
        </w:rPr>
        <w:t>d</w:t>
      </w:r>
      <w:r w:rsidR="00721E8B" w:rsidRPr="002D3611">
        <w:rPr>
          <w:rFonts w:ascii="Times" w:hAnsi="Times"/>
        </w:rPr>
        <w:t xml:space="preserve"> </w:t>
      </w:r>
      <w:r w:rsidR="00567727" w:rsidRPr="002D3611">
        <w:rPr>
          <w:rFonts w:ascii="Times" w:hAnsi="Times"/>
        </w:rPr>
        <w:t>maint</w:t>
      </w:r>
      <w:r w:rsidR="00721E8B" w:rsidRPr="002D3611">
        <w:rPr>
          <w:rFonts w:ascii="Times" w:hAnsi="Times"/>
        </w:rPr>
        <w:t>a</w:t>
      </w:r>
      <w:r w:rsidR="00567727" w:rsidRPr="002D3611">
        <w:rPr>
          <w:rFonts w:ascii="Times" w:hAnsi="Times"/>
        </w:rPr>
        <w:t xml:space="preserve">in the dwelling </w:t>
      </w:r>
      <w:proofErr w:type="gramStart"/>
      <w:r w:rsidR="00567727" w:rsidRPr="002D3611">
        <w:rPr>
          <w:rFonts w:ascii="Times" w:hAnsi="Times"/>
        </w:rPr>
        <w:t>house which</w:t>
      </w:r>
      <w:proofErr w:type="gramEnd"/>
      <w:r w:rsidR="00567727" w:rsidRPr="002D3611">
        <w:rPr>
          <w:rFonts w:ascii="Times" w:hAnsi="Times"/>
        </w:rPr>
        <w:t xml:space="preserve"> they occupied on the property. </w:t>
      </w:r>
      <w:r w:rsidR="00721E8B" w:rsidRPr="002D3611">
        <w:rPr>
          <w:rFonts w:ascii="Times" w:hAnsi="Times"/>
        </w:rPr>
        <w:t xml:space="preserve">They counterclaimed for an order that they had a </w:t>
      </w:r>
      <w:r w:rsidR="00721E8B" w:rsidRPr="002D3611">
        <w:rPr>
          <w:rFonts w:ascii="Times" w:hAnsi="Times"/>
          <w:i/>
        </w:rPr>
        <w:t xml:space="preserve">droit de </w:t>
      </w:r>
      <w:proofErr w:type="spellStart"/>
      <w:r w:rsidR="00721E8B" w:rsidRPr="002D3611">
        <w:rPr>
          <w:rFonts w:ascii="Times" w:hAnsi="Times"/>
          <w:i/>
        </w:rPr>
        <w:t>superficie</w:t>
      </w:r>
      <w:proofErr w:type="spellEnd"/>
      <w:r w:rsidR="00721E8B" w:rsidRPr="002D3611">
        <w:rPr>
          <w:rFonts w:ascii="Times" w:hAnsi="Times"/>
          <w:i/>
        </w:rPr>
        <w:t xml:space="preserve"> </w:t>
      </w:r>
      <w:r w:rsidR="00721E8B" w:rsidRPr="002D3611">
        <w:rPr>
          <w:rFonts w:ascii="Times" w:hAnsi="Times"/>
        </w:rPr>
        <w:t>over the bui</w:t>
      </w:r>
      <w:r w:rsidR="0003172C">
        <w:rPr>
          <w:rFonts w:ascii="Times" w:hAnsi="Times"/>
        </w:rPr>
        <w:t>ldi</w:t>
      </w:r>
      <w:r w:rsidR="00721E8B" w:rsidRPr="002D3611">
        <w:rPr>
          <w:rFonts w:ascii="Times" w:hAnsi="Times"/>
        </w:rPr>
        <w:t>ngs they occupy over Parcel V5117</w:t>
      </w:r>
    </w:p>
    <w:p w14:paraId="2B5BADFD" w14:textId="3DDC25F5" w:rsidR="00721E8B" w:rsidRPr="002D3611" w:rsidRDefault="00721E8B" w:rsidP="00E5334B">
      <w:pPr>
        <w:pStyle w:val="JudgmentText"/>
        <w:rPr>
          <w:rFonts w:ascii="Times" w:hAnsi="Times"/>
          <w:i/>
        </w:rPr>
      </w:pPr>
      <w:r w:rsidRPr="002D3611">
        <w:rPr>
          <w:rFonts w:ascii="Times" w:hAnsi="Times"/>
        </w:rPr>
        <w:t xml:space="preserve">The learned trial judge found in favour of the Respondents, granting them a </w:t>
      </w:r>
      <w:r w:rsidRPr="002D3611">
        <w:rPr>
          <w:rFonts w:ascii="Times" w:hAnsi="Times"/>
          <w:i/>
        </w:rPr>
        <w:t xml:space="preserve">droit de </w:t>
      </w:r>
      <w:proofErr w:type="spellStart"/>
      <w:r w:rsidR="002D3611">
        <w:rPr>
          <w:rFonts w:ascii="Times" w:hAnsi="Times"/>
        </w:rPr>
        <w:t>super</w:t>
      </w:r>
      <w:r w:rsidRPr="002D3611">
        <w:rPr>
          <w:rFonts w:ascii="Times" w:hAnsi="Times"/>
        </w:rPr>
        <w:t>ficie</w:t>
      </w:r>
      <w:proofErr w:type="spellEnd"/>
      <w:r w:rsidRPr="002D3611">
        <w:rPr>
          <w:rFonts w:ascii="Times" w:hAnsi="Times"/>
          <w:i/>
        </w:rPr>
        <w:t xml:space="preserve"> </w:t>
      </w:r>
      <w:r w:rsidRPr="002D3611">
        <w:rPr>
          <w:rFonts w:ascii="Times" w:hAnsi="Times"/>
        </w:rPr>
        <w:t>“over the dwelling house existing on the property subject to repairs and not improvements/repairs amounting to rebuilding</w:t>
      </w:r>
      <w:r w:rsidR="00AE729D" w:rsidRPr="002D3611">
        <w:rPr>
          <w:rFonts w:ascii="Times" w:hAnsi="Times"/>
        </w:rPr>
        <w:t>.”</w:t>
      </w:r>
    </w:p>
    <w:p w14:paraId="41A8F388" w14:textId="099385D8" w:rsidR="002D3611" w:rsidRPr="002D3611" w:rsidRDefault="002D3611" w:rsidP="002D3611">
      <w:pPr>
        <w:pStyle w:val="Jjmntheading1"/>
        <w:rPr>
          <w:i/>
        </w:rPr>
      </w:pPr>
      <w:r>
        <w:t>The grounds of appeal</w:t>
      </w:r>
    </w:p>
    <w:p w14:paraId="54144781" w14:textId="04CABC64" w:rsidR="00AE729D" w:rsidRPr="002D3611" w:rsidRDefault="00AE729D" w:rsidP="00E5334B">
      <w:pPr>
        <w:pStyle w:val="JudgmentText"/>
        <w:rPr>
          <w:rFonts w:ascii="Times" w:hAnsi="Times"/>
          <w:i/>
        </w:rPr>
      </w:pPr>
      <w:r w:rsidRPr="002D3611">
        <w:rPr>
          <w:rFonts w:ascii="Times" w:hAnsi="Times"/>
        </w:rPr>
        <w:t xml:space="preserve">Dissatisfied with this decision the Mr. </w:t>
      </w:r>
      <w:proofErr w:type="spellStart"/>
      <w:r w:rsidRPr="002D3611">
        <w:rPr>
          <w:rFonts w:ascii="Times" w:hAnsi="Times"/>
        </w:rPr>
        <w:t>Khudabin</w:t>
      </w:r>
      <w:proofErr w:type="spellEnd"/>
      <w:r w:rsidRPr="002D3611">
        <w:rPr>
          <w:rFonts w:ascii="Times" w:hAnsi="Times"/>
        </w:rPr>
        <w:t xml:space="preserve"> has appealed to this court on the following grounds: </w:t>
      </w:r>
    </w:p>
    <w:p w14:paraId="0655A476" w14:textId="73BD4C5B" w:rsidR="00AE729D" w:rsidRPr="002D3611" w:rsidRDefault="00AE729D" w:rsidP="00AE729D">
      <w:pPr>
        <w:pStyle w:val="Jjmntheading2"/>
        <w:ind w:left="1440"/>
        <w:rPr>
          <w:rFonts w:ascii="Times" w:hAnsi="Times"/>
        </w:rPr>
      </w:pPr>
      <w:r w:rsidRPr="002D3611">
        <w:rPr>
          <w:rFonts w:ascii="Times" w:hAnsi="Times"/>
        </w:rPr>
        <w:t>“1. The learned trial judge erred in law and on the facts, in having concluded that the Respondent</w:t>
      </w:r>
      <w:r w:rsidR="002D3611">
        <w:rPr>
          <w:rFonts w:ascii="Times" w:hAnsi="Times"/>
        </w:rPr>
        <w:t>s</w:t>
      </w:r>
      <w:r w:rsidRPr="002D3611">
        <w:rPr>
          <w:rFonts w:ascii="Times" w:hAnsi="Times"/>
        </w:rPr>
        <w:t xml:space="preserve"> ha</w:t>
      </w:r>
      <w:r w:rsidR="002D3611">
        <w:rPr>
          <w:rFonts w:ascii="Times" w:hAnsi="Times"/>
        </w:rPr>
        <w:t>ve</w:t>
      </w:r>
      <w:r w:rsidRPr="002D3611">
        <w:rPr>
          <w:rFonts w:ascii="Times" w:hAnsi="Times"/>
        </w:rPr>
        <w:t xml:space="preserve"> a droit de </w:t>
      </w:r>
      <w:proofErr w:type="spellStart"/>
      <w:r w:rsidRPr="002D3611">
        <w:rPr>
          <w:rFonts w:ascii="Times" w:hAnsi="Times"/>
        </w:rPr>
        <w:t>superficie</w:t>
      </w:r>
      <w:proofErr w:type="spellEnd"/>
      <w:r w:rsidRPr="002D3611">
        <w:rPr>
          <w:rFonts w:ascii="Times" w:hAnsi="Times"/>
        </w:rPr>
        <w:t xml:space="preserve"> over the property of the appellant.</w:t>
      </w:r>
    </w:p>
    <w:p w14:paraId="095464E0" w14:textId="64D50EA1" w:rsidR="00AE729D" w:rsidRPr="002D3611" w:rsidRDefault="00AE729D" w:rsidP="00AE729D">
      <w:pPr>
        <w:pStyle w:val="Jjmntheading2"/>
        <w:ind w:left="1440"/>
        <w:rPr>
          <w:rFonts w:ascii="Times" w:hAnsi="Times"/>
        </w:rPr>
      </w:pPr>
      <w:proofErr w:type="gramStart"/>
      <w:r w:rsidRPr="002D3611">
        <w:rPr>
          <w:rFonts w:ascii="Times" w:hAnsi="Times"/>
        </w:rPr>
        <w:t xml:space="preserve">2. The learned trial judge erred in law and on the facts in contradiction of herself in holding that the Respondent’s improvements to the property would amount to rebuilding at which point the droit de </w:t>
      </w:r>
      <w:proofErr w:type="spellStart"/>
      <w:r w:rsidRPr="002D3611">
        <w:rPr>
          <w:rFonts w:ascii="Times" w:hAnsi="Times"/>
        </w:rPr>
        <w:t>superficie</w:t>
      </w:r>
      <w:proofErr w:type="spellEnd"/>
      <w:r w:rsidRPr="002D3611">
        <w:rPr>
          <w:rFonts w:ascii="Times" w:hAnsi="Times"/>
        </w:rPr>
        <w:t xml:space="preserve"> would have been terminated in law and yet proceeded to conclude that the improvement would not have terminated the droit de </w:t>
      </w:r>
      <w:proofErr w:type="spellStart"/>
      <w:r w:rsidRPr="002D3611">
        <w:rPr>
          <w:rFonts w:ascii="Times" w:hAnsi="Times"/>
        </w:rPr>
        <w:t>superficie</w:t>
      </w:r>
      <w:proofErr w:type="spellEnd"/>
      <w:r w:rsidRPr="002D3611">
        <w:rPr>
          <w:rFonts w:ascii="Times" w:hAnsi="Times"/>
        </w:rPr>
        <w:t xml:space="preserve"> on the property or at all.</w:t>
      </w:r>
      <w:proofErr w:type="gramEnd"/>
      <w:r w:rsidRPr="002D3611">
        <w:rPr>
          <w:rFonts w:ascii="Times" w:hAnsi="Times"/>
        </w:rPr>
        <w:t xml:space="preserve"> </w:t>
      </w:r>
    </w:p>
    <w:p w14:paraId="05AE8F57" w14:textId="40607147" w:rsidR="00AE729D" w:rsidRDefault="00AE729D" w:rsidP="00AE729D">
      <w:pPr>
        <w:pStyle w:val="Jjmntheading2"/>
        <w:ind w:left="1440"/>
        <w:rPr>
          <w:rFonts w:ascii="Times" w:hAnsi="Times"/>
        </w:rPr>
      </w:pPr>
      <w:r w:rsidRPr="002D3611">
        <w:rPr>
          <w:rFonts w:ascii="Times" w:hAnsi="Times"/>
        </w:rPr>
        <w:t>3. The learned trial judge erred in law and on the facts in failing to have appreciated that the Respondent never proved the extent of any improvement on the property or at all.</w:t>
      </w:r>
    </w:p>
    <w:p w14:paraId="4EE68FBA" w14:textId="77777777" w:rsidR="0003172C" w:rsidRDefault="0003172C" w:rsidP="00AE729D">
      <w:pPr>
        <w:pStyle w:val="Jjmntheading2"/>
        <w:ind w:left="1440"/>
        <w:rPr>
          <w:rFonts w:ascii="Times" w:hAnsi="Times"/>
        </w:rPr>
      </w:pPr>
    </w:p>
    <w:p w14:paraId="414D117D" w14:textId="5EADABC0" w:rsidR="0003172C" w:rsidRDefault="0003172C" w:rsidP="0003172C">
      <w:pPr>
        <w:pStyle w:val="Jjmntheading1"/>
      </w:pPr>
      <w:r>
        <w:t>The death of the Second Respondent</w:t>
      </w:r>
    </w:p>
    <w:p w14:paraId="5542A030" w14:textId="20A47E5E" w:rsidR="0003172C" w:rsidRPr="0003172C" w:rsidRDefault="0003172C" w:rsidP="0003172C">
      <w:pPr>
        <w:pStyle w:val="JudgmentText"/>
        <w:rPr>
          <w:rFonts w:ascii="Times" w:hAnsi="Times"/>
        </w:rPr>
      </w:pPr>
      <w:r>
        <w:rPr>
          <w:rFonts w:ascii="Times" w:hAnsi="Times"/>
        </w:rPr>
        <w:t xml:space="preserve">Counsel abandoned grounds 2 and 3 and made submissions in respect of ground 1 as to the nature of the Respondents’ rights over the property in issue. In the course of these </w:t>
      </w:r>
      <w:r>
        <w:rPr>
          <w:rFonts w:ascii="Times" w:hAnsi="Times"/>
        </w:rPr>
        <w:lastRenderedPageBreak/>
        <w:t xml:space="preserve">submissions, this Court inquired as to whether it was appropriate for the Court </w:t>
      </w:r>
      <w:r w:rsidRPr="0003172C">
        <w:rPr>
          <w:rFonts w:ascii="Times" w:hAnsi="Times"/>
          <w:i/>
        </w:rPr>
        <w:t>a quo</w:t>
      </w:r>
      <w:r>
        <w:rPr>
          <w:rFonts w:ascii="Times" w:hAnsi="Times"/>
        </w:rPr>
        <w:t xml:space="preserve"> to grant a </w:t>
      </w:r>
      <w:r w:rsidRPr="0003172C">
        <w:rPr>
          <w:rFonts w:ascii="Times" w:hAnsi="Times"/>
          <w:i/>
        </w:rPr>
        <w:t xml:space="preserve">droit de </w:t>
      </w:r>
      <w:proofErr w:type="spellStart"/>
      <w:r w:rsidRPr="0003172C">
        <w:rPr>
          <w:rFonts w:ascii="Times" w:hAnsi="Times"/>
          <w:i/>
        </w:rPr>
        <w:t>superficie</w:t>
      </w:r>
      <w:proofErr w:type="spellEnd"/>
      <w:r>
        <w:rPr>
          <w:rFonts w:ascii="Times" w:hAnsi="Times"/>
        </w:rPr>
        <w:t xml:space="preserve"> in favour of both Respondents when no evidence </w:t>
      </w:r>
      <w:proofErr w:type="gramStart"/>
      <w:r>
        <w:rPr>
          <w:rFonts w:ascii="Times" w:hAnsi="Times"/>
        </w:rPr>
        <w:t>was adduced</w:t>
      </w:r>
      <w:proofErr w:type="gramEnd"/>
      <w:r>
        <w:rPr>
          <w:rFonts w:ascii="Times" w:hAnsi="Times"/>
        </w:rPr>
        <w:t xml:space="preserve"> on behalf of the Second Respondent, nor the evidence of the First Respondent and her witnesses endorsed by the Second Respondent. </w:t>
      </w:r>
    </w:p>
    <w:p w14:paraId="78083E4E" w14:textId="7CE2577C" w:rsidR="0003172C" w:rsidRPr="0003172C" w:rsidRDefault="0003172C" w:rsidP="0003172C">
      <w:pPr>
        <w:pStyle w:val="JudgmentText"/>
        <w:rPr>
          <w:rFonts w:ascii="Times" w:hAnsi="Times"/>
        </w:rPr>
      </w:pPr>
      <w:r>
        <w:rPr>
          <w:rFonts w:ascii="Times" w:hAnsi="Times"/>
        </w:rPr>
        <w:t xml:space="preserve">It was at this point that both parties informed </w:t>
      </w:r>
      <w:proofErr w:type="gramStart"/>
      <w:r>
        <w:rPr>
          <w:rFonts w:ascii="Times" w:hAnsi="Times"/>
        </w:rPr>
        <w:t>this</w:t>
      </w:r>
      <w:proofErr w:type="gramEnd"/>
      <w:r>
        <w:rPr>
          <w:rFonts w:ascii="Times" w:hAnsi="Times"/>
        </w:rPr>
        <w:t xml:space="preserve"> Court that the Second Respondent had passed away after the filing of the suit in the court </w:t>
      </w:r>
      <w:r w:rsidRPr="0003172C">
        <w:rPr>
          <w:rFonts w:ascii="Times" w:hAnsi="Times"/>
          <w:i/>
        </w:rPr>
        <w:t>a quo</w:t>
      </w:r>
      <w:r>
        <w:rPr>
          <w:rFonts w:ascii="Times" w:hAnsi="Times"/>
        </w:rPr>
        <w:t xml:space="preserve">. No bad faith </w:t>
      </w:r>
      <w:proofErr w:type="gramStart"/>
      <w:r>
        <w:rPr>
          <w:rFonts w:ascii="Times" w:hAnsi="Times"/>
        </w:rPr>
        <w:t>is imputed</w:t>
      </w:r>
      <w:proofErr w:type="gramEnd"/>
      <w:r>
        <w:rPr>
          <w:rFonts w:ascii="Times" w:hAnsi="Times"/>
        </w:rPr>
        <w:t xml:space="preserve"> to either party as they informed the court that this fact was only brought to their attention after the decision of the court </w:t>
      </w:r>
      <w:r w:rsidRPr="0003172C">
        <w:rPr>
          <w:rFonts w:ascii="Times" w:hAnsi="Times"/>
          <w:i/>
        </w:rPr>
        <w:t>a quo.</w:t>
      </w:r>
    </w:p>
    <w:p w14:paraId="7AA48C20" w14:textId="759278B8" w:rsidR="0003172C" w:rsidRDefault="0003172C" w:rsidP="0003172C">
      <w:pPr>
        <w:pStyle w:val="JudgmentText"/>
        <w:rPr>
          <w:rFonts w:ascii="Times" w:hAnsi="Times"/>
        </w:rPr>
      </w:pPr>
      <w:r>
        <w:rPr>
          <w:rFonts w:ascii="Times" w:hAnsi="Times"/>
        </w:rPr>
        <w:t xml:space="preserve">Nevertheless, this Court finds itself in the unenviable position of being unable to proceed with the appeal given the fact that one of the parties has passed away and her interests or that of her estate are undefended and unrepresented. The issue is complicated by the fact that the Second Respondent passed away unbeknown to the court </w:t>
      </w:r>
      <w:r w:rsidRPr="0003172C">
        <w:rPr>
          <w:rFonts w:ascii="Times" w:hAnsi="Times"/>
          <w:i/>
        </w:rPr>
        <w:t>a quo</w:t>
      </w:r>
      <w:r>
        <w:rPr>
          <w:rFonts w:ascii="Times" w:hAnsi="Times"/>
        </w:rPr>
        <w:t xml:space="preserve"> which nevertheless made an order in her favour. That order cannot stand.</w:t>
      </w:r>
    </w:p>
    <w:p w14:paraId="2397472D" w14:textId="38C4EAEF" w:rsidR="00CD4847" w:rsidRDefault="0003172C" w:rsidP="0003172C">
      <w:pPr>
        <w:pStyle w:val="JudgmentText"/>
        <w:rPr>
          <w:rFonts w:ascii="Times" w:hAnsi="Times"/>
        </w:rPr>
      </w:pPr>
      <w:r>
        <w:rPr>
          <w:rFonts w:ascii="Times" w:hAnsi="Times"/>
        </w:rPr>
        <w:t>Although p</w:t>
      </w:r>
      <w:r w:rsidRPr="0003172C">
        <w:rPr>
          <w:rFonts w:ascii="Times" w:hAnsi="Times"/>
        </w:rPr>
        <w:t xml:space="preserve">ursuant to </w:t>
      </w:r>
      <w:r>
        <w:rPr>
          <w:rFonts w:ascii="Times" w:hAnsi="Times"/>
        </w:rPr>
        <w:t>s</w:t>
      </w:r>
      <w:r w:rsidRPr="0003172C">
        <w:rPr>
          <w:rFonts w:ascii="Times" w:hAnsi="Times"/>
        </w:rPr>
        <w:t xml:space="preserve">ection 176 of the </w:t>
      </w:r>
      <w:r>
        <w:rPr>
          <w:rFonts w:ascii="Times" w:hAnsi="Times"/>
        </w:rPr>
        <w:t xml:space="preserve">Seychelles </w:t>
      </w:r>
      <w:r w:rsidRPr="0003172C">
        <w:rPr>
          <w:rFonts w:ascii="Times" w:hAnsi="Times"/>
        </w:rPr>
        <w:t>Code of Civil Procedure</w:t>
      </w:r>
      <w:r>
        <w:rPr>
          <w:rFonts w:ascii="Times" w:hAnsi="Times"/>
        </w:rPr>
        <w:t xml:space="preserve"> (SCCP)</w:t>
      </w:r>
      <w:r w:rsidRPr="0003172C">
        <w:rPr>
          <w:rFonts w:ascii="Times" w:hAnsi="Times"/>
        </w:rPr>
        <w:t>, where the death of a party occurs between the hearing and the judgment, the cause, in relation to that party does not abate</w:t>
      </w:r>
      <w:r>
        <w:rPr>
          <w:rFonts w:ascii="Times" w:hAnsi="Times"/>
        </w:rPr>
        <w:t xml:space="preserve">, the </w:t>
      </w:r>
      <w:r w:rsidRPr="0003172C">
        <w:rPr>
          <w:rFonts w:ascii="Times" w:hAnsi="Times"/>
        </w:rPr>
        <w:t xml:space="preserve">claim </w:t>
      </w:r>
      <w:r>
        <w:rPr>
          <w:rFonts w:ascii="Times" w:hAnsi="Times"/>
        </w:rPr>
        <w:t xml:space="preserve">of the deceased </w:t>
      </w:r>
      <w:proofErr w:type="gramStart"/>
      <w:r w:rsidRPr="0003172C">
        <w:rPr>
          <w:rFonts w:ascii="Times" w:hAnsi="Times"/>
        </w:rPr>
        <w:t>must be established</w:t>
      </w:r>
      <w:proofErr w:type="gramEnd"/>
      <w:r w:rsidRPr="0003172C">
        <w:rPr>
          <w:rFonts w:ascii="Times" w:hAnsi="Times"/>
        </w:rPr>
        <w:t xml:space="preserve"> by the surviving heirs.</w:t>
      </w:r>
      <w:r>
        <w:rPr>
          <w:rFonts w:ascii="Times" w:hAnsi="Times"/>
        </w:rPr>
        <w:t xml:space="preserve"> </w:t>
      </w:r>
    </w:p>
    <w:p w14:paraId="1C0D07FE" w14:textId="231DF349" w:rsidR="0003172C" w:rsidRDefault="0003172C" w:rsidP="0003172C">
      <w:pPr>
        <w:pStyle w:val="JudgmentText"/>
        <w:rPr>
          <w:rFonts w:ascii="Times" w:hAnsi="Times"/>
        </w:rPr>
      </w:pPr>
      <w:r>
        <w:rPr>
          <w:rFonts w:ascii="Times" w:hAnsi="Times"/>
        </w:rPr>
        <w:t xml:space="preserve">Sections 177 - 179 of the SCCP  further provides: </w:t>
      </w:r>
    </w:p>
    <w:p w14:paraId="54F80B92" w14:textId="51D353DF" w:rsidR="0003172C" w:rsidRDefault="0003172C" w:rsidP="0003172C">
      <w:pPr>
        <w:pStyle w:val="NumberedQuotationindent1"/>
        <w:numPr>
          <w:ilvl w:val="0"/>
          <w:numId w:val="0"/>
        </w:numPr>
        <w:ind w:left="1440"/>
      </w:pPr>
      <w:proofErr w:type="gramStart"/>
      <w:r>
        <w:t>“17</w:t>
      </w:r>
      <w:r w:rsidRPr="0003172C">
        <w:t>7. In case of the death, bankruptcy or insolvency, or change of status or of capacity, of a party to a cause or matter, the court may order that any necessary party be added or that any person entitled to represent the party who has died or become bankrupt or insolvent, or being the successor in interest of any such party, be substituted for such party.</w:t>
      </w:r>
      <w:proofErr w:type="gramEnd"/>
    </w:p>
    <w:p w14:paraId="386C3DE9" w14:textId="77777777" w:rsidR="0003172C" w:rsidRPr="0003172C" w:rsidRDefault="0003172C" w:rsidP="0003172C">
      <w:pPr>
        <w:pStyle w:val="NumberedQuotationindent1"/>
        <w:numPr>
          <w:ilvl w:val="0"/>
          <w:numId w:val="0"/>
        </w:numPr>
        <w:ind w:left="1440"/>
      </w:pPr>
    </w:p>
    <w:p w14:paraId="29AEA953" w14:textId="1797B739" w:rsidR="0003172C" w:rsidRDefault="0003172C" w:rsidP="0003172C">
      <w:pPr>
        <w:pStyle w:val="NumberedQuotationindent1"/>
        <w:numPr>
          <w:ilvl w:val="0"/>
          <w:numId w:val="0"/>
        </w:numPr>
        <w:ind w:left="1440"/>
      </w:pPr>
      <w:r>
        <w:t xml:space="preserve">178. </w:t>
      </w:r>
      <w:r w:rsidRPr="0003172C">
        <w:t xml:space="preserve"> Any person claiming to be the representative of a deceased plaintiff or for a deceased defendant may apply to the court to substitute his name on the record for that of the deceased plaintiff or the deceased defendant, as the case may be. The application shall be by petition served on the defendant or the plaintiff, as the case may be.</w:t>
      </w:r>
    </w:p>
    <w:p w14:paraId="325CB97C" w14:textId="320CF188" w:rsidR="0003172C" w:rsidRDefault="0003172C" w:rsidP="0003172C">
      <w:pPr>
        <w:pStyle w:val="NumberedQuotationindent1"/>
        <w:numPr>
          <w:ilvl w:val="0"/>
          <w:numId w:val="0"/>
        </w:numPr>
        <w:ind w:left="1440"/>
      </w:pPr>
    </w:p>
    <w:p w14:paraId="359AB870" w14:textId="358080E0" w:rsidR="0003172C" w:rsidRDefault="0003172C" w:rsidP="0003172C">
      <w:pPr>
        <w:pStyle w:val="NumberedQuotationindent1"/>
        <w:numPr>
          <w:ilvl w:val="0"/>
          <w:numId w:val="0"/>
        </w:numPr>
        <w:ind w:left="1440"/>
      </w:pPr>
      <w:r>
        <w:t xml:space="preserve">179. </w:t>
      </w:r>
      <w:r w:rsidRPr="0003172C">
        <w:t xml:space="preserve">Any plaintiff or defendant may apply to the court to substitute any person alleged to be the representative of a deceased defendant or of a deceased plaintiff </w:t>
      </w:r>
      <w:r w:rsidRPr="0003172C">
        <w:lastRenderedPageBreak/>
        <w:t>for the deceased defendant or the deceased plaintiff, as the case may be. Such application shall be by petition served on the person whom it is desired to substitute.</w:t>
      </w:r>
      <w:r>
        <w:t>”</w:t>
      </w:r>
    </w:p>
    <w:p w14:paraId="1DDCD99C" w14:textId="77777777" w:rsidR="0003172C" w:rsidRDefault="0003172C" w:rsidP="0003172C">
      <w:pPr>
        <w:pStyle w:val="NumberedQuotationindent1"/>
        <w:numPr>
          <w:ilvl w:val="0"/>
          <w:numId w:val="0"/>
        </w:numPr>
        <w:ind w:left="1440"/>
      </w:pPr>
    </w:p>
    <w:p w14:paraId="1F08E208" w14:textId="3A7385F3" w:rsidR="0003172C" w:rsidRPr="0003172C" w:rsidRDefault="0003172C" w:rsidP="0003172C">
      <w:pPr>
        <w:pStyle w:val="JudgmentText"/>
        <w:rPr>
          <w:rFonts w:ascii="Times" w:hAnsi="Times"/>
        </w:rPr>
      </w:pPr>
      <w:r w:rsidRPr="0003172C">
        <w:rPr>
          <w:rFonts w:ascii="Times" w:hAnsi="Times"/>
        </w:rPr>
        <w:t xml:space="preserve">In </w:t>
      </w:r>
      <w:proofErr w:type="spellStart"/>
      <w:r w:rsidRPr="0003172C">
        <w:rPr>
          <w:rFonts w:ascii="Times" w:hAnsi="Times"/>
          <w:i/>
        </w:rPr>
        <w:t>Multichoice</w:t>
      </w:r>
      <w:proofErr w:type="spellEnd"/>
      <w:r w:rsidRPr="0003172C">
        <w:rPr>
          <w:rFonts w:ascii="Times" w:hAnsi="Times"/>
          <w:i/>
        </w:rPr>
        <w:t xml:space="preserve"> Africa Ltd v </w:t>
      </w:r>
      <w:proofErr w:type="spellStart"/>
      <w:r w:rsidRPr="0003172C">
        <w:rPr>
          <w:rFonts w:ascii="Times" w:hAnsi="Times"/>
          <w:i/>
        </w:rPr>
        <w:t>Intelvision</w:t>
      </w:r>
      <w:proofErr w:type="spellEnd"/>
      <w:r w:rsidRPr="0003172C">
        <w:rPr>
          <w:rFonts w:ascii="Times" w:hAnsi="Times"/>
          <w:i/>
        </w:rPr>
        <w:t xml:space="preserve"> Network Limited and </w:t>
      </w:r>
      <w:proofErr w:type="spellStart"/>
      <w:r w:rsidRPr="0003172C">
        <w:rPr>
          <w:rFonts w:ascii="Times" w:hAnsi="Times"/>
          <w:i/>
        </w:rPr>
        <w:t>Intelvision</w:t>
      </w:r>
      <w:proofErr w:type="spellEnd"/>
      <w:r w:rsidRPr="0003172C">
        <w:rPr>
          <w:rFonts w:ascii="Times" w:hAnsi="Times"/>
          <w:i/>
        </w:rPr>
        <w:t xml:space="preserve"> Limited</w:t>
      </w:r>
      <w:r w:rsidRPr="0003172C">
        <w:rPr>
          <w:rFonts w:ascii="Times" w:hAnsi="Times"/>
        </w:rPr>
        <w:t xml:space="preserve"> (MA 194/2019) [2020] SCSC 308 (12 June 2020), Govinden J</w:t>
      </w:r>
      <w:r>
        <w:rPr>
          <w:rFonts w:ascii="Times" w:hAnsi="Times"/>
        </w:rPr>
        <w:t>,</w:t>
      </w:r>
      <w:r w:rsidRPr="0003172C">
        <w:rPr>
          <w:rFonts w:ascii="Times" w:hAnsi="Times"/>
        </w:rPr>
        <w:t xml:space="preserve"> as he then was</w:t>
      </w:r>
      <w:r>
        <w:rPr>
          <w:rFonts w:ascii="Times" w:hAnsi="Times"/>
        </w:rPr>
        <w:t>,</w:t>
      </w:r>
      <w:r w:rsidRPr="0003172C">
        <w:rPr>
          <w:rFonts w:ascii="Times" w:hAnsi="Times"/>
        </w:rPr>
        <w:t xml:space="preserve"> stated: </w:t>
      </w:r>
    </w:p>
    <w:p w14:paraId="7881E45B" w14:textId="01005FFC" w:rsidR="0003172C" w:rsidRDefault="0003172C" w:rsidP="0003172C">
      <w:pPr>
        <w:pStyle w:val="NumberedQuotationindent1"/>
        <w:numPr>
          <w:ilvl w:val="0"/>
          <w:numId w:val="0"/>
        </w:numPr>
        <w:ind w:left="1440"/>
      </w:pPr>
      <w:r>
        <w:t>“(22</w:t>
      </w:r>
      <w:proofErr w:type="gramStart"/>
      <w:r>
        <w:t>)</w:t>
      </w:r>
      <w:r w:rsidRPr="0003172C">
        <w:t>The</w:t>
      </w:r>
      <w:proofErr w:type="gramEnd"/>
      <w:r w:rsidRPr="0003172C">
        <w:t xml:space="preserve"> purpose behind sections 178 and 179 is to allow for the non-abatement of the suit in the event of the unfortunate demise of a party and the survival of the cause of action</w:t>
      </w:r>
      <w:r>
        <w:t>...</w:t>
      </w:r>
    </w:p>
    <w:p w14:paraId="066EF7DB" w14:textId="77777777" w:rsidR="0003172C" w:rsidRDefault="0003172C" w:rsidP="0003172C">
      <w:pPr>
        <w:pStyle w:val="NumberedQuotationindent1"/>
        <w:numPr>
          <w:ilvl w:val="0"/>
          <w:numId w:val="0"/>
        </w:numPr>
        <w:ind w:left="1440"/>
      </w:pPr>
    </w:p>
    <w:p w14:paraId="0F7AD40C" w14:textId="0D66ACC0" w:rsidR="0003172C" w:rsidRDefault="0003172C" w:rsidP="0003172C">
      <w:pPr>
        <w:pStyle w:val="NumberedQuotationindent1"/>
        <w:numPr>
          <w:ilvl w:val="0"/>
          <w:numId w:val="0"/>
        </w:numPr>
        <w:ind w:left="1440"/>
      </w:pPr>
      <w:r>
        <w:t xml:space="preserve">(23) </w:t>
      </w:r>
      <w:r w:rsidRPr="0003172C">
        <w:t xml:space="preserve">This </w:t>
      </w:r>
      <w:proofErr w:type="gramStart"/>
      <w:r w:rsidRPr="0003172C">
        <w:t>said,</w:t>
      </w:r>
      <w:proofErr w:type="gramEnd"/>
      <w:r w:rsidRPr="0003172C">
        <w:t xml:space="preserve"> the next question is who makes the application: is it the Plaintiff on record or the intended Plaintiff who seeks to be substituted in lieu of the former? A deceased person cannot be a party to legal proceedings and the effect of the death is to suspend the action as to the descendent or succession until his or her legal representative is substituted as a party</w:t>
      </w:r>
      <w:r>
        <w:t>…”</w:t>
      </w:r>
    </w:p>
    <w:p w14:paraId="36FDE890" w14:textId="77777777" w:rsidR="0003172C" w:rsidRDefault="0003172C" w:rsidP="0003172C">
      <w:pPr>
        <w:pStyle w:val="NumberedQuotationindent1"/>
        <w:numPr>
          <w:ilvl w:val="0"/>
          <w:numId w:val="0"/>
        </w:numPr>
        <w:ind w:left="1440"/>
      </w:pPr>
    </w:p>
    <w:p w14:paraId="2E53D6F5" w14:textId="05DD2851" w:rsidR="0003172C" w:rsidRDefault="0003172C" w:rsidP="0003172C">
      <w:pPr>
        <w:pStyle w:val="JudgmentText"/>
      </w:pPr>
      <w:r w:rsidRPr="0003172C">
        <w:rPr>
          <w:rFonts w:ascii="Times" w:hAnsi="Times"/>
        </w:rPr>
        <w:t>Such an event</w:t>
      </w:r>
      <w:r>
        <w:rPr>
          <w:rFonts w:ascii="Times" w:hAnsi="Times"/>
        </w:rPr>
        <w:t>, in any case,</w:t>
      </w:r>
      <w:r w:rsidRPr="0003172C">
        <w:rPr>
          <w:rFonts w:ascii="Times" w:hAnsi="Times"/>
        </w:rPr>
        <w:t xml:space="preserve"> </w:t>
      </w:r>
      <w:r>
        <w:rPr>
          <w:rFonts w:ascii="Times" w:hAnsi="Times"/>
        </w:rPr>
        <w:t xml:space="preserve">necessitates the appointment of an executor to the deceased's estate. Her heirs may </w:t>
      </w:r>
      <w:r w:rsidRPr="0003172C">
        <w:rPr>
          <w:rFonts w:ascii="Times" w:hAnsi="Times"/>
        </w:rPr>
        <w:t xml:space="preserve">even choose not to pursue </w:t>
      </w:r>
      <w:r>
        <w:rPr>
          <w:rFonts w:ascii="Times" w:hAnsi="Times"/>
        </w:rPr>
        <w:t>her</w:t>
      </w:r>
      <w:r w:rsidRPr="0003172C">
        <w:rPr>
          <w:rFonts w:ascii="Times" w:hAnsi="Times"/>
        </w:rPr>
        <w:t xml:space="preserve"> claim. However, </w:t>
      </w:r>
      <w:proofErr w:type="gramStart"/>
      <w:r w:rsidRPr="0003172C">
        <w:rPr>
          <w:rFonts w:ascii="Times" w:hAnsi="Times"/>
        </w:rPr>
        <w:t xml:space="preserve">none of these matters can be entertained by this </w:t>
      </w:r>
      <w:r>
        <w:rPr>
          <w:rFonts w:ascii="Times" w:hAnsi="Times"/>
        </w:rPr>
        <w:t>C</w:t>
      </w:r>
      <w:r w:rsidRPr="0003172C">
        <w:rPr>
          <w:rFonts w:ascii="Times" w:hAnsi="Times"/>
        </w:rPr>
        <w:t>ourt</w:t>
      </w:r>
      <w:proofErr w:type="gramEnd"/>
      <w:r w:rsidRPr="0003172C">
        <w:rPr>
          <w:rFonts w:ascii="Times" w:hAnsi="Times"/>
        </w:rPr>
        <w:t xml:space="preserve">. </w:t>
      </w:r>
      <w:r>
        <w:rPr>
          <w:rFonts w:ascii="Times" w:hAnsi="Times"/>
        </w:rPr>
        <w:t>Rule 31</w:t>
      </w:r>
      <w:r w:rsidRPr="0003172C">
        <w:rPr>
          <w:rFonts w:ascii="Times" w:hAnsi="Times"/>
        </w:rPr>
        <w:t xml:space="preserve">(5) </w:t>
      </w:r>
      <w:r>
        <w:rPr>
          <w:rFonts w:ascii="Times" w:hAnsi="Times"/>
        </w:rPr>
        <w:t>of the Seychelles Court of Appeal Rules in relation to the powers of the Court of Appeal provides, inter alia, that this Court “</w:t>
      </w:r>
      <w:r w:rsidRPr="0003172C">
        <w:rPr>
          <w:rFonts w:ascii="Times" w:hAnsi="Times"/>
        </w:rPr>
        <w:t>may remit the matter with the opinion of the Court thereon to the trial court, or may make such other order in the matter as to it may seem just</w:t>
      </w:r>
      <w:r>
        <w:rPr>
          <w:rFonts w:ascii="Times" w:hAnsi="Times"/>
        </w:rPr>
        <w:t>..”</w:t>
      </w:r>
    </w:p>
    <w:p w14:paraId="6B158D17" w14:textId="1AADA597" w:rsidR="0003172C" w:rsidRDefault="0003172C" w:rsidP="0003172C">
      <w:pPr>
        <w:pStyle w:val="JudgmentText"/>
        <w:rPr>
          <w:rFonts w:ascii="Times" w:hAnsi="Times"/>
        </w:rPr>
      </w:pPr>
      <w:r w:rsidRPr="0003172C">
        <w:rPr>
          <w:rFonts w:ascii="Times" w:hAnsi="Times"/>
        </w:rPr>
        <w:t xml:space="preserve">In view of the circumstances, the decision and orders of the Supreme Court </w:t>
      </w:r>
      <w:proofErr w:type="gramStart"/>
      <w:r w:rsidRPr="0003172C">
        <w:rPr>
          <w:rFonts w:ascii="Times" w:hAnsi="Times"/>
        </w:rPr>
        <w:t>must be quashed</w:t>
      </w:r>
      <w:proofErr w:type="gramEnd"/>
      <w:r>
        <w:rPr>
          <w:rFonts w:ascii="Times" w:hAnsi="Times"/>
        </w:rPr>
        <w:t xml:space="preserve"> and th</w:t>
      </w:r>
      <w:r w:rsidRPr="0003172C">
        <w:rPr>
          <w:rFonts w:ascii="Times" w:hAnsi="Times"/>
        </w:rPr>
        <w:t xml:space="preserve">e </w:t>
      </w:r>
      <w:r>
        <w:rPr>
          <w:rFonts w:ascii="Times" w:hAnsi="Times"/>
        </w:rPr>
        <w:t>case</w:t>
      </w:r>
      <w:r w:rsidRPr="0003172C">
        <w:rPr>
          <w:rFonts w:ascii="Times" w:hAnsi="Times"/>
        </w:rPr>
        <w:t xml:space="preserve"> must be re</w:t>
      </w:r>
      <w:r>
        <w:rPr>
          <w:rFonts w:ascii="Times" w:hAnsi="Times"/>
        </w:rPr>
        <w:t>mitted</w:t>
      </w:r>
      <w:r w:rsidRPr="0003172C">
        <w:rPr>
          <w:rFonts w:ascii="Times" w:hAnsi="Times"/>
        </w:rPr>
        <w:t xml:space="preserve"> to the court </w:t>
      </w:r>
      <w:r w:rsidRPr="0003172C">
        <w:rPr>
          <w:rFonts w:ascii="Times" w:hAnsi="Times"/>
          <w:i/>
        </w:rPr>
        <w:t>a quo</w:t>
      </w:r>
      <w:r w:rsidRPr="0003172C">
        <w:rPr>
          <w:rFonts w:ascii="Times" w:hAnsi="Times"/>
        </w:rPr>
        <w:t xml:space="preserve"> for consideration </w:t>
      </w:r>
      <w:r>
        <w:rPr>
          <w:rFonts w:ascii="Times" w:hAnsi="Times"/>
        </w:rPr>
        <w:t xml:space="preserve">of the matters that have come to light post its decision. </w:t>
      </w:r>
      <w:r w:rsidRPr="0003172C">
        <w:rPr>
          <w:rFonts w:ascii="Times" w:hAnsi="Times"/>
          <w:i/>
        </w:rPr>
        <w:t xml:space="preserve"> </w:t>
      </w:r>
      <w:r w:rsidRPr="0003172C">
        <w:rPr>
          <w:rFonts w:ascii="Times" w:hAnsi="Times"/>
        </w:rPr>
        <w:t>F</w:t>
      </w:r>
      <w:r>
        <w:rPr>
          <w:rFonts w:ascii="Times" w:hAnsi="Times"/>
        </w:rPr>
        <w:t>o</w:t>
      </w:r>
      <w:r w:rsidRPr="0003172C">
        <w:rPr>
          <w:rFonts w:ascii="Times" w:hAnsi="Times"/>
        </w:rPr>
        <w:t>r the avoidance of doubt</w:t>
      </w:r>
      <w:r>
        <w:rPr>
          <w:rFonts w:ascii="Times" w:hAnsi="Times"/>
        </w:rPr>
        <w:t>,</w:t>
      </w:r>
      <w:r w:rsidRPr="0003172C">
        <w:rPr>
          <w:rFonts w:ascii="Times" w:hAnsi="Times"/>
        </w:rPr>
        <w:t xml:space="preserve"> we emp</w:t>
      </w:r>
      <w:r>
        <w:rPr>
          <w:rFonts w:ascii="Times" w:hAnsi="Times"/>
        </w:rPr>
        <w:t>ha</w:t>
      </w:r>
      <w:r w:rsidRPr="0003172C">
        <w:rPr>
          <w:rFonts w:ascii="Times" w:hAnsi="Times"/>
        </w:rPr>
        <w:t xml:space="preserve">sise that the </w:t>
      </w:r>
      <w:proofErr w:type="gramStart"/>
      <w:r w:rsidRPr="0003172C">
        <w:rPr>
          <w:rFonts w:ascii="Times" w:hAnsi="Times"/>
        </w:rPr>
        <w:t xml:space="preserve">matter should be taken </w:t>
      </w:r>
      <w:r>
        <w:rPr>
          <w:rFonts w:ascii="Times" w:hAnsi="Times"/>
        </w:rPr>
        <w:t xml:space="preserve">up </w:t>
      </w:r>
      <w:r w:rsidRPr="0003172C">
        <w:rPr>
          <w:rFonts w:ascii="Times" w:hAnsi="Times"/>
        </w:rPr>
        <w:t>by the Supreme Court</w:t>
      </w:r>
      <w:proofErr w:type="gramEnd"/>
      <w:r w:rsidRPr="0003172C">
        <w:rPr>
          <w:rFonts w:ascii="Times" w:hAnsi="Times"/>
        </w:rPr>
        <w:t xml:space="preserve"> as if </w:t>
      </w:r>
      <w:r>
        <w:rPr>
          <w:rFonts w:ascii="Times" w:hAnsi="Times"/>
        </w:rPr>
        <w:t>its</w:t>
      </w:r>
      <w:r w:rsidRPr="0003172C">
        <w:rPr>
          <w:rFonts w:ascii="Times" w:hAnsi="Times"/>
        </w:rPr>
        <w:t xml:space="preserve"> decision had not been delivered.</w:t>
      </w:r>
    </w:p>
    <w:p w14:paraId="12B6513F" w14:textId="7F99E9AC" w:rsidR="0003172C" w:rsidRDefault="0003172C" w:rsidP="0003172C">
      <w:pPr>
        <w:pStyle w:val="JudgmentText"/>
        <w:numPr>
          <w:ilvl w:val="0"/>
          <w:numId w:val="0"/>
        </w:numPr>
        <w:ind w:left="720" w:hanging="720"/>
        <w:rPr>
          <w:rFonts w:ascii="Times" w:hAnsi="Times"/>
        </w:rPr>
      </w:pPr>
    </w:p>
    <w:p w14:paraId="4EA671D5" w14:textId="0EA8AE45" w:rsidR="0003172C" w:rsidRDefault="0003172C" w:rsidP="0003172C">
      <w:pPr>
        <w:pStyle w:val="JudgmentText"/>
        <w:numPr>
          <w:ilvl w:val="0"/>
          <w:numId w:val="0"/>
        </w:numPr>
        <w:ind w:left="720" w:hanging="720"/>
        <w:rPr>
          <w:rFonts w:ascii="Times" w:hAnsi="Times"/>
        </w:rPr>
      </w:pPr>
    </w:p>
    <w:p w14:paraId="78323EE4" w14:textId="77777777" w:rsidR="0003172C" w:rsidRPr="0003172C" w:rsidRDefault="0003172C" w:rsidP="0003172C">
      <w:pPr>
        <w:pStyle w:val="JudgmentText"/>
        <w:numPr>
          <w:ilvl w:val="0"/>
          <w:numId w:val="0"/>
        </w:numPr>
        <w:ind w:left="720" w:hanging="720"/>
        <w:rPr>
          <w:rFonts w:ascii="Times" w:hAnsi="Times"/>
        </w:rPr>
      </w:pPr>
    </w:p>
    <w:p w14:paraId="04C7B6A1" w14:textId="5343D0A8" w:rsidR="0003172C" w:rsidRDefault="0003172C" w:rsidP="0003172C">
      <w:pPr>
        <w:pStyle w:val="Jjmntheading1"/>
      </w:pPr>
      <w:r>
        <w:lastRenderedPageBreak/>
        <w:t>Order</w:t>
      </w:r>
    </w:p>
    <w:p w14:paraId="44F9B05A" w14:textId="1280653B" w:rsidR="0003172C" w:rsidRDefault="0003172C" w:rsidP="0003172C">
      <w:pPr>
        <w:pStyle w:val="JudgmentText"/>
        <w:rPr>
          <w:rFonts w:ascii="Times" w:hAnsi="Times"/>
        </w:rPr>
      </w:pPr>
      <w:r>
        <w:rPr>
          <w:rFonts w:ascii="Times" w:hAnsi="Times"/>
        </w:rPr>
        <w:t xml:space="preserve">We quash the decision and orders of the Supreme Court and remit the case for fresh consideration and decision. </w:t>
      </w:r>
    </w:p>
    <w:p w14:paraId="58BCF0B8" w14:textId="77777777" w:rsidR="0003172C" w:rsidRPr="002D3611" w:rsidRDefault="0003172C" w:rsidP="00CC437E">
      <w:pPr>
        <w:keepNext/>
        <w:rPr>
          <w:rFonts w:ascii="Times" w:hAnsi="Times" w:cs="Times New Roman"/>
          <w:sz w:val="24"/>
          <w:szCs w:val="24"/>
        </w:rPr>
      </w:pPr>
    </w:p>
    <w:p w14:paraId="12257BDE" w14:textId="616EB848" w:rsidR="00CB69C5" w:rsidRPr="002D3611" w:rsidRDefault="0070371E" w:rsidP="00CB69C5">
      <w:pPr>
        <w:keepNext/>
        <w:rPr>
          <w:rFonts w:ascii="Times" w:hAnsi="Times" w:cs="Times New Roman"/>
          <w:sz w:val="24"/>
          <w:szCs w:val="24"/>
        </w:rPr>
      </w:pPr>
      <w:r w:rsidRPr="002D3611">
        <w:rPr>
          <w:rFonts w:ascii="Times" w:hAnsi="Times" w:cs="Times New Roman"/>
          <w:sz w:val="24"/>
          <w:szCs w:val="24"/>
        </w:rPr>
        <w:t>__________</w:t>
      </w:r>
      <w:r w:rsidR="00D324F6">
        <w:rPr>
          <w:rFonts w:ascii="Times" w:hAnsi="Times" w:cs="Times New Roman"/>
          <w:sz w:val="24"/>
          <w:szCs w:val="24"/>
        </w:rPr>
        <w:t>____</w:t>
      </w:r>
      <w:r w:rsidRPr="002D3611">
        <w:rPr>
          <w:rFonts w:ascii="Times" w:hAnsi="Times" w:cs="Times New Roman"/>
          <w:sz w:val="24"/>
          <w:szCs w:val="24"/>
        </w:rPr>
        <w:t>__</w:t>
      </w:r>
      <w:r w:rsidRPr="002D3611">
        <w:rPr>
          <w:rFonts w:ascii="Times" w:hAnsi="Times" w:cs="Times New Roman"/>
          <w:sz w:val="24"/>
          <w:szCs w:val="24"/>
        </w:rPr>
        <w:tab/>
      </w:r>
    </w:p>
    <w:p w14:paraId="430DB1B0" w14:textId="36F49A4B" w:rsidR="0070371E" w:rsidRDefault="00545879" w:rsidP="00CB69C5">
      <w:pPr>
        <w:keepNext/>
        <w:rPr>
          <w:rFonts w:ascii="Times" w:hAnsi="Times" w:cs="Times New Roman"/>
          <w:sz w:val="24"/>
          <w:szCs w:val="24"/>
        </w:rPr>
      </w:pPr>
      <w:proofErr w:type="spellStart"/>
      <w:r w:rsidRPr="002D3611">
        <w:rPr>
          <w:rFonts w:ascii="Times" w:hAnsi="Times" w:cs="Times New Roman"/>
          <w:sz w:val="24"/>
          <w:szCs w:val="24"/>
        </w:rPr>
        <w:t>Dr.</w:t>
      </w:r>
      <w:proofErr w:type="spellEnd"/>
      <w:r w:rsidRPr="002D3611">
        <w:rPr>
          <w:rFonts w:ascii="Times" w:hAnsi="Times" w:cs="Times New Roman"/>
          <w:sz w:val="24"/>
          <w:szCs w:val="24"/>
        </w:rPr>
        <w:t xml:space="preserve"> </w:t>
      </w:r>
      <w:r w:rsidR="00716597" w:rsidRPr="002D3611">
        <w:rPr>
          <w:rFonts w:ascii="Times" w:hAnsi="Times" w:cs="Times New Roman"/>
          <w:sz w:val="24"/>
          <w:szCs w:val="24"/>
        </w:rPr>
        <w:t xml:space="preserve">Mathilda </w:t>
      </w:r>
      <w:r w:rsidR="0070371E" w:rsidRPr="002D3611">
        <w:rPr>
          <w:rFonts w:ascii="Times" w:hAnsi="Times" w:cs="Times New Roman"/>
          <w:sz w:val="24"/>
          <w:szCs w:val="24"/>
        </w:rPr>
        <w:t xml:space="preserve">Twomey </w:t>
      </w:r>
      <w:r w:rsidR="00716597" w:rsidRPr="002D3611">
        <w:rPr>
          <w:rFonts w:ascii="Times" w:hAnsi="Times" w:cs="Times New Roman"/>
          <w:sz w:val="24"/>
          <w:szCs w:val="24"/>
        </w:rPr>
        <w:t>JA</w:t>
      </w:r>
      <w:r w:rsidR="0070371E" w:rsidRPr="002D3611">
        <w:rPr>
          <w:rFonts w:ascii="Times" w:hAnsi="Times" w:cs="Times New Roman"/>
          <w:sz w:val="24"/>
          <w:szCs w:val="24"/>
        </w:rPr>
        <w:t xml:space="preserve"> </w:t>
      </w:r>
    </w:p>
    <w:p w14:paraId="60D00184" w14:textId="6EDD0796" w:rsidR="00D324F6" w:rsidRPr="00D324F6" w:rsidRDefault="00D324F6" w:rsidP="00CB69C5">
      <w:pPr>
        <w:keepNext/>
        <w:rPr>
          <w:rFonts w:ascii="Times" w:hAnsi="Times" w:cs="Times New Roman"/>
          <w:sz w:val="4"/>
          <w:szCs w:val="4"/>
        </w:rPr>
      </w:pPr>
    </w:p>
    <w:p w14:paraId="4A9DE788" w14:textId="6CB25BFB" w:rsidR="00D324F6" w:rsidRDefault="00D324F6" w:rsidP="00CB69C5">
      <w:pPr>
        <w:keepNext/>
        <w:rPr>
          <w:rFonts w:ascii="Times" w:hAnsi="Times" w:cs="Times New Roman"/>
          <w:sz w:val="24"/>
          <w:szCs w:val="24"/>
        </w:rPr>
      </w:pPr>
    </w:p>
    <w:p w14:paraId="3A91ABAA" w14:textId="342DEEFE" w:rsidR="00D324F6" w:rsidRPr="008614BA" w:rsidRDefault="00D324F6" w:rsidP="00D324F6">
      <w:pPr>
        <w:pStyle w:val="NoSpacing"/>
        <w:rPr>
          <w:rFonts w:ascii="Times New Roman" w:hAnsi="Times New Roman" w:cs="Times New Roman"/>
          <w:sz w:val="24"/>
          <w:szCs w:val="24"/>
        </w:rPr>
      </w:pPr>
      <w:r w:rsidRPr="008614BA">
        <w:rPr>
          <w:rFonts w:ascii="Times New Roman" w:hAnsi="Times New Roman" w:cs="Times New Roman"/>
          <w:sz w:val="24"/>
          <w:szCs w:val="24"/>
        </w:rPr>
        <w:t>I concur</w:t>
      </w:r>
      <w:r w:rsidRPr="008614BA">
        <w:rPr>
          <w:rFonts w:ascii="Times New Roman" w:hAnsi="Times New Roman" w:cs="Times New Roman"/>
          <w:sz w:val="24"/>
          <w:szCs w:val="24"/>
        </w:rPr>
        <w:tab/>
      </w:r>
      <w:r w:rsidRPr="008614B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614BA">
        <w:rPr>
          <w:rFonts w:ascii="Times New Roman" w:hAnsi="Times New Roman" w:cs="Times New Roman"/>
          <w:sz w:val="24"/>
          <w:szCs w:val="24"/>
        </w:rPr>
        <w:t>_______________</w:t>
      </w:r>
    </w:p>
    <w:p w14:paraId="01736650" w14:textId="38141C56" w:rsidR="00D324F6" w:rsidRDefault="00D324F6" w:rsidP="00D324F6">
      <w:pPr>
        <w:pStyle w:val="Unnumberedquote"/>
        <w:numPr>
          <w:ilvl w:val="0"/>
          <w:numId w:val="16"/>
        </w:numPr>
        <w:spacing w:line="480" w:lineRule="auto"/>
        <w:rPr>
          <w:rFonts w:ascii="Times New Roman" w:hAnsi="Times New Roman"/>
        </w:rPr>
      </w:pPr>
      <w:r>
        <w:rPr>
          <w:rFonts w:ascii="Times New Roman" w:hAnsi="Times New Roman"/>
        </w:rPr>
        <w:t>Fernando, President</w:t>
      </w:r>
    </w:p>
    <w:p w14:paraId="768FDB71" w14:textId="77777777" w:rsidR="0042145C" w:rsidRPr="0042145C" w:rsidRDefault="0042145C" w:rsidP="0042145C">
      <w:pPr>
        <w:pStyle w:val="Unnumberedquote"/>
        <w:numPr>
          <w:ilvl w:val="0"/>
          <w:numId w:val="0"/>
        </w:numPr>
        <w:spacing w:line="480" w:lineRule="auto"/>
        <w:ind w:left="6120"/>
        <w:rPr>
          <w:rFonts w:ascii="Times New Roman" w:hAnsi="Times New Roman"/>
          <w:sz w:val="10"/>
          <w:szCs w:val="10"/>
        </w:rPr>
      </w:pPr>
    </w:p>
    <w:p w14:paraId="4328BE77" w14:textId="77777777" w:rsidR="00D324F6" w:rsidRPr="006638DB" w:rsidRDefault="00D324F6" w:rsidP="00D324F6">
      <w:pPr>
        <w:spacing w:line="480" w:lineRule="auto"/>
        <w:jc w:val="both"/>
        <w:rPr>
          <w:rFonts w:ascii="Times New Roman" w:hAnsi="Times New Roman" w:cs="Times New Roman"/>
          <w:sz w:val="2"/>
          <w:szCs w:val="2"/>
        </w:rPr>
      </w:pPr>
    </w:p>
    <w:p w14:paraId="7A00C931" w14:textId="77777777" w:rsidR="0042145C" w:rsidRDefault="0042145C" w:rsidP="0042145C">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ROBINSON, JA</w:t>
      </w:r>
    </w:p>
    <w:p w14:paraId="53C78F78" w14:textId="77777777" w:rsidR="0042145C" w:rsidRPr="0042145C" w:rsidRDefault="0042145C" w:rsidP="0042145C">
      <w:pPr>
        <w:pStyle w:val="NoSpacing"/>
        <w:spacing w:line="360" w:lineRule="auto"/>
        <w:jc w:val="both"/>
        <w:rPr>
          <w:rFonts w:ascii="Times New Roman" w:hAnsi="Times New Roman" w:cs="Times New Roman"/>
          <w:b/>
          <w:sz w:val="10"/>
          <w:szCs w:val="10"/>
        </w:rPr>
      </w:pPr>
    </w:p>
    <w:p w14:paraId="0D1FA5F0" w14:textId="6DDAC839" w:rsidR="00D324F6" w:rsidRPr="008614BA" w:rsidRDefault="0042145C" w:rsidP="0042145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interest of justice, I agree that the decision and orders of the Supreme Court </w:t>
      </w:r>
      <w:proofErr w:type="gramStart"/>
      <w:r>
        <w:rPr>
          <w:rFonts w:ascii="Times New Roman" w:hAnsi="Times New Roman" w:cs="Times New Roman"/>
          <w:sz w:val="24"/>
          <w:szCs w:val="24"/>
        </w:rPr>
        <w:t>be quashed</w:t>
      </w:r>
      <w:proofErr w:type="gramEnd"/>
      <w:r w:rsidR="002B529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B5294">
        <w:rPr>
          <w:rFonts w:ascii="Times New Roman" w:hAnsi="Times New Roman" w:cs="Times New Roman"/>
          <w:sz w:val="24"/>
          <w:szCs w:val="24"/>
        </w:rPr>
        <w:t xml:space="preserve">that </w:t>
      </w:r>
      <w:r>
        <w:rPr>
          <w:rFonts w:ascii="Times New Roman" w:hAnsi="Times New Roman" w:cs="Times New Roman"/>
          <w:sz w:val="24"/>
          <w:szCs w:val="24"/>
        </w:rPr>
        <w:t>the case be remitted to the Supreme Court for fresh consideration and decision</w:t>
      </w:r>
      <w:r w:rsidR="00551258">
        <w:rPr>
          <w:rFonts w:ascii="Times New Roman" w:hAnsi="Times New Roman" w:cs="Times New Roman"/>
          <w:sz w:val="24"/>
          <w:szCs w:val="24"/>
        </w:rPr>
        <w:t>,</w:t>
      </w:r>
      <w:r>
        <w:rPr>
          <w:rFonts w:ascii="Times New Roman" w:hAnsi="Times New Roman" w:cs="Times New Roman"/>
          <w:sz w:val="24"/>
          <w:szCs w:val="24"/>
        </w:rPr>
        <w:t xml:space="preserve"> as it emerged at the appeal </w:t>
      </w:r>
      <w:r w:rsidR="00725B8B">
        <w:rPr>
          <w:rFonts w:ascii="Times New Roman" w:hAnsi="Times New Roman" w:cs="Times New Roman"/>
          <w:sz w:val="24"/>
          <w:szCs w:val="24"/>
        </w:rPr>
        <w:t xml:space="preserve">that one of the Respondents had passed away before the case in </w:t>
      </w:r>
      <w:r w:rsidR="002B5294">
        <w:rPr>
          <w:rFonts w:ascii="Times New Roman" w:hAnsi="Times New Roman" w:cs="Times New Roman"/>
          <w:sz w:val="24"/>
          <w:szCs w:val="24"/>
        </w:rPr>
        <w:t>the Supreme Court</w:t>
      </w:r>
      <w:r w:rsidR="00725B8B">
        <w:rPr>
          <w:rFonts w:ascii="Times New Roman" w:hAnsi="Times New Roman" w:cs="Times New Roman"/>
          <w:sz w:val="24"/>
          <w:szCs w:val="24"/>
        </w:rPr>
        <w:t xml:space="preserve"> had been completed</w:t>
      </w:r>
      <w:r>
        <w:rPr>
          <w:rFonts w:ascii="Times New Roman" w:hAnsi="Times New Roman" w:cs="Times New Roman"/>
          <w:sz w:val="24"/>
          <w:szCs w:val="24"/>
        </w:rPr>
        <w:t>.</w:t>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r w:rsidR="00D324F6" w:rsidRPr="008614BA">
        <w:rPr>
          <w:rFonts w:ascii="Times New Roman" w:hAnsi="Times New Roman" w:cs="Times New Roman"/>
          <w:b/>
          <w:sz w:val="24"/>
          <w:szCs w:val="24"/>
        </w:rPr>
        <w:tab/>
      </w:r>
    </w:p>
    <w:p w14:paraId="6374A2B2" w14:textId="4F80C8D9" w:rsidR="0042145C" w:rsidRDefault="0042145C" w:rsidP="0042145C">
      <w:pPr>
        <w:pStyle w:val="JudgmentText"/>
        <w:numPr>
          <w:ilvl w:val="0"/>
          <w:numId w:val="0"/>
        </w:numPr>
        <w:spacing w:line="240" w:lineRule="auto"/>
        <w:ind w:left="720" w:hanging="720"/>
      </w:pPr>
    </w:p>
    <w:p w14:paraId="1AA61895" w14:textId="77777777" w:rsidR="00725B8B" w:rsidRPr="00725B8B" w:rsidRDefault="00725B8B" w:rsidP="0042145C">
      <w:pPr>
        <w:pStyle w:val="JudgmentText"/>
        <w:numPr>
          <w:ilvl w:val="0"/>
          <w:numId w:val="0"/>
        </w:numPr>
        <w:spacing w:line="240" w:lineRule="auto"/>
        <w:ind w:left="720" w:hanging="720"/>
        <w:rPr>
          <w:sz w:val="10"/>
          <w:szCs w:val="10"/>
        </w:rPr>
      </w:pPr>
    </w:p>
    <w:p w14:paraId="6BAA47E8" w14:textId="58F2535B" w:rsidR="00D324F6" w:rsidRDefault="00D324F6" w:rsidP="0042145C">
      <w:pPr>
        <w:pStyle w:val="JudgmentText"/>
        <w:numPr>
          <w:ilvl w:val="0"/>
          <w:numId w:val="0"/>
        </w:numPr>
        <w:spacing w:line="240" w:lineRule="auto"/>
        <w:ind w:left="720" w:hanging="720"/>
      </w:pPr>
      <w:r w:rsidRPr="008614BA">
        <w:t>________________</w:t>
      </w:r>
      <w:r w:rsidRPr="006638DB">
        <w:t xml:space="preserve"> </w:t>
      </w:r>
    </w:p>
    <w:p w14:paraId="7C3ABC41" w14:textId="3358F264" w:rsidR="00D324F6" w:rsidRPr="00D324F6" w:rsidRDefault="00D36877" w:rsidP="00D324F6">
      <w:pPr>
        <w:pStyle w:val="Jjmntheading1"/>
        <w:rPr>
          <w:rFonts w:ascii="Times" w:hAnsi="Times"/>
          <w:b w:val="0"/>
        </w:rPr>
      </w:pPr>
      <w:r>
        <w:rPr>
          <w:b w:val="0"/>
        </w:rPr>
        <w:t>F.</w:t>
      </w:r>
      <w:r w:rsidR="00C8475B">
        <w:rPr>
          <w:b w:val="0"/>
        </w:rPr>
        <w:t xml:space="preserve"> </w:t>
      </w:r>
      <w:r>
        <w:rPr>
          <w:b w:val="0"/>
        </w:rPr>
        <w:t>Robinson</w:t>
      </w:r>
      <w:r w:rsidR="00D324F6" w:rsidRPr="00D324F6">
        <w:rPr>
          <w:b w:val="0"/>
        </w:rPr>
        <w:t>, JA</w:t>
      </w:r>
      <w:r w:rsidR="00D324F6" w:rsidRPr="00D324F6">
        <w:rPr>
          <w:rFonts w:ascii="Times" w:hAnsi="Times"/>
          <w:b w:val="0"/>
        </w:rPr>
        <w:t xml:space="preserve"> </w:t>
      </w:r>
    </w:p>
    <w:p w14:paraId="66FE9416" w14:textId="3A8E7B0E" w:rsidR="00D324F6" w:rsidRDefault="00D324F6" w:rsidP="00D324F6">
      <w:pPr>
        <w:pStyle w:val="Jjmntheading1"/>
        <w:rPr>
          <w:rFonts w:ascii="Times" w:hAnsi="Times"/>
          <w:b w:val="0"/>
        </w:rPr>
      </w:pPr>
    </w:p>
    <w:p w14:paraId="0713A946" w14:textId="77777777" w:rsidR="00D324F6" w:rsidRPr="00D324F6" w:rsidRDefault="00D324F6" w:rsidP="00D324F6">
      <w:pPr>
        <w:pStyle w:val="Jjmntheading1"/>
        <w:rPr>
          <w:rFonts w:ascii="Times" w:hAnsi="Times"/>
          <w:b w:val="0"/>
          <w:sz w:val="10"/>
          <w:szCs w:val="10"/>
        </w:rPr>
      </w:pPr>
    </w:p>
    <w:p w14:paraId="4E0F639C" w14:textId="673CFEBC" w:rsidR="00D324F6" w:rsidRPr="0003172C" w:rsidRDefault="00D324F6" w:rsidP="00D324F6">
      <w:pPr>
        <w:pStyle w:val="Jjmntheading1"/>
        <w:rPr>
          <w:rFonts w:ascii="Times" w:hAnsi="Times"/>
          <w:b w:val="0"/>
        </w:rPr>
      </w:pPr>
      <w:r>
        <w:rPr>
          <w:rFonts w:ascii="Times" w:hAnsi="Times"/>
          <w:b w:val="0"/>
        </w:rPr>
        <w:t>Signed,</w:t>
      </w:r>
      <w:r w:rsidRPr="0003172C">
        <w:rPr>
          <w:rFonts w:ascii="Times" w:hAnsi="Times"/>
          <w:b w:val="0"/>
        </w:rPr>
        <w:t xml:space="preserve"> dated and delivered at Ile du Port on 13 </w:t>
      </w:r>
      <w:proofErr w:type="gramStart"/>
      <w:r w:rsidRPr="0003172C">
        <w:rPr>
          <w:rFonts w:ascii="Times" w:hAnsi="Times"/>
          <w:b w:val="0"/>
        </w:rPr>
        <w:t>August  2021</w:t>
      </w:r>
      <w:proofErr w:type="gramEnd"/>
      <w:r w:rsidRPr="0003172C">
        <w:rPr>
          <w:rFonts w:ascii="Times" w:hAnsi="Times"/>
          <w:b w:val="0"/>
        </w:rPr>
        <w:t>.</w:t>
      </w:r>
    </w:p>
    <w:p w14:paraId="122DAACD" w14:textId="1B2B902A" w:rsidR="00D324F6" w:rsidRDefault="00D324F6" w:rsidP="00D324F6">
      <w:pPr>
        <w:pStyle w:val="JudgmentText"/>
        <w:numPr>
          <w:ilvl w:val="0"/>
          <w:numId w:val="0"/>
        </w:numPr>
        <w:spacing w:line="240" w:lineRule="auto"/>
      </w:pPr>
    </w:p>
    <w:p w14:paraId="53A54A0E" w14:textId="7F0AB242" w:rsidR="00D324F6" w:rsidRDefault="00D324F6" w:rsidP="00CB69C5">
      <w:pPr>
        <w:keepNext/>
        <w:rPr>
          <w:rFonts w:ascii="Times" w:hAnsi="Times" w:cs="Times New Roman"/>
          <w:sz w:val="24"/>
          <w:szCs w:val="24"/>
        </w:rPr>
      </w:pPr>
      <w:bookmarkStart w:id="0" w:name="_GoBack"/>
      <w:bookmarkEnd w:id="0"/>
    </w:p>
    <w:p w14:paraId="586597EB" w14:textId="6E94CCE3" w:rsidR="00D324F6" w:rsidRDefault="00D324F6" w:rsidP="00CB69C5">
      <w:pPr>
        <w:keepNext/>
        <w:rPr>
          <w:rFonts w:ascii="Times" w:hAnsi="Times" w:cs="Times New Roman"/>
          <w:sz w:val="24"/>
          <w:szCs w:val="24"/>
        </w:rPr>
      </w:pPr>
    </w:p>
    <w:p w14:paraId="5D8504B8" w14:textId="77777777" w:rsidR="00D324F6" w:rsidRPr="002D3611" w:rsidRDefault="00D324F6" w:rsidP="00CB69C5">
      <w:pPr>
        <w:keepNext/>
        <w:rPr>
          <w:rFonts w:ascii="Times" w:hAnsi="Times" w:cs="Times New Roman"/>
          <w:sz w:val="24"/>
          <w:szCs w:val="24"/>
        </w:rPr>
      </w:pPr>
    </w:p>
    <w:sectPr w:rsidR="00D324F6" w:rsidRPr="002D3611" w:rsidSect="00E001F8">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B0934" w14:textId="77777777" w:rsidR="005F0044" w:rsidRDefault="005F0044" w:rsidP="006A68E2">
      <w:pPr>
        <w:spacing w:after="0" w:line="240" w:lineRule="auto"/>
      </w:pPr>
      <w:r>
        <w:separator/>
      </w:r>
    </w:p>
  </w:endnote>
  <w:endnote w:type="continuationSeparator" w:id="0">
    <w:p w14:paraId="3BD30277" w14:textId="77777777" w:rsidR="005F0044" w:rsidRDefault="005F004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9A1037F" w14:textId="5022F490" w:rsidR="00B76920" w:rsidRDefault="00B76920">
        <w:pPr>
          <w:pStyle w:val="Footer"/>
          <w:jc w:val="center"/>
        </w:pPr>
        <w:r>
          <w:fldChar w:fldCharType="begin"/>
        </w:r>
        <w:r>
          <w:instrText xml:space="preserve"> PAGE   \* MERGEFORMAT </w:instrText>
        </w:r>
        <w:r>
          <w:fldChar w:fldCharType="separate"/>
        </w:r>
        <w:r w:rsidR="00714FE9">
          <w:rPr>
            <w:noProof/>
          </w:rPr>
          <w:t>6</w:t>
        </w:r>
        <w:r>
          <w:rPr>
            <w:noProof/>
          </w:rPr>
          <w:fldChar w:fldCharType="end"/>
        </w:r>
      </w:p>
    </w:sdtContent>
  </w:sdt>
  <w:p w14:paraId="410FFCF2" w14:textId="77777777" w:rsidR="00B76920" w:rsidRDefault="00B7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8752" w14:textId="77777777" w:rsidR="005F0044" w:rsidRDefault="005F0044" w:rsidP="006A68E2">
      <w:pPr>
        <w:spacing w:after="0" w:line="240" w:lineRule="auto"/>
      </w:pPr>
      <w:r>
        <w:separator/>
      </w:r>
    </w:p>
  </w:footnote>
  <w:footnote w:type="continuationSeparator" w:id="0">
    <w:p w14:paraId="23E90136" w14:textId="77777777" w:rsidR="005F0044" w:rsidRDefault="005F004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7F4"/>
    <w:multiLevelType w:val="hybridMultilevel"/>
    <w:tmpl w:val="8B744170"/>
    <w:lvl w:ilvl="0" w:tplc="9D0422FC">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pStyle w:val="Unnumberedquote"/>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1"/>
  </w:num>
  <w:num w:numId="10">
    <w:abstractNumId w:val="9"/>
  </w:num>
  <w:num w:numId="11">
    <w:abstractNumId w:val="9"/>
  </w:num>
  <w:num w:numId="12">
    <w:abstractNumId w:val="8"/>
  </w:num>
  <w:num w:numId="13">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pStyle w:val="Unnumberedquote"/>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0"/>
  </w:num>
  <w:num w:numId="15">
    <w:abstractNumId w:val="4"/>
    <w:lvlOverride w:ilvl="0">
      <w:startOverride w:val="3"/>
      <w:lvl w:ilvl="0">
        <w:start w:val="3"/>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pStyle w:val="Unnumberedquote"/>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mwrAUAJ+Pw9SwAAAA="/>
  </w:docVars>
  <w:rsids>
    <w:rsidRoot w:val="000C3AD3"/>
    <w:rsid w:val="00005D33"/>
    <w:rsid w:val="00020313"/>
    <w:rsid w:val="00025CDF"/>
    <w:rsid w:val="00027A72"/>
    <w:rsid w:val="00030248"/>
    <w:rsid w:val="0003172C"/>
    <w:rsid w:val="000323C9"/>
    <w:rsid w:val="00034061"/>
    <w:rsid w:val="00035C3A"/>
    <w:rsid w:val="00036C00"/>
    <w:rsid w:val="00040193"/>
    <w:rsid w:val="000446C1"/>
    <w:rsid w:val="000459A8"/>
    <w:rsid w:val="00047114"/>
    <w:rsid w:val="00056F1B"/>
    <w:rsid w:val="00064593"/>
    <w:rsid w:val="000647BB"/>
    <w:rsid w:val="00071B84"/>
    <w:rsid w:val="000746BD"/>
    <w:rsid w:val="0008560D"/>
    <w:rsid w:val="0008760B"/>
    <w:rsid w:val="0009242F"/>
    <w:rsid w:val="00097068"/>
    <w:rsid w:val="00097D19"/>
    <w:rsid w:val="000A60A6"/>
    <w:rsid w:val="000C3AD3"/>
    <w:rsid w:val="000E4710"/>
    <w:rsid w:val="000F34F5"/>
    <w:rsid w:val="00110B0E"/>
    <w:rsid w:val="00110B89"/>
    <w:rsid w:val="001135C2"/>
    <w:rsid w:val="0012397E"/>
    <w:rsid w:val="001428B9"/>
    <w:rsid w:val="00142B71"/>
    <w:rsid w:val="00165CCF"/>
    <w:rsid w:val="00167379"/>
    <w:rsid w:val="00171C4D"/>
    <w:rsid w:val="001723B1"/>
    <w:rsid w:val="00186472"/>
    <w:rsid w:val="001A4F35"/>
    <w:rsid w:val="001C2FB3"/>
    <w:rsid w:val="001C5465"/>
    <w:rsid w:val="001C78EC"/>
    <w:rsid w:val="001D166D"/>
    <w:rsid w:val="001D33D2"/>
    <w:rsid w:val="001D470B"/>
    <w:rsid w:val="001E3D91"/>
    <w:rsid w:val="001E65F0"/>
    <w:rsid w:val="001E773E"/>
    <w:rsid w:val="001F2354"/>
    <w:rsid w:val="002015F8"/>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674D6"/>
    <w:rsid w:val="002A5B60"/>
    <w:rsid w:val="002A7D7A"/>
    <w:rsid w:val="002B5294"/>
    <w:rsid w:val="002C517A"/>
    <w:rsid w:val="002D3611"/>
    <w:rsid w:val="002D4EB8"/>
    <w:rsid w:val="002D703A"/>
    <w:rsid w:val="002E2AE3"/>
    <w:rsid w:val="00300B76"/>
    <w:rsid w:val="00303783"/>
    <w:rsid w:val="003137B8"/>
    <w:rsid w:val="00331500"/>
    <w:rsid w:val="00334430"/>
    <w:rsid w:val="00344425"/>
    <w:rsid w:val="00346D7F"/>
    <w:rsid w:val="003615E7"/>
    <w:rsid w:val="00370C5B"/>
    <w:rsid w:val="00373EDC"/>
    <w:rsid w:val="00380619"/>
    <w:rsid w:val="003814FD"/>
    <w:rsid w:val="0038379B"/>
    <w:rsid w:val="003A1B72"/>
    <w:rsid w:val="003A6C9E"/>
    <w:rsid w:val="003B63A5"/>
    <w:rsid w:val="003B6C27"/>
    <w:rsid w:val="003D4619"/>
    <w:rsid w:val="003E2E94"/>
    <w:rsid w:val="003E78DE"/>
    <w:rsid w:val="003F2ADF"/>
    <w:rsid w:val="003F33F0"/>
    <w:rsid w:val="003F4D17"/>
    <w:rsid w:val="00401ACC"/>
    <w:rsid w:val="00403E7D"/>
    <w:rsid w:val="00403F4C"/>
    <w:rsid w:val="00404D64"/>
    <w:rsid w:val="00405958"/>
    <w:rsid w:val="00412994"/>
    <w:rsid w:val="00413BEB"/>
    <w:rsid w:val="004150BD"/>
    <w:rsid w:val="004172D3"/>
    <w:rsid w:val="00421404"/>
    <w:rsid w:val="0042145C"/>
    <w:rsid w:val="00426BA9"/>
    <w:rsid w:val="00433F2F"/>
    <w:rsid w:val="00437BD3"/>
    <w:rsid w:val="00463B4E"/>
    <w:rsid w:val="00472219"/>
    <w:rsid w:val="00474804"/>
    <w:rsid w:val="00480A69"/>
    <w:rsid w:val="004A2599"/>
    <w:rsid w:val="004B509A"/>
    <w:rsid w:val="004C16E0"/>
    <w:rsid w:val="004D7D42"/>
    <w:rsid w:val="004F7606"/>
    <w:rsid w:val="00514200"/>
    <w:rsid w:val="00545879"/>
    <w:rsid w:val="00551258"/>
    <w:rsid w:val="00554DA3"/>
    <w:rsid w:val="00567727"/>
    <w:rsid w:val="005711F6"/>
    <w:rsid w:val="0057425C"/>
    <w:rsid w:val="005A5FCB"/>
    <w:rsid w:val="005B12AA"/>
    <w:rsid w:val="005D4336"/>
    <w:rsid w:val="005E4975"/>
    <w:rsid w:val="005F0044"/>
    <w:rsid w:val="006117A4"/>
    <w:rsid w:val="0061354A"/>
    <w:rsid w:val="00613A0E"/>
    <w:rsid w:val="00620B9A"/>
    <w:rsid w:val="00623933"/>
    <w:rsid w:val="00635504"/>
    <w:rsid w:val="00635D3C"/>
    <w:rsid w:val="00636B95"/>
    <w:rsid w:val="00641FE5"/>
    <w:rsid w:val="00652326"/>
    <w:rsid w:val="0065549F"/>
    <w:rsid w:val="00661163"/>
    <w:rsid w:val="00662CEA"/>
    <w:rsid w:val="00663E9A"/>
    <w:rsid w:val="006711E8"/>
    <w:rsid w:val="00676075"/>
    <w:rsid w:val="00676ED9"/>
    <w:rsid w:val="006A55D1"/>
    <w:rsid w:val="006A68E2"/>
    <w:rsid w:val="006C7B45"/>
    <w:rsid w:val="006D1A1D"/>
    <w:rsid w:val="006D5704"/>
    <w:rsid w:val="006E2592"/>
    <w:rsid w:val="006E5D56"/>
    <w:rsid w:val="006F0B58"/>
    <w:rsid w:val="00700E8D"/>
    <w:rsid w:val="0070371E"/>
    <w:rsid w:val="007046F0"/>
    <w:rsid w:val="00714FE9"/>
    <w:rsid w:val="00716597"/>
    <w:rsid w:val="00721E8B"/>
    <w:rsid w:val="00722761"/>
    <w:rsid w:val="00725B8B"/>
    <w:rsid w:val="00731315"/>
    <w:rsid w:val="00732A71"/>
    <w:rsid w:val="007503D8"/>
    <w:rsid w:val="007554FB"/>
    <w:rsid w:val="0078086C"/>
    <w:rsid w:val="00796B89"/>
    <w:rsid w:val="007979DD"/>
    <w:rsid w:val="007A02F7"/>
    <w:rsid w:val="007B2600"/>
    <w:rsid w:val="007C1343"/>
    <w:rsid w:val="007D22AB"/>
    <w:rsid w:val="007D25FE"/>
    <w:rsid w:val="007D2C2A"/>
    <w:rsid w:val="007D2C6E"/>
    <w:rsid w:val="008001C8"/>
    <w:rsid w:val="00804AA9"/>
    <w:rsid w:val="00811CB7"/>
    <w:rsid w:val="008146E0"/>
    <w:rsid w:val="00822B6A"/>
    <w:rsid w:val="00847A3A"/>
    <w:rsid w:val="008522BC"/>
    <w:rsid w:val="00856AE2"/>
    <w:rsid w:val="008574FC"/>
    <w:rsid w:val="008577B7"/>
    <w:rsid w:val="0086525A"/>
    <w:rsid w:val="00870A34"/>
    <w:rsid w:val="00874462"/>
    <w:rsid w:val="008851CB"/>
    <w:rsid w:val="008A1010"/>
    <w:rsid w:val="008A11E6"/>
    <w:rsid w:val="008A4932"/>
    <w:rsid w:val="008B13A9"/>
    <w:rsid w:val="008B3BC5"/>
    <w:rsid w:val="008C0FEC"/>
    <w:rsid w:val="008D1D34"/>
    <w:rsid w:val="008D7AF7"/>
    <w:rsid w:val="008E771B"/>
    <w:rsid w:val="00903240"/>
    <w:rsid w:val="009123A3"/>
    <w:rsid w:val="00913944"/>
    <w:rsid w:val="009209B9"/>
    <w:rsid w:val="00922D33"/>
    <w:rsid w:val="00931E7B"/>
    <w:rsid w:val="009323A5"/>
    <w:rsid w:val="009539C2"/>
    <w:rsid w:val="00962242"/>
    <w:rsid w:val="00987F86"/>
    <w:rsid w:val="009912CE"/>
    <w:rsid w:val="009919F9"/>
    <w:rsid w:val="009926CB"/>
    <w:rsid w:val="009A0315"/>
    <w:rsid w:val="009A0A89"/>
    <w:rsid w:val="009A769C"/>
    <w:rsid w:val="009B495E"/>
    <w:rsid w:val="009C63E5"/>
    <w:rsid w:val="009D2002"/>
    <w:rsid w:val="009F125D"/>
    <w:rsid w:val="009F35F6"/>
    <w:rsid w:val="00A121F6"/>
    <w:rsid w:val="00A2058F"/>
    <w:rsid w:val="00A21533"/>
    <w:rsid w:val="00A23115"/>
    <w:rsid w:val="00A340CC"/>
    <w:rsid w:val="00A44DA7"/>
    <w:rsid w:val="00A44FC8"/>
    <w:rsid w:val="00A51F9A"/>
    <w:rsid w:val="00A72D3A"/>
    <w:rsid w:val="00A7705E"/>
    <w:rsid w:val="00A94794"/>
    <w:rsid w:val="00AA2594"/>
    <w:rsid w:val="00AD3028"/>
    <w:rsid w:val="00AD4495"/>
    <w:rsid w:val="00AD4C1B"/>
    <w:rsid w:val="00AD4E89"/>
    <w:rsid w:val="00AE25A3"/>
    <w:rsid w:val="00AE729D"/>
    <w:rsid w:val="00B03209"/>
    <w:rsid w:val="00B03E76"/>
    <w:rsid w:val="00B12E47"/>
    <w:rsid w:val="00B15E0C"/>
    <w:rsid w:val="00B2340D"/>
    <w:rsid w:val="00B328F1"/>
    <w:rsid w:val="00B45E21"/>
    <w:rsid w:val="00B47941"/>
    <w:rsid w:val="00B60BD5"/>
    <w:rsid w:val="00B635A9"/>
    <w:rsid w:val="00B75D52"/>
    <w:rsid w:val="00B76920"/>
    <w:rsid w:val="00B76D46"/>
    <w:rsid w:val="00B83CF8"/>
    <w:rsid w:val="00B840F5"/>
    <w:rsid w:val="00B916A8"/>
    <w:rsid w:val="00B950DF"/>
    <w:rsid w:val="00BA1200"/>
    <w:rsid w:val="00BA4BEA"/>
    <w:rsid w:val="00BB075B"/>
    <w:rsid w:val="00BB0A78"/>
    <w:rsid w:val="00BB1A3E"/>
    <w:rsid w:val="00BC73B1"/>
    <w:rsid w:val="00BF58C8"/>
    <w:rsid w:val="00C2466E"/>
    <w:rsid w:val="00C510B9"/>
    <w:rsid w:val="00C55510"/>
    <w:rsid w:val="00C66776"/>
    <w:rsid w:val="00C74169"/>
    <w:rsid w:val="00C81B4C"/>
    <w:rsid w:val="00C8475B"/>
    <w:rsid w:val="00C861CD"/>
    <w:rsid w:val="00CB05F8"/>
    <w:rsid w:val="00CB62D0"/>
    <w:rsid w:val="00CB69C5"/>
    <w:rsid w:val="00CC0340"/>
    <w:rsid w:val="00CC437E"/>
    <w:rsid w:val="00CD09C7"/>
    <w:rsid w:val="00CD4847"/>
    <w:rsid w:val="00CD504B"/>
    <w:rsid w:val="00CE61BC"/>
    <w:rsid w:val="00CF7F26"/>
    <w:rsid w:val="00D07914"/>
    <w:rsid w:val="00D1574F"/>
    <w:rsid w:val="00D31F1B"/>
    <w:rsid w:val="00D324F6"/>
    <w:rsid w:val="00D33DBF"/>
    <w:rsid w:val="00D36877"/>
    <w:rsid w:val="00D41274"/>
    <w:rsid w:val="00D60F55"/>
    <w:rsid w:val="00D61629"/>
    <w:rsid w:val="00D63A96"/>
    <w:rsid w:val="00D7077E"/>
    <w:rsid w:val="00D710E7"/>
    <w:rsid w:val="00D74FB3"/>
    <w:rsid w:val="00D9311E"/>
    <w:rsid w:val="00DA3422"/>
    <w:rsid w:val="00DA6A72"/>
    <w:rsid w:val="00DB1C6C"/>
    <w:rsid w:val="00DC1D84"/>
    <w:rsid w:val="00DC4503"/>
    <w:rsid w:val="00DD01DD"/>
    <w:rsid w:val="00DD4477"/>
    <w:rsid w:val="00DE59D6"/>
    <w:rsid w:val="00DE7515"/>
    <w:rsid w:val="00DE75EC"/>
    <w:rsid w:val="00E001F8"/>
    <w:rsid w:val="00E147BD"/>
    <w:rsid w:val="00E1659A"/>
    <w:rsid w:val="00E17B63"/>
    <w:rsid w:val="00E21E55"/>
    <w:rsid w:val="00E258FE"/>
    <w:rsid w:val="00E36342"/>
    <w:rsid w:val="00E40087"/>
    <w:rsid w:val="00E5334B"/>
    <w:rsid w:val="00E57A8C"/>
    <w:rsid w:val="00EA4807"/>
    <w:rsid w:val="00EB34D4"/>
    <w:rsid w:val="00ED0BFC"/>
    <w:rsid w:val="00EF0AB0"/>
    <w:rsid w:val="00EF13E2"/>
    <w:rsid w:val="00EF3DDE"/>
    <w:rsid w:val="00F0790A"/>
    <w:rsid w:val="00F33B83"/>
    <w:rsid w:val="00F43B70"/>
    <w:rsid w:val="00F4644D"/>
    <w:rsid w:val="00F733C8"/>
    <w:rsid w:val="00F8745D"/>
    <w:rsid w:val="00F97C26"/>
    <w:rsid w:val="00FA4295"/>
    <w:rsid w:val="00FB0B4E"/>
    <w:rsid w:val="00FC17AB"/>
    <w:rsid w:val="00FC44FA"/>
    <w:rsid w:val="00FC5A74"/>
    <w:rsid w:val="00FD38E3"/>
    <w:rsid w:val="00FE025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EDCF0"/>
  <w15:docId w15:val="{C6D06310-1600-497A-BB9C-D76BCE7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JudgmentText"/>
    <w:link w:val="UnnumberedquoteChar"/>
    <w:qFormat/>
    <w:rsid w:val="002D3611"/>
    <w:pPr>
      <w:numPr>
        <w:ilvl w:val="1"/>
      </w:numPr>
      <w:shd w:val="clear" w:color="auto" w:fill="FFFFFF"/>
      <w:spacing w:after="0"/>
      <w:textAlignment w:val="baseline"/>
    </w:pPr>
    <w:rPr>
      <w:rFonts w:ascii="Times" w:hAnsi="Times"/>
      <w:color w:val="333333"/>
      <w:bdr w:val="none" w:sz="0" w:space="0" w:color="auto" w:frame="1"/>
    </w:r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rPr>
  </w:style>
  <w:style w:type="character" w:customStyle="1" w:styleId="UnnumberedquoteChar">
    <w:name w:val="Unnumbered quote Char"/>
    <w:basedOn w:val="NumberedQuotationindent1Char"/>
    <w:link w:val="Unnumberedquote"/>
    <w:rsid w:val="002D3611"/>
    <w:rPr>
      <w:rFonts w:ascii="Times" w:eastAsia="Times New Roman" w:hAnsi="Times" w:cs="Times New Roman"/>
      <w:i w:val="0"/>
      <w:color w:val="333333"/>
      <w:sz w:val="24"/>
      <w:szCs w:val="24"/>
      <w:bdr w:val="none" w:sz="0" w:space="0" w:color="auto" w:frame="1"/>
      <w:shd w:val="clear" w:color="auto" w:fill="FFFFFF"/>
      <w:lang w:val="en-GB"/>
    </w:rPr>
  </w:style>
  <w:style w:type="character" w:customStyle="1" w:styleId="UnnumberedjjmntparagraphChar">
    <w:name w:val="Unnumbered jjmnt paragraph Char"/>
    <w:basedOn w:val="UnnumberedquoteChar"/>
    <w:link w:val="Unnumberedjjmntparagraph"/>
    <w:rsid w:val="003A6C9E"/>
    <w:rPr>
      <w:rFonts w:ascii="Times New Roman" w:eastAsia="Times New Roman" w:hAnsi="Times New Roman" w:cs="Times New Roman"/>
      <w:i/>
      <w:color w:val="333333"/>
      <w:sz w:val="24"/>
      <w:szCs w:val="24"/>
      <w:bdr w:val="none" w:sz="0" w:space="0" w:color="auto" w:frame="1"/>
      <w:shd w:val="clear" w:color="auto" w:fill="FFFFFF"/>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semiHidden/>
    <w:unhideWhenUsed/>
    <w:rsid w:val="00E53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34B"/>
    <w:rPr>
      <w:sz w:val="20"/>
      <w:szCs w:val="20"/>
      <w:lang w:val="en-GB"/>
    </w:rPr>
  </w:style>
  <w:style w:type="character" w:styleId="FootnoteReference">
    <w:name w:val="footnote reference"/>
    <w:basedOn w:val="DefaultParagraphFont"/>
    <w:uiPriority w:val="99"/>
    <w:semiHidden/>
    <w:unhideWhenUsed/>
    <w:rsid w:val="00E5334B"/>
    <w:rPr>
      <w:vertAlign w:val="superscript"/>
    </w:rPr>
  </w:style>
  <w:style w:type="character" w:styleId="Emphasis">
    <w:name w:val="Emphasis"/>
    <w:basedOn w:val="DefaultParagraphFont"/>
    <w:uiPriority w:val="20"/>
    <w:qFormat/>
    <w:rsid w:val="00676075"/>
    <w:rPr>
      <w:i/>
      <w:iCs/>
    </w:rPr>
  </w:style>
  <w:style w:type="paragraph" w:styleId="NormalWeb">
    <w:name w:val="Normal (Web)"/>
    <w:basedOn w:val="Normal"/>
    <w:uiPriority w:val="99"/>
    <w:semiHidden/>
    <w:unhideWhenUsed/>
    <w:rsid w:val="00676075"/>
    <w:pPr>
      <w:spacing w:before="100" w:beforeAutospacing="1" w:after="100" w:afterAutospacing="1" w:line="240" w:lineRule="auto"/>
    </w:pPr>
    <w:rPr>
      <w:rFonts w:ascii="Times" w:hAnsi="Times" w:cs="Times New Roman"/>
      <w:sz w:val="20"/>
      <w:szCs w:val="20"/>
      <w:lang w:val="en-US"/>
    </w:rPr>
  </w:style>
  <w:style w:type="paragraph" w:styleId="NoSpacing">
    <w:name w:val="No Spacing"/>
    <w:uiPriority w:val="1"/>
    <w:qFormat/>
    <w:rsid w:val="00D324F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7184125">
      <w:bodyDiv w:val="1"/>
      <w:marLeft w:val="0"/>
      <w:marRight w:val="0"/>
      <w:marTop w:val="0"/>
      <w:marBottom w:val="0"/>
      <w:divBdr>
        <w:top w:val="none" w:sz="0" w:space="0" w:color="auto"/>
        <w:left w:val="none" w:sz="0" w:space="0" w:color="auto"/>
        <w:bottom w:val="none" w:sz="0" w:space="0" w:color="auto"/>
        <w:right w:val="none" w:sz="0" w:space="0" w:color="auto"/>
      </w:divBdr>
    </w:div>
    <w:div w:id="168253279">
      <w:bodyDiv w:val="1"/>
      <w:marLeft w:val="0"/>
      <w:marRight w:val="0"/>
      <w:marTop w:val="0"/>
      <w:marBottom w:val="0"/>
      <w:divBdr>
        <w:top w:val="none" w:sz="0" w:space="0" w:color="auto"/>
        <w:left w:val="none" w:sz="0" w:space="0" w:color="auto"/>
        <w:bottom w:val="none" w:sz="0" w:space="0" w:color="auto"/>
        <w:right w:val="none" w:sz="0" w:space="0" w:color="auto"/>
      </w:divBdr>
    </w:div>
    <w:div w:id="204097347">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545724051">
      <w:bodyDiv w:val="1"/>
      <w:marLeft w:val="0"/>
      <w:marRight w:val="0"/>
      <w:marTop w:val="0"/>
      <w:marBottom w:val="0"/>
      <w:divBdr>
        <w:top w:val="none" w:sz="0" w:space="0" w:color="auto"/>
        <w:left w:val="none" w:sz="0" w:space="0" w:color="auto"/>
        <w:bottom w:val="none" w:sz="0" w:space="0" w:color="auto"/>
        <w:right w:val="none" w:sz="0" w:space="0" w:color="auto"/>
      </w:divBdr>
    </w:div>
    <w:div w:id="821583394">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109084798">
      <w:bodyDiv w:val="1"/>
      <w:marLeft w:val="0"/>
      <w:marRight w:val="0"/>
      <w:marTop w:val="0"/>
      <w:marBottom w:val="0"/>
      <w:divBdr>
        <w:top w:val="none" w:sz="0" w:space="0" w:color="auto"/>
        <w:left w:val="none" w:sz="0" w:space="0" w:color="auto"/>
        <w:bottom w:val="none" w:sz="0" w:space="0" w:color="auto"/>
        <w:right w:val="none" w:sz="0" w:space="0" w:color="auto"/>
      </w:divBdr>
    </w:div>
    <w:div w:id="120737902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2869078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16597209">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91C5-D4E8-4200-A098-F16DF9A5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29</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10</cp:revision>
  <cp:lastPrinted>2021-08-13T03:50:00Z</cp:lastPrinted>
  <dcterms:created xsi:type="dcterms:W3CDTF">2021-08-06T04:44:00Z</dcterms:created>
  <dcterms:modified xsi:type="dcterms:W3CDTF">2021-08-13T03:53:00Z</dcterms:modified>
</cp:coreProperties>
</file>