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24383902"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206DB8">
        <w:rPr>
          <w:rFonts w:ascii="Times New Roman" w:hAnsi="Times New Roman" w:cs="Times New Roman"/>
          <w:sz w:val="24"/>
          <w:szCs w:val="24"/>
        </w:rPr>
        <w:t xml:space="preserve">53 </w:t>
      </w:r>
      <w:r w:rsidR="00174C46">
        <w:rPr>
          <w:rFonts w:ascii="Times New Roman" w:hAnsi="Times New Roman" w:cs="Times New Roman"/>
          <w:sz w:val="24"/>
          <w:szCs w:val="24"/>
        </w:rPr>
        <w:t xml:space="preserve"> (</w:t>
      </w:r>
      <w:proofErr w:type="gramEnd"/>
      <w:r w:rsidR="00174C46">
        <w:rPr>
          <w:rFonts w:ascii="Times New Roman" w:hAnsi="Times New Roman" w:cs="Times New Roman"/>
          <w:sz w:val="24"/>
          <w:szCs w:val="24"/>
        </w:rPr>
        <w:t xml:space="preserve">7 September </w:t>
      </w:r>
      <w:r w:rsidR="00861B94">
        <w:rPr>
          <w:rFonts w:ascii="Times New Roman" w:hAnsi="Times New Roman" w:cs="Times New Roman"/>
          <w:sz w:val="24"/>
          <w:szCs w:val="24"/>
        </w:rPr>
        <w:t>2021</w:t>
      </w:r>
      <w:r w:rsidR="00DE2A33">
        <w:rPr>
          <w:rFonts w:ascii="Times New Roman" w:hAnsi="Times New Roman" w:cs="Times New Roman"/>
          <w:sz w:val="24"/>
          <w:szCs w:val="24"/>
        </w:rPr>
        <w:t>)</w:t>
      </w:r>
    </w:p>
    <w:p w14:paraId="39C68942" w14:textId="33F01CFF"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AE4FDF">
        <w:rPr>
          <w:rFonts w:ascii="Times New Roman" w:hAnsi="Times New Roman" w:cs="Times New Roman"/>
          <w:sz w:val="24"/>
          <w:szCs w:val="24"/>
        </w:rPr>
        <w:t xml:space="preserve"> 16</w:t>
      </w:r>
      <w:r w:rsidR="00861B94">
        <w:rPr>
          <w:rFonts w:ascii="Times New Roman" w:hAnsi="Times New Roman" w:cs="Times New Roman"/>
          <w:sz w:val="24"/>
          <w:szCs w:val="24"/>
        </w:rPr>
        <w:t>/20</w:t>
      </w:r>
      <w:r w:rsidR="005D1697">
        <w:rPr>
          <w:rFonts w:ascii="Times New Roman" w:hAnsi="Times New Roman" w:cs="Times New Roman"/>
          <w:sz w:val="24"/>
          <w:szCs w:val="24"/>
        </w:rPr>
        <w:t>19</w:t>
      </w:r>
      <w:r>
        <w:rPr>
          <w:rFonts w:ascii="Times New Roman" w:hAnsi="Times New Roman" w:cs="Times New Roman"/>
          <w:sz w:val="24"/>
          <w:szCs w:val="24"/>
        </w:rPr>
        <w:t xml:space="preserve"> </w:t>
      </w:r>
    </w:p>
    <w:p w14:paraId="0AD6B0FD" w14:textId="73BA67DC"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1E5EB0">
        <w:rPr>
          <w:rFonts w:ascii="Times New Roman" w:hAnsi="Times New Roman" w:cs="Times New Roman"/>
          <w:sz w:val="24"/>
          <w:szCs w:val="24"/>
        </w:rPr>
        <w:t xml:space="preserve"> CS</w:t>
      </w:r>
      <w:r w:rsidR="00AE4FDF">
        <w:rPr>
          <w:rFonts w:ascii="Times New Roman" w:hAnsi="Times New Roman" w:cs="Times New Roman"/>
          <w:sz w:val="24"/>
          <w:szCs w:val="24"/>
        </w:rPr>
        <w:t xml:space="preserve"> 27/2010 &amp; 29/2010</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BDFF5C8" w14:textId="3BF39522" w:rsidR="00AE4FDF" w:rsidRDefault="00AE4FDF" w:rsidP="005D169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NSJ CONSTRUCTION (PTY)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5D1697">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D3054">
        <w:rPr>
          <w:rFonts w:ascii="Times New Roman" w:hAnsi="Times New Roman" w:cs="Times New Roman"/>
          <w:b/>
          <w:sz w:val="24"/>
          <w:szCs w:val="24"/>
        </w:rPr>
        <w:t>Appellant</w:t>
      </w:r>
      <w:r w:rsidRPr="005D3054">
        <w:rPr>
          <w:rFonts w:ascii="Times New Roman" w:hAnsi="Times New Roman" w:cs="Times New Roman"/>
          <w:sz w:val="24"/>
          <w:szCs w:val="24"/>
        </w:rPr>
        <w:tab/>
      </w:r>
    </w:p>
    <w:p w14:paraId="654B60A6" w14:textId="08F52DB6" w:rsidR="005D1697" w:rsidRPr="005D1697" w:rsidRDefault="00AE4FDF" w:rsidP="00AE4FD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GREGOIRE PAYET</w:t>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t>2</w:t>
      </w:r>
      <w:r w:rsidR="005D1697">
        <w:rPr>
          <w:rFonts w:ascii="Times New Roman" w:hAnsi="Times New Roman" w:cs="Times New Roman"/>
          <w:b/>
          <w:sz w:val="24"/>
          <w:szCs w:val="24"/>
          <w:vertAlign w:val="superscript"/>
        </w:rPr>
        <w:t xml:space="preserve">nd </w:t>
      </w:r>
      <w:r w:rsidR="005D1697">
        <w:rPr>
          <w:rFonts w:ascii="Times New Roman" w:hAnsi="Times New Roman" w:cs="Times New Roman"/>
          <w:b/>
          <w:sz w:val="24"/>
          <w:szCs w:val="24"/>
        </w:rPr>
        <w:t>Appellant</w:t>
      </w:r>
    </w:p>
    <w:p w14:paraId="398C6A6D" w14:textId="30CDBBCE" w:rsidR="005D3054" w:rsidRPr="005D3054" w:rsidRDefault="005D3054" w:rsidP="005D1697">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xml:space="preserve">. by Mr. </w:t>
      </w:r>
      <w:r w:rsidR="005D1697">
        <w:rPr>
          <w:rFonts w:ascii="Times New Roman" w:hAnsi="Times New Roman" w:cs="Times New Roman"/>
          <w:i/>
          <w:sz w:val="24"/>
          <w:szCs w:val="24"/>
        </w:rPr>
        <w:t>Fran</w:t>
      </w:r>
      <w:r w:rsidR="00244B13">
        <w:rPr>
          <w:rFonts w:ascii="Times New Roman" w:hAnsi="Times New Roman" w:cs="Times New Roman"/>
          <w:i/>
          <w:sz w:val="24"/>
          <w:szCs w:val="24"/>
        </w:rPr>
        <w:t>k</w:t>
      </w:r>
      <w:r w:rsidR="00AE4FDF">
        <w:rPr>
          <w:rFonts w:ascii="Times New Roman" w:hAnsi="Times New Roman" w:cs="Times New Roman"/>
          <w:i/>
          <w:sz w:val="24"/>
          <w:szCs w:val="24"/>
        </w:rPr>
        <w:t xml:space="preserve"> Elizabeth</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0695C3F3" w14:textId="31FB7C63" w:rsidR="00861B94" w:rsidRDefault="00AE4FDF" w:rsidP="00AE4FDF">
      <w:pPr>
        <w:pStyle w:val="Partynames"/>
        <w:tabs>
          <w:tab w:val="clear" w:pos="5580"/>
          <w:tab w:val="left" w:pos="5730"/>
          <w:tab w:val="left" w:pos="5760"/>
        </w:tabs>
        <w:rPr>
          <w:b w:val="0"/>
        </w:rPr>
      </w:pPr>
      <w:r>
        <w:t>F. B. CHOPPY (PTY) LTD</w:t>
      </w:r>
      <w:r>
        <w:tab/>
      </w:r>
      <w:r>
        <w:tab/>
      </w:r>
      <w:r>
        <w:tab/>
      </w:r>
      <w:r w:rsidR="00861B94">
        <w:t>Respondent</w:t>
      </w:r>
    </w:p>
    <w:p w14:paraId="7E721014" w14:textId="5E0D974C" w:rsidR="00861B94" w:rsidRPr="00861B94" w:rsidRDefault="00861B94" w:rsidP="00F24182">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w:t>
      </w:r>
      <w:r w:rsidR="005D1697">
        <w:rPr>
          <w:rFonts w:ascii="Times New Roman" w:hAnsi="Times New Roman" w:cs="Times New Roman"/>
          <w:i/>
          <w:sz w:val="24"/>
          <w:szCs w:val="24"/>
        </w:rPr>
        <w:t xml:space="preserve">r. </w:t>
      </w:r>
      <w:proofErr w:type="spellStart"/>
      <w:r w:rsidR="00AE4FDF">
        <w:rPr>
          <w:rFonts w:ascii="Times New Roman" w:hAnsi="Times New Roman" w:cs="Times New Roman"/>
          <w:i/>
          <w:sz w:val="24"/>
          <w:szCs w:val="24"/>
        </w:rPr>
        <w:t>Wilby</w:t>
      </w:r>
      <w:proofErr w:type="spellEnd"/>
      <w:r w:rsidR="00AE4FDF">
        <w:rPr>
          <w:rFonts w:ascii="Times New Roman" w:hAnsi="Times New Roman" w:cs="Times New Roman"/>
          <w:i/>
          <w:sz w:val="24"/>
          <w:szCs w:val="24"/>
        </w:rPr>
        <w:t xml:space="preserve"> Lucas</w:t>
      </w:r>
      <w:r>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ADEAEBB" w14:textId="5BB77A08" w:rsidR="003606AD" w:rsidRDefault="00405958" w:rsidP="00861B94">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E4FDF">
        <w:rPr>
          <w:rFonts w:ascii="Times New Roman" w:hAnsi="Times New Roman" w:cs="Times New Roman"/>
          <w:i/>
          <w:sz w:val="24"/>
          <w:szCs w:val="24"/>
        </w:rPr>
        <w:t xml:space="preserve">NSJ Construction (Pty) Ltd &amp; Anor v F. B Choppy (Pty) Ltd </w:t>
      </w:r>
      <w:r w:rsidR="000C71DE" w:rsidRPr="00AE4FDF">
        <w:rPr>
          <w:rFonts w:ascii="Times New Roman" w:hAnsi="Times New Roman" w:cs="Times New Roman"/>
        </w:rPr>
        <w:t>(</w:t>
      </w:r>
      <w:r w:rsidR="003F751A" w:rsidRPr="00AE4FDF">
        <w:rPr>
          <w:rFonts w:ascii="Times New Roman" w:hAnsi="Times New Roman" w:cs="Times New Roman"/>
        </w:rPr>
        <w:t xml:space="preserve">SCA </w:t>
      </w:r>
      <w:r w:rsidR="00AE4FDF">
        <w:rPr>
          <w:rFonts w:ascii="Times New Roman" w:hAnsi="Times New Roman" w:cs="Times New Roman"/>
        </w:rPr>
        <w:t>16</w:t>
      </w:r>
      <w:r w:rsidR="00861B94" w:rsidRPr="00AE4FDF">
        <w:rPr>
          <w:rFonts w:ascii="Times New Roman" w:hAnsi="Times New Roman" w:cs="Times New Roman"/>
        </w:rPr>
        <w:t>/20</w:t>
      </w:r>
      <w:r w:rsidR="005D1697" w:rsidRPr="00AE4FDF">
        <w:rPr>
          <w:rFonts w:ascii="Times New Roman" w:hAnsi="Times New Roman" w:cs="Times New Roman"/>
        </w:rPr>
        <w:t>19</w:t>
      </w:r>
      <w:r w:rsidR="00861B94" w:rsidRPr="00AE4FDF">
        <w:rPr>
          <w:rFonts w:ascii="Times New Roman" w:hAnsi="Times New Roman" w:cs="Times New Roman"/>
        </w:rPr>
        <w:t>)</w:t>
      </w:r>
      <w:r w:rsidR="000A0FCF" w:rsidRPr="00AE4FDF">
        <w:rPr>
          <w:rFonts w:ascii="Times New Roman" w:hAnsi="Times New Roman" w:cs="Times New Roman"/>
        </w:rPr>
        <w:t xml:space="preserve"> </w:t>
      </w:r>
      <w:r w:rsidR="005D1697">
        <w:rPr>
          <w:rFonts w:ascii="Times New Roman" w:hAnsi="Times New Roman" w:cs="Times New Roman"/>
        </w:rPr>
        <w:t xml:space="preserve">SCCA </w:t>
      </w:r>
      <w:r w:rsidR="00AE4FDF">
        <w:rPr>
          <w:rFonts w:ascii="Times New Roman" w:hAnsi="Times New Roman" w:cs="Times New Roman"/>
        </w:rPr>
        <w:t>53</w:t>
      </w:r>
      <w:r w:rsidR="005D1697">
        <w:rPr>
          <w:rFonts w:ascii="Times New Roman" w:hAnsi="Times New Roman" w:cs="Times New Roman"/>
        </w:rPr>
        <w:t xml:space="preserve"> </w:t>
      </w:r>
      <w:r w:rsidR="000A0FCF" w:rsidRPr="00112966">
        <w:rPr>
          <w:rFonts w:ascii="Times New Roman" w:hAnsi="Times New Roman" w:cs="Times New Roman"/>
        </w:rPr>
        <w:t>[2021]</w:t>
      </w:r>
      <w:r w:rsidR="003606AD">
        <w:rPr>
          <w:rFonts w:ascii="Times New Roman" w:hAnsi="Times New Roman" w:cs="Times New Roman"/>
        </w:rPr>
        <w:t xml:space="preserve"> (Arising in </w:t>
      </w:r>
      <w:r w:rsidR="001E5EB0">
        <w:rPr>
          <w:rFonts w:ascii="Times New Roman" w:hAnsi="Times New Roman" w:cs="Times New Roman"/>
        </w:rPr>
        <w:t>CS</w:t>
      </w:r>
      <w:r w:rsidR="00AE4FDF">
        <w:rPr>
          <w:rFonts w:ascii="Times New Roman" w:hAnsi="Times New Roman" w:cs="Times New Roman"/>
        </w:rPr>
        <w:t xml:space="preserve"> 27/2010 &amp; 29/2010</w:t>
      </w:r>
      <w:r w:rsidR="003606AD">
        <w:rPr>
          <w:rFonts w:ascii="Times New Roman" w:hAnsi="Times New Roman" w:cs="Times New Roman"/>
        </w:rPr>
        <w:t>)</w:t>
      </w:r>
      <w:r w:rsidR="000A0FCF" w:rsidRPr="00112966">
        <w:rPr>
          <w:rFonts w:ascii="Times New Roman" w:hAnsi="Times New Roman" w:cs="Times New Roman"/>
        </w:rPr>
        <w:t xml:space="preserve"> </w:t>
      </w:r>
      <w:r w:rsidR="009B130F">
        <w:rPr>
          <w:rFonts w:ascii="Times New Roman" w:hAnsi="Times New Roman" w:cs="Times New Roman"/>
        </w:rPr>
        <w:t xml:space="preserve"> </w:t>
      </w:r>
    </w:p>
    <w:p w14:paraId="6FA1FDAB" w14:textId="400A6752" w:rsidR="000A0FCF" w:rsidRPr="00112966" w:rsidRDefault="003606AD" w:rsidP="003606AD">
      <w:pPr>
        <w:pStyle w:val="NoSpacing"/>
        <w:tabs>
          <w:tab w:val="left" w:pos="1890"/>
        </w:tabs>
        <w:ind w:left="1890"/>
        <w:rPr>
          <w:rFonts w:ascii="Times New Roman" w:hAnsi="Times New Roman" w:cs="Times New Roman"/>
        </w:rPr>
      </w:pPr>
      <w:r>
        <w:rPr>
          <w:rFonts w:ascii="Times New Roman" w:hAnsi="Times New Roman" w:cs="Times New Roman"/>
        </w:rPr>
        <w:t>(</w:t>
      </w:r>
      <w:r w:rsidR="00174C46">
        <w:rPr>
          <w:rFonts w:ascii="Times New Roman" w:hAnsi="Times New Roman" w:cs="Times New Roman"/>
        </w:rPr>
        <w:t xml:space="preserve">7 September </w:t>
      </w:r>
      <w:r w:rsidR="000A0FCF" w:rsidRPr="00112966">
        <w:rPr>
          <w:rFonts w:ascii="Times New Roman" w:hAnsi="Times New Roman" w:cs="Times New Roman"/>
        </w:rPr>
        <w:t>2021</w:t>
      </w:r>
      <w:r>
        <w:rPr>
          <w:rFonts w:ascii="Times New Roman" w:hAnsi="Times New Roman" w:cs="Times New Roman"/>
        </w:rPr>
        <w:t>)</w:t>
      </w:r>
    </w:p>
    <w:p w14:paraId="2CBC2A12" w14:textId="51692182"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sidRPr="00C40F27">
        <w:rPr>
          <w:rFonts w:ascii="Times New Roman" w:hAnsi="Times New Roman" w:cs="Times New Roman"/>
          <w:sz w:val="24"/>
          <w:szCs w:val="24"/>
        </w:rPr>
        <w:tab/>
      </w:r>
      <w:r w:rsidR="00AE4FDF">
        <w:rPr>
          <w:rFonts w:ascii="Times New Roman" w:hAnsi="Times New Roman" w:cs="Times New Roman"/>
          <w:sz w:val="24"/>
          <w:szCs w:val="24"/>
        </w:rPr>
        <w:t xml:space="preserve">Robinson JA, </w:t>
      </w:r>
      <w:r w:rsidR="00861B94" w:rsidRPr="00C40F27">
        <w:rPr>
          <w:rFonts w:ascii="Times New Roman" w:hAnsi="Times New Roman" w:cs="Times New Roman"/>
          <w:sz w:val="24"/>
          <w:szCs w:val="24"/>
        </w:rPr>
        <w:t>Tibatemwa-</w:t>
      </w:r>
      <w:proofErr w:type="spellStart"/>
      <w:r w:rsidR="00861B94" w:rsidRPr="00C40F27">
        <w:rPr>
          <w:rFonts w:ascii="Times New Roman" w:hAnsi="Times New Roman" w:cs="Times New Roman"/>
          <w:sz w:val="24"/>
          <w:szCs w:val="24"/>
        </w:rPr>
        <w:t>Ekirikubinza</w:t>
      </w:r>
      <w:proofErr w:type="spellEnd"/>
      <w:r w:rsidR="00861B94" w:rsidRPr="00C40F27">
        <w:rPr>
          <w:rFonts w:ascii="Times New Roman" w:hAnsi="Times New Roman" w:cs="Times New Roman"/>
          <w:sz w:val="24"/>
          <w:szCs w:val="24"/>
        </w:rPr>
        <w:t xml:space="preserve"> JA, </w:t>
      </w:r>
      <w:proofErr w:type="gramStart"/>
      <w:r w:rsidR="00861B94" w:rsidRPr="00C40F27">
        <w:rPr>
          <w:rFonts w:ascii="Times New Roman" w:hAnsi="Times New Roman" w:cs="Times New Roman"/>
          <w:sz w:val="24"/>
          <w:szCs w:val="24"/>
        </w:rPr>
        <w:t>Dingake</w:t>
      </w:r>
      <w:proofErr w:type="gramEnd"/>
      <w:r w:rsidR="00861B94" w:rsidRPr="00C40F27">
        <w:rPr>
          <w:rFonts w:ascii="Times New Roman" w:hAnsi="Times New Roman" w:cs="Times New Roman"/>
          <w:sz w:val="24"/>
          <w:szCs w:val="24"/>
        </w:rPr>
        <w:t xml:space="preserve"> JA</w:t>
      </w:r>
    </w:p>
    <w:p w14:paraId="333F4846" w14:textId="77777777" w:rsidR="00AE4FDF" w:rsidRPr="00AE4FDF" w:rsidRDefault="00346D7F" w:rsidP="00AE4FDF">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8065D6">
        <w:rPr>
          <w:rFonts w:ascii="Times New Roman" w:hAnsi="Times New Roman" w:cs="Times New Roman"/>
          <w:b/>
          <w:sz w:val="24"/>
          <w:szCs w:val="24"/>
        </w:rPr>
        <w:tab/>
      </w:r>
      <w:r w:rsidR="00AE4FDF" w:rsidRPr="00AE4FDF">
        <w:rPr>
          <w:rFonts w:ascii="Times New Roman" w:hAnsi="Times New Roman" w:cs="Times New Roman"/>
          <w:sz w:val="24"/>
          <w:szCs w:val="24"/>
        </w:rPr>
        <w:t>Contract-Breach of construction contract-Public Policy.</w:t>
      </w:r>
    </w:p>
    <w:p w14:paraId="3D5F3F6A" w14:textId="7096873B" w:rsidR="00BD7588" w:rsidRPr="00BD7588" w:rsidRDefault="00AE4FDF" w:rsidP="00AE4FDF">
      <w:pPr>
        <w:tabs>
          <w:tab w:val="left" w:pos="1800"/>
        </w:tabs>
        <w:spacing w:after="0" w:line="240" w:lineRule="auto"/>
        <w:ind w:left="1890"/>
        <w:jc w:val="both"/>
        <w:rPr>
          <w:rFonts w:ascii="Times New Roman" w:hAnsi="Times New Roman" w:cs="Times New Roman"/>
          <w:sz w:val="24"/>
          <w:szCs w:val="24"/>
        </w:rPr>
      </w:pPr>
      <w:r w:rsidRPr="00AE4FDF">
        <w:rPr>
          <w:rFonts w:ascii="Times New Roman" w:hAnsi="Times New Roman" w:cs="Times New Roman"/>
          <w:sz w:val="24"/>
          <w:szCs w:val="24"/>
        </w:rPr>
        <w:t>Where a contract is not ex facie illegal and one party’s conduct</w:t>
      </w:r>
      <w:r>
        <w:rPr>
          <w:rFonts w:ascii="Times New Roman" w:hAnsi="Times New Roman" w:cs="Times New Roman"/>
          <w:sz w:val="24"/>
          <w:szCs w:val="24"/>
        </w:rPr>
        <w:t xml:space="preserve"> </w:t>
      </w:r>
      <w:r w:rsidRPr="00AE4FDF">
        <w:rPr>
          <w:rFonts w:ascii="Times New Roman" w:hAnsi="Times New Roman" w:cs="Times New Roman"/>
          <w:sz w:val="24"/>
          <w:szCs w:val="24"/>
        </w:rPr>
        <w:t>violates public policy, the innocent party can claim under the</w:t>
      </w:r>
      <w:r>
        <w:rPr>
          <w:rFonts w:ascii="Times New Roman" w:hAnsi="Times New Roman" w:cs="Times New Roman"/>
          <w:sz w:val="24"/>
          <w:szCs w:val="24"/>
        </w:rPr>
        <w:t xml:space="preserve"> </w:t>
      </w:r>
      <w:r w:rsidRPr="00AE4FDF">
        <w:rPr>
          <w:rFonts w:ascii="Times New Roman" w:hAnsi="Times New Roman" w:cs="Times New Roman"/>
          <w:sz w:val="24"/>
          <w:szCs w:val="24"/>
        </w:rPr>
        <w:t>contract</w:t>
      </w:r>
      <w:r w:rsidRPr="00945AFD">
        <w:rPr>
          <w:rFonts w:ascii="Lucida Bright" w:hAnsi="Lucida Bright" w:cs="Times New Roman"/>
          <w:b/>
          <w:sz w:val="28"/>
          <w:szCs w:val="28"/>
        </w:rPr>
        <w:t xml:space="preserve">        </w:t>
      </w:r>
    </w:p>
    <w:p w14:paraId="1A9C66B6" w14:textId="603204F0" w:rsidR="00344425" w:rsidRPr="005B12AA" w:rsidRDefault="00344425" w:rsidP="008065D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766E8">
        <w:rPr>
          <w:rFonts w:ascii="Times New Roman" w:hAnsi="Times New Roman" w:cs="Times New Roman"/>
          <w:sz w:val="24"/>
          <w:szCs w:val="24"/>
        </w:rPr>
        <w:t>5</w:t>
      </w:r>
      <w:r w:rsidR="00861B94">
        <w:rPr>
          <w:rFonts w:ascii="Times New Roman" w:hAnsi="Times New Roman" w:cs="Times New Roman"/>
          <w:sz w:val="24"/>
          <w:szCs w:val="24"/>
        </w:rPr>
        <w:t xml:space="preserve"> August </w:t>
      </w:r>
      <w:r w:rsidR="009F73C2">
        <w:rPr>
          <w:rFonts w:ascii="Times New Roman" w:hAnsi="Times New Roman" w:cs="Times New Roman"/>
          <w:sz w:val="24"/>
          <w:szCs w:val="24"/>
        </w:rPr>
        <w:t>2021</w:t>
      </w:r>
    </w:p>
    <w:p w14:paraId="00356EF9" w14:textId="30B50869"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6936D5">
        <w:rPr>
          <w:rFonts w:ascii="Times New Roman" w:hAnsi="Times New Roman" w:cs="Times New Roman"/>
          <w:b/>
          <w:sz w:val="24"/>
          <w:szCs w:val="24"/>
        </w:rPr>
        <w:tab/>
      </w:r>
      <w:r w:rsidR="00174C46">
        <w:rPr>
          <w:rFonts w:ascii="Times New Roman" w:hAnsi="Times New Roman" w:cs="Times New Roman"/>
          <w:sz w:val="24"/>
          <w:szCs w:val="24"/>
        </w:rPr>
        <w:t xml:space="preserve">7 September </w:t>
      </w:r>
      <w:r w:rsidR="000A0FCF">
        <w:rPr>
          <w:rFonts w:ascii="Times New Roman" w:hAnsi="Times New Roman" w:cs="Times New Roman"/>
          <w:sz w:val="24"/>
          <w:szCs w:val="24"/>
        </w:rPr>
        <w:t>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0655E1BB"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9D96C45" w14:textId="63CF984A" w:rsidR="006F5ABA" w:rsidRDefault="0075634D" w:rsidP="0075634D">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The appeal </w:t>
      </w:r>
      <w:proofErr w:type="gramStart"/>
      <w:r>
        <w:rPr>
          <w:rFonts w:ascii="Times New Roman" w:hAnsi="Times New Roman" w:cs="Times New Roman"/>
          <w:sz w:val="24"/>
          <w:szCs w:val="24"/>
        </w:rPr>
        <w:t xml:space="preserve">is </w:t>
      </w:r>
      <w:r w:rsidR="000A5E8A">
        <w:rPr>
          <w:rFonts w:ascii="Times New Roman" w:hAnsi="Times New Roman" w:cs="Times New Roman"/>
          <w:sz w:val="24"/>
          <w:szCs w:val="24"/>
        </w:rPr>
        <w:t>dismissed</w:t>
      </w:r>
      <w:proofErr w:type="gramEnd"/>
      <w:r w:rsidR="00C40F27">
        <w:rPr>
          <w:rFonts w:ascii="Times New Roman" w:hAnsi="Times New Roman" w:cs="Times New Roman"/>
          <w:sz w:val="24"/>
          <w:szCs w:val="24"/>
        </w:rPr>
        <w:t xml:space="preserve"> with costs</w:t>
      </w:r>
      <w:r w:rsidR="008065D6">
        <w:rPr>
          <w:rFonts w:ascii="Times New Roman" w:hAnsi="Times New Roman" w:cs="Times New Roman"/>
          <w:sz w:val="24"/>
          <w:szCs w:val="24"/>
        </w:rPr>
        <w:t xml:space="preserve"> to the respondent</w:t>
      </w:r>
      <w:r w:rsidR="005766E8">
        <w:rPr>
          <w:rFonts w:ascii="Times New Roman" w:hAnsi="Times New Roman" w:cs="Times New Roman"/>
          <w:sz w:val="24"/>
          <w:szCs w:val="24"/>
        </w:rPr>
        <w:t>.</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6123623A" w:rsidR="003F751A" w:rsidRDefault="00C45C2C"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LILLIAN </w:t>
      </w:r>
      <w:r w:rsidR="00C40F27" w:rsidRPr="00C40F27">
        <w:rPr>
          <w:rFonts w:ascii="Times New Roman" w:hAnsi="Times New Roman" w:cs="Times New Roman"/>
          <w:b/>
          <w:sz w:val="24"/>
          <w:szCs w:val="24"/>
        </w:rPr>
        <w:t>TIBATEMWA-EKIRIKUBINZA</w:t>
      </w:r>
      <w:r w:rsidR="009400F3">
        <w:rPr>
          <w:rFonts w:ascii="Times New Roman" w:hAnsi="Times New Roman" w:cs="Times New Roman"/>
          <w:b/>
          <w:sz w:val="24"/>
          <w:szCs w:val="24"/>
        </w:rPr>
        <w:t>,</w:t>
      </w:r>
      <w:r w:rsidR="00C40F27" w:rsidRPr="00C40F27">
        <w:rPr>
          <w:rFonts w:ascii="Times New Roman" w:hAnsi="Times New Roman" w:cs="Times New Roman"/>
          <w:b/>
          <w:sz w:val="24"/>
          <w:szCs w:val="24"/>
        </w:rPr>
        <w:t xml:space="preserve"> JA</w:t>
      </w:r>
    </w:p>
    <w:p w14:paraId="257C2FA0" w14:textId="029971E5" w:rsidR="005766E8" w:rsidRDefault="005766E8" w:rsidP="00C40F27">
      <w:pPr>
        <w:spacing w:line="360" w:lineRule="auto"/>
        <w:jc w:val="both"/>
        <w:rPr>
          <w:rFonts w:ascii="Times New Roman" w:hAnsi="Times New Roman" w:cs="Times New Roman"/>
          <w:b/>
          <w:sz w:val="24"/>
          <w:szCs w:val="24"/>
        </w:rPr>
      </w:pPr>
    </w:p>
    <w:p w14:paraId="53B31197" w14:textId="77777777" w:rsidR="005766E8" w:rsidRDefault="005766E8" w:rsidP="00C40F27">
      <w:pPr>
        <w:spacing w:line="360" w:lineRule="auto"/>
        <w:jc w:val="both"/>
        <w:rPr>
          <w:rFonts w:ascii="Times New Roman" w:hAnsi="Times New Roman" w:cs="Times New Roman"/>
          <w:b/>
          <w:sz w:val="24"/>
          <w:szCs w:val="24"/>
        </w:rPr>
      </w:pPr>
    </w:p>
    <w:p w14:paraId="03756995" w14:textId="77777777" w:rsidR="005766E8" w:rsidRPr="005766E8" w:rsidRDefault="005766E8" w:rsidP="005766E8">
      <w:pPr>
        <w:spacing w:line="360" w:lineRule="auto"/>
        <w:jc w:val="both"/>
        <w:outlineLvl w:val="0"/>
        <w:rPr>
          <w:rFonts w:ascii="Times New Roman" w:hAnsi="Times New Roman" w:cs="Times New Roman"/>
          <w:b/>
          <w:sz w:val="24"/>
          <w:szCs w:val="24"/>
          <w:u w:val="single"/>
          <w:lang w:val="en-US"/>
        </w:rPr>
      </w:pPr>
      <w:r w:rsidRPr="005766E8">
        <w:rPr>
          <w:rFonts w:ascii="Times New Roman" w:hAnsi="Times New Roman" w:cs="Times New Roman"/>
          <w:b/>
          <w:sz w:val="24"/>
          <w:szCs w:val="24"/>
          <w:u w:val="single"/>
          <w:lang w:val="en-US"/>
        </w:rPr>
        <w:lastRenderedPageBreak/>
        <w:t>The Facts</w:t>
      </w:r>
    </w:p>
    <w:p w14:paraId="4A60354C" w14:textId="43850965"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The Respondent (</w:t>
      </w:r>
      <w:r w:rsidRPr="005766E8">
        <w:rPr>
          <w:rFonts w:ascii="Times New Roman" w:hAnsi="Times New Roman" w:cs="Times New Roman"/>
          <w:b/>
          <w:sz w:val="24"/>
          <w:szCs w:val="24"/>
          <w:lang w:val="en-US"/>
        </w:rPr>
        <w:t>F.B. Choppy (Pty) Ltd</w:t>
      </w:r>
      <w:r w:rsidRPr="005766E8">
        <w:rPr>
          <w:rFonts w:ascii="Times New Roman" w:hAnsi="Times New Roman" w:cs="Times New Roman"/>
          <w:sz w:val="24"/>
          <w:szCs w:val="24"/>
          <w:lang w:val="en-US"/>
        </w:rPr>
        <w:t xml:space="preserve">) entered into a building Contract with 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w:t>
      </w:r>
      <w:r w:rsidRPr="005766E8">
        <w:rPr>
          <w:rFonts w:ascii="Times New Roman" w:hAnsi="Times New Roman" w:cs="Times New Roman"/>
          <w:b/>
          <w:sz w:val="24"/>
          <w:szCs w:val="24"/>
          <w:lang w:val="en-US"/>
        </w:rPr>
        <w:t>N.S.J. Construction Pty Ltd)</w:t>
      </w:r>
      <w:r w:rsidRPr="005766E8">
        <w:rPr>
          <w:rFonts w:ascii="Times New Roman" w:hAnsi="Times New Roman" w:cs="Times New Roman"/>
          <w:sz w:val="24"/>
          <w:szCs w:val="24"/>
          <w:lang w:val="en-US"/>
        </w:rPr>
        <w:t xml:space="preserve"> for the construction of self-catering Chalets on property located at La </w:t>
      </w:r>
      <w:proofErr w:type="spellStart"/>
      <w:r w:rsidRPr="005766E8">
        <w:rPr>
          <w:rFonts w:ascii="Times New Roman" w:hAnsi="Times New Roman" w:cs="Times New Roman"/>
          <w:sz w:val="24"/>
          <w:szCs w:val="24"/>
          <w:lang w:val="en-US"/>
        </w:rPr>
        <w:t>Digue</w:t>
      </w:r>
      <w:proofErr w:type="spellEnd"/>
      <w:r w:rsidRPr="005766E8">
        <w:rPr>
          <w:rFonts w:ascii="Times New Roman" w:hAnsi="Times New Roman" w:cs="Times New Roman"/>
          <w:sz w:val="24"/>
          <w:szCs w:val="24"/>
          <w:lang w:val="en-US"/>
        </w:rPr>
        <w:t xml:space="preserve">. The Respondent in its pleadings averred that the </w:t>
      </w:r>
      <w:proofErr w:type="gramStart"/>
      <w:r w:rsidRPr="005766E8">
        <w:rPr>
          <w:rFonts w:ascii="Times New Roman" w:hAnsi="Times New Roman" w:cs="Times New Roman"/>
          <w:sz w:val="24"/>
          <w:szCs w:val="24"/>
          <w:lang w:val="en-US"/>
        </w:rPr>
        <w:t>2</w:t>
      </w:r>
      <w:r w:rsidRPr="005766E8">
        <w:rPr>
          <w:rFonts w:ascii="Times New Roman" w:hAnsi="Times New Roman" w:cs="Times New Roman"/>
          <w:sz w:val="24"/>
          <w:szCs w:val="24"/>
          <w:vertAlign w:val="superscript"/>
          <w:lang w:val="en-US"/>
        </w:rPr>
        <w:t>nd</w:t>
      </w:r>
      <w:proofErr w:type="gramEnd"/>
      <w:r w:rsidRPr="005766E8">
        <w:rPr>
          <w:rFonts w:ascii="Times New Roman" w:hAnsi="Times New Roman" w:cs="Times New Roman"/>
          <w:sz w:val="24"/>
          <w:szCs w:val="24"/>
          <w:lang w:val="en-US"/>
        </w:rPr>
        <w:t xml:space="preserve"> Appellant (</w:t>
      </w:r>
      <w:proofErr w:type="spellStart"/>
      <w:r w:rsidRPr="005766E8">
        <w:rPr>
          <w:rFonts w:ascii="Times New Roman" w:hAnsi="Times New Roman" w:cs="Times New Roman"/>
          <w:b/>
          <w:sz w:val="24"/>
          <w:szCs w:val="24"/>
          <w:lang w:val="en-US"/>
        </w:rPr>
        <w:t>Gregoire</w:t>
      </w:r>
      <w:proofErr w:type="spellEnd"/>
      <w:r w:rsidRPr="005766E8">
        <w:rPr>
          <w:rFonts w:ascii="Times New Roman" w:hAnsi="Times New Roman" w:cs="Times New Roman"/>
          <w:b/>
          <w:sz w:val="24"/>
          <w:szCs w:val="24"/>
          <w:lang w:val="en-US"/>
        </w:rPr>
        <w:t xml:space="preserve"> Payet</w:t>
      </w:r>
      <w:r w:rsidRPr="005766E8">
        <w:rPr>
          <w:rFonts w:ascii="Times New Roman" w:hAnsi="Times New Roman" w:cs="Times New Roman"/>
          <w:sz w:val="24"/>
          <w:szCs w:val="24"/>
          <w:lang w:val="en-US"/>
        </w:rPr>
        <w:t>), a director of the 1</w:t>
      </w:r>
      <w:r w:rsidRPr="005766E8">
        <w:rPr>
          <w:rFonts w:ascii="Times New Roman" w:hAnsi="Times New Roman" w:cs="Times New Roman"/>
          <w:sz w:val="24"/>
          <w:szCs w:val="24"/>
          <w:vertAlign w:val="superscript"/>
          <w:lang w:val="en-US"/>
        </w:rPr>
        <w:t>st</w:t>
      </w:r>
      <w:r w:rsidRPr="005766E8">
        <w:rPr>
          <w:rFonts w:ascii="Times New Roman" w:hAnsi="Times New Roman" w:cs="Times New Roman"/>
          <w:sz w:val="24"/>
          <w:szCs w:val="24"/>
          <w:lang w:val="en-US"/>
        </w:rPr>
        <w:t xml:space="preserve"> Appellant was also a personal guarantor for the 1</w:t>
      </w:r>
      <w:r w:rsidRPr="005766E8">
        <w:rPr>
          <w:rFonts w:ascii="Times New Roman" w:hAnsi="Times New Roman" w:cs="Times New Roman"/>
          <w:sz w:val="24"/>
          <w:szCs w:val="24"/>
          <w:vertAlign w:val="superscript"/>
          <w:lang w:val="en-US"/>
        </w:rPr>
        <w:t>st</w:t>
      </w:r>
      <w:r w:rsidRPr="005766E8">
        <w:rPr>
          <w:rFonts w:ascii="Times New Roman" w:hAnsi="Times New Roman" w:cs="Times New Roman"/>
          <w:sz w:val="24"/>
          <w:szCs w:val="24"/>
          <w:lang w:val="en-US"/>
        </w:rPr>
        <w:t xml:space="preserve"> Appellant’s obligations under the building contract dated 11/04/2008.</w:t>
      </w:r>
    </w:p>
    <w:p w14:paraId="61C63850" w14:textId="77777777" w:rsidR="005766E8" w:rsidRPr="005766E8" w:rsidRDefault="005766E8" w:rsidP="005766E8">
      <w:pPr>
        <w:pStyle w:val="ListParagraph"/>
        <w:spacing w:line="360" w:lineRule="auto"/>
        <w:jc w:val="both"/>
        <w:rPr>
          <w:rFonts w:ascii="Times New Roman" w:hAnsi="Times New Roman" w:cs="Times New Roman"/>
          <w:sz w:val="24"/>
          <w:szCs w:val="24"/>
          <w:lang w:val="en-US"/>
        </w:rPr>
      </w:pPr>
    </w:p>
    <w:p w14:paraId="67E978FA" w14:textId="7EE6967B"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 parties agreed on a contract price and a completion date. The contract included other </w:t>
      </w:r>
      <w:proofErr w:type="gramStart"/>
      <w:r w:rsidRPr="005766E8">
        <w:rPr>
          <w:rFonts w:ascii="Times New Roman" w:hAnsi="Times New Roman" w:cs="Times New Roman"/>
          <w:sz w:val="24"/>
          <w:szCs w:val="24"/>
          <w:lang w:val="en-US"/>
        </w:rPr>
        <w:t>terms which</w:t>
      </w:r>
      <w:proofErr w:type="gramEnd"/>
      <w:r w:rsidRPr="005766E8">
        <w:rPr>
          <w:rFonts w:ascii="Times New Roman" w:hAnsi="Times New Roman" w:cs="Times New Roman"/>
          <w:sz w:val="24"/>
          <w:szCs w:val="24"/>
          <w:lang w:val="en-US"/>
        </w:rPr>
        <w:t xml:space="preserve"> for purposes of this appeal we need not go into.</w:t>
      </w:r>
    </w:p>
    <w:p w14:paraId="3FB0D83B" w14:textId="77777777" w:rsidR="005766E8" w:rsidRPr="005766E8" w:rsidRDefault="005766E8" w:rsidP="005766E8">
      <w:pPr>
        <w:pStyle w:val="ListParagraph"/>
        <w:rPr>
          <w:rFonts w:ascii="Times New Roman" w:hAnsi="Times New Roman" w:cs="Times New Roman"/>
          <w:sz w:val="24"/>
          <w:szCs w:val="24"/>
          <w:lang w:val="en-US"/>
        </w:rPr>
      </w:pPr>
    </w:p>
    <w:p w14:paraId="02D2FCE5" w14:textId="00FD5727"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 appellant commenced with the work but disputes arose along the way. Subsequently, the respondent through a letter dated 14/01/2010, terminated the Contract. The Respondent also filed a suit - CS No. 27 of 2010 in the Supreme Court against the Appellants for breach of contract. The respondent alleged that 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had failed to complete the work within the stipulated period and for alleged defects in the work. The </w:t>
      </w:r>
      <w:proofErr w:type="gramStart"/>
      <w:r w:rsidRPr="005766E8">
        <w:rPr>
          <w:rFonts w:ascii="Times New Roman" w:hAnsi="Times New Roman" w:cs="Times New Roman"/>
          <w:sz w:val="24"/>
          <w:szCs w:val="24"/>
          <w:lang w:val="en-US"/>
        </w:rPr>
        <w:t>2</w:t>
      </w:r>
      <w:r w:rsidRPr="005766E8">
        <w:rPr>
          <w:rFonts w:ascii="Times New Roman" w:hAnsi="Times New Roman" w:cs="Times New Roman"/>
          <w:sz w:val="24"/>
          <w:szCs w:val="24"/>
          <w:vertAlign w:val="superscript"/>
          <w:lang w:val="en-US"/>
        </w:rPr>
        <w:t>nd</w:t>
      </w:r>
      <w:proofErr w:type="gramEnd"/>
      <w:r w:rsidRPr="005766E8">
        <w:rPr>
          <w:rFonts w:ascii="Times New Roman" w:hAnsi="Times New Roman" w:cs="Times New Roman"/>
          <w:sz w:val="24"/>
          <w:szCs w:val="24"/>
          <w:lang w:val="en-US"/>
        </w:rPr>
        <w:t xml:space="preserve"> Appellant was sued as a guarantor. The Respondent prayed for damages in the sum of SR2, 376,013.00 and €81,669.24. </w:t>
      </w:r>
    </w:p>
    <w:p w14:paraId="71339DCE" w14:textId="77777777" w:rsidR="005766E8" w:rsidRPr="005766E8" w:rsidRDefault="005766E8" w:rsidP="005766E8">
      <w:pPr>
        <w:pStyle w:val="ListParagraph"/>
        <w:rPr>
          <w:rFonts w:ascii="Times New Roman" w:hAnsi="Times New Roman" w:cs="Times New Roman"/>
          <w:sz w:val="24"/>
          <w:szCs w:val="24"/>
          <w:lang w:val="en-US"/>
        </w:rPr>
      </w:pPr>
    </w:p>
    <w:p w14:paraId="733C8A25" w14:textId="669907ED"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filed a counter-claim - CS No. 29 of 2010 against the Respondent alleging that the cause for the delay was due to the respondent’s late payment for the works and that the full amount for 99% of the completed works was unpaid. In this regard, 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stated that there was an outstanding balance of SR 3, 137,748.66 with interest at a commercial rate of 10 %. 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furthermore prayed for an order of inhibition to prevent the respondent from dealing with the suit property. </w:t>
      </w:r>
    </w:p>
    <w:p w14:paraId="46D10C0D" w14:textId="77777777" w:rsidR="005766E8" w:rsidRPr="005766E8" w:rsidRDefault="005766E8" w:rsidP="005766E8">
      <w:pPr>
        <w:pStyle w:val="ListParagraph"/>
        <w:rPr>
          <w:rFonts w:ascii="Times New Roman" w:hAnsi="Times New Roman" w:cs="Times New Roman"/>
          <w:sz w:val="24"/>
          <w:szCs w:val="24"/>
          <w:lang w:val="en-US"/>
        </w:rPr>
      </w:pPr>
    </w:p>
    <w:p w14:paraId="748CAD0B" w14:textId="2AF7075F"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In its </w:t>
      </w:r>
      <w:proofErr w:type="spellStart"/>
      <w:r w:rsidRPr="005766E8">
        <w:rPr>
          <w:rFonts w:ascii="Times New Roman" w:hAnsi="Times New Roman" w:cs="Times New Roman"/>
          <w:sz w:val="24"/>
          <w:szCs w:val="24"/>
          <w:lang w:val="en-US"/>
        </w:rPr>
        <w:t>defence</w:t>
      </w:r>
      <w:proofErr w:type="spellEnd"/>
      <w:r w:rsidRPr="005766E8">
        <w:rPr>
          <w:rFonts w:ascii="Times New Roman" w:hAnsi="Times New Roman" w:cs="Times New Roman"/>
          <w:sz w:val="24"/>
          <w:szCs w:val="24"/>
          <w:lang w:val="en-US"/>
        </w:rPr>
        <w:t xml:space="preserve"> to the counterclaim the respondent averred </w:t>
      </w:r>
      <w:proofErr w:type="spellStart"/>
      <w:r w:rsidRPr="005766E8">
        <w:rPr>
          <w:rFonts w:ascii="Times New Roman" w:hAnsi="Times New Roman" w:cs="Times New Roman"/>
          <w:i/>
          <w:sz w:val="24"/>
          <w:szCs w:val="24"/>
          <w:lang w:val="en-US"/>
        </w:rPr>
        <w:t>interalia</w:t>
      </w:r>
      <w:proofErr w:type="spellEnd"/>
      <w:r w:rsidRPr="005766E8">
        <w:rPr>
          <w:rFonts w:ascii="Times New Roman" w:hAnsi="Times New Roman" w:cs="Times New Roman"/>
          <w:sz w:val="24"/>
          <w:szCs w:val="24"/>
          <w:lang w:val="en-US"/>
        </w:rPr>
        <w:t xml:space="preserve"> that at the time of tendering to carry out the work, NSJ (the appellant) had failed to disclose that it lacked the requisite </w:t>
      </w:r>
      <w:proofErr w:type="spellStart"/>
      <w:r w:rsidRPr="005766E8">
        <w:rPr>
          <w:rFonts w:ascii="Times New Roman" w:hAnsi="Times New Roman" w:cs="Times New Roman"/>
          <w:sz w:val="24"/>
          <w:szCs w:val="24"/>
          <w:lang w:val="en-US"/>
        </w:rPr>
        <w:t>licence</w:t>
      </w:r>
      <w:proofErr w:type="spellEnd"/>
      <w:r w:rsidRPr="005766E8">
        <w:rPr>
          <w:rFonts w:ascii="Times New Roman" w:hAnsi="Times New Roman" w:cs="Times New Roman"/>
          <w:sz w:val="24"/>
          <w:szCs w:val="24"/>
          <w:lang w:val="en-US"/>
        </w:rPr>
        <w:t xml:space="preserve"> to carry out the work. At the </w:t>
      </w:r>
      <w:proofErr w:type="gramStart"/>
      <w:r w:rsidRPr="005766E8">
        <w:rPr>
          <w:rFonts w:ascii="Times New Roman" w:hAnsi="Times New Roman" w:cs="Times New Roman"/>
          <w:sz w:val="24"/>
          <w:szCs w:val="24"/>
          <w:lang w:val="en-US"/>
        </w:rPr>
        <w:t>trial</w:t>
      </w:r>
      <w:proofErr w:type="gramEnd"/>
      <w:r w:rsidRPr="005766E8">
        <w:rPr>
          <w:rFonts w:ascii="Times New Roman" w:hAnsi="Times New Roman" w:cs="Times New Roman"/>
          <w:sz w:val="24"/>
          <w:szCs w:val="24"/>
          <w:lang w:val="en-US"/>
        </w:rPr>
        <w:t xml:space="preserve"> an officer from the Seychelles Licensing Authority testified that the </w:t>
      </w:r>
      <w:proofErr w:type="spellStart"/>
      <w:r w:rsidRPr="005766E8">
        <w:rPr>
          <w:rFonts w:ascii="Times New Roman" w:hAnsi="Times New Roman" w:cs="Times New Roman"/>
          <w:sz w:val="24"/>
          <w:szCs w:val="24"/>
          <w:lang w:val="en-US"/>
        </w:rPr>
        <w:t>licence</w:t>
      </w:r>
      <w:proofErr w:type="spellEnd"/>
      <w:r w:rsidRPr="005766E8">
        <w:rPr>
          <w:rFonts w:ascii="Times New Roman" w:hAnsi="Times New Roman" w:cs="Times New Roman"/>
          <w:sz w:val="24"/>
          <w:szCs w:val="24"/>
          <w:lang w:val="en-US"/>
        </w:rPr>
        <w:t xml:space="preserve"> held by NSJ was for building maintenance and did not authorize the company to engage in construction of buildings.</w:t>
      </w:r>
    </w:p>
    <w:p w14:paraId="74545211" w14:textId="77777777" w:rsidR="005766E8" w:rsidRPr="005766E8" w:rsidRDefault="005766E8" w:rsidP="005766E8">
      <w:pPr>
        <w:pStyle w:val="ListParagraph"/>
        <w:rPr>
          <w:rFonts w:ascii="Times New Roman" w:hAnsi="Times New Roman" w:cs="Times New Roman"/>
          <w:sz w:val="24"/>
          <w:szCs w:val="24"/>
          <w:lang w:val="en-US"/>
        </w:rPr>
      </w:pPr>
    </w:p>
    <w:p w14:paraId="53D77CA6" w14:textId="77777777"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lastRenderedPageBreak/>
        <w:t>The Supreme Court Judge, Vidot, J, made the following findings:</w:t>
      </w:r>
    </w:p>
    <w:p w14:paraId="0CD5DDAD" w14:textId="77777777" w:rsidR="005766E8" w:rsidRPr="005766E8" w:rsidRDefault="005766E8" w:rsidP="005766E8">
      <w:pPr>
        <w:pStyle w:val="ListParagraph"/>
        <w:numPr>
          <w:ilvl w:val="0"/>
          <w:numId w:val="40"/>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There were delays in the works occasioned by both parties;</w:t>
      </w:r>
    </w:p>
    <w:p w14:paraId="03A5E282" w14:textId="77777777" w:rsidR="005766E8" w:rsidRPr="005766E8" w:rsidRDefault="005766E8" w:rsidP="005766E8">
      <w:pPr>
        <w:pStyle w:val="ListParagraph"/>
        <w:numPr>
          <w:ilvl w:val="0"/>
          <w:numId w:val="40"/>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For at least an entire year, June 2008 to July 2009, the Appellant was not in possession of a valid license and that Court could not condone such disregard for the law and thus in operating without a license, the 1</w:t>
      </w:r>
      <w:r w:rsidRPr="005766E8">
        <w:rPr>
          <w:rFonts w:ascii="Times New Roman" w:hAnsi="Times New Roman" w:cs="Times New Roman"/>
          <w:sz w:val="24"/>
          <w:szCs w:val="24"/>
          <w:vertAlign w:val="superscript"/>
          <w:lang w:val="en-US"/>
        </w:rPr>
        <w:t>st</w:t>
      </w:r>
      <w:r w:rsidRPr="005766E8">
        <w:rPr>
          <w:rFonts w:ascii="Times New Roman" w:hAnsi="Times New Roman" w:cs="Times New Roman"/>
          <w:sz w:val="24"/>
          <w:szCs w:val="24"/>
          <w:lang w:val="en-US"/>
        </w:rPr>
        <w:t xml:space="preserve"> Appellant was acting against public policy;</w:t>
      </w:r>
    </w:p>
    <w:p w14:paraId="0DEF5299" w14:textId="77777777" w:rsidR="005766E8" w:rsidRPr="005766E8" w:rsidRDefault="005766E8" w:rsidP="005766E8">
      <w:pPr>
        <w:pStyle w:val="ListParagraph"/>
        <w:numPr>
          <w:ilvl w:val="0"/>
          <w:numId w:val="40"/>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 plaint in CS No. 29 of 2010 despite rehearsing and pleading aspects of the Agreement between the parties fell afoul of section 71 of the SCCP because no cause of action was specifically pleaded therein. Relying on section 92 of the SCCP, the plaint </w:t>
      </w:r>
      <w:proofErr w:type="gramStart"/>
      <w:r w:rsidRPr="005766E8">
        <w:rPr>
          <w:rFonts w:ascii="Times New Roman" w:hAnsi="Times New Roman" w:cs="Times New Roman"/>
          <w:sz w:val="24"/>
          <w:szCs w:val="24"/>
          <w:lang w:val="en-US"/>
        </w:rPr>
        <w:t>was struck out</w:t>
      </w:r>
      <w:proofErr w:type="gramEnd"/>
      <w:r w:rsidRPr="005766E8">
        <w:rPr>
          <w:rFonts w:ascii="Times New Roman" w:hAnsi="Times New Roman" w:cs="Times New Roman"/>
          <w:sz w:val="24"/>
          <w:szCs w:val="24"/>
          <w:lang w:val="en-US"/>
        </w:rPr>
        <w:t>.</w:t>
      </w:r>
    </w:p>
    <w:p w14:paraId="314061FE" w14:textId="77777777" w:rsidR="005766E8" w:rsidRPr="005766E8" w:rsidRDefault="005766E8" w:rsidP="005766E8">
      <w:pPr>
        <w:pStyle w:val="ListParagraph"/>
        <w:numPr>
          <w:ilvl w:val="0"/>
          <w:numId w:val="40"/>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There was breach of the Agreement and that some of the breaches cannot be attributable to the </w:t>
      </w:r>
      <w:proofErr w:type="gramStart"/>
      <w:r w:rsidRPr="005766E8">
        <w:rPr>
          <w:rFonts w:ascii="Times New Roman" w:hAnsi="Times New Roman" w:cs="Times New Roman"/>
          <w:sz w:val="24"/>
          <w:szCs w:val="24"/>
          <w:lang w:val="en-US"/>
        </w:rPr>
        <w:t>1</w:t>
      </w:r>
      <w:r w:rsidRPr="005766E8">
        <w:rPr>
          <w:rFonts w:ascii="Times New Roman" w:hAnsi="Times New Roman" w:cs="Times New Roman"/>
          <w:sz w:val="24"/>
          <w:szCs w:val="24"/>
          <w:vertAlign w:val="superscript"/>
          <w:lang w:val="en-US"/>
        </w:rPr>
        <w:t>st</w:t>
      </w:r>
      <w:proofErr w:type="gramEnd"/>
      <w:r w:rsidRPr="005766E8">
        <w:rPr>
          <w:rFonts w:ascii="Times New Roman" w:hAnsi="Times New Roman" w:cs="Times New Roman"/>
          <w:sz w:val="24"/>
          <w:szCs w:val="24"/>
          <w:lang w:val="en-US"/>
        </w:rPr>
        <w:t xml:space="preserve"> Appellant only.</w:t>
      </w:r>
    </w:p>
    <w:p w14:paraId="0DFC1FC6" w14:textId="423F3FA2" w:rsidR="005766E8" w:rsidRDefault="005766E8" w:rsidP="005766E8">
      <w:pPr>
        <w:pStyle w:val="ListParagraph"/>
        <w:numPr>
          <w:ilvl w:val="0"/>
          <w:numId w:val="40"/>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Loss of business </w:t>
      </w:r>
      <w:proofErr w:type="gramStart"/>
      <w:r w:rsidRPr="005766E8">
        <w:rPr>
          <w:rFonts w:ascii="Times New Roman" w:hAnsi="Times New Roman" w:cs="Times New Roman"/>
          <w:sz w:val="24"/>
          <w:szCs w:val="24"/>
          <w:lang w:val="en-US"/>
        </w:rPr>
        <w:t>was occasioned</w:t>
      </w:r>
      <w:proofErr w:type="gramEnd"/>
      <w:r w:rsidRPr="005766E8">
        <w:rPr>
          <w:rFonts w:ascii="Times New Roman" w:hAnsi="Times New Roman" w:cs="Times New Roman"/>
          <w:sz w:val="24"/>
          <w:szCs w:val="24"/>
          <w:lang w:val="en-US"/>
        </w:rPr>
        <w:t xml:space="preserve"> to the Respondent.</w:t>
      </w:r>
    </w:p>
    <w:p w14:paraId="0F78F622" w14:textId="77777777" w:rsidR="005766E8" w:rsidRPr="005766E8" w:rsidRDefault="005766E8" w:rsidP="005766E8">
      <w:pPr>
        <w:pStyle w:val="ListParagraph"/>
        <w:spacing w:line="360" w:lineRule="auto"/>
        <w:ind w:left="1710"/>
        <w:jc w:val="both"/>
        <w:rPr>
          <w:rFonts w:ascii="Times New Roman" w:hAnsi="Times New Roman" w:cs="Times New Roman"/>
          <w:sz w:val="24"/>
          <w:szCs w:val="24"/>
          <w:lang w:val="en-US"/>
        </w:rPr>
      </w:pPr>
    </w:p>
    <w:p w14:paraId="025E225D" w14:textId="61BA51D6"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The trial Judge then entered judgment in favor of the Respondent. Based on a detailed analysis </w:t>
      </w:r>
      <w:proofErr w:type="gramStart"/>
      <w:r w:rsidRPr="005766E8">
        <w:rPr>
          <w:rFonts w:ascii="Times New Roman" w:hAnsi="Times New Roman" w:cs="Times New Roman"/>
          <w:sz w:val="24"/>
          <w:szCs w:val="24"/>
          <w:lang w:val="en-US"/>
        </w:rPr>
        <w:t>of the claims and evidence adduced by the parties, the court ordered the appellants jointly and severally to pay damages in the sum of SR682, 595.06</w:t>
      </w:r>
      <w:proofErr w:type="gramEnd"/>
      <w:r w:rsidRPr="005766E8">
        <w:rPr>
          <w:rFonts w:ascii="Times New Roman" w:hAnsi="Times New Roman" w:cs="Times New Roman"/>
          <w:sz w:val="24"/>
          <w:szCs w:val="24"/>
          <w:lang w:val="en-US"/>
        </w:rPr>
        <w:t xml:space="preserve">. The Judge however declined to award any interest and costs of the suit on the premise that the Respondent did not make any claim in respect of the same. </w:t>
      </w:r>
    </w:p>
    <w:p w14:paraId="43E26F0F" w14:textId="77777777" w:rsidR="005766E8" w:rsidRPr="005766E8" w:rsidRDefault="005766E8" w:rsidP="005766E8">
      <w:pPr>
        <w:pStyle w:val="ListParagraph"/>
        <w:spacing w:line="360" w:lineRule="auto"/>
        <w:jc w:val="both"/>
        <w:rPr>
          <w:rFonts w:ascii="Times New Roman" w:hAnsi="Times New Roman" w:cs="Times New Roman"/>
          <w:sz w:val="24"/>
          <w:szCs w:val="24"/>
          <w:lang w:val="en-US"/>
        </w:rPr>
      </w:pPr>
    </w:p>
    <w:p w14:paraId="7058F34B" w14:textId="5F331939"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The judge also</w:t>
      </w:r>
      <w:r w:rsidRPr="005766E8">
        <w:rPr>
          <w:rFonts w:ascii="Times New Roman" w:hAnsi="Times New Roman" w:cs="Times New Roman"/>
          <w:i/>
          <w:sz w:val="24"/>
          <w:szCs w:val="24"/>
          <w:u w:val="single"/>
        </w:rPr>
        <w:t xml:space="preserve"> </w:t>
      </w:r>
      <w:r w:rsidRPr="005766E8">
        <w:rPr>
          <w:rFonts w:ascii="Times New Roman" w:hAnsi="Times New Roman" w:cs="Times New Roman"/>
          <w:sz w:val="24"/>
          <w:szCs w:val="24"/>
        </w:rPr>
        <w:t>held that in operating without a licence NSJ was acting against public policy.</w:t>
      </w:r>
    </w:p>
    <w:p w14:paraId="526EA720" w14:textId="77777777" w:rsidR="005766E8" w:rsidRPr="005766E8" w:rsidRDefault="005766E8" w:rsidP="005766E8">
      <w:pPr>
        <w:pStyle w:val="ListParagraph"/>
        <w:rPr>
          <w:rFonts w:ascii="Times New Roman" w:hAnsi="Times New Roman" w:cs="Times New Roman"/>
          <w:sz w:val="24"/>
          <w:szCs w:val="24"/>
          <w:lang w:val="en-US"/>
        </w:rPr>
      </w:pPr>
    </w:p>
    <w:p w14:paraId="1F7A7637" w14:textId="77777777"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bCs/>
          <w:sz w:val="24"/>
          <w:szCs w:val="24"/>
          <w:lang w:val="en-US"/>
        </w:rPr>
      </w:pPr>
      <w:r w:rsidRPr="005766E8">
        <w:rPr>
          <w:rFonts w:ascii="Times New Roman" w:hAnsi="Times New Roman" w:cs="Times New Roman"/>
          <w:bCs/>
          <w:sz w:val="24"/>
          <w:szCs w:val="24"/>
          <w:lang w:val="en-US"/>
        </w:rPr>
        <w:t>Dissatisfied with the judgment of the Supreme Court, the appellants appealed to this Court on the following grounds:</w:t>
      </w:r>
    </w:p>
    <w:p w14:paraId="3815F106" w14:textId="0ABDA516" w:rsidR="005766E8" w:rsidRPr="005766E8" w:rsidRDefault="005766E8" w:rsidP="005766E8">
      <w:pPr>
        <w:pStyle w:val="ListParagraph"/>
        <w:numPr>
          <w:ilvl w:val="0"/>
          <w:numId w:val="41"/>
        </w:numPr>
        <w:tabs>
          <w:tab w:val="left" w:pos="270"/>
        </w:tabs>
        <w:spacing w:before="200" w:line="360" w:lineRule="auto"/>
        <w:jc w:val="both"/>
        <w:rPr>
          <w:rFonts w:ascii="Times New Roman" w:hAnsi="Times New Roman" w:cs="Times New Roman"/>
          <w:b/>
          <w:i/>
          <w:iCs/>
          <w:sz w:val="24"/>
          <w:szCs w:val="24"/>
          <w:lang w:val="en-US"/>
        </w:rPr>
      </w:pPr>
      <w:r w:rsidRPr="005766E8">
        <w:rPr>
          <w:rFonts w:ascii="Times New Roman" w:hAnsi="Times New Roman" w:cs="Times New Roman"/>
          <w:b/>
          <w:iCs/>
          <w:sz w:val="24"/>
          <w:szCs w:val="24"/>
          <w:lang w:val="en-US"/>
        </w:rPr>
        <w:t xml:space="preserve">The presiding Judge erred when he delivered judgment in favor of the Respondent after having concluded that the Contract is against public policy, he could not rely on it to make an award of damages for the Respondent. </w:t>
      </w:r>
    </w:p>
    <w:p w14:paraId="2872F112" w14:textId="77777777" w:rsidR="005766E8" w:rsidRPr="005766E8" w:rsidRDefault="005766E8" w:rsidP="005766E8">
      <w:pPr>
        <w:pStyle w:val="ListParagraph"/>
        <w:tabs>
          <w:tab w:val="left" w:pos="270"/>
        </w:tabs>
        <w:spacing w:before="200" w:line="360" w:lineRule="auto"/>
        <w:ind w:left="1080"/>
        <w:jc w:val="both"/>
        <w:rPr>
          <w:rFonts w:ascii="Times New Roman" w:hAnsi="Times New Roman" w:cs="Times New Roman"/>
          <w:b/>
          <w:i/>
          <w:iCs/>
          <w:sz w:val="10"/>
          <w:szCs w:val="10"/>
          <w:lang w:val="en-US"/>
        </w:rPr>
      </w:pPr>
    </w:p>
    <w:p w14:paraId="3CCC533D" w14:textId="4E07D977" w:rsidR="005766E8" w:rsidRPr="005766E8" w:rsidRDefault="005766E8" w:rsidP="005766E8">
      <w:pPr>
        <w:pStyle w:val="ListParagraph"/>
        <w:numPr>
          <w:ilvl w:val="0"/>
          <w:numId w:val="41"/>
        </w:numPr>
        <w:tabs>
          <w:tab w:val="left" w:pos="270"/>
        </w:tabs>
        <w:spacing w:before="200" w:line="360" w:lineRule="auto"/>
        <w:jc w:val="both"/>
        <w:rPr>
          <w:rFonts w:ascii="Times New Roman" w:hAnsi="Times New Roman" w:cs="Times New Roman"/>
          <w:b/>
          <w:i/>
          <w:iCs/>
          <w:sz w:val="24"/>
          <w:szCs w:val="24"/>
          <w:lang w:val="en-US"/>
        </w:rPr>
      </w:pPr>
      <w:r w:rsidRPr="005766E8">
        <w:rPr>
          <w:rFonts w:ascii="Times New Roman" w:hAnsi="Times New Roman" w:cs="Times New Roman"/>
          <w:b/>
          <w:iCs/>
          <w:sz w:val="24"/>
          <w:szCs w:val="24"/>
          <w:lang w:val="en-US"/>
        </w:rPr>
        <w:t xml:space="preserve">The presiding Judge erred when he concluded that the license was valid for the first year that the Contract existed and only lapsed when </w:t>
      </w:r>
      <w:proofErr w:type="gramStart"/>
      <w:r w:rsidRPr="005766E8">
        <w:rPr>
          <w:rFonts w:ascii="Times New Roman" w:hAnsi="Times New Roman" w:cs="Times New Roman"/>
          <w:b/>
          <w:iCs/>
          <w:sz w:val="24"/>
          <w:szCs w:val="24"/>
          <w:lang w:val="en-US"/>
        </w:rPr>
        <w:t>it was not renewed by the Appellants</w:t>
      </w:r>
      <w:proofErr w:type="gramEnd"/>
      <w:r w:rsidRPr="005766E8">
        <w:rPr>
          <w:rFonts w:ascii="Times New Roman" w:hAnsi="Times New Roman" w:cs="Times New Roman"/>
          <w:b/>
          <w:iCs/>
          <w:sz w:val="24"/>
          <w:szCs w:val="24"/>
          <w:lang w:val="en-US"/>
        </w:rPr>
        <w:t xml:space="preserve"> in the second year.</w:t>
      </w:r>
    </w:p>
    <w:p w14:paraId="6BB964B4" w14:textId="5ACCBC97" w:rsidR="005766E8" w:rsidRPr="005766E8" w:rsidRDefault="005766E8" w:rsidP="00AC5D89">
      <w:pPr>
        <w:pStyle w:val="ListParagraph"/>
        <w:numPr>
          <w:ilvl w:val="0"/>
          <w:numId w:val="41"/>
        </w:numPr>
        <w:tabs>
          <w:tab w:val="left" w:pos="270"/>
        </w:tabs>
        <w:spacing w:before="200" w:line="360" w:lineRule="auto"/>
        <w:jc w:val="both"/>
        <w:rPr>
          <w:rFonts w:ascii="Times New Roman" w:hAnsi="Times New Roman" w:cs="Times New Roman"/>
          <w:b/>
          <w:i/>
          <w:iCs/>
          <w:sz w:val="24"/>
          <w:szCs w:val="24"/>
          <w:lang w:val="en-US"/>
        </w:rPr>
      </w:pPr>
      <w:r w:rsidRPr="005766E8">
        <w:rPr>
          <w:rFonts w:ascii="Times New Roman" w:hAnsi="Times New Roman" w:cs="Times New Roman"/>
          <w:b/>
          <w:iCs/>
          <w:sz w:val="24"/>
          <w:szCs w:val="24"/>
          <w:lang w:val="en-US"/>
        </w:rPr>
        <w:lastRenderedPageBreak/>
        <w:t xml:space="preserve"> The presiding Judge erred when he made the award of damages in favor of the Respondent.</w:t>
      </w:r>
    </w:p>
    <w:p w14:paraId="7B6BD839" w14:textId="77777777" w:rsidR="005766E8" w:rsidRPr="005766E8" w:rsidRDefault="005766E8" w:rsidP="005766E8">
      <w:pPr>
        <w:pStyle w:val="ListParagraph"/>
        <w:tabs>
          <w:tab w:val="left" w:pos="270"/>
        </w:tabs>
        <w:spacing w:before="200" w:line="360" w:lineRule="auto"/>
        <w:ind w:left="1080"/>
        <w:jc w:val="both"/>
        <w:rPr>
          <w:rFonts w:ascii="Times New Roman" w:hAnsi="Times New Roman" w:cs="Times New Roman"/>
          <w:b/>
          <w:i/>
          <w:iCs/>
          <w:sz w:val="10"/>
          <w:szCs w:val="10"/>
          <w:lang w:val="en-US"/>
        </w:rPr>
      </w:pPr>
    </w:p>
    <w:p w14:paraId="37A90BBA" w14:textId="2F358C33" w:rsidR="005766E8" w:rsidRPr="005766E8" w:rsidRDefault="005766E8" w:rsidP="00AC5D89">
      <w:pPr>
        <w:pStyle w:val="ListParagraph"/>
        <w:numPr>
          <w:ilvl w:val="0"/>
          <w:numId w:val="41"/>
        </w:numPr>
        <w:tabs>
          <w:tab w:val="left" w:pos="270"/>
        </w:tabs>
        <w:spacing w:before="200" w:line="360" w:lineRule="auto"/>
        <w:jc w:val="both"/>
        <w:rPr>
          <w:rFonts w:ascii="Times New Roman" w:hAnsi="Times New Roman" w:cs="Times New Roman"/>
          <w:b/>
          <w:i/>
          <w:iCs/>
          <w:sz w:val="24"/>
          <w:szCs w:val="24"/>
          <w:lang w:val="en-US"/>
        </w:rPr>
      </w:pPr>
      <w:r w:rsidRPr="005766E8">
        <w:rPr>
          <w:rFonts w:ascii="Times New Roman" w:hAnsi="Times New Roman" w:cs="Times New Roman"/>
          <w:b/>
          <w:iCs/>
          <w:sz w:val="24"/>
          <w:szCs w:val="24"/>
          <w:lang w:val="en-US"/>
        </w:rPr>
        <w:t xml:space="preserve">The presiding Judge erred when he dismissed the </w:t>
      </w:r>
      <w:proofErr w:type="gramStart"/>
      <w:r w:rsidRPr="005766E8">
        <w:rPr>
          <w:rFonts w:ascii="Times New Roman" w:hAnsi="Times New Roman" w:cs="Times New Roman"/>
          <w:b/>
          <w:iCs/>
          <w:sz w:val="24"/>
          <w:szCs w:val="24"/>
          <w:lang w:val="en-US"/>
        </w:rPr>
        <w:t>1</w:t>
      </w:r>
      <w:r w:rsidRPr="005766E8">
        <w:rPr>
          <w:rFonts w:ascii="Times New Roman" w:hAnsi="Times New Roman" w:cs="Times New Roman"/>
          <w:b/>
          <w:iCs/>
          <w:sz w:val="24"/>
          <w:szCs w:val="24"/>
          <w:vertAlign w:val="superscript"/>
          <w:lang w:val="en-US"/>
        </w:rPr>
        <w:t>st</w:t>
      </w:r>
      <w:proofErr w:type="gramEnd"/>
      <w:r w:rsidRPr="005766E8">
        <w:rPr>
          <w:rFonts w:ascii="Times New Roman" w:hAnsi="Times New Roman" w:cs="Times New Roman"/>
          <w:b/>
          <w:iCs/>
          <w:sz w:val="24"/>
          <w:szCs w:val="24"/>
          <w:lang w:val="en-US"/>
        </w:rPr>
        <w:t xml:space="preserve"> Appellant’s plaint.</w:t>
      </w:r>
    </w:p>
    <w:p w14:paraId="796A01CC" w14:textId="77777777" w:rsidR="005766E8" w:rsidRPr="005766E8" w:rsidRDefault="005766E8" w:rsidP="005766E8">
      <w:pPr>
        <w:pStyle w:val="ListParagraph"/>
        <w:rPr>
          <w:rFonts w:ascii="Times New Roman" w:hAnsi="Times New Roman" w:cs="Times New Roman"/>
          <w:b/>
          <w:i/>
          <w:iCs/>
          <w:sz w:val="24"/>
          <w:szCs w:val="24"/>
          <w:lang w:val="en-US"/>
        </w:rPr>
      </w:pPr>
    </w:p>
    <w:p w14:paraId="37620668" w14:textId="447937E6" w:rsidR="005766E8" w:rsidRDefault="005766E8" w:rsidP="005766E8">
      <w:pPr>
        <w:pStyle w:val="ListParagraph"/>
        <w:spacing w:line="360" w:lineRule="auto"/>
        <w:ind w:left="0"/>
        <w:jc w:val="both"/>
        <w:outlineLvl w:val="0"/>
        <w:rPr>
          <w:rFonts w:ascii="Times New Roman" w:hAnsi="Times New Roman" w:cs="Times New Roman"/>
          <w:b/>
          <w:sz w:val="24"/>
          <w:szCs w:val="24"/>
          <w:u w:val="single"/>
          <w:lang w:val="en-US"/>
        </w:rPr>
      </w:pPr>
      <w:r w:rsidRPr="005766E8">
        <w:rPr>
          <w:rFonts w:ascii="Times New Roman" w:hAnsi="Times New Roman" w:cs="Times New Roman"/>
          <w:b/>
          <w:sz w:val="24"/>
          <w:szCs w:val="24"/>
          <w:u w:val="single"/>
          <w:lang w:val="en-US"/>
        </w:rPr>
        <w:t>Prayers</w:t>
      </w:r>
    </w:p>
    <w:p w14:paraId="79624738" w14:textId="77777777" w:rsidR="005766E8" w:rsidRPr="005766E8" w:rsidRDefault="005766E8" w:rsidP="005766E8">
      <w:pPr>
        <w:pStyle w:val="ListParagraph"/>
        <w:spacing w:line="360" w:lineRule="auto"/>
        <w:ind w:left="0"/>
        <w:jc w:val="both"/>
        <w:outlineLvl w:val="0"/>
        <w:rPr>
          <w:rFonts w:ascii="Times New Roman" w:hAnsi="Times New Roman" w:cs="Times New Roman"/>
          <w:b/>
          <w:sz w:val="10"/>
          <w:szCs w:val="10"/>
          <w:u w:val="single"/>
          <w:lang w:val="en-US"/>
        </w:rPr>
      </w:pPr>
    </w:p>
    <w:p w14:paraId="50292086" w14:textId="79766FB7" w:rsidR="005766E8" w:rsidRPr="005766E8" w:rsidRDefault="005766E8" w:rsidP="00E93232">
      <w:pPr>
        <w:pStyle w:val="ListParagraph"/>
        <w:numPr>
          <w:ilvl w:val="0"/>
          <w:numId w:val="39"/>
        </w:numPr>
        <w:spacing w:line="360" w:lineRule="auto"/>
        <w:ind w:hanging="720"/>
        <w:jc w:val="both"/>
        <w:rPr>
          <w:rFonts w:ascii="Times New Roman" w:hAnsi="Times New Roman" w:cs="Times New Roman"/>
          <w:b/>
          <w:sz w:val="24"/>
          <w:szCs w:val="24"/>
          <w:lang w:val="en-US"/>
        </w:rPr>
      </w:pPr>
      <w:r w:rsidRPr="005766E8">
        <w:rPr>
          <w:rFonts w:ascii="Times New Roman" w:hAnsi="Times New Roman" w:cs="Times New Roman"/>
          <w:sz w:val="24"/>
          <w:szCs w:val="24"/>
          <w:lang w:val="en-US"/>
        </w:rPr>
        <w:t>The Appellant s prayed that this Court sets aside the Judgment of the Supreme Court Judge and allows the appeal.</w:t>
      </w:r>
    </w:p>
    <w:p w14:paraId="4FA8C5E7" w14:textId="77777777" w:rsidR="005766E8" w:rsidRPr="00F1583F" w:rsidRDefault="005766E8" w:rsidP="005766E8">
      <w:pPr>
        <w:pStyle w:val="ListParagraph"/>
        <w:spacing w:line="360" w:lineRule="auto"/>
        <w:jc w:val="both"/>
        <w:rPr>
          <w:rFonts w:ascii="Times New Roman" w:hAnsi="Times New Roman" w:cs="Times New Roman"/>
          <w:b/>
          <w:sz w:val="10"/>
          <w:szCs w:val="10"/>
          <w:lang w:val="en-US"/>
        </w:rPr>
      </w:pPr>
    </w:p>
    <w:p w14:paraId="01B3AA4D" w14:textId="0AE73998" w:rsidR="005766E8" w:rsidRPr="005766E8" w:rsidRDefault="005766E8" w:rsidP="005766E8">
      <w:pPr>
        <w:spacing w:line="360" w:lineRule="auto"/>
        <w:jc w:val="both"/>
        <w:rPr>
          <w:rFonts w:ascii="Times New Roman" w:hAnsi="Times New Roman" w:cs="Times New Roman"/>
          <w:b/>
          <w:sz w:val="24"/>
          <w:szCs w:val="24"/>
          <w:lang w:val="en-US"/>
        </w:rPr>
      </w:pPr>
      <w:r w:rsidRPr="005766E8">
        <w:rPr>
          <w:rFonts w:ascii="Times New Roman" w:hAnsi="Times New Roman" w:cs="Times New Roman"/>
          <w:b/>
          <w:sz w:val="24"/>
          <w:szCs w:val="24"/>
          <w:lang w:val="en-US"/>
        </w:rPr>
        <w:t>Appellant’s submissions</w:t>
      </w:r>
    </w:p>
    <w:p w14:paraId="63993769" w14:textId="77777777" w:rsidR="005766E8" w:rsidRPr="005766E8" w:rsidRDefault="005766E8" w:rsidP="005766E8">
      <w:pPr>
        <w:pStyle w:val="ListParagraph"/>
        <w:spacing w:line="360" w:lineRule="auto"/>
        <w:jc w:val="both"/>
        <w:rPr>
          <w:rFonts w:ascii="Times New Roman" w:hAnsi="Times New Roman" w:cs="Times New Roman"/>
          <w:b/>
          <w:sz w:val="10"/>
          <w:szCs w:val="10"/>
          <w:lang w:val="en-US"/>
        </w:rPr>
      </w:pPr>
    </w:p>
    <w:p w14:paraId="6498EE37" w14:textId="65C0A7EF" w:rsidR="005766E8" w:rsidRPr="005766E8" w:rsidRDefault="005766E8" w:rsidP="005766E8">
      <w:pPr>
        <w:pStyle w:val="ListParagraph"/>
        <w:numPr>
          <w:ilvl w:val="0"/>
          <w:numId w:val="39"/>
        </w:numPr>
        <w:spacing w:line="360" w:lineRule="auto"/>
        <w:ind w:hanging="720"/>
        <w:jc w:val="both"/>
        <w:rPr>
          <w:rFonts w:ascii="Times New Roman" w:eastAsia="Times New Roman" w:hAnsi="Times New Roman" w:cs="Times New Roman"/>
          <w:color w:val="333333"/>
          <w:sz w:val="24"/>
          <w:szCs w:val="24"/>
          <w:bdr w:val="none" w:sz="0" w:space="0" w:color="auto" w:frame="1"/>
          <w:lang w:val="en-US"/>
        </w:rPr>
      </w:pPr>
      <w:r w:rsidRPr="005766E8">
        <w:rPr>
          <w:rFonts w:ascii="Times New Roman" w:hAnsi="Times New Roman" w:cs="Times New Roman"/>
          <w:sz w:val="24"/>
          <w:szCs w:val="24"/>
          <w:lang w:val="en-US"/>
        </w:rPr>
        <w:t>In his oral submissions counsel for the appella</w:t>
      </w:r>
      <w:r w:rsidR="001F1DB0">
        <w:rPr>
          <w:rFonts w:ascii="Times New Roman" w:hAnsi="Times New Roman" w:cs="Times New Roman"/>
          <w:sz w:val="24"/>
          <w:szCs w:val="24"/>
          <w:lang w:val="en-US"/>
        </w:rPr>
        <w:t xml:space="preserve">nt conceded that the appeal </w:t>
      </w:r>
      <w:proofErr w:type="gramStart"/>
      <w:r w:rsidRPr="005766E8">
        <w:rPr>
          <w:rFonts w:ascii="Times New Roman" w:hAnsi="Times New Roman" w:cs="Times New Roman"/>
          <w:sz w:val="24"/>
          <w:szCs w:val="24"/>
          <w:lang w:val="en-US"/>
        </w:rPr>
        <w:t>for all intents and purposes</w:t>
      </w:r>
      <w:proofErr w:type="gramEnd"/>
      <w:r w:rsidRPr="005766E8">
        <w:rPr>
          <w:rFonts w:ascii="Times New Roman" w:hAnsi="Times New Roman" w:cs="Times New Roman"/>
          <w:sz w:val="24"/>
          <w:szCs w:val="24"/>
          <w:lang w:val="en-US"/>
        </w:rPr>
        <w:t xml:space="preserve"> raises a single ground </w:t>
      </w:r>
      <w:r w:rsidR="004744CB">
        <w:rPr>
          <w:rFonts w:ascii="Times New Roman" w:hAnsi="Times New Roman" w:cs="Times New Roman"/>
          <w:sz w:val="24"/>
          <w:szCs w:val="24"/>
          <w:lang w:val="en-US"/>
        </w:rPr>
        <w:t xml:space="preserve">of </w:t>
      </w:r>
      <w:r w:rsidRPr="005766E8">
        <w:rPr>
          <w:rFonts w:ascii="Times New Roman" w:hAnsi="Times New Roman" w:cs="Times New Roman"/>
          <w:sz w:val="24"/>
          <w:szCs w:val="24"/>
          <w:lang w:val="en-US"/>
        </w:rPr>
        <w:t xml:space="preserve">appeal: </w:t>
      </w:r>
      <w:r w:rsidRPr="005766E8">
        <w:rPr>
          <w:rFonts w:ascii="Times New Roman" w:hAnsi="Times New Roman" w:cs="Times New Roman"/>
          <w:i/>
          <w:sz w:val="24"/>
          <w:szCs w:val="24"/>
          <w:lang w:val="en-US"/>
        </w:rPr>
        <w:t xml:space="preserve">the presiding judge erred when he awarded damages in </w:t>
      </w:r>
      <w:proofErr w:type="spellStart"/>
      <w:r w:rsidRPr="005766E8">
        <w:rPr>
          <w:rFonts w:ascii="Times New Roman" w:hAnsi="Times New Roman" w:cs="Times New Roman"/>
          <w:i/>
          <w:sz w:val="24"/>
          <w:szCs w:val="24"/>
          <w:lang w:val="en-US"/>
        </w:rPr>
        <w:t>favour</w:t>
      </w:r>
      <w:proofErr w:type="spellEnd"/>
      <w:r w:rsidRPr="005766E8">
        <w:rPr>
          <w:rFonts w:ascii="Times New Roman" w:hAnsi="Times New Roman" w:cs="Times New Roman"/>
          <w:i/>
          <w:sz w:val="24"/>
          <w:szCs w:val="24"/>
          <w:lang w:val="en-US"/>
        </w:rPr>
        <w:t xml:space="preserve"> of the Respondent on a contract which he had found to be against public policy.</w:t>
      </w:r>
      <w:r w:rsidRPr="005766E8">
        <w:rPr>
          <w:rFonts w:ascii="Times New Roman" w:hAnsi="Times New Roman" w:cs="Times New Roman"/>
          <w:i/>
          <w:color w:val="FF0000"/>
          <w:sz w:val="24"/>
          <w:szCs w:val="24"/>
          <w:lang w:val="en-US"/>
        </w:rPr>
        <w:t xml:space="preserve"> </w:t>
      </w:r>
      <w:r w:rsidRPr="005766E8">
        <w:rPr>
          <w:rFonts w:ascii="Times New Roman" w:hAnsi="Times New Roman" w:cs="Times New Roman"/>
          <w:sz w:val="24"/>
          <w:szCs w:val="24"/>
          <w:lang w:val="en-US"/>
        </w:rPr>
        <w:t xml:space="preserve">Counsel submitted that </w:t>
      </w:r>
      <w:r w:rsidRPr="005766E8">
        <w:rPr>
          <w:rFonts w:ascii="Times New Roman" w:eastAsia="Times New Roman" w:hAnsi="Times New Roman" w:cs="Times New Roman"/>
          <w:color w:val="333333"/>
          <w:sz w:val="24"/>
          <w:szCs w:val="24"/>
          <w:bdr w:val="none" w:sz="0" w:space="0" w:color="auto" w:frame="1"/>
          <w:lang w:val="en-US"/>
        </w:rPr>
        <w:t xml:space="preserve">it </w:t>
      </w:r>
      <w:proofErr w:type="gramStart"/>
      <w:r w:rsidRPr="005766E8">
        <w:rPr>
          <w:rFonts w:ascii="Times New Roman" w:eastAsia="Times New Roman" w:hAnsi="Times New Roman" w:cs="Times New Roman"/>
          <w:color w:val="333333"/>
          <w:sz w:val="24"/>
          <w:szCs w:val="24"/>
          <w:bdr w:val="none" w:sz="0" w:space="0" w:color="auto" w:frame="1"/>
          <w:lang w:val="en-US"/>
        </w:rPr>
        <w:t>is settled</w:t>
      </w:r>
      <w:proofErr w:type="gramEnd"/>
      <w:r w:rsidRPr="005766E8">
        <w:rPr>
          <w:rFonts w:ascii="Times New Roman" w:eastAsia="Times New Roman" w:hAnsi="Times New Roman" w:cs="Times New Roman"/>
          <w:color w:val="333333"/>
          <w:sz w:val="24"/>
          <w:szCs w:val="24"/>
          <w:bdr w:val="none" w:sz="0" w:space="0" w:color="auto" w:frame="1"/>
          <w:lang w:val="en-US"/>
        </w:rPr>
        <w:t xml:space="preserve"> law that an agreement, whose object is contrary to law or public policy, would be invalid and its breaches would not be justiciable. That neither the respondent nor the appellant in its counterclaim could rely on such a contract to claim a remedy.</w:t>
      </w:r>
    </w:p>
    <w:p w14:paraId="59F78E32" w14:textId="6BBCA072" w:rsidR="005766E8" w:rsidRPr="005766E8" w:rsidRDefault="005766E8" w:rsidP="005766E8">
      <w:pPr>
        <w:spacing w:line="360" w:lineRule="auto"/>
        <w:ind w:hanging="720"/>
        <w:jc w:val="both"/>
        <w:rPr>
          <w:rFonts w:ascii="Times New Roman" w:hAnsi="Times New Roman" w:cs="Times New Roman"/>
          <w:sz w:val="4"/>
          <w:szCs w:val="4"/>
          <w:lang w:val="en-US"/>
        </w:rPr>
      </w:pPr>
    </w:p>
    <w:p w14:paraId="0916F952" w14:textId="77777777" w:rsidR="005766E8" w:rsidRPr="005766E8" w:rsidRDefault="005766E8" w:rsidP="005766E8">
      <w:pPr>
        <w:spacing w:line="360" w:lineRule="auto"/>
        <w:jc w:val="both"/>
        <w:outlineLvl w:val="2"/>
        <w:rPr>
          <w:rFonts w:ascii="Times New Roman" w:hAnsi="Times New Roman" w:cs="Times New Roman"/>
          <w:b/>
          <w:bCs/>
          <w:sz w:val="24"/>
          <w:szCs w:val="24"/>
          <w:lang w:val="en-US"/>
        </w:rPr>
      </w:pPr>
      <w:r w:rsidRPr="005766E8">
        <w:rPr>
          <w:rFonts w:ascii="Times New Roman" w:hAnsi="Times New Roman" w:cs="Times New Roman"/>
          <w:b/>
          <w:bCs/>
          <w:sz w:val="24"/>
          <w:szCs w:val="24"/>
          <w:lang w:val="en-US"/>
        </w:rPr>
        <w:t>Respondent’s reply</w:t>
      </w:r>
    </w:p>
    <w:p w14:paraId="51677A82" w14:textId="7A5DB603"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At the trial </w:t>
      </w:r>
      <w:proofErr w:type="gramStart"/>
      <w:r w:rsidRPr="005766E8">
        <w:rPr>
          <w:rFonts w:ascii="Times New Roman" w:hAnsi="Times New Roman" w:cs="Times New Roman"/>
          <w:sz w:val="24"/>
          <w:szCs w:val="24"/>
          <w:lang w:val="en-US"/>
        </w:rPr>
        <w:t>court</w:t>
      </w:r>
      <w:proofErr w:type="gramEnd"/>
      <w:r w:rsidRPr="005766E8">
        <w:rPr>
          <w:rFonts w:ascii="Times New Roman" w:hAnsi="Times New Roman" w:cs="Times New Roman"/>
          <w:sz w:val="24"/>
          <w:szCs w:val="24"/>
          <w:lang w:val="en-US"/>
        </w:rPr>
        <w:t xml:space="preserve"> the respondent averred in their pleadings/</w:t>
      </w:r>
      <w:proofErr w:type="spellStart"/>
      <w:r w:rsidRPr="005766E8">
        <w:rPr>
          <w:rFonts w:ascii="Times New Roman" w:hAnsi="Times New Roman" w:cs="Times New Roman"/>
          <w:sz w:val="24"/>
          <w:szCs w:val="24"/>
          <w:lang w:val="en-US"/>
        </w:rPr>
        <w:t>defence</w:t>
      </w:r>
      <w:proofErr w:type="spellEnd"/>
      <w:r w:rsidRPr="005766E8">
        <w:rPr>
          <w:rFonts w:ascii="Times New Roman" w:hAnsi="Times New Roman" w:cs="Times New Roman"/>
          <w:sz w:val="24"/>
          <w:szCs w:val="24"/>
          <w:lang w:val="en-US"/>
        </w:rPr>
        <w:t xml:space="preserve"> to the counter claim brought against it, that at the time of tendering to carry out the work, the appellant had failed to disclose that it lacked the requisite </w:t>
      </w:r>
      <w:proofErr w:type="spellStart"/>
      <w:r w:rsidRPr="005766E8">
        <w:rPr>
          <w:rFonts w:ascii="Times New Roman" w:hAnsi="Times New Roman" w:cs="Times New Roman"/>
          <w:sz w:val="24"/>
          <w:szCs w:val="24"/>
          <w:lang w:val="en-US"/>
        </w:rPr>
        <w:t>licence</w:t>
      </w:r>
      <w:proofErr w:type="spellEnd"/>
      <w:r w:rsidRPr="005766E8">
        <w:rPr>
          <w:rFonts w:ascii="Times New Roman" w:hAnsi="Times New Roman" w:cs="Times New Roman"/>
          <w:sz w:val="24"/>
          <w:szCs w:val="24"/>
          <w:lang w:val="en-US"/>
        </w:rPr>
        <w:t xml:space="preserve">. </w:t>
      </w:r>
    </w:p>
    <w:p w14:paraId="781C7916" w14:textId="77777777" w:rsidR="005766E8" w:rsidRPr="005766E8" w:rsidRDefault="005766E8" w:rsidP="005766E8">
      <w:pPr>
        <w:pStyle w:val="ListParagraph"/>
        <w:spacing w:line="360" w:lineRule="auto"/>
        <w:jc w:val="both"/>
        <w:rPr>
          <w:rFonts w:ascii="Times New Roman" w:hAnsi="Times New Roman" w:cs="Times New Roman"/>
          <w:sz w:val="16"/>
          <w:szCs w:val="16"/>
          <w:lang w:val="en-US"/>
        </w:rPr>
      </w:pPr>
    </w:p>
    <w:p w14:paraId="09D39E27" w14:textId="0E3F70BB"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Counsel argued that the presiding judge exercised the court’s equitable powers under </w:t>
      </w:r>
      <w:r w:rsidRPr="005766E8">
        <w:rPr>
          <w:rFonts w:ascii="Times New Roman" w:hAnsi="Times New Roman" w:cs="Times New Roman"/>
          <w:b/>
          <w:sz w:val="24"/>
          <w:szCs w:val="24"/>
          <w:lang w:val="en-US"/>
        </w:rPr>
        <w:t>Section 6 of the Courts Act</w:t>
      </w:r>
      <w:r w:rsidRPr="005766E8">
        <w:rPr>
          <w:rFonts w:ascii="Times New Roman" w:hAnsi="Times New Roman" w:cs="Times New Roman"/>
          <w:sz w:val="24"/>
          <w:szCs w:val="24"/>
          <w:lang w:val="en-US"/>
        </w:rPr>
        <w:t xml:space="preserve"> to award damages to the respondent. It was his argument that since Choppy had no knowledge that NSJ was operating without a </w:t>
      </w:r>
      <w:proofErr w:type="spellStart"/>
      <w:r w:rsidRPr="005766E8">
        <w:rPr>
          <w:rFonts w:ascii="Times New Roman" w:hAnsi="Times New Roman" w:cs="Times New Roman"/>
          <w:sz w:val="24"/>
          <w:szCs w:val="24"/>
          <w:lang w:val="en-US"/>
        </w:rPr>
        <w:t>licence</w:t>
      </w:r>
      <w:proofErr w:type="spellEnd"/>
      <w:r w:rsidRPr="005766E8">
        <w:rPr>
          <w:rFonts w:ascii="Times New Roman" w:hAnsi="Times New Roman" w:cs="Times New Roman"/>
          <w:sz w:val="24"/>
          <w:szCs w:val="24"/>
          <w:lang w:val="en-US"/>
        </w:rPr>
        <w:t xml:space="preserve"> the respondent had come to court with clean hands. </w:t>
      </w:r>
    </w:p>
    <w:p w14:paraId="1A0DB6A9" w14:textId="77777777" w:rsidR="005766E8" w:rsidRPr="00F1583F" w:rsidRDefault="005766E8" w:rsidP="005766E8">
      <w:pPr>
        <w:pStyle w:val="ListParagraph"/>
        <w:rPr>
          <w:rFonts w:ascii="Times New Roman" w:hAnsi="Times New Roman" w:cs="Times New Roman"/>
          <w:sz w:val="16"/>
          <w:szCs w:val="16"/>
          <w:lang w:val="en-US"/>
        </w:rPr>
      </w:pPr>
    </w:p>
    <w:p w14:paraId="32D47566" w14:textId="77777777" w:rsidR="005766E8" w:rsidRPr="00F1583F" w:rsidRDefault="005766E8" w:rsidP="005766E8">
      <w:pPr>
        <w:pStyle w:val="ListParagraph"/>
        <w:spacing w:line="360" w:lineRule="auto"/>
        <w:jc w:val="both"/>
        <w:rPr>
          <w:rFonts w:ascii="Times New Roman" w:hAnsi="Times New Roman" w:cs="Times New Roman"/>
          <w:sz w:val="4"/>
          <w:szCs w:val="4"/>
          <w:lang w:val="en-US"/>
        </w:rPr>
      </w:pPr>
    </w:p>
    <w:p w14:paraId="1666F83E" w14:textId="368961A0" w:rsidR="005766E8" w:rsidRDefault="005766E8" w:rsidP="005766E8">
      <w:pPr>
        <w:pStyle w:val="ListParagraph"/>
        <w:spacing w:line="360" w:lineRule="auto"/>
        <w:ind w:left="0"/>
        <w:jc w:val="both"/>
        <w:outlineLvl w:val="0"/>
        <w:rPr>
          <w:rFonts w:ascii="Times New Roman" w:hAnsi="Times New Roman" w:cs="Times New Roman"/>
          <w:b/>
          <w:sz w:val="24"/>
          <w:szCs w:val="24"/>
          <w:lang w:val="en-US"/>
        </w:rPr>
      </w:pPr>
      <w:r w:rsidRPr="005766E8">
        <w:rPr>
          <w:rFonts w:ascii="Times New Roman" w:hAnsi="Times New Roman" w:cs="Times New Roman"/>
          <w:b/>
          <w:sz w:val="24"/>
          <w:szCs w:val="24"/>
          <w:lang w:val="en-US"/>
        </w:rPr>
        <w:t>Court’s consideration</w:t>
      </w:r>
    </w:p>
    <w:p w14:paraId="4F731948" w14:textId="77777777" w:rsidR="00F1583F" w:rsidRPr="00F1583F" w:rsidRDefault="00F1583F" w:rsidP="005766E8">
      <w:pPr>
        <w:pStyle w:val="ListParagraph"/>
        <w:spacing w:line="360" w:lineRule="auto"/>
        <w:ind w:left="0"/>
        <w:jc w:val="both"/>
        <w:outlineLvl w:val="0"/>
        <w:rPr>
          <w:rFonts w:ascii="Times New Roman" w:hAnsi="Times New Roman" w:cs="Times New Roman"/>
          <w:b/>
          <w:sz w:val="6"/>
          <w:szCs w:val="6"/>
          <w:lang w:val="en-US"/>
        </w:rPr>
      </w:pPr>
    </w:p>
    <w:p w14:paraId="3C336DAB" w14:textId="2053095C" w:rsidR="005766E8" w:rsidRPr="00F1583F" w:rsidRDefault="005766E8" w:rsidP="00F1583F">
      <w:pPr>
        <w:pStyle w:val="ListParagraph"/>
        <w:numPr>
          <w:ilvl w:val="0"/>
          <w:numId w:val="39"/>
        </w:numPr>
        <w:shd w:val="clear" w:color="auto" w:fill="FFFFFF"/>
        <w:spacing w:after="0" w:line="360" w:lineRule="auto"/>
        <w:ind w:hanging="720"/>
        <w:jc w:val="both"/>
        <w:textAlignment w:val="baseline"/>
        <w:rPr>
          <w:rFonts w:ascii="Times New Roman" w:eastAsia="Times New Roman" w:hAnsi="Times New Roman" w:cs="Times New Roman"/>
          <w:bCs/>
          <w:color w:val="000000" w:themeColor="text1"/>
          <w:sz w:val="24"/>
          <w:szCs w:val="24"/>
        </w:rPr>
      </w:pPr>
      <w:bookmarkStart w:id="0" w:name="_Toc521420843"/>
      <w:r w:rsidRPr="00F1583F">
        <w:rPr>
          <w:rFonts w:ascii="Times New Roman" w:eastAsia="Times New Roman" w:hAnsi="Times New Roman" w:cs="Times New Roman"/>
          <w:bCs/>
          <w:color w:val="000000" w:themeColor="text1"/>
          <w:sz w:val="24"/>
          <w:szCs w:val="24"/>
        </w:rPr>
        <w:t>According to</w:t>
      </w:r>
      <w:r w:rsidRPr="00F1583F">
        <w:rPr>
          <w:rFonts w:ascii="Times New Roman" w:eastAsia="Times New Roman" w:hAnsi="Times New Roman" w:cs="Times New Roman"/>
          <w:b/>
          <w:bCs/>
          <w:color w:val="000000" w:themeColor="text1"/>
          <w:sz w:val="24"/>
          <w:szCs w:val="24"/>
        </w:rPr>
        <w:t xml:space="preserve"> Article 1149</w:t>
      </w:r>
      <w:r w:rsidRPr="00F1583F">
        <w:rPr>
          <w:rFonts w:ascii="Times New Roman" w:eastAsia="Times New Roman" w:hAnsi="Times New Roman" w:cs="Times New Roman"/>
          <w:b/>
          <w:bCs/>
          <w:color w:val="000000" w:themeColor="text1"/>
          <w:sz w:val="24"/>
          <w:szCs w:val="24"/>
          <w:lang w:val="en-US"/>
        </w:rPr>
        <w:t xml:space="preserve"> </w:t>
      </w:r>
      <w:r w:rsidRPr="00F1583F">
        <w:rPr>
          <w:rFonts w:ascii="Times New Roman" w:eastAsia="Times New Roman" w:hAnsi="Times New Roman" w:cs="Times New Roman"/>
          <w:bCs/>
          <w:color w:val="000000" w:themeColor="text1"/>
          <w:sz w:val="24"/>
          <w:szCs w:val="24"/>
          <w:lang w:val="en-US"/>
        </w:rPr>
        <w:t>of the</w:t>
      </w:r>
      <w:r w:rsidRPr="00F1583F">
        <w:rPr>
          <w:rFonts w:ascii="Times New Roman" w:eastAsia="Times New Roman" w:hAnsi="Times New Roman" w:cs="Times New Roman"/>
          <w:b/>
          <w:bCs/>
          <w:color w:val="000000" w:themeColor="text1"/>
          <w:sz w:val="24"/>
          <w:szCs w:val="24"/>
          <w:lang w:val="en-US"/>
        </w:rPr>
        <w:t xml:space="preserve"> Civil Code</w:t>
      </w:r>
      <w:r w:rsidRPr="00F1583F">
        <w:rPr>
          <w:rFonts w:ascii="Times New Roman" w:eastAsia="Times New Roman" w:hAnsi="Times New Roman" w:cs="Times New Roman"/>
          <w:bCs/>
          <w:color w:val="000000" w:themeColor="text1"/>
          <w:sz w:val="24"/>
          <w:szCs w:val="24"/>
          <w:lang w:val="en-US"/>
        </w:rPr>
        <w:t>,</w:t>
      </w:r>
      <w:r w:rsidRPr="00F1583F">
        <w:rPr>
          <w:rFonts w:ascii="Times New Roman" w:eastAsia="Times New Roman" w:hAnsi="Times New Roman" w:cs="Times New Roman"/>
          <w:bCs/>
          <w:color w:val="000000" w:themeColor="text1"/>
          <w:sz w:val="24"/>
          <w:szCs w:val="24"/>
        </w:rPr>
        <w:t xml:space="preserve"> </w:t>
      </w:r>
      <w:proofErr w:type="gramStart"/>
      <w:r w:rsidRPr="00F1583F">
        <w:rPr>
          <w:rFonts w:ascii="Times New Roman" w:eastAsia="Times New Roman" w:hAnsi="Times New Roman" w:cs="Times New Roman"/>
          <w:bCs/>
          <w:color w:val="000000" w:themeColor="text1"/>
          <w:sz w:val="24"/>
          <w:szCs w:val="24"/>
        </w:rPr>
        <w:t>damages which are due</w:t>
      </w:r>
      <w:r w:rsidR="00F1583F" w:rsidRPr="00F1583F">
        <w:rPr>
          <w:rFonts w:ascii="Times New Roman" w:eastAsia="Times New Roman" w:hAnsi="Times New Roman" w:cs="Times New Roman"/>
          <w:bCs/>
          <w:color w:val="000000" w:themeColor="text1"/>
          <w:sz w:val="24"/>
          <w:szCs w:val="24"/>
        </w:rPr>
        <w:t xml:space="preserve"> </w:t>
      </w:r>
      <w:r w:rsidRPr="00F1583F">
        <w:rPr>
          <w:rFonts w:ascii="Times New Roman" w:eastAsia="Times New Roman" w:hAnsi="Times New Roman" w:cs="Times New Roman"/>
          <w:bCs/>
          <w:color w:val="000000" w:themeColor="text1"/>
          <w:sz w:val="24"/>
          <w:szCs w:val="24"/>
        </w:rPr>
        <w:t>to a person cover the loss</w:t>
      </w:r>
      <w:proofErr w:type="gramEnd"/>
      <w:r w:rsidRPr="00F1583F">
        <w:rPr>
          <w:rFonts w:ascii="Times New Roman" w:eastAsia="Times New Roman" w:hAnsi="Times New Roman" w:cs="Times New Roman"/>
          <w:bCs/>
          <w:color w:val="000000" w:themeColor="text1"/>
          <w:sz w:val="24"/>
          <w:szCs w:val="24"/>
        </w:rPr>
        <w:t xml:space="preserve"> sustained as well as the deprivation of </w:t>
      </w:r>
      <w:r w:rsidR="00F1583F">
        <w:rPr>
          <w:rFonts w:ascii="Times New Roman" w:eastAsia="Times New Roman" w:hAnsi="Times New Roman" w:cs="Times New Roman"/>
          <w:bCs/>
          <w:color w:val="000000" w:themeColor="text1"/>
          <w:sz w:val="24"/>
          <w:szCs w:val="24"/>
        </w:rPr>
        <w:t>profit.</w:t>
      </w:r>
    </w:p>
    <w:p w14:paraId="3A6BD687" w14:textId="16CE8C6F"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lastRenderedPageBreak/>
        <w:t>It is indeed a general principle of law that the effect of breach of a contract is that it gives the victim the option to terminate the contract, sue for specific performance or compensatory damages. Andrew Burrows</w:t>
      </w:r>
      <w:r w:rsidRPr="005766E8">
        <w:rPr>
          <w:vertAlign w:val="superscript"/>
          <w:lang w:val="en-US"/>
        </w:rPr>
        <w:footnoteReference w:id="1"/>
      </w:r>
      <w:r w:rsidRPr="005766E8">
        <w:rPr>
          <w:rFonts w:ascii="Times New Roman" w:hAnsi="Times New Roman" w:cs="Times New Roman"/>
          <w:sz w:val="24"/>
          <w:szCs w:val="24"/>
          <w:lang w:val="en-US"/>
        </w:rPr>
        <w:t xml:space="preserve"> notes that where a party sustains loss by reason of a breach of contract, he is, so far as money can do it, be placed in the same situation, with respect to damages, as if the contract had been performed.</w:t>
      </w:r>
    </w:p>
    <w:p w14:paraId="0CEE2E35" w14:textId="77777777" w:rsidR="00F1583F" w:rsidRPr="005766E8" w:rsidRDefault="00F1583F" w:rsidP="00F1583F">
      <w:pPr>
        <w:pStyle w:val="ListParagraph"/>
        <w:spacing w:line="360" w:lineRule="auto"/>
        <w:jc w:val="both"/>
        <w:rPr>
          <w:rFonts w:ascii="Times New Roman" w:hAnsi="Times New Roman" w:cs="Times New Roman"/>
          <w:sz w:val="24"/>
          <w:szCs w:val="24"/>
          <w:lang w:val="en-US"/>
        </w:rPr>
      </w:pPr>
    </w:p>
    <w:p w14:paraId="5611BEF3" w14:textId="77777777"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rPr>
      </w:pPr>
      <w:r w:rsidRPr="005766E8">
        <w:rPr>
          <w:rFonts w:ascii="Times New Roman" w:hAnsi="Times New Roman" w:cs="Times New Roman"/>
          <w:sz w:val="24"/>
          <w:szCs w:val="24"/>
        </w:rPr>
        <w:t xml:space="preserve">However, in the present case, the trial Judge came to the finding that the building contract was against public policy for failure by the appellants to hold a valid construction licence. The Judge stated </w:t>
      </w:r>
      <w:proofErr w:type="spellStart"/>
      <w:r w:rsidRPr="005766E8">
        <w:rPr>
          <w:rFonts w:ascii="Times New Roman" w:hAnsi="Times New Roman" w:cs="Times New Roman"/>
          <w:i/>
          <w:sz w:val="24"/>
          <w:szCs w:val="24"/>
        </w:rPr>
        <w:t>interalia</w:t>
      </w:r>
      <w:proofErr w:type="spellEnd"/>
      <w:r w:rsidRPr="005766E8">
        <w:rPr>
          <w:rFonts w:ascii="Times New Roman" w:hAnsi="Times New Roman" w:cs="Times New Roman"/>
          <w:sz w:val="24"/>
          <w:szCs w:val="24"/>
        </w:rPr>
        <w:t xml:space="preserve"> as follows:</w:t>
      </w:r>
    </w:p>
    <w:p w14:paraId="01D75C2E" w14:textId="18790DAE" w:rsidR="005766E8" w:rsidRDefault="005766E8" w:rsidP="00F1583F">
      <w:pPr>
        <w:pStyle w:val="ListParagraph"/>
        <w:spacing w:line="360" w:lineRule="auto"/>
        <w:jc w:val="both"/>
        <w:rPr>
          <w:rFonts w:ascii="Times New Roman" w:hAnsi="Times New Roman" w:cs="Times New Roman"/>
          <w:i/>
          <w:sz w:val="24"/>
          <w:szCs w:val="24"/>
          <w:u w:val="single"/>
        </w:rPr>
      </w:pPr>
      <w:r w:rsidRPr="005766E8">
        <w:rPr>
          <w:rFonts w:ascii="Times New Roman" w:hAnsi="Times New Roman" w:cs="Times New Roman"/>
          <w:i/>
          <w:sz w:val="24"/>
          <w:szCs w:val="24"/>
        </w:rPr>
        <w:t xml:space="preserve">“… </w:t>
      </w:r>
      <w:r w:rsidRPr="005766E8">
        <w:rPr>
          <w:rFonts w:ascii="Times New Roman" w:hAnsi="Times New Roman" w:cs="Times New Roman"/>
          <w:i/>
          <w:sz w:val="24"/>
          <w:szCs w:val="24"/>
          <w:u w:val="single"/>
        </w:rPr>
        <w:t>NSJ did not possess a ‘Building Contractor’ licence as required by the Licences Act. They possessed at the time of the agreement a class 4 licence that only permits carrying out of maintenance works. That was a misrepresentation of NSJ.</w:t>
      </w:r>
    </w:p>
    <w:p w14:paraId="5947CA3B" w14:textId="77777777" w:rsidR="00F1583F" w:rsidRDefault="00F1583F" w:rsidP="00F1583F">
      <w:pPr>
        <w:pStyle w:val="ListParagraph"/>
        <w:spacing w:line="360" w:lineRule="auto"/>
        <w:jc w:val="both"/>
        <w:rPr>
          <w:rFonts w:ascii="Times New Roman" w:hAnsi="Times New Roman" w:cs="Times New Roman"/>
          <w:i/>
          <w:sz w:val="24"/>
          <w:szCs w:val="24"/>
        </w:rPr>
      </w:pPr>
    </w:p>
    <w:p w14:paraId="3DF7F367" w14:textId="6AC34224" w:rsidR="005766E8" w:rsidRDefault="005766E8" w:rsidP="00F1583F">
      <w:pPr>
        <w:pStyle w:val="ListParagraph"/>
        <w:spacing w:line="360" w:lineRule="auto"/>
        <w:jc w:val="both"/>
        <w:rPr>
          <w:rFonts w:ascii="Times New Roman" w:hAnsi="Times New Roman" w:cs="Times New Roman"/>
          <w:sz w:val="24"/>
          <w:szCs w:val="24"/>
        </w:rPr>
      </w:pPr>
      <w:r w:rsidRPr="005766E8">
        <w:rPr>
          <w:rFonts w:ascii="Times New Roman" w:hAnsi="Times New Roman" w:cs="Times New Roman"/>
          <w:i/>
          <w:sz w:val="24"/>
          <w:szCs w:val="24"/>
        </w:rPr>
        <w:t xml:space="preserve">… </w:t>
      </w:r>
      <w:proofErr w:type="gramStart"/>
      <w:r w:rsidRPr="005766E8">
        <w:rPr>
          <w:rFonts w:ascii="Times New Roman" w:hAnsi="Times New Roman" w:cs="Times New Roman"/>
          <w:i/>
          <w:sz w:val="24"/>
          <w:szCs w:val="24"/>
        </w:rPr>
        <w:t>the</w:t>
      </w:r>
      <w:proofErr w:type="gramEnd"/>
      <w:r w:rsidRPr="005766E8">
        <w:rPr>
          <w:rFonts w:ascii="Times New Roman" w:hAnsi="Times New Roman" w:cs="Times New Roman"/>
          <w:i/>
          <w:sz w:val="24"/>
          <w:szCs w:val="24"/>
        </w:rPr>
        <w:t xml:space="preserve"> Court cannot condone such disregard for the law … </w:t>
      </w:r>
      <w:r w:rsidRPr="005766E8">
        <w:rPr>
          <w:rFonts w:ascii="Times New Roman" w:hAnsi="Times New Roman" w:cs="Times New Roman"/>
          <w:i/>
          <w:sz w:val="24"/>
          <w:szCs w:val="24"/>
          <w:u w:val="single"/>
        </w:rPr>
        <w:t>In operating without a licence NSJ was acting against public policy.</w:t>
      </w:r>
      <w:r w:rsidRPr="005766E8">
        <w:rPr>
          <w:rFonts w:ascii="Times New Roman" w:hAnsi="Times New Roman" w:cs="Times New Roman"/>
          <w:sz w:val="24"/>
          <w:szCs w:val="24"/>
        </w:rPr>
        <w:t>” (My emphasis)</w:t>
      </w:r>
    </w:p>
    <w:p w14:paraId="5FCD3C83" w14:textId="77777777" w:rsidR="00F1583F" w:rsidRPr="005766E8" w:rsidRDefault="00F1583F" w:rsidP="00F1583F">
      <w:pPr>
        <w:pStyle w:val="ListParagraph"/>
        <w:spacing w:line="360" w:lineRule="auto"/>
        <w:jc w:val="both"/>
        <w:rPr>
          <w:rFonts w:ascii="Times New Roman" w:hAnsi="Times New Roman" w:cs="Times New Roman"/>
          <w:i/>
          <w:sz w:val="24"/>
          <w:szCs w:val="24"/>
          <w:u w:val="single"/>
        </w:rPr>
      </w:pPr>
    </w:p>
    <w:bookmarkEnd w:id="0"/>
    <w:p w14:paraId="6C419414" w14:textId="3B97D9DB" w:rsidR="005766E8" w:rsidRDefault="005766E8" w:rsidP="005766E8">
      <w:pPr>
        <w:pStyle w:val="ListParagraph"/>
        <w:numPr>
          <w:ilvl w:val="0"/>
          <w:numId w:val="39"/>
        </w:numPr>
        <w:spacing w:line="360" w:lineRule="auto"/>
        <w:ind w:hanging="720"/>
        <w:jc w:val="both"/>
        <w:rPr>
          <w:rFonts w:ascii="Times New Roman" w:hAnsi="Times New Roman" w:cs="Times New Roman"/>
          <w:bCs/>
          <w:color w:val="000000" w:themeColor="text1"/>
          <w:sz w:val="24"/>
          <w:szCs w:val="24"/>
        </w:rPr>
      </w:pPr>
      <w:proofErr w:type="gramStart"/>
      <w:r w:rsidRPr="005766E8">
        <w:rPr>
          <w:rFonts w:ascii="Times New Roman" w:hAnsi="Times New Roman" w:cs="Times New Roman"/>
          <w:bCs/>
          <w:color w:val="000000" w:themeColor="text1"/>
          <w:sz w:val="24"/>
          <w:szCs w:val="24"/>
        </w:rPr>
        <w:t>The fact that NSJ knew that he did not have the requisite licence from the Seychelles Licensing Authority was admitted by counsel for the appellant</w:t>
      </w:r>
      <w:proofErr w:type="gramEnd"/>
      <w:r w:rsidRPr="005766E8">
        <w:rPr>
          <w:rFonts w:ascii="Times New Roman" w:hAnsi="Times New Roman" w:cs="Times New Roman"/>
          <w:bCs/>
          <w:color w:val="000000" w:themeColor="text1"/>
          <w:sz w:val="24"/>
          <w:szCs w:val="24"/>
        </w:rPr>
        <w:t>. He nevertheless faulted the Trial Judge for awarding damages to the respondent arising from a contract tainted with illegality. Counsel supported his contentions with statutory as well as case law.</w:t>
      </w:r>
    </w:p>
    <w:p w14:paraId="4B8D8C16" w14:textId="77777777" w:rsidR="00F1583F" w:rsidRPr="005766E8" w:rsidRDefault="00F1583F" w:rsidP="00F1583F">
      <w:pPr>
        <w:pStyle w:val="ListParagraph"/>
        <w:spacing w:line="360" w:lineRule="auto"/>
        <w:jc w:val="both"/>
        <w:rPr>
          <w:rFonts w:ascii="Times New Roman" w:hAnsi="Times New Roman" w:cs="Times New Roman"/>
          <w:bCs/>
          <w:color w:val="000000" w:themeColor="text1"/>
          <w:sz w:val="24"/>
          <w:szCs w:val="24"/>
        </w:rPr>
      </w:pPr>
    </w:p>
    <w:p w14:paraId="23871B6B" w14:textId="77777777" w:rsidR="005766E8" w:rsidRPr="005766E8" w:rsidRDefault="005766E8" w:rsidP="005766E8">
      <w:pPr>
        <w:pStyle w:val="ListParagraph"/>
        <w:numPr>
          <w:ilvl w:val="0"/>
          <w:numId w:val="39"/>
        </w:numPr>
        <w:shd w:val="clear" w:color="auto" w:fill="FFFFFF"/>
        <w:spacing w:after="0" w:line="360" w:lineRule="auto"/>
        <w:ind w:hanging="720"/>
        <w:jc w:val="both"/>
        <w:textAlignment w:val="baseline"/>
        <w:rPr>
          <w:rFonts w:ascii="Times New Roman" w:eastAsia="Times New Roman" w:hAnsi="Times New Roman" w:cs="Times New Roman"/>
          <w:color w:val="333333"/>
          <w:sz w:val="24"/>
          <w:szCs w:val="24"/>
          <w:lang w:val="en-US"/>
        </w:rPr>
      </w:pPr>
      <w:r w:rsidRPr="005766E8">
        <w:rPr>
          <w:rFonts w:ascii="Times New Roman" w:eastAsia="Times New Roman" w:hAnsi="Times New Roman" w:cs="Times New Roman"/>
          <w:b/>
          <w:sz w:val="24"/>
          <w:szCs w:val="24"/>
        </w:rPr>
        <w:t>Article</w:t>
      </w:r>
      <w:r w:rsidRPr="005766E8">
        <w:rPr>
          <w:rFonts w:ascii="Times New Roman" w:eastAsia="Times New Roman" w:hAnsi="Times New Roman" w:cs="Times New Roman"/>
          <w:b/>
          <w:sz w:val="24"/>
          <w:szCs w:val="24"/>
          <w:lang w:val="en-US"/>
        </w:rPr>
        <w:t xml:space="preserve"> 1131 of the Civil Code</w:t>
      </w:r>
      <w:r w:rsidRPr="005766E8">
        <w:rPr>
          <w:rFonts w:ascii="Times New Roman" w:eastAsia="Times New Roman" w:hAnsi="Times New Roman" w:cs="Times New Roman"/>
          <w:sz w:val="24"/>
          <w:szCs w:val="24"/>
          <w:lang w:val="en-US"/>
        </w:rPr>
        <w:t xml:space="preserve"> provides that, an</w:t>
      </w:r>
      <w:r w:rsidRPr="005766E8">
        <w:rPr>
          <w:rFonts w:ascii="Times New Roman" w:eastAsia="Times New Roman" w:hAnsi="Times New Roman" w:cs="Times New Roman"/>
          <w:i/>
          <w:sz w:val="24"/>
          <w:szCs w:val="24"/>
          <w:lang w:val="en-US"/>
        </w:rPr>
        <w:t xml:space="preserve"> </w:t>
      </w:r>
      <w:proofErr w:type="gramStart"/>
      <w:r w:rsidRPr="005766E8">
        <w:rPr>
          <w:rFonts w:ascii="Times New Roman" w:eastAsia="Times New Roman" w:hAnsi="Times New Roman" w:cs="Times New Roman"/>
          <w:i/>
          <w:sz w:val="24"/>
          <w:szCs w:val="24"/>
          <w:lang w:val="en-US"/>
        </w:rPr>
        <w:t>obligation which is against public policy</w:t>
      </w:r>
      <w:proofErr w:type="gramEnd"/>
      <w:r w:rsidRPr="005766E8">
        <w:rPr>
          <w:rFonts w:ascii="Times New Roman" w:eastAsia="Times New Roman" w:hAnsi="Times New Roman" w:cs="Times New Roman"/>
          <w:i/>
          <w:sz w:val="24"/>
          <w:szCs w:val="24"/>
          <w:lang w:val="en-US"/>
        </w:rPr>
        <w:t xml:space="preserve"> shall have no legal effect </w:t>
      </w:r>
      <w:r w:rsidRPr="005766E8">
        <w:rPr>
          <w:rFonts w:ascii="Times New Roman" w:eastAsia="Times New Roman" w:hAnsi="Times New Roman" w:cs="Times New Roman"/>
          <w:sz w:val="24"/>
          <w:szCs w:val="24"/>
          <w:lang w:val="en-US"/>
        </w:rPr>
        <w:t xml:space="preserve">and </w:t>
      </w:r>
      <w:r w:rsidRPr="005766E8">
        <w:rPr>
          <w:rFonts w:ascii="Times New Roman" w:eastAsia="Times New Roman" w:hAnsi="Times New Roman" w:cs="Times New Roman"/>
          <w:b/>
          <w:sz w:val="24"/>
          <w:szCs w:val="24"/>
          <w:lang w:val="en-US"/>
        </w:rPr>
        <w:t xml:space="preserve">Article 1133 </w:t>
      </w:r>
      <w:r w:rsidRPr="005766E8">
        <w:rPr>
          <w:rFonts w:ascii="Times New Roman" w:eastAsia="Times New Roman" w:hAnsi="Times New Roman" w:cs="Times New Roman"/>
          <w:sz w:val="24"/>
          <w:szCs w:val="24"/>
          <w:lang w:val="en-US"/>
        </w:rPr>
        <w:t>of the Code provides</w:t>
      </w:r>
      <w:r w:rsidRPr="005766E8">
        <w:rPr>
          <w:rFonts w:ascii="Times New Roman" w:eastAsia="Times New Roman" w:hAnsi="Times New Roman" w:cs="Times New Roman"/>
          <w:i/>
          <w:sz w:val="24"/>
          <w:szCs w:val="24"/>
          <w:lang w:val="en-US"/>
        </w:rPr>
        <w:t xml:space="preserve"> that, the object of an agreement is unlawful when it is prohibited by law or when it infringes the principles of public policy. </w:t>
      </w:r>
      <w:proofErr w:type="gramStart"/>
      <w:r w:rsidRPr="005766E8">
        <w:rPr>
          <w:rFonts w:ascii="Times New Roman" w:eastAsia="Times New Roman" w:hAnsi="Times New Roman" w:cs="Times New Roman"/>
          <w:sz w:val="24"/>
          <w:szCs w:val="24"/>
          <w:lang w:val="en-US"/>
        </w:rPr>
        <w:t>And</w:t>
      </w:r>
      <w:proofErr w:type="gramEnd"/>
      <w:r w:rsidRPr="005766E8">
        <w:rPr>
          <w:rFonts w:ascii="Times New Roman" w:eastAsia="Times New Roman" w:hAnsi="Times New Roman" w:cs="Times New Roman"/>
          <w:sz w:val="24"/>
          <w:szCs w:val="24"/>
          <w:lang w:val="en-US"/>
        </w:rPr>
        <w:t xml:space="preserve"> according to </w:t>
      </w:r>
      <w:r w:rsidRPr="005766E8">
        <w:rPr>
          <w:rFonts w:ascii="Times New Roman" w:eastAsia="Times New Roman" w:hAnsi="Times New Roman" w:cs="Times New Roman"/>
          <w:b/>
          <w:sz w:val="24"/>
          <w:szCs w:val="24"/>
          <w:lang w:val="en-US"/>
        </w:rPr>
        <w:t>Article 6 of the Civil Code</w:t>
      </w:r>
      <w:r w:rsidRPr="005766E8">
        <w:rPr>
          <w:rFonts w:ascii="Times New Roman" w:eastAsia="Times New Roman" w:hAnsi="Times New Roman" w:cs="Times New Roman"/>
          <w:sz w:val="24"/>
          <w:szCs w:val="24"/>
          <w:lang w:val="en-US"/>
        </w:rPr>
        <w:t>, it shall be forbidden to exclude the rules of public policy by private agreement.</w:t>
      </w:r>
      <w:r w:rsidRPr="005766E8">
        <w:rPr>
          <w:rFonts w:ascii="Times New Roman" w:eastAsia="Times New Roman" w:hAnsi="Times New Roman" w:cs="Times New Roman"/>
          <w:b/>
          <w:sz w:val="24"/>
          <w:szCs w:val="24"/>
          <w:lang w:val="en-US"/>
        </w:rPr>
        <w:t xml:space="preserve"> </w:t>
      </w:r>
      <w:r w:rsidRPr="005766E8">
        <w:rPr>
          <w:rFonts w:ascii="Times New Roman" w:eastAsia="Times New Roman" w:hAnsi="Times New Roman" w:cs="Times New Roman"/>
          <w:iCs/>
          <w:color w:val="333333"/>
          <w:sz w:val="24"/>
          <w:szCs w:val="24"/>
          <w:bdr w:val="none" w:sz="0" w:space="0" w:color="auto" w:frame="1"/>
          <w:lang w:val="en-US"/>
        </w:rPr>
        <w:t xml:space="preserve">Rules of public policy </w:t>
      </w:r>
      <w:proofErr w:type="gramStart"/>
      <w:r w:rsidRPr="005766E8">
        <w:rPr>
          <w:rFonts w:ascii="Times New Roman" w:eastAsia="Times New Roman" w:hAnsi="Times New Roman" w:cs="Times New Roman"/>
          <w:iCs/>
          <w:color w:val="333333"/>
          <w:sz w:val="24"/>
          <w:szCs w:val="24"/>
          <w:bdr w:val="none" w:sz="0" w:space="0" w:color="auto" w:frame="1"/>
          <w:lang w:val="en-US"/>
        </w:rPr>
        <w:t>need not be expressly stated</w:t>
      </w:r>
      <w:proofErr w:type="gramEnd"/>
      <w:r w:rsidRPr="005766E8">
        <w:rPr>
          <w:rFonts w:ascii="Times New Roman" w:eastAsia="Times New Roman" w:hAnsi="Times New Roman" w:cs="Times New Roman"/>
          <w:iCs/>
          <w:color w:val="333333"/>
          <w:sz w:val="24"/>
          <w:szCs w:val="24"/>
          <w:bdr w:val="none" w:sz="0" w:space="0" w:color="auto" w:frame="1"/>
          <w:lang w:val="en-US"/>
        </w:rPr>
        <w:t>.</w:t>
      </w:r>
    </w:p>
    <w:p w14:paraId="113393AB" w14:textId="2C533E5E" w:rsidR="005766E8" w:rsidRPr="005766E8" w:rsidRDefault="005766E8" w:rsidP="005766E8">
      <w:pPr>
        <w:spacing w:line="360" w:lineRule="auto"/>
        <w:ind w:hanging="720"/>
        <w:jc w:val="both"/>
        <w:rPr>
          <w:rFonts w:ascii="Times New Roman" w:hAnsi="Times New Roman" w:cs="Times New Roman"/>
          <w:sz w:val="24"/>
          <w:szCs w:val="24"/>
          <w:lang w:val="en-US"/>
        </w:rPr>
      </w:pPr>
    </w:p>
    <w:p w14:paraId="02B4B8A7" w14:textId="77777777"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b/>
          <w:sz w:val="24"/>
          <w:szCs w:val="24"/>
          <w:lang w:val="en-US"/>
        </w:rPr>
      </w:pPr>
      <w:r w:rsidRPr="005766E8">
        <w:rPr>
          <w:rFonts w:ascii="Times New Roman" w:hAnsi="Times New Roman" w:cs="Times New Roman"/>
          <w:bCs/>
          <w:color w:val="000000" w:themeColor="text1"/>
          <w:sz w:val="24"/>
          <w:szCs w:val="24"/>
        </w:rPr>
        <w:lastRenderedPageBreak/>
        <w:t xml:space="preserve">Counsel cited two authorities of this Court which establish the principle that a court cannot </w:t>
      </w:r>
      <w:r w:rsidRPr="005766E8">
        <w:rPr>
          <w:rFonts w:ascii="Times New Roman" w:hAnsi="Times New Roman" w:cs="Times New Roman"/>
          <w:sz w:val="24"/>
          <w:szCs w:val="24"/>
          <w:lang w:val="en-US"/>
        </w:rPr>
        <w:t xml:space="preserve">endorse an agreement that is against public policy - </w:t>
      </w:r>
      <w:proofErr w:type="spellStart"/>
      <w:r w:rsidRPr="005766E8">
        <w:rPr>
          <w:rFonts w:ascii="Times New Roman" w:hAnsi="Times New Roman" w:cs="Times New Roman"/>
          <w:b/>
          <w:sz w:val="24"/>
          <w:szCs w:val="24"/>
          <w:lang w:val="en-US"/>
        </w:rPr>
        <w:t>Berard</w:t>
      </w:r>
      <w:proofErr w:type="spellEnd"/>
      <w:r w:rsidRPr="005766E8">
        <w:rPr>
          <w:rFonts w:ascii="Times New Roman" w:hAnsi="Times New Roman" w:cs="Times New Roman"/>
          <w:b/>
          <w:sz w:val="24"/>
          <w:szCs w:val="24"/>
          <w:lang w:val="en-US"/>
        </w:rPr>
        <w:t xml:space="preserve"> Monthy vs. Alex </w:t>
      </w:r>
      <w:proofErr w:type="spellStart"/>
      <w:r w:rsidRPr="005766E8">
        <w:rPr>
          <w:rFonts w:ascii="Times New Roman" w:hAnsi="Times New Roman" w:cs="Times New Roman"/>
          <w:b/>
          <w:sz w:val="24"/>
          <w:szCs w:val="24"/>
          <w:lang w:val="en-US"/>
        </w:rPr>
        <w:t>Buron</w:t>
      </w:r>
      <w:proofErr w:type="spellEnd"/>
      <w:r w:rsidRPr="005766E8">
        <w:rPr>
          <w:b/>
          <w:vertAlign w:val="superscript"/>
          <w:lang w:val="en-US"/>
        </w:rPr>
        <w:footnoteReference w:id="2"/>
      </w:r>
      <w:r w:rsidRPr="005766E8">
        <w:rPr>
          <w:rFonts w:ascii="Times New Roman" w:hAnsi="Times New Roman" w:cs="Times New Roman"/>
          <w:b/>
          <w:sz w:val="24"/>
          <w:szCs w:val="24"/>
          <w:lang w:val="en-US"/>
        </w:rPr>
        <w:t xml:space="preserve"> </w:t>
      </w:r>
      <w:r w:rsidRPr="005766E8">
        <w:rPr>
          <w:rFonts w:ascii="Times New Roman" w:hAnsi="Times New Roman" w:cs="Times New Roman"/>
          <w:sz w:val="24"/>
          <w:szCs w:val="24"/>
          <w:lang w:val="en-US"/>
        </w:rPr>
        <w:t>and a most recent case</w:t>
      </w:r>
      <w:r w:rsidRPr="005766E8">
        <w:rPr>
          <w:rFonts w:ascii="Times New Roman" w:hAnsi="Times New Roman" w:cs="Times New Roman"/>
          <w:b/>
          <w:sz w:val="24"/>
          <w:szCs w:val="24"/>
          <w:lang w:val="en-US"/>
        </w:rPr>
        <w:t xml:space="preserve"> </w:t>
      </w:r>
      <w:r w:rsidRPr="005766E8">
        <w:rPr>
          <w:rFonts w:ascii="Times New Roman" w:eastAsia="Times New Roman" w:hAnsi="Times New Roman" w:cs="Times New Roman"/>
          <w:b/>
          <w:color w:val="000000"/>
          <w:kern w:val="36"/>
          <w:sz w:val="24"/>
          <w:szCs w:val="24"/>
          <w:lang w:val="en-US"/>
        </w:rPr>
        <w:t xml:space="preserve">DF Project Properties (Pty) Ltd vs. </w:t>
      </w:r>
      <w:proofErr w:type="spellStart"/>
      <w:r w:rsidRPr="005766E8">
        <w:rPr>
          <w:rFonts w:ascii="Times New Roman" w:eastAsia="Times New Roman" w:hAnsi="Times New Roman" w:cs="Times New Roman"/>
          <w:b/>
          <w:color w:val="000000"/>
          <w:kern w:val="36"/>
          <w:sz w:val="24"/>
          <w:szCs w:val="24"/>
          <w:lang w:val="en-US"/>
        </w:rPr>
        <w:t>Fregate</w:t>
      </w:r>
      <w:proofErr w:type="spellEnd"/>
      <w:r w:rsidRPr="005766E8">
        <w:rPr>
          <w:rFonts w:ascii="Times New Roman" w:eastAsia="Times New Roman" w:hAnsi="Times New Roman" w:cs="Times New Roman"/>
          <w:b/>
          <w:color w:val="000000"/>
          <w:kern w:val="36"/>
          <w:sz w:val="24"/>
          <w:szCs w:val="24"/>
          <w:lang w:val="en-US"/>
        </w:rPr>
        <w:t xml:space="preserve"> Island </w:t>
      </w:r>
      <w:proofErr w:type="spellStart"/>
      <w:r w:rsidRPr="005766E8">
        <w:rPr>
          <w:rFonts w:ascii="Times New Roman" w:eastAsia="Times New Roman" w:hAnsi="Times New Roman" w:cs="Times New Roman"/>
          <w:b/>
          <w:color w:val="000000"/>
          <w:kern w:val="36"/>
          <w:sz w:val="24"/>
          <w:szCs w:val="24"/>
          <w:lang w:val="en-US"/>
        </w:rPr>
        <w:t>Pvt</w:t>
      </w:r>
      <w:proofErr w:type="spellEnd"/>
      <w:r w:rsidRPr="005766E8">
        <w:rPr>
          <w:rFonts w:ascii="Times New Roman" w:eastAsia="Times New Roman" w:hAnsi="Times New Roman" w:cs="Times New Roman"/>
          <w:b/>
          <w:color w:val="000000"/>
          <w:kern w:val="36"/>
          <w:sz w:val="24"/>
          <w:szCs w:val="24"/>
          <w:lang w:val="en-US"/>
        </w:rPr>
        <w:t xml:space="preserve"> Limited</w:t>
      </w:r>
      <w:r w:rsidRPr="005766E8">
        <w:rPr>
          <w:rFonts w:eastAsia="Times New Roman"/>
          <w:b/>
          <w:color w:val="000000"/>
          <w:kern w:val="36"/>
          <w:vertAlign w:val="superscript"/>
          <w:lang w:val="en-US"/>
        </w:rPr>
        <w:footnoteReference w:id="3"/>
      </w:r>
      <w:r w:rsidRPr="005766E8">
        <w:rPr>
          <w:rFonts w:ascii="Times New Roman" w:eastAsia="Times New Roman" w:hAnsi="Times New Roman" w:cs="Times New Roman"/>
          <w:b/>
          <w:color w:val="000000"/>
          <w:kern w:val="36"/>
          <w:sz w:val="24"/>
          <w:szCs w:val="24"/>
          <w:lang w:val="en-US"/>
        </w:rPr>
        <w:t xml:space="preserve"> </w:t>
      </w:r>
      <w:r w:rsidRPr="005766E8">
        <w:rPr>
          <w:rFonts w:ascii="Times New Roman" w:hAnsi="Times New Roman" w:cs="Times New Roman"/>
          <w:sz w:val="24"/>
          <w:szCs w:val="24"/>
          <w:lang w:val="en-US"/>
        </w:rPr>
        <w:t xml:space="preserve">In </w:t>
      </w:r>
      <w:proofErr w:type="spellStart"/>
      <w:r w:rsidRPr="005766E8">
        <w:rPr>
          <w:rFonts w:ascii="Times New Roman" w:hAnsi="Times New Roman" w:cs="Times New Roman"/>
          <w:b/>
          <w:sz w:val="24"/>
          <w:szCs w:val="24"/>
          <w:lang w:val="en-US"/>
        </w:rPr>
        <w:t>Berard</w:t>
      </w:r>
      <w:proofErr w:type="spellEnd"/>
      <w:r w:rsidRPr="005766E8">
        <w:rPr>
          <w:rFonts w:ascii="Times New Roman" w:hAnsi="Times New Roman" w:cs="Times New Roman"/>
          <w:b/>
          <w:sz w:val="24"/>
          <w:szCs w:val="24"/>
          <w:lang w:val="en-US"/>
        </w:rPr>
        <w:t xml:space="preserve"> Monthy vs. Alex </w:t>
      </w:r>
      <w:proofErr w:type="spellStart"/>
      <w:r w:rsidRPr="005766E8">
        <w:rPr>
          <w:rFonts w:ascii="Times New Roman" w:hAnsi="Times New Roman" w:cs="Times New Roman"/>
          <w:b/>
          <w:sz w:val="24"/>
          <w:szCs w:val="24"/>
          <w:lang w:val="en-US"/>
        </w:rPr>
        <w:t>Buron</w:t>
      </w:r>
      <w:proofErr w:type="spellEnd"/>
      <w:r w:rsidRPr="005766E8">
        <w:rPr>
          <w:b/>
          <w:vertAlign w:val="superscript"/>
          <w:lang w:val="en-US"/>
        </w:rPr>
        <w:footnoteReference w:id="4"/>
      </w:r>
      <w:r w:rsidRPr="005766E8">
        <w:rPr>
          <w:rFonts w:ascii="Times New Roman" w:hAnsi="Times New Roman" w:cs="Times New Roman"/>
          <w:b/>
          <w:sz w:val="24"/>
          <w:szCs w:val="24"/>
          <w:lang w:val="en-US"/>
        </w:rPr>
        <w:t xml:space="preserve">  </w:t>
      </w:r>
      <w:r w:rsidRPr="005766E8">
        <w:rPr>
          <w:rFonts w:ascii="Times New Roman" w:hAnsi="Times New Roman" w:cs="Times New Roman"/>
          <w:sz w:val="24"/>
          <w:szCs w:val="24"/>
          <w:lang w:val="en-US"/>
        </w:rPr>
        <w:t>Twomey, JA said:</w:t>
      </w:r>
    </w:p>
    <w:p w14:paraId="6A1C949D" w14:textId="60BF9022" w:rsidR="005766E8" w:rsidRDefault="005766E8" w:rsidP="00F1583F">
      <w:pPr>
        <w:pStyle w:val="ListParagraph"/>
        <w:spacing w:after="240" w:line="360" w:lineRule="auto"/>
        <w:ind w:left="1440" w:right="720"/>
        <w:jc w:val="both"/>
        <w:rPr>
          <w:rFonts w:ascii="Times New Roman" w:eastAsia="Times New Roman" w:hAnsi="Times New Roman" w:cs="Times New Roman"/>
          <w:b/>
          <w:i/>
          <w:sz w:val="24"/>
          <w:szCs w:val="24"/>
        </w:rPr>
      </w:pPr>
      <w:r w:rsidRPr="005766E8">
        <w:rPr>
          <w:rFonts w:ascii="Times New Roman" w:eastAsia="Times New Roman" w:hAnsi="Times New Roman" w:cs="Times New Roman"/>
          <w:b/>
          <w:sz w:val="24"/>
          <w:szCs w:val="24"/>
        </w:rPr>
        <w:t xml:space="preserve">A Court cannot endorse an agreement that is against public policy. The rule is contained in the maxim of </w:t>
      </w:r>
      <w:r w:rsidRPr="005766E8">
        <w:rPr>
          <w:rFonts w:ascii="Times New Roman" w:eastAsia="Times New Roman" w:hAnsi="Times New Roman" w:cs="Times New Roman"/>
          <w:b/>
          <w:i/>
          <w:sz w:val="24"/>
          <w:szCs w:val="24"/>
        </w:rPr>
        <w:t xml:space="preserve">ex </w:t>
      </w:r>
      <w:proofErr w:type="spellStart"/>
      <w:r w:rsidRPr="005766E8">
        <w:rPr>
          <w:rFonts w:ascii="Times New Roman" w:eastAsia="Times New Roman" w:hAnsi="Times New Roman" w:cs="Times New Roman"/>
          <w:b/>
          <w:i/>
          <w:sz w:val="24"/>
          <w:szCs w:val="24"/>
        </w:rPr>
        <w:t>turpi</w:t>
      </w:r>
      <w:proofErr w:type="spellEnd"/>
      <w:r w:rsidRPr="005766E8">
        <w:rPr>
          <w:rFonts w:ascii="Times New Roman" w:eastAsia="Times New Roman" w:hAnsi="Times New Roman" w:cs="Times New Roman"/>
          <w:b/>
          <w:i/>
          <w:sz w:val="24"/>
          <w:szCs w:val="24"/>
        </w:rPr>
        <w:t xml:space="preserve"> </w:t>
      </w:r>
      <w:proofErr w:type="gramStart"/>
      <w:r w:rsidRPr="005766E8">
        <w:rPr>
          <w:rFonts w:ascii="Times New Roman" w:eastAsia="Times New Roman" w:hAnsi="Times New Roman" w:cs="Times New Roman"/>
          <w:b/>
          <w:i/>
          <w:sz w:val="24"/>
          <w:szCs w:val="24"/>
        </w:rPr>
        <w:t>causa</w:t>
      </w:r>
      <w:r w:rsidRPr="005766E8">
        <w:rPr>
          <w:rFonts w:ascii="Times New Roman" w:eastAsia="Times New Roman" w:hAnsi="Times New Roman" w:cs="Times New Roman"/>
          <w:b/>
          <w:sz w:val="24"/>
          <w:szCs w:val="24"/>
        </w:rPr>
        <w:t xml:space="preserve"> which</w:t>
      </w:r>
      <w:proofErr w:type="gramEnd"/>
      <w:r w:rsidRPr="005766E8">
        <w:rPr>
          <w:rFonts w:ascii="Times New Roman" w:eastAsia="Times New Roman" w:hAnsi="Times New Roman" w:cs="Times New Roman"/>
          <w:b/>
          <w:sz w:val="24"/>
          <w:szCs w:val="24"/>
        </w:rPr>
        <w:t xml:space="preserve"> is also a concept known to the English common law. In </w:t>
      </w:r>
      <w:r w:rsidRPr="005766E8">
        <w:rPr>
          <w:rFonts w:ascii="Times New Roman" w:eastAsia="Times New Roman" w:hAnsi="Times New Roman" w:cs="Times New Roman"/>
          <w:b/>
          <w:i/>
          <w:sz w:val="24"/>
          <w:szCs w:val="24"/>
        </w:rPr>
        <w:t>Euro-</w:t>
      </w:r>
      <w:proofErr w:type="spellStart"/>
      <w:r w:rsidRPr="005766E8">
        <w:rPr>
          <w:rFonts w:ascii="Times New Roman" w:eastAsia="Times New Roman" w:hAnsi="Times New Roman" w:cs="Times New Roman"/>
          <w:b/>
          <w:i/>
          <w:sz w:val="24"/>
          <w:szCs w:val="24"/>
        </w:rPr>
        <w:t>Diam</w:t>
      </w:r>
      <w:proofErr w:type="spellEnd"/>
      <w:r w:rsidRPr="005766E8">
        <w:rPr>
          <w:rFonts w:ascii="Times New Roman" w:eastAsia="Times New Roman" w:hAnsi="Times New Roman" w:cs="Times New Roman"/>
          <w:b/>
          <w:i/>
          <w:sz w:val="24"/>
          <w:szCs w:val="24"/>
        </w:rPr>
        <w:t xml:space="preserve"> Ltd v Bathurst</w:t>
      </w:r>
      <w:r w:rsidRPr="005766E8">
        <w:rPr>
          <w:rFonts w:ascii="Times New Roman" w:eastAsia="Times New Roman" w:hAnsi="Times New Roman" w:cs="Times New Roman"/>
          <w:b/>
          <w:sz w:val="24"/>
          <w:szCs w:val="24"/>
        </w:rPr>
        <w:t xml:space="preserve"> [1990] 1 QB 1, the Court of Appeal held that “</w:t>
      </w:r>
      <w:r w:rsidRPr="005766E8">
        <w:rPr>
          <w:rFonts w:ascii="Times New Roman" w:eastAsia="Times New Roman" w:hAnsi="Times New Roman" w:cs="Times New Roman"/>
          <w:b/>
          <w:i/>
          <w:sz w:val="24"/>
          <w:szCs w:val="24"/>
        </w:rPr>
        <w:t xml:space="preserve">The ex </w:t>
      </w:r>
      <w:proofErr w:type="spellStart"/>
      <w:r w:rsidRPr="005766E8">
        <w:rPr>
          <w:rFonts w:ascii="Times New Roman" w:eastAsia="Times New Roman" w:hAnsi="Times New Roman" w:cs="Times New Roman"/>
          <w:b/>
          <w:i/>
          <w:sz w:val="24"/>
          <w:szCs w:val="24"/>
        </w:rPr>
        <w:t>turpi</w:t>
      </w:r>
      <w:proofErr w:type="spellEnd"/>
      <w:r w:rsidRPr="005766E8">
        <w:rPr>
          <w:rFonts w:ascii="Times New Roman" w:eastAsia="Times New Roman" w:hAnsi="Times New Roman" w:cs="Times New Roman"/>
          <w:b/>
          <w:i/>
          <w:sz w:val="24"/>
          <w:szCs w:val="24"/>
        </w:rPr>
        <w:t xml:space="preserve"> causa defence ultimately rests on a principle of public policy that </w:t>
      </w:r>
      <w:r w:rsidRPr="005766E8">
        <w:rPr>
          <w:rFonts w:ascii="Times New Roman" w:eastAsia="Times New Roman" w:hAnsi="Times New Roman" w:cs="Times New Roman"/>
          <w:b/>
          <w:i/>
          <w:sz w:val="24"/>
          <w:szCs w:val="24"/>
          <w:u w:val="single"/>
        </w:rPr>
        <w:t xml:space="preserve">the courts will not assist a plaintiff who has been guilty of illegal (or immoral) conduct </w:t>
      </w:r>
      <w:r w:rsidRPr="005766E8">
        <w:rPr>
          <w:rFonts w:ascii="Times New Roman" w:eastAsia="Times New Roman" w:hAnsi="Times New Roman" w:cs="Times New Roman"/>
          <w:b/>
          <w:i/>
          <w:sz w:val="24"/>
          <w:szCs w:val="24"/>
        </w:rPr>
        <w:t xml:space="preserve">of which the courts should take notice. It applies if in all the circumstances it would be </w:t>
      </w:r>
      <w:r w:rsidRPr="005766E8">
        <w:rPr>
          <w:rFonts w:ascii="Times New Roman" w:eastAsia="Times New Roman" w:hAnsi="Times New Roman" w:cs="Times New Roman"/>
          <w:b/>
          <w:i/>
          <w:sz w:val="24"/>
          <w:szCs w:val="24"/>
          <w:u w:val="single"/>
        </w:rPr>
        <w:t xml:space="preserve">an affront to the public conscience to grant the plaintiff the </w:t>
      </w:r>
      <w:proofErr w:type="gramStart"/>
      <w:r w:rsidRPr="005766E8">
        <w:rPr>
          <w:rFonts w:ascii="Times New Roman" w:eastAsia="Times New Roman" w:hAnsi="Times New Roman" w:cs="Times New Roman"/>
          <w:b/>
          <w:i/>
          <w:sz w:val="24"/>
          <w:szCs w:val="24"/>
          <w:u w:val="single"/>
        </w:rPr>
        <w:t>relief which</w:t>
      </w:r>
      <w:proofErr w:type="gramEnd"/>
      <w:r w:rsidRPr="005766E8">
        <w:rPr>
          <w:rFonts w:ascii="Times New Roman" w:eastAsia="Times New Roman" w:hAnsi="Times New Roman" w:cs="Times New Roman"/>
          <w:b/>
          <w:i/>
          <w:sz w:val="24"/>
          <w:szCs w:val="24"/>
          <w:u w:val="single"/>
        </w:rPr>
        <w:t xml:space="preserve"> he seeks because the court would thereby appear to assist or encourage the plaintiff in his illegal conduct</w:t>
      </w:r>
      <w:r w:rsidRPr="005766E8">
        <w:rPr>
          <w:rFonts w:ascii="Times New Roman" w:eastAsia="Times New Roman" w:hAnsi="Times New Roman" w:cs="Times New Roman"/>
          <w:b/>
          <w:i/>
          <w:sz w:val="24"/>
          <w:szCs w:val="24"/>
        </w:rPr>
        <w:t xml:space="preserve"> or to encourage others in similar acts. </w:t>
      </w:r>
    </w:p>
    <w:p w14:paraId="30094005" w14:textId="77777777" w:rsidR="00F1583F" w:rsidRPr="005766E8" w:rsidRDefault="00F1583F" w:rsidP="00F1583F">
      <w:pPr>
        <w:pStyle w:val="ListParagraph"/>
        <w:spacing w:after="240" w:line="360" w:lineRule="auto"/>
        <w:ind w:left="1440" w:right="720"/>
        <w:jc w:val="both"/>
        <w:rPr>
          <w:rFonts w:ascii="Times New Roman" w:eastAsia="Times New Roman" w:hAnsi="Times New Roman" w:cs="Times New Roman"/>
          <w:b/>
          <w:i/>
          <w:sz w:val="24"/>
          <w:szCs w:val="24"/>
        </w:rPr>
      </w:pPr>
    </w:p>
    <w:p w14:paraId="27FD2221" w14:textId="371BD321" w:rsidR="00F1583F" w:rsidRPr="00F1583F" w:rsidRDefault="005766E8" w:rsidP="008C3CC6">
      <w:pPr>
        <w:pStyle w:val="ListParagraph"/>
        <w:numPr>
          <w:ilvl w:val="0"/>
          <w:numId w:val="39"/>
        </w:numPr>
        <w:spacing w:after="240" w:line="360" w:lineRule="auto"/>
        <w:ind w:hanging="720"/>
        <w:jc w:val="both"/>
        <w:rPr>
          <w:rFonts w:ascii="Times New Roman" w:eastAsia="Times New Roman" w:hAnsi="Times New Roman" w:cs="Times New Roman"/>
          <w:i/>
          <w:color w:val="333333"/>
          <w:sz w:val="24"/>
          <w:szCs w:val="24"/>
          <w:lang w:val="en-US"/>
        </w:rPr>
      </w:pPr>
      <w:r w:rsidRPr="00F1583F">
        <w:rPr>
          <w:rFonts w:ascii="Times New Roman" w:eastAsia="Times New Roman" w:hAnsi="Times New Roman" w:cs="Times New Roman"/>
          <w:sz w:val="24"/>
          <w:szCs w:val="24"/>
        </w:rPr>
        <w:t>Twomey, JA was emphatic that,</w:t>
      </w:r>
      <w:r w:rsidRPr="00F1583F">
        <w:rPr>
          <w:rFonts w:ascii="Times New Roman" w:eastAsia="Times New Roman" w:hAnsi="Times New Roman" w:cs="Times New Roman"/>
          <w:i/>
          <w:sz w:val="24"/>
          <w:szCs w:val="24"/>
        </w:rPr>
        <w:t xml:space="preserve"> the Court </w:t>
      </w:r>
      <w:proofErr w:type="gramStart"/>
      <w:r w:rsidRPr="00F1583F">
        <w:rPr>
          <w:rFonts w:ascii="Times New Roman" w:eastAsia="Times New Roman" w:hAnsi="Times New Roman" w:cs="Times New Roman"/>
          <w:i/>
          <w:sz w:val="24"/>
          <w:szCs w:val="24"/>
        </w:rPr>
        <w:t>would not be drawn</w:t>
      </w:r>
      <w:proofErr w:type="gramEnd"/>
      <w:r w:rsidRPr="00F1583F">
        <w:rPr>
          <w:rFonts w:ascii="Times New Roman" w:eastAsia="Times New Roman" w:hAnsi="Times New Roman" w:cs="Times New Roman"/>
          <w:i/>
          <w:sz w:val="24"/>
          <w:szCs w:val="24"/>
        </w:rPr>
        <w:t xml:space="preserve"> into considering the merits and demerits of a contract</w:t>
      </w:r>
      <w:r w:rsidR="00F1583F">
        <w:rPr>
          <w:rFonts w:ascii="Times New Roman" w:eastAsia="Times New Roman" w:hAnsi="Times New Roman" w:cs="Times New Roman"/>
          <w:i/>
          <w:sz w:val="24"/>
          <w:szCs w:val="24"/>
        </w:rPr>
        <w:t xml:space="preserve"> that is against public policy.</w:t>
      </w:r>
    </w:p>
    <w:p w14:paraId="417F73F4" w14:textId="77777777" w:rsidR="00F1583F" w:rsidRPr="00F1583F" w:rsidRDefault="00F1583F" w:rsidP="00F1583F">
      <w:pPr>
        <w:pStyle w:val="ListParagraph"/>
        <w:spacing w:after="240" w:line="360" w:lineRule="auto"/>
        <w:jc w:val="both"/>
        <w:rPr>
          <w:rFonts w:ascii="Times New Roman" w:eastAsia="Times New Roman" w:hAnsi="Times New Roman" w:cs="Times New Roman"/>
          <w:i/>
          <w:color w:val="333333"/>
          <w:sz w:val="24"/>
          <w:szCs w:val="24"/>
          <w:lang w:val="en-US"/>
        </w:rPr>
      </w:pPr>
    </w:p>
    <w:p w14:paraId="37D75A52" w14:textId="0EC47D05" w:rsidR="005766E8" w:rsidRPr="00F1583F" w:rsidRDefault="005766E8" w:rsidP="008C3CC6">
      <w:pPr>
        <w:pStyle w:val="ListParagraph"/>
        <w:numPr>
          <w:ilvl w:val="0"/>
          <w:numId w:val="39"/>
        </w:numPr>
        <w:spacing w:after="240" w:line="360" w:lineRule="auto"/>
        <w:ind w:hanging="720"/>
        <w:jc w:val="both"/>
        <w:rPr>
          <w:rFonts w:ascii="Times New Roman" w:eastAsia="Times New Roman" w:hAnsi="Times New Roman" w:cs="Times New Roman"/>
          <w:i/>
          <w:color w:val="333333"/>
          <w:sz w:val="24"/>
          <w:szCs w:val="24"/>
          <w:lang w:val="en-US"/>
        </w:rPr>
      </w:pPr>
      <w:r w:rsidRPr="00F1583F">
        <w:rPr>
          <w:rFonts w:ascii="Times New Roman" w:eastAsia="Times New Roman" w:hAnsi="Times New Roman" w:cs="Times New Roman"/>
          <w:b/>
          <w:color w:val="000000"/>
          <w:kern w:val="36"/>
          <w:sz w:val="24"/>
          <w:szCs w:val="24"/>
          <w:lang w:val="en-US"/>
        </w:rPr>
        <w:t xml:space="preserve">In DF Project Properties (Pty) Ltd vs. </w:t>
      </w:r>
      <w:proofErr w:type="spellStart"/>
      <w:r w:rsidRPr="00F1583F">
        <w:rPr>
          <w:rFonts w:ascii="Times New Roman" w:eastAsia="Times New Roman" w:hAnsi="Times New Roman" w:cs="Times New Roman"/>
          <w:b/>
          <w:color w:val="000000"/>
          <w:kern w:val="36"/>
          <w:sz w:val="24"/>
          <w:szCs w:val="24"/>
          <w:lang w:val="en-US"/>
        </w:rPr>
        <w:t>Fregate</w:t>
      </w:r>
      <w:proofErr w:type="spellEnd"/>
      <w:r w:rsidRPr="00F1583F">
        <w:rPr>
          <w:rFonts w:ascii="Times New Roman" w:eastAsia="Times New Roman" w:hAnsi="Times New Roman" w:cs="Times New Roman"/>
          <w:b/>
          <w:color w:val="000000"/>
          <w:kern w:val="36"/>
          <w:sz w:val="24"/>
          <w:szCs w:val="24"/>
          <w:lang w:val="en-US"/>
        </w:rPr>
        <w:t xml:space="preserve"> Island </w:t>
      </w:r>
      <w:proofErr w:type="spellStart"/>
      <w:r w:rsidRPr="00F1583F">
        <w:rPr>
          <w:rFonts w:ascii="Times New Roman" w:eastAsia="Times New Roman" w:hAnsi="Times New Roman" w:cs="Times New Roman"/>
          <w:b/>
          <w:color w:val="000000"/>
          <w:kern w:val="36"/>
          <w:sz w:val="24"/>
          <w:szCs w:val="24"/>
          <w:lang w:val="en-US"/>
        </w:rPr>
        <w:t>Pvt</w:t>
      </w:r>
      <w:proofErr w:type="spellEnd"/>
      <w:r w:rsidRPr="00F1583F">
        <w:rPr>
          <w:rFonts w:ascii="Times New Roman" w:eastAsia="Times New Roman" w:hAnsi="Times New Roman" w:cs="Times New Roman"/>
          <w:b/>
          <w:color w:val="000000"/>
          <w:kern w:val="36"/>
          <w:sz w:val="24"/>
          <w:szCs w:val="24"/>
          <w:lang w:val="en-US"/>
        </w:rPr>
        <w:t xml:space="preserve"> Limited (supra)</w:t>
      </w:r>
      <w:r w:rsidRPr="00F1583F">
        <w:rPr>
          <w:rFonts w:ascii="Times New Roman" w:hAnsi="Times New Roman" w:cs="Times New Roman"/>
          <w:b/>
          <w:sz w:val="24"/>
          <w:szCs w:val="24"/>
          <w:lang w:val="en-US"/>
        </w:rPr>
        <w:t xml:space="preserve"> </w:t>
      </w:r>
      <w:r w:rsidRPr="00F1583F">
        <w:rPr>
          <w:rFonts w:ascii="Times New Roman" w:eastAsia="Times New Roman" w:hAnsi="Times New Roman" w:cs="Times New Roman"/>
          <w:color w:val="333333"/>
          <w:sz w:val="24"/>
          <w:szCs w:val="24"/>
          <w:bdr w:val="none" w:sz="0" w:space="0" w:color="auto" w:frame="1"/>
          <w:lang w:val="en-US"/>
        </w:rPr>
        <w:t xml:space="preserve">Twomey, JA again affirmed that, </w:t>
      </w:r>
      <w:r w:rsidRPr="00F1583F">
        <w:rPr>
          <w:rFonts w:ascii="Times New Roman" w:eastAsia="Times New Roman" w:hAnsi="Times New Roman" w:cs="Times New Roman"/>
          <w:i/>
          <w:color w:val="333333"/>
          <w:sz w:val="24"/>
          <w:szCs w:val="24"/>
          <w:bdr w:val="none" w:sz="0" w:space="0" w:color="auto" w:frame="1"/>
          <w:lang w:val="en-US"/>
        </w:rPr>
        <w:t xml:space="preserve">it </w:t>
      </w:r>
      <w:proofErr w:type="gramStart"/>
      <w:r w:rsidRPr="00F1583F">
        <w:rPr>
          <w:rFonts w:ascii="Times New Roman" w:eastAsia="Times New Roman" w:hAnsi="Times New Roman" w:cs="Times New Roman"/>
          <w:i/>
          <w:color w:val="333333"/>
          <w:sz w:val="24"/>
          <w:szCs w:val="24"/>
          <w:bdr w:val="none" w:sz="0" w:space="0" w:color="auto" w:frame="1"/>
          <w:lang w:val="en-US"/>
        </w:rPr>
        <w:t>is settled</w:t>
      </w:r>
      <w:proofErr w:type="gramEnd"/>
      <w:r w:rsidRPr="00F1583F">
        <w:rPr>
          <w:rFonts w:ascii="Times New Roman" w:eastAsia="Times New Roman" w:hAnsi="Times New Roman" w:cs="Times New Roman"/>
          <w:i/>
          <w:color w:val="333333"/>
          <w:sz w:val="24"/>
          <w:szCs w:val="24"/>
          <w:bdr w:val="none" w:sz="0" w:space="0" w:color="auto" w:frame="1"/>
          <w:lang w:val="en-US"/>
        </w:rPr>
        <w:t xml:space="preserve"> jurisprudence that an agreement, whose object is contrary to law or public policy, would be invalid and its breaches would not be justiciable.</w:t>
      </w:r>
    </w:p>
    <w:p w14:paraId="089307F8" w14:textId="77777777" w:rsidR="00F1583F" w:rsidRPr="00F1583F" w:rsidRDefault="00F1583F" w:rsidP="00F1583F">
      <w:pPr>
        <w:pStyle w:val="ListParagraph"/>
        <w:rPr>
          <w:rFonts w:ascii="Times New Roman" w:eastAsia="Times New Roman" w:hAnsi="Times New Roman" w:cs="Times New Roman"/>
          <w:i/>
          <w:color w:val="333333"/>
          <w:sz w:val="24"/>
          <w:szCs w:val="24"/>
          <w:lang w:val="en-US"/>
        </w:rPr>
      </w:pPr>
    </w:p>
    <w:p w14:paraId="22FCEF41" w14:textId="77777777" w:rsidR="00F1583F" w:rsidRPr="00F1583F" w:rsidRDefault="00F1583F" w:rsidP="00F1583F">
      <w:pPr>
        <w:pStyle w:val="ListParagraph"/>
        <w:spacing w:after="240" w:line="360" w:lineRule="auto"/>
        <w:jc w:val="both"/>
        <w:rPr>
          <w:rFonts w:ascii="Times New Roman" w:eastAsia="Times New Roman" w:hAnsi="Times New Roman" w:cs="Times New Roman"/>
          <w:i/>
          <w:color w:val="333333"/>
          <w:sz w:val="4"/>
          <w:szCs w:val="4"/>
          <w:lang w:val="en-US"/>
        </w:rPr>
      </w:pPr>
    </w:p>
    <w:p w14:paraId="28C14184" w14:textId="7D117C14"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Counsel for the appellant concluded that regarding the matter before us, once the Trial Judge had made a finding that the contract was against public policy, he could not thereafter award damages.</w:t>
      </w:r>
    </w:p>
    <w:p w14:paraId="22D20540" w14:textId="77777777" w:rsidR="00F1583F" w:rsidRPr="00F1583F" w:rsidRDefault="00F1583F" w:rsidP="00F1583F">
      <w:pPr>
        <w:pStyle w:val="ListParagraph"/>
        <w:spacing w:line="360" w:lineRule="auto"/>
        <w:jc w:val="both"/>
        <w:rPr>
          <w:rFonts w:ascii="Times New Roman" w:hAnsi="Times New Roman" w:cs="Times New Roman"/>
          <w:sz w:val="16"/>
          <w:szCs w:val="16"/>
          <w:lang w:val="en-US"/>
        </w:rPr>
      </w:pPr>
    </w:p>
    <w:p w14:paraId="18FB3B6C" w14:textId="7DC80597" w:rsidR="005766E8" w:rsidRDefault="005766E8" w:rsidP="005766E8">
      <w:pPr>
        <w:pStyle w:val="ListParagraph"/>
        <w:numPr>
          <w:ilvl w:val="0"/>
          <w:numId w:val="39"/>
        </w:numPr>
        <w:spacing w:line="360" w:lineRule="auto"/>
        <w:ind w:hanging="720"/>
        <w:jc w:val="both"/>
        <w:rPr>
          <w:rFonts w:ascii="Times New Roman" w:hAnsi="Times New Roman" w:cs="Times New Roman"/>
          <w:color w:val="000000" w:themeColor="text1"/>
          <w:sz w:val="24"/>
          <w:szCs w:val="24"/>
          <w:lang w:val="en-US"/>
        </w:rPr>
      </w:pPr>
      <w:r w:rsidRPr="005766E8">
        <w:rPr>
          <w:rFonts w:ascii="Times New Roman" w:hAnsi="Times New Roman" w:cs="Times New Roman"/>
          <w:sz w:val="24"/>
          <w:szCs w:val="24"/>
          <w:lang w:val="en-US"/>
        </w:rPr>
        <w:t xml:space="preserve">I have no doubt in my mind that courts are averse to </w:t>
      </w:r>
      <w:r w:rsidRPr="005766E8">
        <w:rPr>
          <w:rFonts w:ascii="Times New Roman" w:hAnsi="Times New Roman" w:cs="Times New Roman"/>
          <w:color w:val="000000" w:themeColor="text1"/>
          <w:sz w:val="24"/>
          <w:szCs w:val="24"/>
          <w:lang w:val="en-US"/>
        </w:rPr>
        <w:t>lending their aid to a contract against public policy</w:t>
      </w:r>
      <w:r w:rsidRPr="005766E8">
        <w:rPr>
          <w:rFonts w:ascii="Times New Roman" w:hAnsi="Times New Roman" w:cs="Times New Roman"/>
          <w:sz w:val="24"/>
          <w:szCs w:val="24"/>
          <w:lang w:val="en-US"/>
        </w:rPr>
        <w:t xml:space="preserve"> and enabling an individual to gain from an illegal activity. </w:t>
      </w:r>
      <w:proofErr w:type="gramStart"/>
      <w:r w:rsidRPr="005766E8">
        <w:rPr>
          <w:rFonts w:ascii="Times New Roman" w:hAnsi="Times New Roman" w:cs="Times New Roman"/>
          <w:sz w:val="24"/>
          <w:szCs w:val="24"/>
          <w:lang w:val="en-US"/>
        </w:rPr>
        <w:t>However</w:t>
      </w:r>
      <w:proofErr w:type="gramEnd"/>
      <w:r w:rsidRPr="005766E8">
        <w:rPr>
          <w:rFonts w:ascii="Times New Roman" w:hAnsi="Times New Roman" w:cs="Times New Roman"/>
          <w:sz w:val="24"/>
          <w:szCs w:val="24"/>
          <w:lang w:val="en-US"/>
        </w:rPr>
        <w:t xml:space="preserve"> the case </w:t>
      </w:r>
      <w:r w:rsidRPr="005766E8">
        <w:rPr>
          <w:rFonts w:ascii="Times New Roman" w:hAnsi="Times New Roman" w:cs="Times New Roman"/>
          <w:sz w:val="24"/>
          <w:szCs w:val="24"/>
          <w:lang w:val="en-US"/>
        </w:rPr>
        <w:lastRenderedPageBreak/>
        <w:t>we are dealing with can be distinguished from the authorities cited by the appellant in support of his case. T</w:t>
      </w:r>
      <w:r w:rsidRPr="005766E8">
        <w:rPr>
          <w:rFonts w:ascii="Times New Roman" w:hAnsi="Times New Roman" w:cs="Times New Roman"/>
          <w:color w:val="000000" w:themeColor="text1"/>
          <w:sz w:val="24"/>
          <w:szCs w:val="24"/>
          <w:lang w:val="en-US"/>
        </w:rPr>
        <w:t>he said cases involved situations where both parties were aware of the illegality of the contract.</w:t>
      </w:r>
    </w:p>
    <w:p w14:paraId="50C5C754" w14:textId="77777777" w:rsidR="00F1583F" w:rsidRPr="00F1583F" w:rsidRDefault="00F1583F" w:rsidP="00F1583F">
      <w:pPr>
        <w:pStyle w:val="ListParagraph"/>
        <w:rPr>
          <w:rFonts w:ascii="Times New Roman" w:hAnsi="Times New Roman" w:cs="Times New Roman"/>
          <w:color w:val="000000" w:themeColor="text1"/>
          <w:sz w:val="24"/>
          <w:szCs w:val="24"/>
          <w:lang w:val="en-US"/>
        </w:rPr>
      </w:pPr>
    </w:p>
    <w:p w14:paraId="7923693C" w14:textId="7903396E" w:rsidR="005766E8" w:rsidRDefault="005766E8" w:rsidP="005766E8">
      <w:pPr>
        <w:pStyle w:val="ListParagraph"/>
        <w:numPr>
          <w:ilvl w:val="0"/>
          <w:numId w:val="39"/>
        </w:numPr>
        <w:spacing w:line="360" w:lineRule="auto"/>
        <w:ind w:hanging="720"/>
        <w:jc w:val="both"/>
        <w:rPr>
          <w:rFonts w:ascii="Times New Roman" w:hAnsi="Times New Roman" w:cs="Times New Roman"/>
          <w:sz w:val="24"/>
          <w:szCs w:val="24"/>
          <w:lang w:val="en-US"/>
        </w:rPr>
      </w:pPr>
      <w:r w:rsidRPr="005766E8">
        <w:rPr>
          <w:rFonts w:ascii="Times New Roman" w:hAnsi="Times New Roman" w:cs="Times New Roman"/>
          <w:sz w:val="24"/>
          <w:szCs w:val="24"/>
          <w:lang w:val="en-US"/>
        </w:rPr>
        <w:t xml:space="preserve">I consider the </w:t>
      </w:r>
      <w:r w:rsidRPr="005766E8">
        <w:rPr>
          <w:rFonts w:ascii="Times New Roman" w:hAnsi="Times New Roman" w:cs="Times New Roman"/>
          <w:b/>
          <w:sz w:val="24"/>
          <w:szCs w:val="24"/>
          <w:lang w:val="en-US"/>
        </w:rPr>
        <w:t xml:space="preserve">Monthy vs </w:t>
      </w:r>
      <w:proofErr w:type="spellStart"/>
      <w:r w:rsidRPr="005766E8">
        <w:rPr>
          <w:rFonts w:ascii="Times New Roman" w:hAnsi="Times New Roman" w:cs="Times New Roman"/>
          <w:b/>
          <w:sz w:val="24"/>
          <w:szCs w:val="24"/>
          <w:lang w:val="en-US"/>
        </w:rPr>
        <w:t>Buron</w:t>
      </w:r>
      <w:proofErr w:type="spellEnd"/>
      <w:r w:rsidRPr="005766E8">
        <w:rPr>
          <w:rFonts w:ascii="Times New Roman" w:hAnsi="Times New Roman" w:cs="Times New Roman"/>
          <w:b/>
          <w:sz w:val="24"/>
          <w:szCs w:val="24"/>
          <w:lang w:val="en-US"/>
        </w:rPr>
        <w:t xml:space="preserve"> (supra) </w:t>
      </w:r>
      <w:r w:rsidRPr="005766E8">
        <w:rPr>
          <w:rFonts w:ascii="Times New Roman" w:hAnsi="Times New Roman" w:cs="Times New Roman"/>
          <w:sz w:val="24"/>
          <w:szCs w:val="24"/>
          <w:lang w:val="en-US"/>
        </w:rPr>
        <w:t xml:space="preserve">appeal to be the </w:t>
      </w:r>
      <w:r w:rsidRPr="005766E8">
        <w:rPr>
          <w:rFonts w:ascii="Times New Roman" w:hAnsi="Times New Roman" w:cs="Times New Roman"/>
          <w:i/>
          <w:sz w:val="24"/>
          <w:szCs w:val="24"/>
          <w:lang w:val="en-US"/>
        </w:rPr>
        <w:t xml:space="preserve">locus </w:t>
      </w:r>
      <w:proofErr w:type="spellStart"/>
      <w:r w:rsidRPr="005766E8">
        <w:rPr>
          <w:rFonts w:ascii="Times New Roman" w:hAnsi="Times New Roman" w:cs="Times New Roman"/>
          <w:i/>
          <w:sz w:val="24"/>
          <w:szCs w:val="24"/>
          <w:lang w:val="en-US"/>
        </w:rPr>
        <w:t>classicus</w:t>
      </w:r>
      <w:proofErr w:type="spellEnd"/>
      <w:r w:rsidRPr="005766E8">
        <w:rPr>
          <w:rFonts w:ascii="Times New Roman" w:hAnsi="Times New Roman" w:cs="Times New Roman"/>
          <w:sz w:val="24"/>
          <w:szCs w:val="24"/>
          <w:lang w:val="en-US"/>
        </w:rPr>
        <w:t xml:space="preserve"> case on the principle that a court cannot enforce an </w:t>
      </w:r>
      <w:proofErr w:type="gramStart"/>
      <w:r w:rsidRPr="005766E8">
        <w:rPr>
          <w:rFonts w:ascii="Times New Roman" w:hAnsi="Times New Roman" w:cs="Times New Roman"/>
          <w:sz w:val="24"/>
          <w:szCs w:val="24"/>
          <w:lang w:val="en-US"/>
        </w:rPr>
        <w:t>agreement which</w:t>
      </w:r>
      <w:proofErr w:type="gramEnd"/>
      <w:r w:rsidRPr="005766E8">
        <w:rPr>
          <w:rFonts w:ascii="Times New Roman" w:hAnsi="Times New Roman" w:cs="Times New Roman"/>
          <w:sz w:val="24"/>
          <w:szCs w:val="24"/>
          <w:lang w:val="en-US"/>
        </w:rPr>
        <w:t xml:space="preserve"> is against public policy. </w:t>
      </w:r>
      <w:proofErr w:type="gramStart"/>
      <w:r w:rsidRPr="005766E8">
        <w:rPr>
          <w:rFonts w:ascii="Times New Roman" w:hAnsi="Times New Roman" w:cs="Times New Roman"/>
          <w:sz w:val="24"/>
          <w:szCs w:val="24"/>
          <w:lang w:val="en-US"/>
        </w:rPr>
        <w:t>And</w:t>
      </w:r>
      <w:proofErr w:type="gramEnd"/>
      <w:r w:rsidRPr="005766E8">
        <w:rPr>
          <w:rFonts w:ascii="Times New Roman" w:hAnsi="Times New Roman" w:cs="Times New Roman"/>
          <w:sz w:val="24"/>
          <w:szCs w:val="24"/>
          <w:lang w:val="en-US"/>
        </w:rPr>
        <w:t xml:space="preserve"> it is this case I have sighted rather extensively in this judgment. The facts of the case were that the Appellant entered into an agreement with the Respondent for the construction of a house at Gaza, </w:t>
      </w:r>
      <w:proofErr w:type="spellStart"/>
      <w:r w:rsidRPr="005766E8">
        <w:rPr>
          <w:rFonts w:ascii="Times New Roman" w:hAnsi="Times New Roman" w:cs="Times New Roman"/>
          <w:sz w:val="24"/>
          <w:szCs w:val="24"/>
          <w:lang w:val="en-US"/>
        </w:rPr>
        <w:t>Anse</w:t>
      </w:r>
      <w:proofErr w:type="spellEnd"/>
      <w:r w:rsidRPr="005766E8">
        <w:rPr>
          <w:rFonts w:ascii="Times New Roman" w:hAnsi="Times New Roman" w:cs="Times New Roman"/>
          <w:sz w:val="24"/>
          <w:szCs w:val="24"/>
          <w:lang w:val="en-US"/>
        </w:rPr>
        <w:t xml:space="preserve"> aux Pins, </w:t>
      </w:r>
      <w:proofErr w:type="spellStart"/>
      <w:r w:rsidRPr="005766E8">
        <w:rPr>
          <w:rFonts w:ascii="Times New Roman" w:hAnsi="Times New Roman" w:cs="Times New Roman"/>
          <w:sz w:val="24"/>
          <w:szCs w:val="24"/>
          <w:lang w:val="en-US"/>
        </w:rPr>
        <w:t>Mahé</w:t>
      </w:r>
      <w:proofErr w:type="spellEnd"/>
      <w:r w:rsidRPr="005766E8">
        <w:rPr>
          <w:rFonts w:ascii="Times New Roman" w:hAnsi="Times New Roman" w:cs="Times New Roman"/>
          <w:sz w:val="24"/>
          <w:szCs w:val="24"/>
          <w:lang w:val="en-US"/>
        </w:rPr>
        <w:t xml:space="preserve">. The agreement </w:t>
      </w:r>
      <w:proofErr w:type="gramStart"/>
      <w:r w:rsidRPr="005766E8">
        <w:rPr>
          <w:rFonts w:ascii="Times New Roman" w:hAnsi="Times New Roman" w:cs="Times New Roman"/>
          <w:sz w:val="24"/>
          <w:szCs w:val="24"/>
          <w:lang w:val="en-US"/>
        </w:rPr>
        <w:t>was evidenced</w:t>
      </w:r>
      <w:proofErr w:type="gramEnd"/>
      <w:r w:rsidRPr="005766E8">
        <w:rPr>
          <w:rFonts w:ascii="Times New Roman" w:hAnsi="Times New Roman" w:cs="Times New Roman"/>
          <w:sz w:val="24"/>
          <w:szCs w:val="24"/>
          <w:lang w:val="en-US"/>
        </w:rPr>
        <w:t xml:space="preserve"> by a quotation from the Appellant submitted by e-mail to the Respondent and accepted by the Respondent by fax.  It </w:t>
      </w:r>
      <w:proofErr w:type="gramStart"/>
      <w:r w:rsidRPr="005766E8">
        <w:rPr>
          <w:rFonts w:ascii="Times New Roman" w:hAnsi="Times New Roman" w:cs="Times New Roman"/>
          <w:sz w:val="24"/>
          <w:szCs w:val="24"/>
          <w:lang w:val="en-US"/>
        </w:rPr>
        <w:t>is not disputed</w:t>
      </w:r>
      <w:proofErr w:type="gramEnd"/>
      <w:r w:rsidRPr="005766E8">
        <w:rPr>
          <w:rFonts w:ascii="Times New Roman" w:hAnsi="Times New Roman" w:cs="Times New Roman"/>
          <w:sz w:val="24"/>
          <w:szCs w:val="24"/>
          <w:lang w:val="en-US"/>
        </w:rPr>
        <w:t xml:space="preserve"> that the contract price was SR 864,000.  A total of £33,000 was paid to the Appellant by the Respondent for the construction of the house at the date when the </w:t>
      </w:r>
      <w:proofErr w:type="gramStart"/>
      <w:r w:rsidRPr="005766E8">
        <w:rPr>
          <w:rFonts w:ascii="Times New Roman" w:hAnsi="Times New Roman" w:cs="Times New Roman"/>
          <w:sz w:val="24"/>
          <w:szCs w:val="24"/>
          <w:lang w:val="en-US"/>
        </w:rPr>
        <w:t>contract was unilaterally rescinded by the Appellant</w:t>
      </w:r>
      <w:proofErr w:type="gramEnd"/>
      <w:r w:rsidRPr="005766E8">
        <w:rPr>
          <w:rFonts w:ascii="Times New Roman" w:hAnsi="Times New Roman" w:cs="Times New Roman"/>
          <w:sz w:val="24"/>
          <w:szCs w:val="24"/>
          <w:lang w:val="en-US"/>
        </w:rPr>
        <w:t>.</w:t>
      </w:r>
    </w:p>
    <w:p w14:paraId="3419A0EF" w14:textId="77777777" w:rsidR="00F1583F" w:rsidRPr="00F1583F" w:rsidRDefault="00F1583F" w:rsidP="00F1583F">
      <w:pPr>
        <w:pStyle w:val="ListParagraph"/>
        <w:rPr>
          <w:rFonts w:ascii="Times New Roman" w:hAnsi="Times New Roman" w:cs="Times New Roman"/>
          <w:sz w:val="24"/>
          <w:szCs w:val="24"/>
          <w:lang w:val="en-US"/>
        </w:rPr>
      </w:pPr>
    </w:p>
    <w:p w14:paraId="5E891C2E" w14:textId="54EC91B4"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 xml:space="preserve">At </w:t>
      </w:r>
      <w:proofErr w:type="gramStart"/>
      <w:r w:rsidRPr="005766E8">
        <w:rPr>
          <w:rFonts w:ascii="Times New Roman" w:eastAsia="Times New Roman" w:hAnsi="Times New Roman" w:cs="Times New Roman"/>
          <w:sz w:val="24"/>
          <w:szCs w:val="24"/>
        </w:rPr>
        <w:t>trial</w:t>
      </w:r>
      <w:proofErr w:type="gramEnd"/>
      <w:r w:rsidRPr="005766E8">
        <w:rPr>
          <w:rFonts w:ascii="Times New Roman" w:eastAsia="Times New Roman" w:hAnsi="Times New Roman" w:cs="Times New Roman"/>
          <w:sz w:val="24"/>
          <w:szCs w:val="24"/>
        </w:rPr>
        <w:t xml:space="preserve"> the evidence of both parties revealed that although the contract price was expressed in Seychelles rupees there was an agreement between the parties that the contract price would be paid in pound sterling but that rate would be the one obtaining on the black market at the time and not the legal bank rate. The evidence of the parties on this issue was at variance. The Appellant </w:t>
      </w:r>
      <w:proofErr w:type="spellStart"/>
      <w:r w:rsidRPr="005766E8">
        <w:rPr>
          <w:rFonts w:ascii="Times New Roman" w:eastAsia="Times New Roman" w:hAnsi="Times New Roman" w:cs="Times New Roman"/>
          <w:sz w:val="24"/>
          <w:szCs w:val="24"/>
        </w:rPr>
        <w:t>deponed</w:t>
      </w:r>
      <w:proofErr w:type="spellEnd"/>
      <w:r w:rsidRPr="005766E8">
        <w:rPr>
          <w:rFonts w:ascii="Times New Roman" w:eastAsia="Times New Roman" w:hAnsi="Times New Roman" w:cs="Times New Roman"/>
          <w:sz w:val="24"/>
          <w:szCs w:val="24"/>
        </w:rPr>
        <w:t xml:space="preserve"> that the rate of the rupee against the pound sterling agreed by the parties in 2005 was SCR23 whilst the Appellant maintains that it was SR12 or SR 14. The Central Bank has confirmed to this Court that the average official rate for the year 2005 at the time was 1GBP = 9.6126 SR</w:t>
      </w:r>
      <w:r w:rsidR="00F1583F">
        <w:rPr>
          <w:rFonts w:ascii="Times New Roman" w:eastAsia="Times New Roman" w:hAnsi="Times New Roman" w:cs="Times New Roman"/>
          <w:sz w:val="24"/>
          <w:szCs w:val="24"/>
        </w:rPr>
        <w:t>.</w:t>
      </w:r>
    </w:p>
    <w:p w14:paraId="1950D33F" w14:textId="77777777" w:rsidR="00F1583F" w:rsidRPr="00F1583F" w:rsidRDefault="00F1583F" w:rsidP="00F1583F">
      <w:pPr>
        <w:pStyle w:val="ListParagraph"/>
        <w:rPr>
          <w:rFonts w:ascii="Times New Roman" w:eastAsia="Times New Roman" w:hAnsi="Times New Roman" w:cs="Times New Roman"/>
          <w:sz w:val="24"/>
          <w:szCs w:val="24"/>
        </w:rPr>
      </w:pPr>
    </w:p>
    <w:p w14:paraId="4D0AF471" w14:textId="618CD969" w:rsidR="005766E8" w:rsidRP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The learned trial judge</w:t>
      </w:r>
      <w:r w:rsidR="004744CB">
        <w:rPr>
          <w:rFonts w:ascii="Times New Roman" w:eastAsia="Times New Roman" w:hAnsi="Times New Roman" w:cs="Times New Roman"/>
          <w:sz w:val="24"/>
          <w:szCs w:val="24"/>
        </w:rPr>
        <w:t xml:space="preserve"> </w:t>
      </w:r>
      <w:r w:rsidRPr="005766E8">
        <w:rPr>
          <w:rFonts w:ascii="Times New Roman" w:eastAsia="Times New Roman" w:hAnsi="Times New Roman" w:cs="Times New Roman"/>
          <w:sz w:val="24"/>
          <w:szCs w:val="24"/>
        </w:rPr>
        <w:t>-</w:t>
      </w:r>
      <w:r w:rsidR="004744CB">
        <w:rPr>
          <w:rFonts w:ascii="Times New Roman" w:eastAsia="Times New Roman" w:hAnsi="Times New Roman" w:cs="Times New Roman"/>
          <w:sz w:val="24"/>
          <w:szCs w:val="24"/>
        </w:rPr>
        <w:t xml:space="preserve"> </w:t>
      </w:r>
      <w:r w:rsidRPr="005766E8">
        <w:rPr>
          <w:rFonts w:ascii="Times New Roman" w:eastAsia="Times New Roman" w:hAnsi="Times New Roman" w:cs="Times New Roman"/>
          <w:sz w:val="24"/>
          <w:szCs w:val="24"/>
        </w:rPr>
        <w:t xml:space="preserve">Renaud </w:t>
      </w:r>
      <w:r w:rsidR="004744CB">
        <w:rPr>
          <w:rFonts w:ascii="Times New Roman" w:eastAsia="Times New Roman" w:hAnsi="Times New Roman" w:cs="Times New Roman"/>
          <w:sz w:val="24"/>
          <w:szCs w:val="24"/>
        </w:rPr>
        <w:t xml:space="preserve">- </w:t>
      </w:r>
      <w:r w:rsidRPr="005766E8">
        <w:rPr>
          <w:rFonts w:ascii="Times New Roman" w:eastAsia="Times New Roman" w:hAnsi="Times New Roman" w:cs="Times New Roman"/>
          <w:sz w:val="24"/>
          <w:szCs w:val="24"/>
        </w:rPr>
        <w:t xml:space="preserve">preferred the evidence of the Respondent </w:t>
      </w:r>
      <w:proofErr w:type="gramStart"/>
      <w:r w:rsidRPr="005766E8">
        <w:rPr>
          <w:rFonts w:ascii="Times New Roman" w:eastAsia="Times New Roman" w:hAnsi="Times New Roman" w:cs="Times New Roman"/>
          <w:sz w:val="24"/>
          <w:szCs w:val="24"/>
        </w:rPr>
        <w:t>over</w:t>
      </w:r>
      <w:proofErr w:type="gramEnd"/>
      <w:r w:rsidRPr="005766E8">
        <w:rPr>
          <w:rFonts w:ascii="Times New Roman" w:eastAsia="Times New Roman" w:hAnsi="Times New Roman" w:cs="Times New Roman"/>
          <w:sz w:val="24"/>
          <w:szCs w:val="24"/>
        </w:rPr>
        <w:t xml:space="preserve"> that of the Appellant and found that £33,000 x 23 (black market rate in 2005) = SR759, 000 (about 88% of the contract price) was paid by the Respondent for the construction of the house. He accepted the surveyor’s report that only 40% of the construction work on house </w:t>
      </w:r>
      <w:proofErr w:type="gramStart"/>
      <w:r w:rsidRPr="005766E8">
        <w:rPr>
          <w:rFonts w:ascii="Times New Roman" w:eastAsia="Times New Roman" w:hAnsi="Times New Roman" w:cs="Times New Roman"/>
          <w:sz w:val="24"/>
          <w:szCs w:val="24"/>
        </w:rPr>
        <w:t>had been completed</w:t>
      </w:r>
      <w:proofErr w:type="gramEnd"/>
      <w:r w:rsidRPr="005766E8">
        <w:rPr>
          <w:rFonts w:ascii="Times New Roman" w:eastAsia="Times New Roman" w:hAnsi="Times New Roman" w:cs="Times New Roman"/>
          <w:sz w:val="24"/>
          <w:szCs w:val="24"/>
        </w:rPr>
        <w:t xml:space="preserve">. He concluded therefore that as the Appellant had received nearly 88% of the contract price but had only performed 40% of the building work, he should pay the value of the works </w:t>
      </w:r>
      <w:proofErr w:type="gramStart"/>
      <w:r w:rsidRPr="005766E8">
        <w:rPr>
          <w:rFonts w:ascii="Times New Roman" w:eastAsia="Times New Roman" w:hAnsi="Times New Roman" w:cs="Times New Roman"/>
          <w:sz w:val="24"/>
          <w:szCs w:val="24"/>
        </w:rPr>
        <w:t>left to be performed</w:t>
      </w:r>
      <w:proofErr w:type="gramEnd"/>
      <w:r w:rsidRPr="005766E8">
        <w:rPr>
          <w:rFonts w:ascii="Times New Roman" w:eastAsia="Times New Roman" w:hAnsi="Times New Roman" w:cs="Times New Roman"/>
          <w:sz w:val="24"/>
          <w:szCs w:val="24"/>
        </w:rPr>
        <w:t>. He found that the sum of SR780, 000 was due together with moral damages of SR50, 000 and costs of the action.</w:t>
      </w:r>
    </w:p>
    <w:p w14:paraId="385063D3" w14:textId="63B0A1C6"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lastRenderedPageBreak/>
        <w:t xml:space="preserve">Although the Appellant appealed against this decision on </w:t>
      </w:r>
      <w:proofErr w:type="gramStart"/>
      <w:r w:rsidRPr="005766E8">
        <w:rPr>
          <w:rFonts w:ascii="Times New Roman" w:eastAsia="Times New Roman" w:hAnsi="Times New Roman" w:cs="Times New Roman"/>
          <w:sz w:val="24"/>
          <w:szCs w:val="24"/>
        </w:rPr>
        <w:t>7</w:t>
      </w:r>
      <w:proofErr w:type="gramEnd"/>
      <w:r w:rsidRPr="005766E8">
        <w:rPr>
          <w:rFonts w:ascii="Times New Roman" w:eastAsia="Times New Roman" w:hAnsi="Times New Roman" w:cs="Times New Roman"/>
          <w:sz w:val="24"/>
          <w:szCs w:val="24"/>
        </w:rPr>
        <w:t xml:space="preserve"> grounds altogether, this Court resolved the appeal only on one ground which in the court’s view was the crux of the appeal - Can the court enforce an agreement, the </w:t>
      </w:r>
      <w:r w:rsidRPr="005766E8">
        <w:rPr>
          <w:rFonts w:ascii="Times New Roman" w:eastAsia="Times New Roman" w:hAnsi="Times New Roman" w:cs="Times New Roman"/>
          <w:i/>
          <w:sz w:val="24"/>
          <w:szCs w:val="24"/>
        </w:rPr>
        <w:t>object</w:t>
      </w:r>
      <w:r w:rsidRPr="005766E8">
        <w:rPr>
          <w:rFonts w:ascii="Times New Roman" w:eastAsia="Times New Roman" w:hAnsi="Times New Roman" w:cs="Times New Roman"/>
          <w:sz w:val="24"/>
          <w:szCs w:val="24"/>
        </w:rPr>
        <w:t xml:space="preserve"> of which is against public policy?</w:t>
      </w:r>
    </w:p>
    <w:p w14:paraId="0A3B270A" w14:textId="77777777" w:rsidR="00F1583F" w:rsidRPr="005766E8" w:rsidRDefault="00F1583F" w:rsidP="00F1583F">
      <w:pPr>
        <w:pStyle w:val="ListParagraph"/>
        <w:spacing w:after="240" w:line="360" w:lineRule="auto"/>
        <w:jc w:val="both"/>
        <w:rPr>
          <w:rFonts w:ascii="Times New Roman" w:eastAsia="Times New Roman" w:hAnsi="Times New Roman" w:cs="Times New Roman"/>
          <w:sz w:val="24"/>
          <w:szCs w:val="24"/>
        </w:rPr>
      </w:pPr>
    </w:p>
    <w:p w14:paraId="7F126825" w14:textId="77777777" w:rsidR="005766E8" w:rsidRPr="005766E8" w:rsidRDefault="005766E8" w:rsidP="005766E8">
      <w:pPr>
        <w:pStyle w:val="ListParagraph"/>
        <w:numPr>
          <w:ilvl w:val="0"/>
          <w:numId w:val="39"/>
        </w:numPr>
        <w:spacing w:after="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Twomey JA held that:</w:t>
      </w:r>
    </w:p>
    <w:p w14:paraId="25AB9385" w14:textId="10379AF0" w:rsidR="005766E8" w:rsidRDefault="005766E8" w:rsidP="00867781">
      <w:pPr>
        <w:pStyle w:val="ListParagraph"/>
        <w:spacing w:after="0" w:line="360" w:lineRule="auto"/>
        <w:ind w:left="1440" w:right="720"/>
        <w:jc w:val="both"/>
        <w:rPr>
          <w:rFonts w:ascii="Times New Roman" w:eastAsia="Times New Roman" w:hAnsi="Times New Roman" w:cs="Times New Roman"/>
          <w:sz w:val="24"/>
          <w:szCs w:val="24"/>
        </w:rPr>
      </w:pPr>
      <w:r w:rsidRPr="005766E8">
        <w:rPr>
          <w:rFonts w:ascii="Times New Roman" w:eastAsia="Times New Roman" w:hAnsi="Times New Roman" w:cs="Times New Roman"/>
          <w:b/>
          <w:sz w:val="24"/>
          <w:szCs w:val="24"/>
        </w:rPr>
        <w:t xml:space="preserve">Whilst the object of the contract between the Appellant and the Respondent was the construction of a house, the reason that drove the parties to the agreement was that payment for the contract </w:t>
      </w:r>
      <w:proofErr w:type="gramStart"/>
      <w:r w:rsidRPr="005766E8">
        <w:rPr>
          <w:rFonts w:ascii="Times New Roman" w:eastAsia="Times New Roman" w:hAnsi="Times New Roman" w:cs="Times New Roman"/>
          <w:b/>
          <w:sz w:val="24"/>
          <w:szCs w:val="24"/>
        </w:rPr>
        <w:t>would be made</w:t>
      </w:r>
      <w:proofErr w:type="gramEnd"/>
      <w:r w:rsidRPr="005766E8">
        <w:rPr>
          <w:rFonts w:ascii="Times New Roman" w:eastAsia="Times New Roman" w:hAnsi="Times New Roman" w:cs="Times New Roman"/>
          <w:b/>
          <w:sz w:val="24"/>
          <w:szCs w:val="24"/>
        </w:rPr>
        <w:t xml:space="preserve"> in foreign exchange at the black market rate. Both parties testified to this. What they now disagree on is the black market rate applicable in 2005. Whichever way we consider the matter, we remain firmly of the view that dealing with currency at the black market rate cannot be a valid reason for entering into a contract. It clearly offends against the provisions the Exchange Control Act </w:t>
      </w:r>
      <w:proofErr w:type="gramStart"/>
      <w:r w:rsidRPr="005766E8">
        <w:rPr>
          <w:rFonts w:ascii="Times New Roman" w:eastAsia="Times New Roman" w:hAnsi="Times New Roman" w:cs="Times New Roman"/>
          <w:b/>
          <w:sz w:val="24"/>
          <w:szCs w:val="24"/>
        </w:rPr>
        <w:t>1954 which</w:t>
      </w:r>
      <w:proofErr w:type="gramEnd"/>
      <w:r w:rsidRPr="005766E8">
        <w:rPr>
          <w:rFonts w:ascii="Times New Roman" w:eastAsia="Times New Roman" w:hAnsi="Times New Roman" w:cs="Times New Roman"/>
          <w:b/>
          <w:sz w:val="24"/>
          <w:szCs w:val="24"/>
        </w:rPr>
        <w:t xml:space="preserve"> was replaced by the Foreign Exchange Act 2009. </w:t>
      </w:r>
      <w:r w:rsidRPr="005766E8">
        <w:rPr>
          <w:rFonts w:ascii="Times New Roman" w:eastAsia="Times New Roman" w:hAnsi="Times New Roman" w:cs="Times New Roman"/>
          <w:b/>
          <w:sz w:val="24"/>
          <w:szCs w:val="24"/>
          <w:u w:val="single"/>
        </w:rPr>
        <w:t xml:space="preserve">A Court cannot endorse an agreement that is against public policy. We refuse to </w:t>
      </w:r>
      <w:proofErr w:type="gramStart"/>
      <w:r w:rsidRPr="005766E8">
        <w:rPr>
          <w:rFonts w:ascii="Times New Roman" w:eastAsia="Times New Roman" w:hAnsi="Times New Roman" w:cs="Times New Roman"/>
          <w:b/>
          <w:sz w:val="24"/>
          <w:szCs w:val="24"/>
          <w:u w:val="single"/>
        </w:rPr>
        <w:t>be drawn</w:t>
      </w:r>
      <w:proofErr w:type="gramEnd"/>
      <w:r w:rsidRPr="005766E8">
        <w:rPr>
          <w:rFonts w:ascii="Times New Roman" w:eastAsia="Times New Roman" w:hAnsi="Times New Roman" w:cs="Times New Roman"/>
          <w:b/>
          <w:sz w:val="24"/>
          <w:szCs w:val="24"/>
          <w:u w:val="single"/>
        </w:rPr>
        <w:t xml:space="preserve"> into considering the merits and demerits of a contract</w:t>
      </w:r>
      <w:r w:rsidR="00867781">
        <w:rPr>
          <w:rFonts w:ascii="Times New Roman" w:eastAsia="Times New Roman" w:hAnsi="Times New Roman" w:cs="Times New Roman"/>
          <w:b/>
          <w:sz w:val="24"/>
          <w:szCs w:val="24"/>
          <w:u w:val="single"/>
        </w:rPr>
        <w:t xml:space="preserve"> that is against public policy.</w:t>
      </w:r>
      <w:r w:rsidR="00867781">
        <w:rPr>
          <w:rFonts w:ascii="Times New Roman" w:eastAsia="Times New Roman" w:hAnsi="Times New Roman" w:cs="Times New Roman"/>
          <w:b/>
          <w:sz w:val="24"/>
          <w:szCs w:val="24"/>
        </w:rPr>
        <w:t xml:space="preserve"> </w:t>
      </w:r>
      <w:r w:rsidRPr="005766E8">
        <w:rPr>
          <w:rFonts w:ascii="Times New Roman" w:eastAsia="Times New Roman" w:hAnsi="Times New Roman" w:cs="Times New Roman"/>
          <w:sz w:val="24"/>
          <w:szCs w:val="24"/>
        </w:rPr>
        <w:t>(My emphasis)</w:t>
      </w:r>
    </w:p>
    <w:p w14:paraId="708907F2" w14:textId="77777777" w:rsidR="00867781" w:rsidRPr="005766E8" w:rsidRDefault="00867781" w:rsidP="00867781">
      <w:pPr>
        <w:pStyle w:val="ListParagraph"/>
        <w:spacing w:after="0" w:line="360" w:lineRule="auto"/>
        <w:ind w:left="1440" w:right="720"/>
        <w:jc w:val="both"/>
        <w:rPr>
          <w:rFonts w:ascii="Times New Roman" w:eastAsia="Times New Roman" w:hAnsi="Times New Roman" w:cs="Times New Roman"/>
          <w:sz w:val="24"/>
          <w:szCs w:val="24"/>
        </w:rPr>
      </w:pPr>
    </w:p>
    <w:p w14:paraId="42472531" w14:textId="7D1683D6"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 xml:space="preserve">It is clear that in the </w:t>
      </w:r>
      <w:r w:rsidRPr="005766E8">
        <w:rPr>
          <w:rFonts w:ascii="Times New Roman" w:eastAsia="Times New Roman" w:hAnsi="Times New Roman" w:cs="Times New Roman"/>
          <w:b/>
          <w:sz w:val="24"/>
          <w:szCs w:val="24"/>
        </w:rPr>
        <w:t>Monthy</w:t>
      </w:r>
      <w:r w:rsidRPr="005766E8">
        <w:rPr>
          <w:rFonts w:ascii="Times New Roman" w:eastAsia="Times New Roman" w:hAnsi="Times New Roman" w:cs="Times New Roman"/>
          <w:sz w:val="24"/>
          <w:szCs w:val="24"/>
        </w:rPr>
        <w:t xml:space="preserve"> appeal both parties had guilty knowledge that their agreement contravened the law, was against public policy. The Court therefore allowed the appeal regarding the contention that a court could not enforce an agreement the object of which is against public policy and consequently set aside the decision of the Supreme Court. Furthermore, the court dismissed the counter appeal. The court did not go into the merits and demerits of the claims by either party. </w:t>
      </w:r>
      <w:proofErr w:type="gramStart"/>
      <w:r w:rsidRPr="005766E8">
        <w:rPr>
          <w:rFonts w:ascii="Times New Roman" w:eastAsia="Times New Roman" w:hAnsi="Times New Roman" w:cs="Times New Roman"/>
          <w:sz w:val="24"/>
          <w:szCs w:val="24"/>
        </w:rPr>
        <w:t>And</w:t>
      </w:r>
      <w:proofErr w:type="gramEnd"/>
      <w:r w:rsidRPr="005766E8">
        <w:rPr>
          <w:rFonts w:ascii="Times New Roman" w:eastAsia="Times New Roman" w:hAnsi="Times New Roman" w:cs="Times New Roman"/>
          <w:sz w:val="24"/>
          <w:szCs w:val="24"/>
        </w:rPr>
        <w:t xml:space="preserve"> Court made no order as to costs.</w:t>
      </w:r>
    </w:p>
    <w:p w14:paraId="63CCB049" w14:textId="77777777" w:rsidR="00867781" w:rsidRPr="005766E8" w:rsidRDefault="00867781" w:rsidP="00867781">
      <w:pPr>
        <w:pStyle w:val="ListParagraph"/>
        <w:spacing w:after="240" w:line="360" w:lineRule="auto"/>
        <w:jc w:val="both"/>
        <w:rPr>
          <w:rFonts w:ascii="Times New Roman" w:eastAsia="Times New Roman" w:hAnsi="Times New Roman" w:cs="Times New Roman"/>
          <w:sz w:val="24"/>
          <w:szCs w:val="24"/>
        </w:rPr>
      </w:pPr>
    </w:p>
    <w:p w14:paraId="3E6AA2CA" w14:textId="0C318E9A" w:rsidR="005766E8" w:rsidRDefault="00017153"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766E8" w:rsidRPr="005766E8">
        <w:rPr>
          <w:rFonts w:ascii="Times New Roman" w:eastAsia="Times New Roman" w:hAnsi="Times New Roman" w:cs="Times New Roman"/>
          <w:sz w:val="24"/>
          <w:szCs w:val="24"/>
        </w:rPr>
        <w:t>he second case relied on by the appellant</w:t>
      </w:r>
      <w:r>
        <w:rPr>
          <w:rFonts w:ascii="Times New Roman" w:eastAsia="Times New Roman" w:hAnsi="Times New Roman" w:cs="Times New Roman"/>
          <w:sz w:val="24"/>
          <w:szCs w:val="24"/>
        </w:rPr>
        <w:t xml:space="preserve"> was </w:t>
      </w:r>
      <w:r w:rsidR="005766E8" w:rsidRPr="005766E8">
        <w:rPr>
          <w:rFonts w:ascii="Times New Roman" w:eastAsia="Times New Roman" w:hAnsi="Times New Roman" w:cs="Times New Roman"/>
          <w:b/>
          <w:kern w:val="36"/>
          <w:sz w:val="24"/>
          <w:szCs w:val="24"/>
        </w:rPr>
        <w:t xml:space="preserve">DF Project Properties (Pty) Ltd vs. </w:t>
      </w:r>
      <w:proofErr w:type="spellStart"/>
      <w:r w:rsidR="005766E8" w:rsidRPr="005766E8">
        <w:rPr>
          <w:rFonts w:ascii="Times New Roman" w:eastAsia="Times New Roman" w:hAnsi="Times New Roman" w:cs="Times New Roman"/>
          <w:b/>
          <w:kern w:val="36"/>
          <w:sz w:val="24"/>
          <w:szCs w:val="24"/>
        </w:rPr>
        <w:t>Fregate</w:t>
      </w:r>
      <w:proofErr w:type="spellEnd"/>
      <w:r w:rsidR="005766E8" w:rsidRPr="005766E8">
        <w:rPr>
          <w:rFonts w:ascii="Times New Roman" w:eastAsia="Times New Roman" w:hAnsi="Times New Roman" w:cs="Times New Roman"/>
          <w:b/>
          <w:kern w:val="36"/>
          <w:sz w:val="24"/>
          <w:szCs w:val="24"/>
        </w:rPr>
        <w:t xml:space="preserve"> Island Pvt Limited (supra)</w:t>
      </w:r>
      <w:r w:rsidR="005766E8" w:rsidRPr="005766E8">
        <w:rPr>
          <w:rFonts w:ascii="Times New Roman" w:eastAsia="Times New Roman" w:hAnsi="Times New Roman" w:cs="Times New Roman"/>
          <w:kern w:val="36"/>
          <w:sz w:val="24"/>
          <w:szCs w:val="24"/>
        </w:rPr>
        <w:t xml:space="preserve">. The relevant facts of this case are that DF Project Properties (Proprietary) Ltd (hereinafter DF) entered into a written agreement with </w:t>
      </w:r>
      <w:proofErr w:type="spellStart"/>
      <w:r w:rsidR="005766E8" w:rsidRPr="005766E8">
        <w:rPr>
          <w:rFonts w:ascii="Times New Roman" w:eastAsia="Times New Roman" w:hAnsi="Times New Roman" w:cs="Times New Roman"/>
          <w:kern w:val="36"/>
          <w:sz w:val="24"/>
          <w:szCs w:val="24"/>
        </w:rPr>
        <w:t>Fregate</w:t>
      </w:r>
      <w:proofErr w:type="spellEnd"/>
      <w:r w:rsidR="005766E8" w:rsidRPr="005766E8">
        <w:rPr>
          <w:rFonts w:ascii="Times New Roman" w:eastAsia="Times New Roman" w:hAnsi="Times New Roman" w:cs="Times New Roman"/>
          <w:kern w:val="36"/>
          <w:sz w:val="24"/>
          <w:szCs w:val="24"/>
        </w:rPr>
        <w:t xml:space="preserve"> Island Private Limited (hereinafter </w:t>
      </w:r>
      <w:proofErr w:type="spellStart"/>
      <w:r w:rsidR="005766E8" w:rsidRPr="005766E8">
        <w:rPr>
          <w:rFonts w:ascii="Times New Roman" w:eastAsia="Times New Roman" w:hAnsi="Times New Roman" w:cs="Times New Roman"/>
          <w:kern w:val="36"/>
          <w:sz w:val="24"/>
          <w:szCs w:val="24"/>
        </w:rPr>
        <w:t>Fregate</w:t>
      </w:r>
      <w:proofErr w:type="spellEnd"/>
      <w:r w:rsidR="005766E8" w:rsidRPr="005766E8">
        <w:rPr>
          <w:rFonts w:ascii="Times New Roman" w:eastAsia="Times New Roman" w:hAnsi="Times New Roman" w:cs="Times New Roman"/>
          <w:kern w:val="36"/>
          <w:sz w:val="24"/>
          <w:szCs w:val="24"/>
        </w:rPr>
        <w:t xml:space="preserve">) to build a 5-star holiday resort on </w:t>
      </w:r>
      <w:proofErr w:type="spellStart"/>
      <w:r w:rsidR="005766E8" w:rsidRPr="005766E8">
        <w:rPr>
          <w:rFonts w:ascii="Times New Roman" w:eastAsia="Times New Roman" w:hAnsi="Times New Roman" w:cs="Times New Roman"/>
          <w:kern w:val="36"/>
          <w:sz w:val="24"/>
          <w:szCs w:val="24"/>
        </w:rPr>
        <w:t>Fregate</w:t>
      </w:r>
      <w:proofErr w:type="spellEnd"/>
      <w:r w:rsidR="005766E8" w:rsidRPr="005766E8">
        <w:rPr>
          <w:rFonts w:ascii="Times New Roman" w:eastAsia="Times New Roman" w:hAnsi="Times New Roman" w:cs="Times New Roman"/>
          <w:kern w:val="36"/>
          <w:sz w:val="24"/>
          <w:szCs w:val="24"/>
        </w:rPr>
        <w:t xml:space="preserve"> Island, Seychelles. The Agreement provided that if any dispute arose from or with the </w:t>
      </w:r>
      <w:r w:rsidR="005766E8" w:rsidRPr="005766E8">
        <w:rPr>
          <w:rFonts w:ascii="Times New Roman" w:eastAsia="Times New Roman" w:hAnsi="Times New Roman" w:cs="Times New Roman"/>
          <w:kern w:val="36"/>
          <w:sz w:val="24"/>
          <w:szCs w:val="24"/>
        </w:rPr>
        <w:lastRenderedPageBreak/>
        <w:t xml:space="preserve">agreement, the same </w:t>
      </w:r>
      <w:proofErr w:type="gramStart"/>
      <w:r w:rsidR="005766E8" w:rsidRPr="005766E8">
        <w:rPr>
          <w:rFonts w:ascii="Times New Roman" w:eastAsia="Times New Roman" w:hAnsi="Times New Roman" w:cs="Times New Roman"/>
          <w:kern w:val="36"/>
          <w:sz w:val="24"/>
          <w:szCs w:val="24"/>
        </w:rPr>
        <w:t>would be resolved</w:t>
      </w:r>
      <w:proofErr w:type="gramEnd"/>
      <w:r w:rsidR="005766E8" w:rsidRPr="005766E8">
        <w:rPr>
          <w:rFonts w:ascii="Times New Roman" w:eastAsia="Times New Roman" w:hAnsi="Times New Roman" w:cs="Times New Roman"/>
          <w:kern w:val="36"/>
          <w:sz w:val="24"/>
          <w:szCs w:val="24"/>
        </w:rPr>
        <w:t xml:space="preserve"> by arbitration rules (of the </w:t>
      </w:r>
      <w:proofErr w:type="spellStart"/>
      <w:r w:rsidR="005766E8" w:rsidRPr="005766E8">
        <w:rPr>
          <w:rFonts w:ascii="Times New Roman" w:eastAsia="Times New Roman" w:hAnsi="Times New Roman" w:cs="Times New Roman"/>
          <w:kern w:val="36"/>
          <w:sz w:val="24"/>
          <w:szCs w:val="24"/>
        </w:rPr>
        <w:t>Wirtschaftsvereinigung</w:t>
      </w:r>
      <w:proofErr w:type="spellEnd"/>
      <w:r w:rsidR="005766E8" w:rsidRPr="005766E8">
        <w:rPr>
          <w:rFonts w:ascii="Times New Roman" w:eastAsia="Times New Roman" w:hAnsi="Times New Roman" w:cs="Times New Roman"/>
          <w:kern w:val="36"/>
          <w:sz w:val="24"/>
          <w:szCs w:val="24"/>
        </w:rPr>
        <w:t xml:space="preserve"> </w:t>
      </w:r>
      <w:proofErr w:type="spellStart"/>
      <w:r w:rsidR="005766E8" w:rsidRPr="005766E8">
        <w:rPr>
          <w:rFonts w:ascii="Times New Roman" w:eastAsia="Times New Roman" w:hAnsi="Times New Roman" w:cs="Times New Roman"/>
          <w:kern w:val="36"/>
          <w:sz w:val="24"/>
          <w:szCs w:val="24"/>
        </w:rPr>
        <w:t>Bauindustrie</w:t>
      </w:r>
      <w:proofErr w:type="spellEnd"/>
      <w:r w:rsidR="005766E8" w:rsidRPr="005766E8">
        <w:rPr>
          <w:rFonts w:ascii="Times New Roman" w:eastAsia="Times New Roman" w:hAnsi="Times New Roman" w:cs="Times New Roman"/>
          <w:kern w:val="36"/>
          <w:sz w:val="24"/>
          <w:szCs w:val="24"/>
        </w:rPr>
        <w:t xml:space="preserve"> e. V. North Rhine Westphalia) in Germany. A dispute arose and was arbitrated in Germany and the Arbitral Tribunal issued an award in favour of DF on 9 July 2009 for US$ 1,941,669.13 </w:t>
      </w:r>
      <w:proofErr w:type="gramStart"/>
      <w:r w:rsidR="005766E8" w:rsidRPr="005766E8">
        <w:rPr>
          <w:rFonts w:ascii="Times New Roman" w:eastAsia="Times New Roman" w:hAnsi="Times New Roman" w:cs="Times New Roman"/>
          <w:kern w:val="36"/>
          <w:sz w:val="24"/>
          <w:szCs w:val="24"/>
        </w:rPr>
        <w:t>plus</w:t>
      </w:r>
      <w:proofErr w:type="gramEnd"/>
      <w:r w:rsidR="005766E8" w:rsidRPr="005766E8">
        <w:rPr>
          <w:rFonts w:ascii="Times New Roman" w:eastAsia="Times New Roman" w:hAnsi="Times New Roman" w:cs="Times New Roman"/>
          <w:kern w:val="36"/>
          <w:sz w:val="24"/>
          <w:szCs w:val="24"/>
        </w:rPr>
        <w:t xml:space="preserve"> interest together with two-thirds of the costs incurred in the arbitration proceedings. </w:t>
      </w:r>
      <w:proofErr w:type="spellStart"/>
      <w:r w:rsidR="005766E8" w:rsidRPr="005766E8">
        <w:rPr>
          <w:rFonts w:ascii="Times New Roman" w:eastAsia="Times New Roman" w:hAnsi="Times New Roman" w:cs="Times New Roman"/>
          <w:kern w:val="36"/>
          <w:sz w:val="24"/>
          <w:szCs w:val="24"/>
        </w:rPr>
        <w:t>Fregate</w:t>
      </w:r>
      <w:proofErr w:type="spellEnd"/>
      <w:r w:rsidR="005766E8" w:rsidRPr="005766E8">
        <w:rPr>
          <w:rFonts w:ascii="Times New Roman" w:eastAsia="Times New Roman" w:hAnsi="Times New Roman" w:cs="Times New Roman"/>
          <w:kern w:val="36"/>
          <w:sz w:val="24"/>
          <w:szCs w:val="24"/>
        </w:rPr>
        <w:t xml:space="preserve"> appealed to the Dusseldorf Higher Regional Court to revoke the award of the Arbitration Tribunal but later withdrew the application for revocation. After obtaining the three German Court Orders, DF unsuccessfully sought their enforcement as foreign judgments and execution in the Supreme Court of Seychelles. T</w:t>
      </w:r>
      <w:r w:rsidR="005766E8" w:rsidRPr="005766E8">
        <w:rPr>
          <w:rFonts w:ascii="Times New Roman" w:eastAsia="Times New Roman" w:hAnsi="Times New Roman" w:cs="Times New Roman"/>
          <w:sz w:val="24"/>
          <w:szCs w:val="24"/>
        </w:rPr>
        <w:t xml:space="preserve">he Supreme Court agreed that the English Rules on the Conflicts of Laws should apply. However, it held that certain conditions under the rules were not satisfied, namely that, it was not satisfied that the Orders were final and conclusive judgments in terms of Rules 200 and 190 and were not binding on the rights and liabilities of the parties settling the existence of the debt between them to become </w:t>
      </w:r>
      <w:r w:rsidR="005766E8" w:rsidRPr="005766E8">
        <w:rPr>
          <w:rFonts w:ascii="Times New Roman" w:eastAsia="Times New Roman" w:hAnsi="Times New Roman" w:cs="Times New Roman"/>
          <w:i/>
          <w:sz w:val="24"/>
          <w:szCs w:val="24"/>
        </w:rPr>
        <w:t>res judicata</w:t>
      </w:r>
      <w:r w:rsidR="005766E8" w:rsidRPr="005766E8">
        <w:rPr>
          <w:rFonts w:ascii="Times New Roman" w:eastAsia="Times New Roman" w:hAnsi="Times New Roman" w:cs="Times New Roman"/>
          <w:sz w:val="24"/>
          <w:szCs w:val="24"/>
        </w:rPr>
        <w:t xml:space="preserve">. DF appealed against the decision of the Supreme Court. </w:t>
      </w:r>
    </w:p>
    <w:p w14:paraId="76D3A263" w14:textId="77777777" w:rsidR="00867781" w:rsidRPr="005766E8" w:rsidRDefault="00867781" w:rsidP="00867781">
      <w:pPr>
        <w:pStyle w:val="ListParagraph"/>
        <w:spacing w:after="240" w:line="360" w:lineRule="auto"/>
        <w:jc w:val="both"/>
        <w:rPr>
          <w:rFonts w:ascii="Times New Roman" w:eastAsia="Times New Roman" w:hAnsi="Times New Roman" w:cs="Times New Roman"/>
          <w:sz w:val="24"/>
          <w:szCs w:val="24"/>
        </w:rPr>
      </w:pPr>
    </w:p>
    <w:p w14:paraId="1BF3FEFE" w14:textId="729DF796"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proofErr w:type="spellStart"/>
      <w:r w:rsidRPr="005766E8">
        <w:rPr>
          <w:rFonts w:ascii="Times New Roman" w:eastAsia="Times New Roman" w:hAnsi="Times New Roman" w:cs="Times New Roman"/>
          <w:sz w:val="24"/>
          <w:szCs w:val="24"/>
        </w:rPr>
        <w:t>Fregate</w:t>
      </w:r>
      <w:proofErr w:type="spellEnd"/>
      <w:r w:rsidRPr="005766E8">
        <w:rPr>
          <w:rFonts w:ascii="Times New Roman" w:eastAsia="Times New Roman" w:hAnsi="Times New Roman" w:cs="Times New Roman"/>
          <w:sz w:val="24"/>
          <w:szCs w:val="24"/>
        </w:rPr>
        <w:t xml:space="preserve"> also cross-appealed on the ground that DF, an overseas company, contravened section 309 of the Companies Act 1972 and other mandatory requirements in performing disputed agreements underlying the German court orders and consequently evaded taxes after revenue. That the learned judge ought to have concluded that all the German court orders were against the fundamental rules of public policy and thus unenforceable in Seychelles. In addressing this ground, Twomey, JA held as follows:</w:t>
      </w:r>
    </w:p>
    <w:p w14:paraId="38437BE3" w14:textId="77777777" w:rsidR="00867781" w:rsidRPr="00867781" w:rsidRDefault="00867781" w:rsidP="00867781">
      <w:pPr>
        <w:pStyle w:val="ListParagraph"/>
        <w:rPr>
          <w:rFonts w:ascii="Times New Roman" w:eastAsia="Times New Roman" w:hAnsi="Times New Roman" w:cs="Times New Roman"/>
          <w:sz w:val="16"/>
          <w:szCs w:val="16"/>
        </w:rPr>
      </w:pPr>
    </w:p>
    <w:p w14:paraId="7A8A276B" w14:textId="1ACE4953" w:rsidR="005766E8" w:rsidRDefault="005766E8" w:rsidP="00867781">
      <w:pPr>
        <w:pStyle w:val="ListParagraph"/>
        <w:spacing w:after="240" w:line="360" w:lineRule="auto"/>
        <w:ind w:left="1440" w:right="720"/>
        <w:jc w:val="both"/>
        <w:rPr>
          <w:rFonts w:ascii="Times New Roman" w:eastAsia="Times New Roman" w:hAnsi="Times New Roman" w:cs="Times New Roman"/>
          <w:sz w:val="24"/>
          <w:szCs w:val="24"/>
        </w:rPr>
      </w:pPr>
      <w:r w:rsidRPr="005766E8">
        <w:rPr>
          <w:rFonts w:ascii="Times New Roman" w:eastAsia="Times New Roman" w:hAnsi="Times New Roman" w:cs="Times New Roman"/>
          <w:b/>
          <w:sz w:val="24"/>
          <w:szCs w:val="24"/>
        </w:rPr>
        <w:t xml:space="preserve">… </w:t>
      </w:r>
      <w:proofErr w:type="gramStart"/>
      <w:r w:rsidRPr="005766E8">
        <w:rPr>
          <w:rFonts w:ascii="Times New Roman" w:eastAsia="Times New Roman" w:hAnsi="Times New Roman" w:cs="Times New Roman"/>
          <w:b/>
          <w:sz w:val="24"/>
          <w:szCs w:val="24"/>
        </w:rPr>
        <w:t>it</w:t>
      </w:r>
      <w:proofErr w:type="gramEnd"/>
      <w:r w:rsidRPr="005766E8">
        <w:rPr>
          <w:rFonts w:ascii="Times New Roman" w:eastAsia="Times New Roman" w:hAnsi="Times New Roman" w:cs="Times New Roman"/>
          <w:b/>
          <w:sz w:val="24"/>
          <w:szCs w:val="24"/>
        </w:rPr>
        <w:t xml:space="preserve"> is clear that the government was not paid taxes by a business concern that had not been exempted from the payment of taxes, social security and other benefits under Seychellois laws. While </w:t>
      </w:r>
      <w:r w:rsidRPr="005766E8">
        <w:rPr>
          <w:rFonts w:ascii="Times New Roman" w:eastAsia="Times New Roman" w:hAnsi="Times New Roman" w:cs="Times New Roman"/>
          <w:b/>
          <w:sz w:val="24"/>
          <w:szCs w:val="24"/>
          <w:u w:val="single"/>
        </w:rPr>
        <w:t>both parties to the Agreement benefitted from this illegal conduct</w:t>
      </w:r>
      <w:r w:rsidRPr="005766E8">
        <w:rPr>
          <w:rFonts w:ascii="Times New Roman" w:eastAsia="Times New Roman" w:hAnsi="Times New Roman" w:cs="Times New Roman"/>
          <w:b/>
          <w:sz w:val="24"/>
          <w:szCs w:val="24"/>
        </w:rPr>
        <w:t xml:space="preserve">, and </w:t>
      </w:r>
      <w:proofErr w:type="gramStart"/>
      <w:r w:rsidRPr="005766E8">
        <w:rPr>
          <w:rFonts w:ascii="Times New Roman" w:eastAsia="Times New Roman" w:hAnsi="Times New Roman" w:cs="Times New Roman"/>
          <w:b/>
          <w:sz w:val="24"/>
          <w:szCs w:val="24"/>
        </w:rPr>
        <w:t xml:space="preserve">it is being relied on by </w:t>
      </w:r>
      <w:proofErr w:type="spellStart"/>
      <w:r w:rsidRPr="005766E8">
        <w:rPr>
          <w:rFonts w:ascii="Times New Roman" w:eastAsia="Times New Roman" w:hAnsi="Times New Roman" w:cs="Times New Roman"/>
          <w:b/>
          <w:sz w:val="24"/>
          <w:szCs w:val="24"/>
        </w:rPr>
        <w:t>Fregate</w:t>
      </w:r>
      <w:proofErr w:type="spellEnd"/>
      <w:r w:rsidRPr="005766E8">
        <w:rPr>
          <w:rFonts w:ascii="Times New Roman" w:eastAsia="Times New Roman" w:hAnsi="Times New Roman" w:cs="Times New Roman"/>
          <w:b/>
          <w:sz w:val="24"/>
          <w:szCs w:val="24"/>
        </w:rPr>
        <w:t xml:space="preserve"> as a defence to DF’s claim</w:t>
      </w:r>
      <w:proofErr w:type="gramEnd"/>
      <w:r w:rsidRPr="005766E8">
        <w:rPr>
          <w:rFonts w:ascii="Times New Roman" w:eastAsia="Times New Roman" w:hAnsi="Times New Roman" w:cs="Times New Roman"/>
          <w:b/>
          <w:sz w:val="24"/>
          <w:szCs w:val="24"/>
        </w:rPr>
        <w:t xml:space="preserve">, the fact remains that the contracts were contrary to fundamental rules of public policy. Why should </w:t>
      </w:r>
      <w:proofErr w:type="spellStart"/>
      <w:r w:rsidRPr="005766E8">
        <w:rPr>
          <w:rFonts w:ascii="Times New Roman" w:eastAsia="Times New Roman" w:hAnsi="Times New Roman" w:cs="Times New Roman"/>
          <w:b/>
          <w:sz w:val="24"/>
          <w:szCs w:val="24"/>
        </w:rPr>
        <w:t>Fregate</w:t>
      </w:r>
      <w:proofErr w:type="spellEnd"/>
      <w:r w:rsidRPr="005766E8">
        <w:rPr>
          <w:rFonts w:ascii="Times New Roman" w:eastAsia="Times New Roman" w:hAnsi="Times New Roman" w:cs="Times New Roman"/>
          <w:b/>
          <w:sz w:val="24"/>
          <w:szCs w:val="24"/>
        </w:rPr>
        <w:t xml:space="preserve"> benefit from this illegality? … </w:t>
      </w:r>
      <w:r w:rsidRPr="005766E8">
        <w:rPr>
          <w:rFonts w:ascii="Times New Roman" w:eastAsia="Times New Roman" w:hAnsi="Times New Roman" w:cs="Times New Roman"/>
          <w:sz w:val="24"/>
          <w:szCs w:val="24"/>
        </w:rPr>
        <w:t>(My emphasis)</w:t>
      </w:r>
    </w:p>
    <w:p w14:paraId="76DFA541" w14:textId="77777777" w:rsidR="00867781" w:rsidRPr="00867781" w:rsidRDefault="00867781" w:rsidP="00867781">
      <w:pPr>
        <w:pStyle w:val="ListParagraph"/>
        <w:spacing w:after="240" w:line="360" w:lineRule="auto"/>
        <w:ind w:left="1440" w:right="720"/>
        <w:jc w:val="both"/>
        <w:rPr>
          <w:rFonts w:ascii="Times New Roman" w:eastAsia="Times New Roman" w:hAnsi="Times New Roman" w:cs="Times New Roman"/>
          <w:b/>
          <w:sz w:val="16"/>
          <w:szCs w:val="16"/>
        </w:rPr>
      </w:pPr>
    </w:p>
    <w:p w14:paraId="21172936" w14:textId="52B42346" w:rsidR="005766E8" w:rsidRDefault="005766E8" w:rsidP="00867781">
      <w:pPr>
        <w:pStyle w:val="ListParagraph"/>
        <w:spacing w:after="240" w:line="360" w:lineRule="auto"/>
        <w:ind w:left="1440" w:right="720"/>
        <w:jc w:val="both"/>
        <w:rPr>
          <w:rFonts w:ascii="Times New Roman" w:eastAsia="Times New Roman" w:hAnsi="Times New Roman" w:cs="Times New Roman"/>
          <w:b/>
          <w:sz w:val="24"/>
          <w:szCs w:val="24"/>
        </w:rPr>
      </w:pPr>
      <w:r w:rsidRPr="005766E8">
        <w:rPr>
          <w:rFonts w:ascii="Times New Roman" w:eastAsia="Times New Roman" w:hAnsi="Times New Roman" w:cs="Times New Roman"/>
          <w:b/>
          <w:sz w:val="24"/>
          <w:szCs w:val="24"/>
        </w:rPr>
        <w:t xml:space="preserve">Our laws concerning the enforcement of foreign judgments enjoin the Court to make sure that any foreign judgment </w:t>
      </w:r>
      <w:proofErr w:type="gramStart"/>
      <w:r w:rsidRPr="005766E8">
        <w:rPr>
          <w:rFonts w:ascii="Times New Roman" w:eastAsia="Times New Roman" w:hAnsi="Times New Roman" w:cs="Times New Roman"/>
          <w:b/>
          <w:sz w:val="24"/>
          <w:szCs w:val="24"/>
        </w:rPr>
        <w:t>sought to be enforced</w:t>
      </w:r>
      <w:proofErr w:type="gramEnd"/>
      <w:r w:rsidRPr="005766E8">
        <w:rPr>
          <w:rFonts w:ascii="Times New Roman" w:eastAsia="Times New Roman" w:hAnsi="Times New Roman" w:cs="Times New Roman"/>
          <w:b/>
          <w:sz w:val="24"/>
          <w:szCs w:val="24"/>
        </w:rPr>
        <w:t xml:space="preserve"> is </w:t>
      </w:r>
      <w:r w:rsidRPr="005766E8">
        <w:rPr>
          <w:rFonts w:ascii="Times New Roman" w:eastAsia="Times New Roman" w:hAnsi="Times New Roman" w:cs="Times New Roman"/>
          <w:b/>
          <w:sz w:val="24"/>
          <w:szCs w:val="24"/>
        </w:rPr>
        <w:lastRenderedPageBreak/>
        <w:t>not contrary to any fundamental rules of public policy. The foreign judgment and its execution in this jurisdiction cannot be divorced … This Court cannot endorse the enforcement of a decision on a contract which had as one of its ‘causes’ the avoidance of the payment of taxes and other dues in Seychelles.</w:t>
      </w:r>
    </w:p>
    <w:p w14:paraId="63BA099F" w14:textId="77777777" w:rsidR="00867781" w:rsidRPr="00867781" w:rsidRDefault="00867781" w:rsidP="00867781">
      <w:pPr>
        <w:pStyle w:val="ListParagraph"/>
        <w:spacing w:after="240" w:line="360" w:lineRule="auto"/>
        <w:ind w:left="1440" w:right="720"/>
        <w:jc w:val="both"/>
        <w:rPr>
          <w:rFonts w:ascii="Times New Roman" w:eastAsia="Times New Roman" w:hAnsi="Times New Roman" w:cs="Times New Roman"/>
          <w:b/>
          <w:sz w:val="16"/>
          <w:szCs w:val="16"/>
          <w:vertAlign w:val="subscript"/>
        </w:rPr>
      </w:pPr>
    </w:p>
    <w:p w14:paraId="1094C17B" w14:textId="695D4037" w:rsidR="005766E8" w:rsidRDefault="005766E8" w:rsidP="00867781">
      <w:pPr>
        <w:pStyle w:val="ListParagraph"/>
        <w:spacing w:after="240" w:line="360" w:lineRule="auto"/>
        <w:ind w:left="1440" w:right="720"/>
        <w:jc w:val="both"/>
        <w:rPr>
          <w:rFonts w:ascii="Times New Roman" w:eastAsia="Times New Roman" w:hAnsi="Times New Roman" w:cs="Times New Roman"/>
          <w:b/>
          <w:sz w:val="24"/>
          <w:szCs w:val="24"/>
        </w:rPr>
      </w:pPr>
      <w:proofErr w:type="gramStart"/>
      <w:r w:rsidRPr="005766E8">
        <w:rPr>
          <w:rFonts w:ascii="Times New Roman" w:eastAsia="Times New Roman" w:hAnsi="Times New Roman" w:cs="Times New Roman"/>
          <w:b/>
          <w:sz w:val="24"/>
          <w:szCs w:val="24"/>
        </w:rPr>
        <w:t>Our law is categorical in relation to breaches of public policy; it does not provide for a balancing test to be carried out to examine the underlying purpose of the prohibition which had been contravened and whether that purpose would be enhanced by the denial of the claim or whether the denial of the claim would be a proportionate response to the illegality.</w:t>
      </w:r>
      <w:proofErr w:type="gramEnd"/>
    </w:p>
    <w:p w14:paraId="39756109" w14:textId="77777777" w:rsidR="00867781" w:rsidRPr="005766E8" w:rsidRDefault="00867781" w:rsidP="00867781">
      <w:pPr>
        <w:pStyle w:val="ListParagraph"/>
        <w:spacing w:after="240" w:line="360" w:lineRule="auto"/>
        <w:ind w:left="1440" w:right="720"/>
        <w:jc w:val="both"/>
        <w:rPr>
          <w:rFonts w:ascii="Times New Roman" w:eastAsia="Times New Roman" w:hAnsi="Times New Roman" w:cs="Times New Roman"/>
          <w:b/>
          <w:sz w:val="24"/>
          <w:szCs w:val="24"/>
        </w:rPr>
      </w:pPr>
    </w:p>
    <w:p w14:paraId="35CF3C63" w14:textId="71EF6E45"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proofErr w:type="gramStart"/>
      <w:r w:rsidRPr="005766E8">
        <w:rPr>
          <w:rFonts w:ascii="Times New Roman" w:eastAsia="Times New Roman" w:hAnsi="Times New Roman" w:cs="Times New Roman"/>
          <w:sz w:val="24"/>
          <w:szCs w:val="24"/>
        </w:rPr>
        <w:t>Like</w:t>
      </w:r>
      <w:proofErr w:type="gramEnd"/>
      <w:r w:rsidRPr="005766E8">
        <w:rPr>
          <w:rFonts w:ascii="Times New Roman" w:eastAsia="Times New Roman" w:hAnsi="Times New Roman" w:cs="Times New Roman"/>
          <w:sz w:val="24"/>
          <w:szCs w:val="24"/>
        </w:rPr>
        <w:t xml:space="preserve"> it was in </w:t>
      </w:r>
      <w:proofErr w:type="spellStart"/>
      <w:r w:rsidRPr="005766E8">
        <w:rPr>
          <w:rFonts w:ascii="Times New Roman" w:eastAsia="Times New Roman" w:hAnsi="Times New Roman" w:cs="Times New Roman"/>
          <w:b/>
          <w:sz w:val="24"/>
          <w:szCs w:val="24"/>
        </w:rPr>
        <w:t>Berard</w:t>
      </w:r>
      <w:proofErr w:type="spellEnd"/>
      <w:r w:rsidRPr="005766E8">
        <w:rPr>
          <w:rFonts w:ascii="Times New Roman" w:eastAsia="Times New Roman" w:hAnsi="Times New Roman" w:cs="Times New Roman"/>
          <w:b/>
          <w:sz w:val="24"/>
          <w:szCs w:val="24"/>
        </w:rPr>
        <w:t xml:space="preserve"> Monthy</w:t>
      </w:r>
      <w:r w:rsidRPr="005766E8">
        <w:rPr>
          <w:rFonts w:ascii="Times New Roman" w:eastAsia="Times New Roman" w:hAnsi="Times New Roman" w:cs="Times New Roman"/>
          <w:sz w:val="24"/>
          <w:szCs w:val="24"/>
        </w:rPr>
        <w:t xml:space="preserve">, both parties in the </w:t>
      </w:r>
      <w:r w:rsidRPr="005766E8">
        <w:rPr>
          <w:rFonts w:ascii="Times New Roman" w:eastAsia="Times New Roman" w:hAnsi="Times New Roman" w:cs="Times New Roman"/>
          <w:b/>
          <w:sz w:val="24"/>
          <w:szCs w:val="24"/>
        </w:rPr>
        <w:t>DF Project Properties (Pty) Ltd</w:t>
      </w:r>
      <w:r w:rsidRPr="005766E8">
        <w:rPr>
          <w:rFonts w:ascii="Times New Roman" w:eastAsia="Times New Roman" w:hAnsi="Times New Roman" w:cs="Times New Roman"/>
          <w:sz w:val="24"/>
          <w:szCs w:val="24"/>
        </w:rPr>
        <w:t xml:space="preserve"> case were aware of the illegal conduct. Contrary to the circumstances of the said authorities, in the present appeal, one party (N.S.J) was aware that he was acting in breach of the law. On the other </w:t>
      </w:r>
      <w:proofErr w:type="gramStart"/>
      <w:r w:rsidRPr="005766E8">
        <w:rPr>
          <w:rFonts w:ascii="Times New Roman" w:eastAsia="Times New Roman" w:hAnsi="Times New Roman" w:cs="Times New Roman"/>
          <w:sz w:val="24"/>
          <w:szCs w:val="24"/>
        </w:rPr>
        <w:t>hand</w:t>
      </w:r>
      <w:proofErr w:type="gramEnd"/>
      <w:r w:rsidRPr="005766E8">
        <w:rPr>
          <w:rFonts w:ascii="Times New Roman" w:eastAsia="Times New Roman" w:hAnsi="Times New Roman" w:cs="Times New Roman"/>
          <w:sz w:val="24"/>
          <w:szCs w:val="24"/>
        </w:rPr>
        <w:t xml:space="preserve"> Choppy had no knowledge that NSJ was operating without a licence. Unlike the appellant, the respondent came to court with clean hands. </w:t>
      </w:r>
    </w:p>
    <w:p w14:paraId="096642C8" w14:textId="77777777" w:rsidR="00867781" w:rsidRPr="005766E8" w:rsidRDefault="00867781" w:rsidP="00867781">
      <w:pPr>
        <w:pStyle w:val="ListParagraph"/>
        <w:spacing w:after="240" w:line="360" w:lineRule="auto"/>
        <w:jc w:val="both"/>
        <w:rPr>
          <w:rFonts w:ascii="Times New Roman" w:eastAsia="Times New Roman" w:hAnsi="Times New Roman" w:cs="Times New Roman"/>
          <w:sz w:val="24"/>
          <w:szCs w:val="24"/>
        </w:rPr>
      </w:pPr>
    </w:p>
    <w:p w14:paraId="6A4C7E59" w14:textId="3249B353"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proofErr w:type="gramStart"/>
      <w:r w:rsidRPr="005766E8">
        <w:rPr>
          <w:rFonts w:ascii="Times New Roman" w:eastAsia="Times New Roman" w:hAnsi="Times New Roman" w:cs="Times New Roman"/>
          <w:sz w:val="24"/>
          <w:szCs w:val="24"/>
        </w:rPr>
        <w:t>Can it be said</w:t>
      </w:r>
      <w:proofErr w:type="gramEnd"/>
      <w:r w:rsidRPr="005766E8">
        <w:rPr>
          <w:rFonts w:ascii="Times New Roman" w:eastAsia="Times New Roman" w:hAnsi="Times New Roman" w:cs="Times New Roman"/>
          <w:sz w:val="24"/>
          <w:szCs w:val="24"/>
        </w:rPr>
        <w:t xml:space="preserve"> that the “innocent” party stands in the same position as their counterparts and cannot claim under the contract?</w:t>
      </w:r>
    </w:p>
    <w:p w14:paraId="28C65990" w14:textId="77777777" w:rsidR="00867781" w:rsidRPr="00867781" w:rsidRDefault="00867781" w:rsidP="00867781">
      <w:pPr>
        <w:pStyle w:val="ListParagraph"/>
        <w:rPr>
          <w:rFonts w:ascii="Times New Roman" w:eastAsia="Times New Roman" w:hAnsi="Times New Roman" w:cs="Times New Roman"/>
          <w:sz w:val="24"/>
          <w:szCs w:val="24"/>
        </w:rPr>
      </w:pPr>
    </w:p>
    <w:p w14:paraId="13981B1D" w14:textId="6F5A72DE"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 xml:space="preserve">In the English case of </w:t>
      </w:r>
      <w:proofErr w:type="spellStart"/>
      <w:r w:rsidRPr="005766E8">
        <w:rPr>
          <w:rFonts w:ascii="Times New Roman" w:eastAsia="Times New Roman" w:hAnsi="Times New Roman" w:cs="Times New Roman"/>
          <w:b/>
          <w:sz w:val="24"/>
          <w:szCs w:val="24"/>
        </w:rPr>
        <w:t>Archbolds</w:t>
      </w:r>
      <w:proofErr w:type="spellEnd"/>
      <w:r w:rsidRPr="005766E8">
        <w:rPr>
          <w:rFonts w:ascii="Times New Roman" w:eastAsia="Times New Roman" w:hAnsi="Times New Roman" w:cs="Times New Roman"/>
          <w:b/>
          <w:sz w:val="24"/>
          <w:szCs w:val="24"/>
        </w:rPr>
        <w:t xml:space="preserve"> (Freightage) Ltd vs. S. </w:t>
      </w:r>
      <w:proofErr w:type="spellStart"/>
      <w:r w:rsidRPr="005766E8">
        <w:rPr>
          <w:rFonts w:ascii="Times New Roman" w:eastAsia="Times New Roman" w:hAnsi="Times New Roman" w:cs="Times New Roman"/>
          <w:b/>
          <w:sz w:val="24"/>
          <w:szCs w:val="24"/>
        </w:rPr>
        <w:t>Spanglett</w:t>
      </w:r>
      <w:proofErr w:type="spellEnd"/>
      <w:r w:rsidRPr="005766E8">
        <w:rPr>
          <w:rFonts w:ascii="Times New Roman" w:eastAsia="Times New Roman" w:hAnsi="Times New Roman" w:cs="Times New Roman"/>
          <w:b/>
          <w:sz w:val="24"/>
          <w:szCs w:val="24"/>
        </w:rPr>
        <w:t xml:space="preserve"> Ltd</w:t>
      </w:r>
      <w:r w:rsidRPr="005766E8">
        <w:rPr>
          <w:b/>
          <w:vertAlign w:val="superscript"/>
        </w:rPr>
        <w:footnoteReference w:id="5"/>
      </w:r>
      <w:r w:rsidRPr="005766E8">
        <w:rPr>
          <w:rFonts w:ascii="Times New Roman" w:eastAsia="Times New Roman" w:hAnsi="Times New Roman" w:cs="Times New Roman"/>
          <w:sz w:val="24"/>
          <w:szCs w:val="24"/>
        </w:rPr>
        <w:t xml:space="preserve">, the facts were that the plaintiffs employed the defendants for reward to carry and they carried, a third party’s goods by road. The motor vehicle in which the goods </w:t>
      </w:r>
      <w:proofErr w:type="gramStart"/>
      <w:r w:rsidRPr="005766E8">
        <w:rPr>
          <w:rFonts w:ascii="Times New Roman" w:eastAsia="Times New Roman" w:hAnsi="Times New Roman" w:cs="Times New Roman"/>
          <w:sz w:val="24"/>
          <w:szCs w:val="24"/>
        </w:rPr>
        <w:t>were carried</w:t>
      </w:r>
      <w:proofErr w:type="gramEnd"/>
      <w:r w:rsidRPr="005766E8">
        <w:rPr>
          <w:rFonts w:ascii="Times New Roman" w:eastAsia="Times New Roman" w:hAnsi="Times New Roman" w:cs="Times New Roman"/>
          <w:sz w:val="24"/>
          <w:szCs w:val="24"/>
        </w:rPr>
        <w:t xml:space="preserve"> had a “C” licence, not an “A” licence. The defendants knew this fact, but the plaintiffs neither knew it nor should have known it. </w:t>
      </w:r>
      <w:proofErr w:type="gramStart"/>
      <w:r w:rsidRPr="005766E8">
        <w:rPr>
          <w:rFonts w:ascii="Times New Roman" w:eastAsia="Times New Roman" w:hAnsi="Times New Roman" w:cs="Times New Roman"/>
          <w:sz w:val="24"/>
          <w:szCs w:val="24"/>
        </w:rPr>
        <w:t>As a result</w:t>
      </w:r>
      <w:proofErr w:type="gramEnd"/>
      <w:r w:rsidRPr="005766E8">
        <w:rPr>
          <w:rFonts w:ascii="Times New Roman" w:eastAsia="Times New Roman" w:hAnsi="Times New Roman" w:cs="Times New Roman"/>
          <w:sz w:val="24"/>
          <w:szCs w:val="24"/>
        </w:rPr>
        <w:t xml:space="preserve"> of the defendant’s negligence the goods were stolen in the course of transit. </w:t>
      </w:r>
      <w:proofErr w:type="gramStart"/>
      <w:r w:rsidRPr="005766E8">
        <w:rPr>
          <w:rFonts w:ascii="Times New Roman" w:eastAsia="Times New Roman" w:hAnsi="Times New Roman" w:cs="Times New Roman"/>
          <w:sz w:val="24"/>
          <w:szCs w:val="24"/>
        </w:rPr>
        <w:t xml:space="preserve">In an action by the plaintiffs for damages the defendants contended that the contract was illegal by reason of the Rail Traffic Act 1933, which prohibited the use of a goods vehicle on a road except under licence, and of the fact that the “C” licence, </w:t>
      </w:r>
      <w:r w:rsidRPr="005766E8">
        <w:rPr>
          <w:rFonts w:ascii="Times New Roman" w:eastAsia="Times New Roman" w:hAnsi="Times New Roman" w:cs="Times New Roman"/>
          <w:sz w:val="24"/>
          <w:szCs w:val="24"/>
        </w:rPr>
        <w:lastRenderedPageBreak/>
        <w:t>as distinct from an “A” licence, did not permit the defendants to carry other persons’ goods on the vehicle for reward.</w:t>
      </w:r>
      <w:proofErr w:type="gramEnd"/>
      <w:r w:rsidRPr="005766E8">
        <w:rPr>
          <w:rFonts w:ascii="Times New Roman" w:eastAsia="Times New Roman" w:hAnsi="Times New Roman" w:cs="Times New Roman"/>
          <w:sz w:val="24"/>
          <w:szCs w:val="24"/>
        </w:rPr>
        <w:t xml:space="preserve"> The court assumed that the contract was for carriage in the particular </w:t>
      </w:r>
      <w:proofErr w:type="gramStart"/>
      <w:r w:rsidRPr="005766E8">
        <w:rPr>
          <w:rFonts w:ascii="Times New Roman" w:eastAsia="Times New Roman" w:hAnsi="Times New Roman" w:cs="Times New Roman"/>
          <w:sz w:val="24"/>
          <w:szCs w:val="24"/>
        </w:rPr>
        <w:t>vehicle which</w:t>
      </w:r>
      <w:proofErr w:type="gramEnd"/>
      <w:r w:rsidRPr="005766E8">
        <w:rPr>
          <w:rFonts w:ascii="Times New Roman" w:eastAsia="Times New Roman" w:hAnsi="Times New Roman" w:cs="Times New Roman"/>
          <w:sz w:val="24"/>
          <w:szCs w:val="24"/>
        </w:rPr>
        <w:t xml:space="preserve"> in fact the defendants used. </w:t>
      </w:r>
    </w:p>
    <w:p w14:paraId="29D5971D" w14:textId="77777777" w:rsidR="00867781" w:rsidRPr="00867781" w:rsidRDefault="00867781" w:rsidP="00867781">
      <w:pPr>
        <w:pStyle w:val="ListParagraph"/>
        <w:rPr>
          <w:rFonts w:ascii="Times New Roman" w:eastAsia="Times New Roman" w:hAnsi="Times New Roman" w:cs="Times New Roman"/>
          <w:sz w:val="24"/>
          <w:szCs w:val="24"/>
        </w:rPr>
      </w:pPr>
    </w:p>
    <w:p w14:paraId="4D54E7E6" w14:textId="0B7C90E2"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proofErr w:type="gramStart"/>
      <w:r w:rsidRPr="005766E8">
        <w:rPr>
          <w:rFonts w:ascii="Times New Roman" w:eastAsia="Times New Roman" w:hAnsi="Times New Roman" w:cs="Times New Roman"/>
          <w:sz w:val="24"/>
          <w:szCs w:val="24"/>
        </w:rPr>
        <w:t>The Court of Appeal of England held that: the plaintiffs were not debarred by the illegality of the defendants’ use of their vehicle from recovering damages for breach of the contract of carriage for the following reasons – (</w:t>
      </w:r>
      <w:proofErr w:type="spellStart"/>
      <w:r w:rsidRPr="005766E8">
        <w:rPr>
          <w:rFonts w:ascii="Times New Roman" w:eastAsia="Times New Roman" w:hAnsi="Times New Roman" w:cs="Times New Roman"/>
          <w:sz w:val="24"/>
          <w:szCs w:val="24"/>
        </w:rPr>
        <w:t>i</w:t>
      </w:r>
      <w:proofErr w:type="spellEnd"/>
      <w:r w:rsidRPr="005766E8">
        <w:rPr>
          <w:rFonts w:ascii="Times New Roman" w:eastAsia="Times New Roman" w:hAnsi="Times New Roman" w:cs="Times New Roman"/>
          <w:sz w:val="24"/>
          <w:szCs w:val="24"/>
        </w:rPr>
        <w:t xml:space="preserve">) the contract of carriage was not forbidden by statute, since, although a contract for the use of an unlicensed vehicle on a road might have been impliedly prohibited by Section 1(1) of the Road and Rail Act, 1933, a contract for the carriage of goods by road was collateral to the licensing  control established by Part 1 of that Act and was not impliedly prohibited by statute (ii) the defendants, being ignorant of the fact that there was only a “C” licence for the vehicle, were innocent parties to the contract of carriage, which was not </w:t>
      </w:r>
      <w:r w:rsidRPr="005766E8">
        <w:rPr>
          <w:rFonts w:ascii="Times New Roman" w:eastAsia="Times New Roman" w:hAnsi="Times New Roman" w:cs="Times New Roman"/>
          <w:i/>
          <w:sz w:val="24"/>
          <w:szCs w:val="24"/>
          <w:u w:val="single"/>
        </w:rPr>
        <w:t>ex facie</w:t>
      </w:r>
      <w:r w:rsidRPr="005766E8">
        <w:rPr>
          <w:rFonts w:ascii="Times New Roman" w:eastAsia="Times New Roman" w:hAnsi="Times New Roman" w:cs="Times New Roman"/>
          <w:sz w:val="24"/>
          <w:szCs w:val="24"/>
          <w:u w:val="single"/>
        </w:rPr>
        <w:t xml:space="preserve"> illegal</w:t>
      </w:r>
      <w:r w:rsidRPr="005766E8">
        <w:rPr>
          <w:rFonts w:ascii="Times New Roman" w:eastAsia="Times New Roman" w:hAnsi="Times New Roman" w:cs="Times New Roman"/>
          <w:sz w:val="24"/>
          <w:szCs w:val="24"/>
        </w:rPr>
        <w:t>.</w:t>
      </w:r>
      <w:proofErr w:type="gramEnd"/>
    </w:p>
    <w:p w14:paraId="2DC958B4" w14:textId="77777777" w:rsidR="00867781" w:rsidRPr="00867781" w:rsidRDefault="00867781" w:rsidP="00867781">
      <w:pPr>
        <w:pStyle w:val="ListParagraph"/>
        <w:rPr>
          <w:rFonts w:ascii="Times New Roman" w:eastAsia="Times New Roman" w:hAnsi="Times New Roman" w:cs="Times New Roman"/>
          <w:sz w:val="24"/>
          <w:szCs w:val="24"/>
        </w:rPr>
      </w:pPr>
    </w:p>
    <w:p w14:paraId="4D513D84" w14:textId="569595D5" w:rsidR="005766E8" w:rsidRPr="00867781"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i/>
          <w:color w:val="FF0000"/>
          <w:sz w:val="24"/>
          <w:szCs w:val="24"/>
          <w:u w:val="single"/>
        </w:rPr>
      </w:pPr>
      <w:r w:rsidRPr="005766E8">
        <w:rPr>
          <w:rFonts w:ascii="Times New Roman" w:eastAsia="Times New Roman" w:hAnsi="Times New Roman" w:cs="Times New Roman"/>
          <w:sz w:val="24"/>
          <w:szCs w:val="24"/>
        </w:rPr>
        <w:t xml:space="preserve">In the appeal before us, a contract to construct self-catering Chalets </w:t>
      </w:r>
      <w:proofErr w:type="gramStart"/>
      <w:r w:rsidRPr="005766E8">
        <w:rPr>
          <w:rFonts w:ascii="Times New Roman" w:eastAsia="Times New Roman" w:hAnsi="Times New Roman" w:cs="Times New Roman"/>
          <w:sz w:val="24"/>
          <w:szCs w:val="24"/>
        </w:rPr>
        <w:t>was not forbidden</w:t>
      </w:r>
      <w:proofErr w:type="gramEnd"/>
      <w:r w:rsidRPr="005766E8">
        <w:rPr>
          <w:rFonts w:ascii="Times New Roman" w:eastAsia="Times New Roman" w:hAnsi="Times New Roman" w:cs="Times New Roman"/>
          <w:sz w:val="24"/>
          <w:szCs w:val="24"/>
        </w:rPr>
        <w:t xml:space="preserve"> by the law of Seychelles. However, the construction of such property by a contactor with </w:t>
      </w:r>
      <w:r w:rsidRPr="005766E8">
        <w:rPr>
          <w:rFonts w:ascii="Times New Roman" w:eastAsia="Times New Roman" w:hAnsi="Times New Roman" w:cs="Times New Roman"/>
          <w:i/>
          <w:sz w:val="24"/>
          <w:szCs w:val="24"/>
        </w:rPr>
        <w:t xml:space="preserve">a class 4 licence that only permits carrying out of maintenance work </w:t>
      </w:r>
      <w:proofErr w:type="gramStart"/>
      <w:r w:rsidRPr="005766E8">
        <w:rPr>
          <w:rFonts w:ascii="Times New Roman" w:eastAsia="Times New Roman" w:hAnsi="Times New Roman" w:cs="Times New Roman"/>
          <w:sz w:val="24"/>
          <w:szCs w:val="24"/>
        </w:rPr>
        <w:t>was impliedly prohibited</w:t>
      </w:r>
      <w:proofErr w:type="gramEnd"/>
      <w:r w:rsidRPr="005766E8">
        <w:rPr>
          <w:rFonts w:ascii="Times New Roman" w:eastAsia="Times New Roman" w:hAnsi="Times New Roman" w:cs="Times New Roman"/>
          <w:sz w:val="24"/>
          <w:szCs w:val="24"/>
        </w:rPr>
        <w:t xml:space="preserve">.  The respondent pleaded ignorance of the fact that the appellant did not possess the requisite licence. The appellant did not refute the respondent’s ignorance of this </w:t>
      </w:r>
      <w:proofErr w:type="gramStart"/>
      <w:r w:rsidRPr="005766E8">
        <w:rPr>
          <w:rFonts w:ascii="Times New Roman" w:eastAsia="Times New Roman" w:hAnsi="Times New Roman" w:cs="Times New Roman"/>
          <w:sz w:val="24"/>
          <w:szCs w:val="24"/>
        </w:rPr>
        <w:t>fact,</w:t>
      </w:r>
      <w:proofErr w:type="gramEnd"/>
      <w:r w:rsidRPr="005766E8">
        <w:rPr>
          <w:rFonts w:ascii="Times New Roman" w:eastAsia="Times New Roman" w:hAnsi="Times New Roman" w:cs="Times New Roman"/>
          <w:sz w:val="24"/>
          <w:szCs w:val="24"/>
        </w:rPr>
        <w:t xml:space="preserve"> neither did they adduce evidence to show that the respondent ought to have known this fact. The appellant however contended that neither of the parties to the contract </w:t>
      </w:r>
      <w:proofErr w:type="gramStart"/>
      <w:r w:rsidRPr="005766E8">
        <w:rPr>
          <w:rFonts w:ascii="Times New Roman" w:eastAsia="Times New Roman" w:hAnsi="Times New Roman" w:cs="Times New Roman"/>
          <w:sz w:val="24"/>
          <w:szCs w:val="24"/>
        </w:rPr>
        <w:t>can</w:t>
      </w:r>
      <w:proofErr w:type="gramEnd"/>
      <w:r w:rsidRPr="005766E8">
        <w:rPr>
          <w:rFonts w:ascii="Times New Roman" w:eastAsia="Times New Roman" w:hAnsi="Times New Roman" w:cs="Times New Roman"/>
          <w:sz w:val="24"/>
          <w:szCs w:val="24"/>
        </w:rPr>
        <w:t xml:space="preserve"> claim damages arising from a contract against public policy. </w:t>
      </w:r>
    </w:p>
    <w:p w14:paraId="6051C325" w14:textId="77777777" w:rsidR="00867781" w:rsidRPr="00867781" w:rsidRDefault="00867781" w:rsidP="00867781">
      <w:pPr>
        <w:pStyle w:val="ListParagraph"/>
        <w:rPr>
          <w:rFonts w:ascii="Times New Roman" w:eastAsia="Times New Roman" w:hAnsi="Times New Roman" w:cs="Times New Roman"/>
          <w:i/>
          <w:color w:val="FF0000"/>
          <w:sz w:val="24"/>
          <w:szCs w:val="24"/>
          <w:u w:val="single"/>
        </w:rPr>
      </w:pPr>
    </w:p>
    <w:p w14:paraId="40B1DE6C" w14:textId="68E8AB8B" w:rsid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 xml:space="preserve">Following the persuasive authority of </w:t>
      </w:r>
      <w:proofErr w:type="spellStart"/>
      <w:r w:rsidRPr="005766E8">
        <w:rPr>
          <w:rFonts w:ascii="Times New Roman" w:eastAsia="Times New Roman" w:hAnsi="Times New Roman" w:cs="Times New Roman"/>
          <w:b/>
          <w:sz w:val="24"/>
          <w:szCs w:val="24"/>
        </w:rPr>
        <w:t>Archbolds</w:t>
      </w:r>
      <w:proofErr w:type="spellEnd"/>
      <w:r w:rsidRPr="005766E8">
        <w:rPr>
          <w:rFonts w:ascii="Times New Roman" w:eastAsia="Times New Roman" w:hAnsi="Times New Roman" w:cs="Times New Roman"/>
          <w:b/>
          <w:sz w:val="24"/>
          <w:szCs w:val="24"/>
        </w:rPr>
        <w:t xml:space="preserve"> (Freightage) Ltd vs. S. </w:t>
      </w:r>
      <w:proofErr w:type="spellStart"/>
      <w:r w:rsidRPr="005766E8">
        <w:rPr>
          <w:rFonts w:ascii="Times New Roman" w:eastAsia="Times New Roman" w:hAnsi="Times New Roman" w:cs="Times New Roman"/>
          <w:b/>
          <w:sz w:val="24"/>
          <w:szCs w:val="24"/>
        </w:rPr>
        <w:t>Spanglett</w:t>
      </w:r>
      <w:proofErr w:type="spellEnd"/>
      <w:r w:rsidRPr="005766E8">
        <w:rPr>
          <w:rFonts w:ascii="Times New Roman" w:eastAsia="Times New Roman" w:hAnsi="Times New Roman" w:cs="Times New Roman"/>
          <w:b/>
          <w:sz w:val="24"/>
          <w:szCs w:val="24"/>
        </w:rPr>
        <w:t xml:space="preserve"> Ltd (supra), </w:t>
      </w:r>
      <w:r w:rsidRPr="005766E8">
        <w:rPr>
          <w:rFonts w:ascii="Times New Roman" w:eastAsia="Times New Roman" w:hAnsi="Times New Roman" w:cs="Times New Roman"/>
          <w:sz w:val="24"/>
          <w:szCs w:val="24"/>
        </w:rPr>
        <w:t>I hold that</w:t>
      </w:r>
      <w:r w:rsidRPr="005766E8">
        <w:rPr>
          <w:rFonts w:ascii="Times New Roman" w:eastAsia="Times New Roman" w:hAnsi="Times New Roman" w:cs="Times New Roman"/>
          <w:b/>
          <w:sz w:val="24"/>
          <w:szCs w:val="24"/>
        </w:rPr>
        <w:t xml:space="preserve"> </w:t>
      </w:r>
      <w:r w:rsidRPr="005766E8">
        <w:rPr>
          <w:rFonts w:ascii="Times New Roman" w:eastAsia="Times New Roman" w:hAnsi="Times New Roman" w:cs="Times New Roman"/>
          <w:sz w:val="24"/>
          <w:szCs w:val="24"/>
        </w:rPr>
        <w:t xml:space="preserve">the respondent being ignorant of the fact that NSJ did not have the requisite licence could sue on the contract since it was not </w:t>
      </w:r>
      <w:r w:rsidRPr="005766E8">
        <w:rPr>
          <w:rFonts w:ascii="Times New Roman" w:eastAsia="Times New Roman" w:hAnsi="Times New Roman" w:cs="Times New Roman"/>
          <w:i/>
          <w:sz w:val="24"/>
          <w:szCs w:val="24"/>
        </w:rPr>
        <w:t>ex facie</w:t>
      </w:r>
      <w:r w:rsidRPr="005766E8">
        <w:rPr>
          <w:rFonts w:ascii="Times New Roman" w:eastAsia="Times New Roman" w:hAnsi="Times New Roman" w:cs="Times New Roman"/>
          <w:sz w:val="24"/>
          <w:szCs w:val="24"/>
        </w:rPr>
        <w:t xml:space="preserve"> illegal. </w:t>
      </w:r>
    </w:p>
    <w:p w14:paraId="306AA0B4" w14:textId="77777777" w:rsidR="00867781" w:rsidRPr="00867781" w:rsidRDefault="00867781" w:rsidP="00867781">
      <w:pPr>
        <w:pStyle w:val="ListParagraph"/>
        <w:rPr>
          <w:rFonts w:ascii="Times New Roman" w:eastAsia="Times New Roman" w:hAnsi="Times New Roman" w:cs="Times New Roman"/>
          <w:sz w:val="24"/>
          <w:szCs w:val="24"/>
        </w:rPr>
      </w:pPr>
    </w:p>
    <w:p w14:paraId="02AEBD8A" w14:textId="77777777" w:rsidR="005766E8" w:rsidRPr="005766E8" w:rsidRDefault="005766E8" w:rsidP="005766E8">
      <w:pPr>
        <w:pStyle w:val="ListParagraph"/>
        <w:numPr>
          <w:ilvl w:val="0"/>
          <w:numId w:val="39"/>
        </w:numPr>
        <w:shd w:val="clear" w:color="auto" w:fill="FFFFFF"/>
        <w:spacing w:before="300" w:after="300" w:line="360" w:lineRule="auto"/>
        <w:ind w:hanging="720"/>
        <w:jc w:val="both"/>
        <w:textAlignment w:val="baseline"/>
        <w:outlineLvl w:val="0"/>
        <w:rPr>
          <w:rFonts w:ascii="Times New Roman" w:hAnsi="Times New Roman" w:cs="Times New Roman"/>
          <w:sz w:val="24"/>
          <w:szCs w:val="24"/>
          <w:lang w:val="en-US"/>
        </w:rPr>
      </w:pPr>
      <w:r w:rsidRPr="005766E8">
        <w:rPr>
          <w:rFonts w:ascii="Times New Roman" w:eastAsia="Times New Roman" w:hAnsi="Times New Roman" w:cs="Times New Roman"/>
          <w:sz w:val="24"/>
          <w:szCs w:val="24"/>
        </w:rPr>
        <w:t xml:space="preserve">In arriving at this </w:t>
      </w:r>
      <w:proofErr w:type="gramStart"/>
      <w:r w:rsidRPr="005766E8">
        <w:rPr>
          <w:rFonts w:ascii="Times New Roman" w:eastAsia="Times New Roman" w:hAnsi="Times New Roman" w:cs="Times New Roman"/>
          <w:sz w:val="24"/>
          <w:szCs w:val="24"/>
        </w:rPr>
        <w:t>decision</w:t>
      </w:r>
      <w:proofErr w:type="gramEnd"/>
      <w:r w:rsidRPr="005766E8">
        <w:rPr>
          <w:rFonts w:ascii="Times New Roman" w:eastAsia="Times New Roman" w:hAnsi="Times New Roman" w:cs="Times New Roman"/>
          <w:sz w:val="24"/>
          <w:szCs w:val="24"/>
        </w:rPr>
        <w:t xml:space="preserve"> I am fortified by the provisions of the law which recognise the equitable powers of courts of law. In urging this Court to uphold the decision of the Supreme Court, the respondent argued that </w:t>
      </w:r>
      <w:r w:rsidRPr="005766E8">
        <w:rPr>
          <w:rFonts w:ascii="Times New Roman" w:hAnsi="Times New Roman" w:cs="Times New Roman"/>
          <w:sz w:val="24"/>
          <w:szCs w:val="24"/>
          <w:lang w:val="en-US"/>
        </w:rPr>
        <w:t xml:space="preserve">the presiding judge exercised the court’s equitable powers under </w:t>
      </w:r>
      <w:r w:rsidRPr="005766E8">
        <w:rPr>
          <w:rFonts w:ascii="Times New Roman" w:hAnsi="Times New Roman" w:cs="Times New Roman"/>
          <w:b/>
          <w:sz w:val="24"/>
          <w:szCs w:val="24"/>
          <w:lang w:val="en-US"/>
        </w:rPr>
        <w:t>Section 6 of the Courts Act</w:t>
      </w:r>
      <w:r w:rsidRPr="005766E8">
        <w:rPr>
          <w:rFonts w:ascii="Times New Roman" w:hAnsi="Times New Roman" w:cs="Times New Roman"/>
          <w:sz w:val="24"/>
          <w:szCs w:val="24"/>
          <w:lang w:val="en-US"/>
        </w:rPr>
        <w:t xml:space="preserve"> to award damages to the respondent. The section is as follows:</w:t>
      </w:r>
    </w:p>
    <w:p w14:paraId="035488DD" w14:textId="77777777" w:rsidR="00C93CC2" w:rsidRPr="005766E8" w:rsidRDefault="00C93CC2" w:rsidP="00C105EC">
      <w:pPr>
        <w:pStyle w:val="ListParagraph"/>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lastRenderedPageBreak/>
        <w:t>“</w:t>
      </w:r>
      <w:r w:rsidRPr="005766E8">
        <w:rPr>
          <w:rFonts w:ascii="Times New Roman" w:eastAsia="Times New Roman" w:hAnsi="Times New Roman" w:cs="Times New Roman"/>
          <w:b/>
          <w:bCs/>
          <w:color w:val="000000"/>
          <w:sz w:val="24"/>
          <w:szCs w:val="24"/>
        </w:rPr>
        <w:t>Equitable powers</w:t>
      </w:r>
    </w:p>
    <w:p w14:paraId="097FDEB2" w14:textId="639827D3" w:rsidR="005766E8" w:rsidRDefault="00867781" w:rsidP="00867781">
      <w:pPr>
        <w:pStyle w:val="ListParagraph"/>
        <w:numPr>
          <w:ilvl w:val="0"/>
          <w:numId w:val="39"/>
        </w:numPr>
        <w:shd w:val="clear" w:color="auto" w:fill="FFFFFF"/>
        <w:tabs>
          <w:tab w:val="left" w:pos="1260"/>
        </w:tabs>
        <w:spacing w:before="100" w:beforeAutospacing="1" w:after="100" w:afterAutospacing="1" w:line="360" w:lineRule="auto"/>
        <w:ind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6.        </w:t>
      </w:r>
      <w:r w:rsidR="005766E8" w:rsidRPr="005766E8">
        <w:rPr>
          <w:rFonts w:ascii="Times New Roman" w:eastAsia="Times New Roman" w:hAnsi="Times New Roman" w:cs="Times New Roman"/>
          <w:i/>
          <w:color w:val="000000"/>
          <w:sz w:val="24"/>
          <w:szCs w:val="24"/>
        </w:rPr>
        <w:t>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r w:rsidR="00C93CC2">
        <w:rPr>
          <w:rFonts w:ascii="Times New Roman" w:eastAsia="Times New Roman" w:hAnsi="Times New Roman" w:cs="Times New Roman"/>
          <w:i/>
          <w:color w:val="000000"/>
          <w:sz w:val="24"/>
          <w:szCs w:val="24"/>
        </w:rPr>
        <w:t>”</w:t>
      </w:r>
    </w:p>
    <w:p w14:paraId="51A06BCA" w14:textId="77777777" w:rsidR="00867781" w:rsidRPr="005766E8" w:rsidRDefault="00867781" w:rsidP="00867781">
      <w:pPr>
        <w:pStyle w:val="ListParagraph"/>
        <w:shd w:val="clear" w:color="auto" w:fill="FFFFFF"/>
        <w:tabs>
          <w:tab w:val="left" w:pos="1260"/>
        </w:tabs>
        <w:spacing w:before="100" w:beforeAutospacing="1" w:after="100" w:afterAutospacing="1" w:line="360" w:lineRule="auto"/>
        <w:jc w:val="both"/>
        <w:rPr>
          <w:rFonts w:ascii="Times New Roman" w:eastAsia="Times New Roman" w:hAnsi="Times New Roman" w:cs="Times New Roman"/>
          <w:i/>
          <w:color w:val="000000"/>
          <w:sz w:val="24"/>
          <w:szCs w:val="24"/>
        </w:rPr>
      </w:pPr>
    </w:p>
    <w:p w14:paraId="098F0D1A" w14:textId="1833C52C" w:rsidR="005766E8" w:rsidRDefault="005766E8" w:rsidP="005766E8">
      <w:pPr>
        <w:pStyle w:val="ListParagraph"/>
        <w:numPr>
          <w:ilvl w:val="0"/>
          <w:numId w:val="39"/>
        </w:numPr>
        <w:shd w:val="clear" w:color="auto" w:fill="FFFFFF"/>
        <w:spacing w:before="100" w:beforeAutospacing="1" w:after="100" w:afterAutospacing="1" w:line="360" w:lineRule="auto"/>
        <w:ind w:hanging="720"/>
        <w:jc w:val="both"/>
        <w:rPr>
          <w:rFonts w:ascii="Times New Roman" w:hAnsi="Times New Roman" w:cs="Times New Roman"/>
          <w:b/>
          <w:color w:val="000000" w:themeColor="text1"/>
          <w:sz w:val="24"/>
          <w:szCs w:val="24"/>
          <w:lang w:val="en-US"/>
        </w:rPr>
      </w:pPr>
      <w:r w:rsidRPr="005766E8">
        <w:rPr>
          <w:rFonts w:ascii="Times New Roman" w:eastAsia="Times New Roman" w:hAnsi="Times New Roman" w:cs="Times New Roman"/>
          <w:color w:val="000000"/>
          <w:sz w:val="24"/>
          <w:szCs w:val="24"/>
          <w:lang w:val="en-US"/>
        </w:rPr>
        <w:t xml:space="preserve">I opine that this Court derives its </w:t>
      </w:r>
      <w:bookmarkStart w:id="1" w:name="S06"/>
      <w:bookmarkEnd w:id="1"/>
      <w:r w:rsidRPr="005766E8">
        <w:rPr>
          <w:rFonts w:ascii="Times New Roman" w:hAnsi="Times New Roman" w:cs="Times New Roman"/>
          <w:color w:val="000000" w:themeColor="text1"/>
          <w:sz w:val="24"/>
          <w:szCs w:val="24"/>
          <w:lang w:val="en-US"/>
        </w:rPr>
        <w:t xml:space="preserve">equitable jurisdiction from </w:t>
      </w:r>
      <w:r w:rsidRPr="005766E8">
        <w:rPr>
          <w:rFonts w:ascii="Times New Roman" w:hAnsi="Times New Roman" w:cs="Times New Roman"/>
          <w:b/>
          <w:color w:val="000000" w:themeColor="text1"/>
          <w:sz w:val="24"/>
          <w:szCs w:val="24"/>
          <w:lang w:val="en-US"/>
        </w:rPr>
        <w:t xml:space="preserve">Article 120(3) of the Constitution </w:t>
      </w:r>
      <w:r w:rsidRPr="005766E8">
        <w:rPr>
          <w:rFonts w:ascii="Times New Roman" w:hAnsi="Times New Roman" w:cs="Times New Roman"/>
          <w:color w:val="000000" w:themeColor="text1"/>
          <w:sz w:val="24"/>
          <w:szCs w:val="24"/>
          <w:lang w:val="en-US"/>
        </w:rPr>
        <w:t>which provides that:</w:t>
      </w:r>
      <w:r w:rsidRPr="005766E8">
        <w:rPr>
          <w:rFonts w:ascii="Times New Roman" w:hAnsi="Times New Roman" w:cs="Times New Roman"/>
          <w:b/>
          <w:color w:val="000000" w:themeColor="text1"/>
          <w:sz w:val="24"/>
          <w:szCs w:val="24"/>
          <w:lang w:val="en-US"/>
        </w:rPr>
        <w:t xml:space="preserve"> </w:t>
      </w:r>
    </w:p>
    <w:p w14:paraId="26EE3ECD" w14:textId="77777777" w:rsidR="00867781" w:rsidRPr="00867781" w:rsidRDefault="00867781" w:rsidP="00867781">
      <w:pPr>
        <w:pStyle w:val="ListParagraph"/>
        <w:rPr>
          <w:rFonts w:ascii="Times New Roman" w:hAnsi="Times New Roman" w:cs="Times New Roman"/>
          <w:b/>
          <w:color w:val="000000" w:themeColor="text1"/>
          <w:sz w:val="10"/>
          <w:szCs w:val="10"/>
          <w:lang w:val="en-US"/>
        </w:rPr>
      </w:pPr>
    </w:p>
    <w:p w14:paraId="4FF65CBD" w14:textId="64F60E87" w:rsidR="005766E8" w:rsidRDefault="005766E8" w:rsidP="00867781">
      <w:pPr>
        <w:pStyle w:val="ListParagraph"/>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5766E8">
        <w:rPr>
          <w:rFonts w:ascii="Times New Roman" w:eastAsia="Times New Roman" w:hAnsi="Times New Roman" w:cs="Times New Roman"/>
          <w:i/>
          <w:color w:val="000000" w:themeColor="text1"/>
          <w:sz w:val="24"/>
          <w:szCs w:val="24"/>
        </w:rPr>
        <w:t>120.    (3) The Court of Appeal shall, when exercising its appellate jurisdiction, have all the authority, jurisdiction and power of the court from which the appeal is brought and such other authority, jurisdiction and power as may be conferred upon it by or under an Act.</w:t>
      </w:r>
    </w:p>
    <w:p w14:paraId="4E98452E" w14:textId="77777777" w:rsidR="00867781" w:rsidRPr="00867781" w:rsidRDefault="00867781" w:rsidP="00867781">
      <w:pPr>
        <w:pStyle w:val="ListParagraph"/>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16"/>
          <w:szCs w:val="16"/>
        </w:rPr>
      </w:pPr>
    </w:p>
    <w:p w14:paraId="39509DBC" w14:textId="77777777" w:rsidR="005766E8" w:rsidRPr="005766E8" w:rsidRDefault="005766E8" w:rsidP="005766E8">
      <w:pPr>
        <w:pStyle w:val="ListParagraph"/>
        <w:numPr>
          <w:ilvl w:val="0"/>
          <w:numId w:val="39"/>
        </w:numPr>
        <w:spacing w:after="240" w:line="360" w:lineRule="auto"/>
        <w:ind w:hanging="720"/>
        <w:jc w:val="both"/>
        <w:rPr>
          <w:rFonts w:ascii="Times New Roman" w:eastAsia="Times New Roman" w:hAnsi="Times New Roman" w:cs="Times New Roman"/>
          <w:sz w:val="24"/>
          <w:szCs w:val="24"/>
        </w:rPr>
      </w:pPr>
      <w:r w:rsidRPr="005766E8">
        <w:rPr>
          <w:rFonts w:ascii="Times New Roman" w:eastAsia="Times New Roman" w:hAnsi="Times New Roman" w:cs="Times New Roman"/>
          <w:sz w:val="24"/>
          <w:szCs w:val="24"/>
        </w:rPr>
        <w:t>T</w:t>
      </w:r>
      <w:r w:rsidRPr="005766E8">
        <w:rPr>
          <w:rFonts w:ascii="Times New Roman" w:eastAsia="Times New Roman" w:hAnsi="Times New Roman" w:cs="Times New Roman"/>
          <w:color w:val="212529"/>
          <w:sz w:val="24"/>
          <w:szCs w:val="24"/>
          <w:shd w:val="clear" w:color="auto" w:fill="FFFFFF"/>
        </w:rPr>
        <w:t>he contravention of public policy arose out of the conduct of the appellant. The respondent had done nothing to breach the statute. In contrast, even if the Supreme Court had not dismissed the appellant’s “plaint” for flouting S</w:t>
      </w:r>
      <w:r w:rsidRPr="005766E8">
        <w:rPr>
          <w:rFonts w:ascii="Times New Roman" w:eastAsia="Times New Roman" w:hAnsi="Times New Roman" w:cs="Times New Roman"/>
          <w:sz w:val="24"/>
          <w:szCs w:val="24"/>
        </w:rPr>
        <w:t>ection 71 of the SCCP</w:t>
      </w:r>
      <w:r w:rsidRPr="005766E8">
        <w:rPr>
          <w:rFonts w:ascii="Times New Roman" w:eastAsia="Times New Roman" w:hAnsi="Times New Roman" w:cs="Times New Roman"/>
          <w:color w:val="212529"/>
          <w:sz w:val="24"/>
          <w:szCs w:val="24"/>
          <w:shd w:val="clear" w:color="auto" w:fill="FFFFFF"/>
        </w:rPr>
        <w:t xml:space="preserve"> the appellants could not have recovered damages arising out of the counter claim as they had breached the licencing statute. </w:t>
      </w:r>
      <w:proofErr w:type="gramStart"/>
      <w:r w:rsidRPr="005766E8">
        <w:rPr>
          <w:rFonts w:ascii="Times New Roman" w:eastAsia="Times New Roman" w:hAnsi="Times New Roman" w:cs="Times New Roman"/>
          <w:color w:val="212529"/>
          <w:sz w:val="24"/>
          <w:szCs w:val="24"/>
          <w:shd w:val="clear" w:color="auto" w:fill="FFFFFF"/>
        </w:rPr>
        <w:t xml:space="preserve">Indeed, it is in regard to the appellant </w:t>
      </w:r>
      <w:r w:rsidRPr="005766E8">
        <w:rPr>
          <w:rFonts w:ascii="Times New Roman" w:eastAsia="Times New Roman" w:hAnsi="Times New Roman" w:cs="Times New Roman"/>
          <w:sz w:val="24"/>
          <w:szCs w:val="24"/>
          <w:shd w:val="clear" w:color="auto" w:fill="FFFFFF"/>
        </w:rPr>
        <w:t xml:space="preserve">that Twomey JA’s holding in </w:t>
      </w:r>
      <w:proofErr w:type="spellStart"/>
      <w:r w:rsidRPr="005766E8">
        <w:rPr>
          <w:rFonts w:ascii="Times New Roman" w:eastAsia="Times New Roman" w:hAnsi="Times New Roman" w:cs="Times New Roman"/>
          <w:b/>
          <w:sz w:val="24"/>
          <w:szCs w:val="24"/>
          <w:shd w:val="clear" w:color="auto" w:fill="FFFFFF"/>
        </w:rPr>
        <w:t>Berard</w:t>
      </w:r>
      <w:proofErr w:type="spellEnd"/>
      <w:r w:rsidRPr="005766E8">
        <w:rPr>
          <w:rFonts w:ascii="Times New Roman" w:eastAsia="Times New Roman" w:hAnsi="Times New Roman" w:cs="Times New Roman"/>
          <w:b/>
          <w:sz w:val="24"/>
          <w:szCs w:val="24"/>
          <w:shd w:val="clear" w:color="auto" w:fill="FFFFFF"/>
        </w:rPr>
        <w:t xml:space="preserve"> Monthy</w:t>
      </w:r>
      <w:r w:rsidRPr="005766E8">
        <w:rPr>
          <w:rFonts w:ascii="Times New Roman" w:eastAsia="Times New Roman" w:hAnsi="Times New Roman" w:cs="Times New Roman"/>
          <w:sz w:val="24"/>
          <w:szCs w:val="24"/>
          <w:shd w:val="clear" w:color="auto" w:fill="FFFFFF"/>
        </w:rPr>
        <w:t xml:space="preserve"> below would apply, to wit “</w:t>
      </w:r>
      <w:r w:rsidRPr="005766E8">
        <w:rPr>
          <w:rFonts w:ascii="Times New Roman" w:eastAsia="Times New Roman" w:hAnsi="Times New Roman" w:cs="Times New Roman"/>
          <w:i/>
          <w:sz w:val="24"/>
          <w:szCs w:val="24"/>
          <w:u w:val="single"/>
        </w:rPr>
        <w:t xml:space="preserve">the courts will not assist a plaintiff who has been guilty of illegal conduct … </w:t>
      </w:r>
      <w:r w:rsidRPr="005766E8">
        <w:rPr>
          <w:rFonts w:ascii="Times New Roman" w:eastAsia="Times New Roman" w:hAnsi="Times New Roman" w:cs="Times New Roman"/>
          <w:i/>
          <w:sz w:val="24"/>
          <w:szCs w:val="24"/>
        </w:rPr>
        <w:t xml:space="preserve">it would be </w:t>
      </w:r>
      <w:r w:rsidRPr="005766E8">
        <w:rPr>
          <w:rFonts w:ascii="Times New Roman" w:eastAsia="Times New Roman" w:hAnsi="Times New Roman" w:cs="Times New Roman"/>
          <w:i/>
          <w:sz w:val="24"/>
          <w:szCs w:val="24"/>
          <w:u w:val="single"/>
        </w:rPr>
        <w:t>an affront to the public conscience to grant the plaintiff the relief which he seeks because the court would thereby appear to assist or encourage the plaintiff in his illegal conduct</w:t>
      </w:r>
      <w:r w:rsidRPr="005766E8">
        <w:rPr>
          <w:rFonts w:ascii="Times New Roman" w:eastAsia="Times New Roman" w:hAnsi="Times New Roman" w:cs="Times New Roman"/>
          <w:i/>
          <w:sz w:val="24"/>
          <w:szCs w:val="24"/>
        </w:rPr>
        <w:t xml:space="preserve"> or to encourage others in similar acts” </w:t>
      </w:r>
      <w:r w:rsidRPr="00017153">
        <w:rPr>
          <w:rFonts w:ascii="Times New Roman" w:eastAsia="Times New Roman" w:hAnsi="Times New Roman" w:cs="Times New Roman"/>
          <w:sz w:val="24"/>
          <w:szCs w:val="24"/>
        </w:rPr>
        <w:t>The same cannot be applied to the respondent who came to court with clean hands</w:t>
      </w:r>
      <w:r w:rsidRPr="005766E8">
        <w:rPr>
          <w:rFonts w:ascii="Times New Roman" w:eastAsia="Times New Roman" w:hAnsi="Times New Roman" w:cs="Times New Roman"/>
          <w:i/>
          <w:sz w:val="24"/>
          <w:szCs w:val="24"/>
        </w:rPr>
        <w:t>.</w:t>
      </w:r>
      <w:proofErr w:type="gramEnd"/>
    </w:p>
    <w:p w14:paraId="172DDB2E" w14:textId="77777777" w:rsidR="00867781" w:rsidRDefault="00867781" w:rsidP="00867781">
      <w:pPr>
        <w:pStyle w:val="ListParagraph"/>
        <w:spacing w:line="360" w:lineRule="auto"/>
        <w:jc w:val="both"/>
        <w:rPr>
          <w:rFonts w:ascii="Times New Roman" w:hAnsi="Times New Roman" w:cs="Times New Roman"/>
          <w:b/>
          <w:bCs/>
          <w:color w:val="000000" w:themeColor="text1"/>
          <w:sz w:val="24"/>
          <w:szCs w:val="24"/>
          <w:lang w:val="en-US"/>
        </w:rPr>
      </w:pPr>
    </w:p>
    <w:p w14:paraId="37A9DC89" w14:textId="125FE114" w:rsidR="005766E8" w:rsidRDefault="005766E8" w:rsidP="00867781">
      <w:pPr>
        <w:pStyle w:val="ListParagraph"/>
        <w:spacing w:line="360" w:lineRule="auto"/>
        <w:ind w:left="0"/>
        <w:jc w:val="both"/>
        <w:rPr>
          <w:rFonts w:ascii="Times New Roman" w:hAnsi="Times New Roman" w:cs="Times New Roman"/>
          <w:b/>
          <w:bCs/>
          <w:color w:val="000000" w:themeColor="text1"/>
          <w:sz w:val="24"/>
          <w:szCs w:val="24"/>
          <w:lang w:val="en-US"/>
        </w:rPr>
      </w:pPr>
      <w:r w:rsidRPr="005766E8">
        <w:rPr>
          <w:rFonts w:ascii="Times New Roman" w:hAnsi="Times New Roman" w:cs="Times New Roman"/>
          <w:b/>
          <w:bCs/>
          <w:color w:val="000000" w:themeColor="text1"/>
          <w:sz w:val="24"/>
          <w:szCs w:val="24"/>
          <w:lang w:val="en-US"/>
        </w:rPr>
        <w:t xml:space="preserve">Conclusion </w:t>
      </w:r>
    </w:p>
    <w:p w14:paraId="034A693A" w14:textId="77777777" w:rsidR="00867781" w:rsidRPr="00867781" w:rsidRDefault="00867781" w:rsidP="00867781">
      <w:pPr>
        <w:pStyle w:val="ListParagraph"/>
        <w:spacing w:line="360" w:lineRule="auto"/>
        <w:ind w:left="0"/>
        <w:jc w:val="both"/>
        <w:rPr>
          <w:rFonts w:ascii="Times New Roman" w:hAnsi="Times New Roman" w:cs="Times New Roman"/>
          <w:b/>
          <w:bCs/>
          <w:color w:val="000000" w:themeColor="text1"/>
          <w:sz w:val="10"/>
          <w:szCs w:val="10"/>
          <w:lang w:val="en-US"/>
        </w:rPr>
      </w:pPr>
    </w:p>
    <w:p w14:paraId="0A7E3290" w14:textId="77777777" w:rsidR="005766E8" w:rsidRPr="005766E8" w:rsidRDefault="005766E8" w:rsidP="005766E8">
      <w:pPr>
        <w:pStyle w:val="ListParagraph"/>
        <w:numPr>
          <w:ilvl w:val="0"/>
          <w:numId w:val="39"/>
        </w:numPr>
        <w:spacing w:line="360" w:lineRule="auto"/>
        <w:ind w:hanging="720"/>
        <w:jc w:val="both"/>
        <w:rPr>
          <w:rFonts w:ascii="Times New Roman" w:hAnsi="Times New Roman" w:cs="Times New Roman"/>
          <w:bCs/>
          <w:color w:val="000000" w:themeColor="text1"/>
          <w:sz w:val="24"/>
          <w:szCs w:val="24"/>
          <w:lang w:val="en-US"/>
        </w:rPr>
      </w:pPr>
      <w:r w:rsidRPr="005766E8">
        <w:rPr>
          <w:rFonts w:ascii="Times New Roman" w:hAnsi="Times New Roman" w:cs="Times New Roman"/>
          <w:bCs/>
          <w:color w:val="000000" w:themeColor="text1"/>
          <w:sz w:val="24"/>
          <w:szCs w:val="24"/>
          <w:lang w:val="en-US"/>
        </w:rPr>
        <w:t xml:space="preserve">The appeal </w:t>
      </w:r>
      <w:proofErr w:type="gramStart"/>
      <w:r w:rsidRPr="005766E8">
        <w:rPr>
          <w:rFonts w:ascii="Times New Roman" w:hAnsi="Times New Roman" w:cs="Times New Roman"/>
          <w:bCs/>
          <w:color w:val="000000" w:themeColor="text1"/>
          <w:sz w:val="24"/>
          <w:szCs w:val="24"/>
          <w:lang w:val="en-US"/>
        </w:rPr>
        <w:t>is dismissed</w:t>
      </w:r>
      <w:proofErr w:type="gramEnd"/>
      <w:r w:rsidRPr="005766E8">
        <w:rPr>
          <w:rFonts w:ascii="Times New Roman" w:hAnsi="Times New Roman" w:cs="Times New Roman"/>
          <w:bCs/>
          <w:color w:val="000000" w:themeColor="text1"/>
          <w:sz w:val="24"/>
          <w:szCs w:val="24"/>
          <w:lang w:val="en-US"/>
        </w:rPr>
        <w:t xml:space="preserve"> with costs to the respondents.</w:t>
      </w:r>
    </w:p>
    <w:p w14:paraId="254E8AC2" w14:textId="77777777" w:rsidR="005766E8" w:rsidRPr="005766E8" w:rsidRDefault="005766E8" w:rsidP="005766E8">
      <w:pPr>
        <w:pStyle w:val="ListParagraph"/>
        <w:spacing w:line="360" w:lineRule="auto"/>
        <w:ind w:left="630"/>
        <w:jc w:val="both"/>
        <w:rPr>
          <w:rFonts w:ascii="Times New Roman" w:hAnsi="Times New Roman" w:cs="Times New Roman"/>
          <w:sz w:val="24"/>
          <w:szCs w:val="24"/>
          <w:lang w:val="en-US"/>
        </w:rPr>
      </w:pPr>
    </w:p>
    <w:p w14:paraId="29C057F5" w14:textId="43F53CC2" w:rsidR="005766E8" w:rsidRPr="005766E8" w:rsidRDefault="00366A4A" w:rsidP="00366A4A">
      <w:pPr>
        <w:pStyle w:val="ListParagraph"/>
        <w:spacing w:line="360" w:lineRule="auto"/>
        <w:ind w:left="180"/>
        <w:jc w:val="both"/>
        <w:rPr>
          <w:rFonts w:ascii="Times New Roman" w:hAnsi="Times New Roman" w:cs="Times New Roman"/>
          <w:sz w:val="24"/>
          <w:szCs w:val="24"/>
          <w:lang w:val="en-US"/>
        </w:rPr>
      </w:pPr>
      <w:r w:rsidRPr="00366A4A">
        <w:rPr>
          <w:rFonts w:ascii="Times New Roman" w:hAnsi="Times New Roman" w:cs="Times New Roman"/>
          <w:noProof/>
          <w:sz w:val="24"/>
          <w:szCs w:val="24"/>
          <w:lang w:val="en-US"/>
        </w:rPr>
        <w:drawing>
          <wp:inline distT="0" distB="0" distL="0" distR="0" wp14:anchorId="5B0C9085" wp14:editId="25B4C954">
            <wp:extent cx="1704975" cy="333375"/>
            <wp:effectExtent l="0" t="0" r="9525"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333375"/>
                    </a:xfrm>
                    <a:prstGeom prst="rect">
                      <a:avLst/>
                    </a:prstGeom>
                    <a:noFill/>
                    <a:ln>
                      <a:noFill/>
                    </a:ln>
                  </pic:spPr>
                </pic:pic>
              </a:graphicData>
            </a:graphic>
          </wp:inline>
        </w:drawing>
      </w:r>
    </w:p>
    <w:p w14:paraId="2121409E" w14:textId="77777777" w:rsidR="008065D6" w:rsidRPr="008065D6" w:rsidRDefault="008065D6" w:rsidP="00867781">
      <w:pPr>
        <w:pStyle w:val="ListParagraph"/>
        <w:spacing w:line="360" w:lineRule="auto"/>
        <w:ind w:left="0"/>
        <w:jc w:val="both"/>
        <w:rPr>
          <w:rFonts w:ascii="Times New Roman" w:hAnsi="Times New Roman" w:cs="Times New Roman"/>
          <w:bCs/>
          <w:color w:val="000000" w:themeColor="text1"/>
          <w:sz w:val="24"/>
          <w:szCs w:val="24"/>
          <w:lang w:val="en-US"/>
        </w:rPr>
      </w:pPr>
      <w:r w:rsidRPr="008065D6">
        <w:rPr>
          <w:rFonts w:ascii="Times New Roman" w:hAnsi="Times New Roman" w:cs="Times New Roman"/>
          <w:b/>
          <w:color w:val="000000" w:themeColor="text1"/>
          <w:sz w:val="24"/>
          <w:szCs w:val="24"/>
        </w:rPr>
        <w:t>_____________________________</w:t>
      </w:r>
    </w:p>
    <w:p w14:paraId="13B8A466" w14:textId="7C325B19" w:rsidR="008065D6" w:rsidRPr="00BB73E9" w:rsidRDefault="008065D6" w:rsidP="00867781">
      <w:pPr>
        <w:pStyle w:val="ListParagraph"/>
        <w:spacing w:line="360" w:lineRule="auto"/>
        <w:ind w:left="0"/>
        <w:jc w:val="both"/>
        <w:rPr>
          <w:rFonts w:ascii="Times New Roman" w:hAnsi="Times New Roman" w:cs="Times New Roman"/>
          <w:color w:val="000000" w:themeColor="text1"/>
          <w:sz w:val="24"/>
          <w:szCs w:val="24"/>
          <w:lang w:val="en-US"/>
        </w:rPr>
      </w:pPr>
      <w:r w:rsidRPr="00BB73E9">
        <w:rPr>
          <w:rFonts w:ascii="Times New Roman" w:hAnsi="Times New Roman" w:cs="Times New Roman"/>
          <w:color w:val="000000" w:themeColor="text1"/>
          <w:sz w:val="24"/>
          <w:szCs w:val="24"/>
          <w:lang w:val="en-US"/>
        </w:rPr>
        <w:t>Dr. L</w:t>
      </w:r>
      <w:r w:rsidR="00B44A8F">
        <w:rPr>
          <w:rFonts w:ascii="Times New Roman" w:hAnsi="Times New Roman" w:cs="Times New Roman"/>
          <w:color w:val="000000" w:themeColor="text1"/>
          <w:sz w:val="24"/>
          <w:szCs w:val="24"/>
          <w:lang w:val="en-US"/>
        </w:rPr>
        <w:t>illian</w:t>
      </w:r>
      <w:r w:rsidRPr="00BB73E9">
        <w:rPr>
          <w:rFonts w:ascii="Times New Roman" w:hAnsi="Times New Roman" w:cs="Times New Roman"/>
          <w:color w:val="000000" w:themeColor="text1"/>
          <w:sz w:val="24"/>
          <w:szCs w:val="24"/>
          <w:lang w:val="en-US"/>
        </w:rPr>
        <w:t xml:space="preserve"> Tibatemwa-</w:t>
      </w:r>
      <w:proofErr w:type="spellStart"/>
      <w:r w:rsidRPr="00BB73E9">
        <w:rPr>
          <w:rFonts w:ascii="Times New Roman" w:hAnsi="Times New Roman" w:cs="Times New Roman"/>
          <w:color w:val="000000" w:themeColor="text1"/>
          <w:sz w:val="24"/>
          <w:szCs w:val="24"/>
          <w:lang w:val="en-US"/>
        </w:rPr>
        <w:t>Ekirikubinza</w:t>
      </w:r>
      <w:proofErr w:type="spellEnd"/>
      <w:r w:rsidRPr="00BB73E9">
        <w:rPr>
          <w:rFonts w:ascii="Times New Roman" w:hAnsi="Times New Roman" w:cs="Times New Roman"/>
          <w:color w:val="000000" w:themeColor="text1"/>
          <w:sz w:val="24"/>
          <w:szCs w:val="24"/>
          <w:lang w:val="en-US"/>
        </w:rPr>
        <w:t>, JA.</w:t>
      </w:r>
    </w:p>
    <w:p w14:paraId="46514FEA" w14:textId="5582374D" w:rsidR="008065D6" w:rsidRDefault="008065D6" w:rsidP="008065D6">
      <w:pPr>
        <w:spacing w:line="360" w:lineRule="auto"/>
        <w:ind w:left="630" w:hanging="630"/>
        <w:jc w:val="both"/>
        <w:rPr>
          <w:rFonts w:ascii="Times New Roman" w:hAnsi="Times New Roman" w:cs="Times New Roman"/>
          <w:color w:val="000000" w:themeColor="text1"/>
          <w:sz w:val="24"/>
          <w:szCs w:val="24"/>
        </w:rPr>
      </w:pPr>
    </w:p>
    <w:p w14:paraId="7F905751" w14:textId="77777777" w:rsidR="008459AD" w:rsidRPr="008065D6" w:rsidRDefault="008459AD" w:rsidP="008065D6">
      <w:pPr>
        <w:spacing w:line="360" w:lineRule="auto"/>
        <w:ind w:left="630" w:hanging="630"/>
        <w:jc w:val="both"/>
        <w:rPr>
          <w:rFonts w:ascii="Times New Roman" w:hAnsi="Times New Roman" w:cs="Times New Roman"/>
          <w:color w:val="000000" w:themeColor="text1"/>
          <w:sz w:val="24"/>
          <w:szCs w:val="24"/>
        </w:rPr>
      </w:pPr>
      <w:bookmarkStart w:id="2" w:name="_GoBack"/>
      <w:bookmarkEnd w:id="2"/>
    </w:p>
    <w:p w14:paraId="3873ACFC" w14:textId="77777777" w:rsidR="008065D6" w:rsidRPr="00BB73E9" w:rsidRDefault="008065D6" w:rsidP="00BB73E9">
      <w:pPr>
        <w:pStyle w:val="ListParagraph"/>
        <w:spacing w:line="360" w:lineRule="auto"/>
        <w:ind w:left="630"/>
        <w:jc w:val="both"/>
        <w:rPr>
          <w:rFonts w:ascii="Times New Roman" w:hAnsi="Times New Roman" w:cs="Times New Roman"/>
          <w:color w:val="000000" w:themeColor="text1"/>
          <w:sz w:val="24"/>
          <w:szCs w:val="24"/>
        </w:rPr>
      </w:pPr>
      <w:r w:rsidRPr="00BB73E9">
        <w:rPr>
          <w:rFonts w:ascii="Times New Roman" w:hAnsi="Times New Roman" w:cs="Times New Roman"/>
          <w:color w:val="000000" w:themeColor="text1"/>
          <w:sz w:val="24"/>
          <w:szCs w:val="24"/>
        </w:rPr>
        <w:t>I concur</w:t>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t>________________</w:t>
      </w:r>
    </w:p>
    <w:p w14:paraId="48C00561" w14:textId="271D7DDC" w:rsidR="008065D6" w:rsidRPr="00BB73E9" w:rsidRDefault="008065D6" w:rsidP="00BB73E9">
      <w:pPr>
        <w:pStyle w:val="ListParagraph"/>
        <w:spacing w:line="360" w:lineRule="auto"/>
        <w:ind w:left="4950" w:firstLine="90"/>
        <w:jc w:val="both"/>
        <w:rPr>
          <w:rFonts w:ascii="Times New Roman" w:hAnsi="Times New Roman" w:cs="Times New Roman"/>
          <w:color w:val="000000" w:themeColor="text1"/>
          <w:sz w:val="24"/>
          <w:szCs w:val="24"/>
        </w:rPr>
      </w:pPr>
      <w:proofErr w:type="spellStart"/>
      <w:r w:rsidRPr="00BB73E9">
        <w:rPr>
          <w:rFonts w:ascii="Times New Roman" w:hAnsi="Times New Roman" w:cs="Times New Roman"/>
          <w:color w:val="000000" w:themeColor="text1"/>
          <w:sz w:val="24"/>
          <w:szCs w:val="24"/>
        </w:rPr>
        <w:t>Dr.</w:t>
      </w:r>
      <w:proofErr w:type="spellEnd"/>
      <w:r w:rsidRPr="00BB73E9">
        <w:rPr>
          <w:rFonts w:ascii="Times New Roman" w:hAnsi="Times New Roman" w:cs="Times New Roman"/>
          <w:color w:val="000000" w:themeColor="text1"/>
          <w:sz w:val="24"/>
          <w:szCs w:val="24"/>
        </w:rPr>
        <w:t xml:space="preserve"> </w:t>
      </w:r>
      <w:r w:rsidR="00FA3C23">
        <w:rPr>
          <w:rFonts w:ascii="Times New Roman" w:hAnsi="Times New Roman" w:cs="Times New Roman"/>
          <w:color w:val="000000" w:themeColor="text1"/>
          <w:sz w:val="24"/>
          <w:szCs w:val="24"/>
        </w:rPr>
        <w:t>O</w:t>
      </w:r>
      <w:r w:rsidRPr="00BB73E9">
        <w:rPr>
          <w:rFonts w:ascii="Times New Roman" w:hAnsi="Times New Roman" w:cs="Times New Roman"/>
          <w:color w:val="000000" w:themeColor="text1"/>
          <w:sz w:val="24"/>
          <w:szCs w:val="24"/>
        </w:rPr>
        <w:t>. Dingake, JA.</w:t>
      </w:r>
    </w:p>
    <w:p w14:paraId="46A3A545" w14:textId="77777777" w:rsidR="008065D6" w:rsidRDefault="008065D6" w:rsidP="003606AD">
      <w:pPr>
        <w:shd w:val="clear" w:color="auto" w:fill="FFFFFF"/>
        <w:tabs>
          <w:tab w:val="left" w:pos="27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481D5682" w14:textId="726D0F28" w:rsidR="008409A4" w:rsidRDefault="008409A4" w:rsidP="008409A4">
      <w:pPr>
        <w:spacing w:after="240" w:line="360" w:lineRule="auto"/>
        <w:rPr>
          <w:rFonts w:ascii="Times New Roman" w:eastAsia="Times New Roman" w:hAnsi="Times New Roman" w:cs="Times New Roman"/>
          <w:sz w:val="24"/>
          <w:szCs w:val="24"/>
        </w:rPr>
      </w:pPr>
      <w:bookmarkStart w:id="3"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170CD4">
        <w:rPr>
          <w:rFonts w:ascii="Times New Roman" w:eastAsia="Times New Roman" w:hAnsi="Times New Roman" w:cs="Times New Roman"/>
          <w:sz w:val="24"/>
          <w:szCs w:val="24"/>
        </w:rPr>
        <w:t>7 September</w:t>
      </w:r>
      <w:r>
        <w:rPr>
          <w:rFonts w:ascii="Times New Roman" w:eastAsia="Times New Roman" w:hAnsi="Times New Roman" w:cs="Times New Roman"/>
          <w:sz w:val="24"/>
          <w:szCs w:val="24"/>
        </w:rPr>
        <w:t xml:space="preserve"> 2021.</w:t>
      </w:r>
      <w:bookmarkEnd w:id="3"/>
    </w:p>
    <w:p w14:paraId="515D1B0C" w14:textId="77777777" w:rsidR="00E7365D" w:rsidRDefault="00E7365D">
      <w:pPr>
        <w:spacing w:after="240" w:line="360" w:lineRule="auto"/>
        <w:rPr>
          <w:rFonts w:ascii="Times New Roman" w:eastAsia="Times New Roman" w:hAnsi="Times New Roman" w:cs="Times New Roman"/>
          <w:sz w:val="24"/>
          <w:szCs w:val="24"/>
        </w:rPr>
      </w:pPr>
    </w:p>
    <w:sectPr w:rsidR="00E7365D"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66FD" w14:textId="77777777" w:rsidR="000B1826" w:rsidRDefault="000B1826" w:rsidP="006A68E2">
      <w:pPr>
        <w:spacing w:after="0" w:line="240" w:lineRule="auto"/>
      </w:pPr>
      <w:r>
        <w:separator/>
      </w:r>
    </w:p>
  </w:endnote>
  <w:endnote w:type="continuationSeparator" w:id="0">
    <w:p w14:paraId="030B76CE" w14:textId="77777777" w:rsidR="000B1826" w:rsidRDefault="000B182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29653"/>
      <w:docPartObj>
        <w:docPartGallery w:val="Page Numbers (Bottom of Page)"/>
        <w:docPartUnique/>
      </w:docPartObj>
    </w:sdtPr>
    <w:sdtEndPr>
      <w:rPr>
        <w:noProof/>
      </w:rPr>
    </w:sdtEndPr>
    <w:sdtContent>
      <w:p w14:paraId="28187B8A" w14:textId="3801A731" w:rsidR="00A27EFD" w:rsidRDefault="00A27EFD">
        <w:pPr>
          <w:pStyle w:val="Footer"/>
          <w:jc w:val="center"/>
        </w:pPr>
        <w:r>
          <w:fldChar w:fldCharType="begin"/>
        </w:r>
        <w:r>
          <w:instrText xml:space="preserve"> PAGE   \* MERGEFORMAT </w:instrText>
        </w:r>
        <w:r>
          <w:fldChar w:fldCharType="separate"/>
        </w:r>
        <w:r w:rsidR="008459AD">
          <w:rPr>
            <w:noProof/>
          </w:rPr>
          <w:t>13</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227D" w14:textId="77777777" w:rsidR="000B1826" w:rsidRDefault="000B1826" w:rsidP="006A68E2">
      <w:pPr>
        <w:spacing w:after="0" w:line="240" w:lineRule="auto"/>
      </w:pPr>
      <w:r>
        <w:separator/>
      </w:r>
    </w:p>
  </w:footnote>
  <w:footnote w:type="continuationSeparator" w:id="0">
    <w:p w14:paraId="1AD67B18" w14:textId="77777777" w:rsidR="000B1826" w:rsidRDefault="000B1826" w:rsidP="006A68E2">
      <w:pPr>
        <w:spacing w:after="0" w:line="240" w:lineRule="auto"/>
      </w:pPr>
      <w:r>
        <w:continuationSeparator/>
      </w:r>
    </w:p>
  </w:footnote>
  <w:footnote w:id="1">
    <w:p w14:paraId="26667A08" w14:textId="77777777" w:rsidR="005766E8" w:rsidRDefault="005766E8" w:rsidP="005766E8">
      <w:pPr>
        <w:pStyle w:val="FootnoteText"/>
      </w:pPr>
      <w:r>
        <w:rPr>
          <w:rStyle w:val="FootnoteReference"/>
        </w:rPr>
        <w:footnoteRef/>
      </w:r>
      <w:r>
        <w:t xml:space="preserve"> Andrew Burrows, A Case Book on Contract (</w:t>
      </w:r>
      <w:proofErr w:type="gramStart"/>
      <w:r>
        <w:t>3</w:t>
      </w:r>
      <w:r w:rsidRPr="001D2F76">
        <w:rPr>
          <w:vertAlign w:val="superscript"/>
        </w:rPr>
        <w:t>rd</w:t>
      </w:r>
      <w:proofErr w:type="gramEnd"/>
      <w:r>
        <w:t xml:space="preserve"> edition) at page 348.</w:t>
      </w:r>
    </w:p>
  </w:footnote>
  <w:footnote w:id="2">
    <w:p w14:paraId="446455D4" w14:textId="77777777" w:rsidR="005766E8" w:rsidRDefault="005766E8" w:rsidP="005766E8">
      <w:pPr>
        <w:pStyle w:val="FootnoteText"/>
      </w:pPr>
      <w:r>
        <w:rPr>
          <w:rStyle w:val="FootnoteReference"/>
        </w:rPr>
        <w:footnoteRef/>
      </w:r>
      <w:r>
        <w:t xml:space="preserve"> SCA No.6 of 2013.</w:t>
      </w:r>
    </w:p>
  </w:footnote>
  <w:footnote w:id="3">
    <w:p w14:paraId="583D8672" w14:textId="77777777" w:rsidR="005766E8" w:rsidRDefault="005766E8" w:rsidP="005766E8">
      <w:pPr>
        <w:pStyle w:val="FootnoteText"/>
      </w:pPr>
      <w:r>
        <w:rPr>
          <w:rStyle w:val="FootnoteReference"/>
        </w:rPr>
        <w:footnoteRef/>
      </w:r>
      <w:r>
        <w:t xml:space="preserve"> </w:t>
      </w:r>
      <w:r w:rsidRPr="00116013">
        <w:t>SCA 56/2018 and SCA 63/2018</w:t>
      </w:r>
    </w:p>
  </w:footnote>
  <w:footnote w:id="4">
    <w:p w14:paraId="4B5BBAD9" w14:textId="77777777" w:rsidR="005766E8" w:rsidRDefault="005766E8" w:rsidP="005766E8">
      <w:pPr>
        <w:pStyle w:val="FootnoteText"/>
      </w:pPr>
      <w:r>
        <w:rPr>
          <w:rStyle w:val="FootnoteReference"/>
        </w:rPr>
        <w:footnoteRef/>
      </w:r>
      <w:r>
        <w:t xml:space="preserve"> SCA No.6 of 2013.</w:t>
      </w:r>
    </w:p>
  </w:footnote>
  <w:footnote w:id="5">
    <w:p w14:paraId="191C0534" w14:textId="77777777" w:rsidR="005766E8" w:rsidRDefault="005766E8" w:rsidP="005766E8">
      <w:pPr>
        <w:pStyle w:val="FootnoteText"/>
      </w:pPr>
      <w:r>
        <w:rPr>
          <w:rStyle w:val="FootnoteReference"/>
        </w:rPr>
        <w:footnoteRef/>
      </w:r>
      <w:r w:rsidRPr="00D81FD3">
        <w:t xml:space="preserve">[1961] </w:t>
      </w:r>
      <w:proofErr w:type="gramStart"/>
      <w:r w:rsidRPr="00D81FD3">
        <w:t>1</w:t>
      </w:r>
      <w:proofErr w:type="gramEnd"/>
      <w:r w:rsidRPr="00D81FD3">
        <w:t xml:space="preserve"> All E.R. 417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30"/>
    <w:multiLevelType w:val="hybridMultilevel"/>
    <w:tmpl w:val="213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58E"/>
    <w:multiLevelType w:val="hybridMultilevel"/>
    <w:tmpl w:val="5F526264"/>
    <w:lvl w:ilvl="0" w:tplc="296C6396">
      <w:start w:val="1"/>
      <w:numFmt w:val="decimal"/>
      <w:lvlText w:val="%1."/>
      <w:lvlJc w:val="left"/>
      <w:pPr>
        <w:ind w:left="36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3" w15:restartNumberingAfterBreak="0">
    <w:nsid w:val="04154AD4"/>
    <w:multiLevelType w:val="hybridMultilevel"/>
    <w:tmpl w:val="87262506"/>
    <w:lvl w:ilvl="0" w:tplc="3542AF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625B5C"/>
    <w:multiLevelType w:val="hybridMultilevel"/>
    <w:tmpl w:val="8AFC7354"/>
    <w:lvl w:ilvl="0" w:tplc="EFE6DCCE">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7D54"/>
    <w:multiLevelType w:val="hybridMultilevel"/>
    <w:tmpl w:val="D53C0454"/>
    <w:lvl w:ilvl="0" w:tplc="73283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2C71037"/>
    <w:multiLevelType w:val="hybridMultilevel"/>
    <w:tmpl w:val="F6CED3F8"/>
    <w:lvl w:ilvl="0" w:tplc="8F8EB852">
      <w:start w:val="1"/>
      <w:numFmt w:val="decimal"/>
      <w:lvlText w:val="%1."/>
      <w:lvlJc w:val="left"/>
      <w:pPr>
        <w:ind w:left="1224" w:hanging="360"/>
      </w:pPr>
      <w:rPr>
        <w:rFonts w:hint="default"/>
        <w:i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3"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D45D6"/>
    <w:multiLevelType w:val="hybridMultilevel"/>
    <w:tmpl w:val="40069D8A"/>
    <w:lvl w:ilvl="0" w:tplc="B1685A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5E74820"/>
    <w:multiLevelType w:val="multilevel"/>
    <w:tmpl w:val="1CC89892"/>
    <w:numStyleLink w:val="Judgments"/>
  </w:abstractNum>
  <w:abstractNum w:abstractNumId="26" w15:restartNumberingAfterBreak="0">
    <w:nsid w:val="57B87E86"/>
    <w:multiLevelType w:val="hybridMultilevel"/>
    <w:tmpl w:val="DED0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8" w15:restartNumberingAfterBreak="0">
    <w:nsid w:val="5ED73B1B"/>
    <w:multiLevelType w:val="hybridMultilevel"/>
    <w:tmpl w:val="7946DD7C"/>
    <w:lvl w:ilvl="0" w:tplc="5F8ABD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2" w15:restartNumberingAfterBreak="0">
    <w:nsid w:val="78CD19BD"/>
    <w:multiLevelType w:val="hybridMultilevel"/>
    <w:tmpl w:val="179E80AA"/>
    <w:lvl w:ilvl="0" w:tplc="6550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EE24C5"/>
    <w:multiLevelType w:val="hybridMultilevel"/>
    <w:tmpl w:val="AFC007E6"/>
    <w:lvl w:ilvl="0" w:tplc="6716432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050D1"/>
    <w:multiLevelType w:val="hybridMultilevel"/>
    <w:tmpl w:val="7488E1D6"/>
    <w:lvl w:ilvl="0" w:tplc="73283EC8">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7"/>
  </w:num>
  <w:num w:numId="2">
    <w:abstractNumId w:val="13"/>
  </w:num>
  <w:num w:numId="3">
    <w:abstractNumId w:val="20"/>
  </w:num>
  <w:num w:numId="4">
    <w:abstractNumId w:val="15"/>
  </w:num>
  <w:num w:numId="5">
    <w:abstractNumId w:val="1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0"/>
  </w:num>
  <w:num w:numId="7">
    <w:abstractNumId w:val="11"/>
  </w:num>
  <w:num w:numId="8">
    <w:abstractNumId w:val="23"/>
  </w:num>
  <w:num w:numId="9">
    <w:abstractNumId w:val="7"/>
  </w:num>
  <w:num w:numId="10">
    <w:abstractNumId w:val="23"/>
  </w:num>
  <w:num w:numId="11">
    <w:abstractNumId w:val="23"/>
  </w:num>
  <w:num w:numId="12">
    <w:abstractNumId w:val="16"/>
  </w:num>
  <w:num w:numId="13">
    <w:abstractNumId w:val="31"/>
  </w:num>
  <w:num w:numId="14">
    <w:abstractNumId w:val="23"/>
    <w:lvlOverride w:ilvl="0">
      <w:startOverride w:val="1"/>
    </w:lvlOverride>
  </w:num>
  <w:num w:numId="15">
    <w:abstractNumId w:val="23"/>
  </w:num>
  <w:num w:numId="16">
    <w:abstractNumId w:val="1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0"/>
  </w:num>
  <w:num w:numId="31">
    <w:abstractNumId w:val="28"/>
  </w:num>
  <w:num w:numId="32">
    <w:abstractNumId w:val="32"/>
  </w:num>
  <w:num w:numId="33">
    <w:abstractNumId w:val="22"/>
  </w:num>
  <w:num w:numId="34">
    <w:abstractNumId w:val="26"/>
  </w:num>
  <w:num w:numId="35">
    <w:abstractNumId w:val="1"/>
  </w:num>
  <w:num w:numId="36">
    <w:abstractNumId w:val="5"/>
  </w:num>
  <w:num w:numId="37">
    <w:abstractNumId w:val="24"/>
  </w:num>
  <w:num w:numId="38">
    <w:abstractNumId w:val="18"/>
  </w:num>
  <w:num w:numId="39">
    <w:abstractNumId w:val="33"/>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17153"/>
    <w:rsid w:val="00025CDF"/>
    <w:rsid w:val="000301BB"/>
    <w:rsid w:val="0003054E"/>
    <w:rsid w:val="00040193"/>
    <w:rsid w:val="00050392"/>
    <w:rsid w:val="00050995"/>
    <w:rsid w:val="00050B7D"/>
    <w:rsid w:val="00061609"/>
    <w:rsid w:val="00067FCB"/>
    <w:rsid w:val="00071B84"/>
    <w:rsid w:val="00072C78"/>
    <w:rsid w:val="00073421"/>
    <w:rsid w:val="00081862"/>
    <w:rsid w:val="0008560D"/>
    <w:rsid w:val="000873E2"/>
    <w:rsid w:val="0009242F"/>
    <w:rsid w:val="000929A9"/>
    <w:rsid w:val="00097D19"/>
    <w:rsid w:val="000A0FCF"/>
    <w:rsid w:val="000A1F6D"/>
    <w:rsid w:val="000A3825"/>
    <w:rsid w:val="000A5E8A"/>
    <w:rsid w:val="000B1826"/>
    <w:rsid w:val="000C070C"/>
    <w:rsid w:val="000C0D38"/>
    <w:rsid w:val="000C71DE"/>
    <w:rsid w:val="000D6415"/>
    <w:rsid w:val="00112139"/>
    <w:rsid w:val="001126AB"/>
    <w:rsid w:val="001135C2"/>
    <w:rsid w:val="00116DDC"/>
    <w:rsid w:val="001278AB"/>
    <w:rsid w:val="001428B9"/>
    <w:rsid w:val="00144C3A"/>
    <w:rsid w:val="0014564E"/>
    <w:rsid w:val="00151BF3"/>
    <w:rsid w:val="00157C6B"/>
    <w:rsid w:val="00162586"/>
    <w:rsid w:val="00170CD4"/>
    <w:rsid w:val="001723B1"/>
    <w:rsid w:val="00174C46"/>
    <w:rsid w:val="001930BC"/>
    <w:rsid w:val="00195F76"/>
    <w:rsid w:val="00196639"/>
    <w:rsid w:val="001A0CAF"/>
    <w:rsid w:val="001A3E53"/>
    <w:rsid w:val="001B0EFE"/>
    <w:rsid w:val="001B3E4A"/>
    <w:rsid w:val="001C54C3"/>
    <w:rsid w:val="001C78EC"/>
    <w:rsid w:val="001D33D2"/>
    <w:rsid w:val="001E5EB0"/>
    <w:rsid w:val="001F1DB0"/>
    <w:rsid w:val="002015F8"/>
    <w:rsid w:val="00206DB8"/>
    <w:rsid w:val="00212006"/>
    <w:rsid w:val="0021402A"/>
    <w:rsid w:val="00214DB4"/>
    <w:rsid w:val="002207B6"/>
    <w:rsid w:val="00235626"/>
    <w:rsid w:val="00243AE1"/>
    <w:rsid w:val="00244B13"/>
    <w:rsid w:val="00244FEB"/>
    <w:rsid w:val="00245165"/>
    <w:rsid w:val="00271C68"/>
    <w:rsid w:val="0027707F"/>
    <w:rsid w:val="00285375"/>
    <w:rsid w:val="002978B1"/>
    <w:rsid w:val="002B2DCA"/>
    <w:rsid w:val="002C2D81"/>
    <w:rsid w:val="002D0DE2"/>
    <w:rsid w:val="002D3055"/>
    <w:rsid w:val="002D4EB8"/>
    <w:rsid w:val="002E1B36"/>
    <w:rsid w:val="002E2106"/>
    <w:rsid w:val="002E2AE3"/>
    <w:rsid w:val="002E2D44"/>
    <w:rsid w:val="002E3C35"/>
    <w:rsid w:val="00307BB3"/>
    <w:rsid w:val="003137B8"/>
    <w:rsid w:val="00315AA7"/>
    <w:rsid w:val="00322C71"/>
    <w:rsid w:val="00344425"/>
    <w:rsid w:val="00346D7F"/>
    <w:rsid w:val="003606AD"/>
    <w:rsid w:val="003615E7"/>
    <w:rsid w:val="00366A4A"/>
    <w:rsid w:val="0036708A"/>
    <w:rsid w:val="00373165"/>
    <w:rsid w:val="00380619"/>
    <w:rsid w:val="00385BB5"/>
    <w:rsid w:val="00392D92"/>
    <w:rsid w:val="00393F6A"/>
    <w:rsid w:val="003A5477"/>
    <w:rsid w:val="003A6C9E"/>
    <w:rsid w:val="003B3E4B"/>
    <w:rsid w:val="003C11F1"/>
    <w:rsid w:val="003E1276"/>
    <w:rsid w:val="003E2E94"/>
    <w:rsid w:val="003E5B26"/>
    <w:rsid w:val="003F5E76"/>
    <w:rsid w:val="003F751A"/>
    <w:rsid w:val="00403F4C"/>
    <w:rsid w:val="00405958"/>
    <w:rsid w:val="00412994"/>
    <w:rsid w:val="00416353"/>
    <w:rsid w:val="004272F9"/>
    <w:rsid w:val="004362B7"/>
    <w:rsid w:val="00453AC2"/>
    <w:rsid w:val="00463B4E"/>
    <w:rsid w:val="00472219"/>
    <w:rsid w:val="004744CB"/>
    <w:rsid w:val="00482C65"/>
    <w:rsid w:val="004A0A8E"/>
    <w:rsid w:val="004A2599"/>
    <w:rsid w:val="004A4C0A"/>
    <w:rsid w:val="004B7720"/>
    <w:rsid w:val="004C16E0"/>
    <w:rsid w:val="004D7477"/>
    <w:rsid w:val="004E63C8"/>
    <w:rsid w:val="00524F8B"/>
    <w:rsid w:val="00527871"/>
    <w:rsid w:val="005304AC"/>
    <w:rsid w:val="00544E37"/>
    <w:rsid w:val="005601DF"/>
    <w:rsid w:val="00570BC5"/>
    <w:rsid w:val="00572ED8"/>
    <w:rsid w:val="005766E8"/>
    <w:rsid w:val="005802AC"/>
    <w:rsid w:val="0058564A"/>
    <w:rsid w:val="005A5FCB"/>
    <w:rsid w:val="005B12AA"/>
    <w:rsid w:val="005D1697"/>
    <w:rsid w:val="005D3054"/>
    <w:rsid w:val="005E033B"/>
    <w:rsid w:val="005E6FB2"/>
    <w:rsid w:val="00601509"/>
    <w:rsid w:val="00602E59"/>
    <w:rsid w:val="0060768B"/>
    <w:rsid w:val="0060782F"/>
    <w:rsid w:val="0061354A"/>
    <w:rsid w:val="00635504"/>
    <w:rsid w:val="00652326"/>
    <w:rsid w:val="00662CEA"/>
    <w:rsid w:val="00664E51"/>
    <w:rsid w:val="00670723"/>
    <w:rsid w:val="006720CF"/>
    <w:rsid w:val="00673D15"/>
    <w:rsid w:val="00673F34"/>
    <w:rsid w:val="00682172"/>
    <w:rsid w:val="00687181"/>
    <w:rsid w:val="006936D5"/>
    <w:rsid w:val="006A13BB"/>
    <w:rsid w:val="006A5299"/>
    <w:rsid w:val="006A6465"/>
    <w:rsid w:val="006A68E2"/>
    <w:rsid w:val="006B7D2C"/>
    <w:rsid w:val="006C1880"/>
    <w:rsid w:val="006C30D7"/>
    <w:rsid w:val="006C5E78"/>
    <w:rsid w:val="006D305B"/>
    <w:rsid w:val="006D57EC"/>
    <w:rsid w:val="006F5ABA"/>
    <w:rsid w:val="006F5C1D"/>
    <w:rsid w:val="0070371E"/>
    <w:rsid w:val="00706EB0"/>
    <w:rsid w:val="0071113D"/>
    <w:rsid w:val="00715C55"/>
    <w:rsid w:val="00716FAC"/>
    <w:rsid w:val="0072185E"/>
    <w:rsid w:val="00722761"/>
    <w:rsid w:val="00723DED"/>
    <w:rsid w:val="00730A82"/>
    <w:rsid w:val="00733AD4"/>
    <w:rsid w:val="00736607"/>
    <w:rsid w:val="0075634D"/>
    <w:rsid w:val="00756E67"/>
    <w:rsid w:val="007637B5"/>
    <w:rsid w:val="00774B92"/>
    <w:rsid w:val="007904C2"/>
    <w:rsid w:val="007925FA"/>
    <w:rsid w:val="00796B89"/>
    <w:rsid w:val="007A5F5C"/>
    <w:rsid w:val="007A6037"/>
    <w:rsid w:val="007A6875"/>
    <w:rsid w:val="007A6F06"/>
    <w:rsid w:val="007C5E28"/>
    <w:rsid w:val="007D25FE"/>
    <w:rsid w:val="007D2B64"/>
    <w:rsid w:val="007D5C18"/>
    <w:rsid w:val="007D72AE"/>
    <w:rsid w:val="008001C8"/>
    <w:rsid w:val="008065D6"/>
    <w:rsid w:val="0081101D"/>
    <w:rsid w:val="00813B26"/>
    <w:rsid w:val="00815764"/>
    <w:rsid w:val="008208F8"/>
    <w:rsid w:val="008252B1"/>
    <w:rsid w:val="008409A4"/>
    <w:rsid w:val="00841774"/>
    <w:rsid w:val="008459AD"/>
    <w:rsid w:val="008577B7"/>
    <w:rsid w:val="00861B94"/>
    <w:rsid w:val="00863627"/>
    <w:rsid w:val="00865F94"/>
    <w:rsid w:val="00867781"/>
    <w:rsid w:val="00877F00"/>
    <w:rsid w:val="008817F2"/>
    <w:rsid w:val="008821CA"/>
    <w:rsid w:val="00890F42"/>
    <w:rsid w:val="008A00BC"/>
    <w:rsid w:val="008B23BB"/>
    <w:rsid w:val="008C5CEC"/>
    <w:rsid w:val="008D714D"/>
    <w:rsid w:val="008E4240"/>
    <w:rsid w:val="008E771B"/>
    <w:rsid w:val="008F09EA"/>
    <w:rsid w:val="00907773"/>
    <w:rsid w:val="00924632"/>
    <w:rsid w:val="009258FB"/>
    <w:rsid w:val="00932D76"/>
    <w:rsid w:val="009400F3"/>
    <w:rsid w:val="009501E8"/>
    <w:rsid w:val="00952714"/>
    <w:rsid w:val="009539C2"/>
    <w:rsid w:val="00953F74"/>
    <w:rsid w:val="0098266F"/>
    <w:rsid w:val="00983AAA"/>
    <w:rsid w:val="00987977"/>
    <w:rsid w:val="009A3363"/>
    <w:rsid w:val="009A34F7"/>
    <w:rsid w:val="009A7688"/>
    <w:rsid w:val="009A769C"/>
    <w:rsid w:val="009B130F"/>
    <w:rsid w:val="009B3EAA"/>
    <w:rsid w:val="009B495E"/>
    <w:rsid w:val="009B65F3"/>
    <w:rsid w:val="009F08EA"/>
    <w:rsid w:val="009F125D"/>
    <w:rsid w:val="009F73C2"/>
    <w:rsid w:val="009F7D12"/>
    <w:rsid w:val="00A0256C"/>
    <w:rsid w:val="00A04F30"/>
    <w:rsid w:val="00A102D5"/>
    <w:rsid w:val="00A163BC"/>
    <w:rsid w:val="00A1750E"/>
    <w:rsid w:val="00A2058F"/>
    <w:rsid w:val="00A22E70"/>
    <w:rsid w:val="00A24F6C"/>
    <w:rsid w:val="00A25856"/>
    <w:rsid w:val="00A25BCD"/>
    <w:rsid w:val="00A266BE"/>
    <w:rsid w:val="00A27EFD"/>
    <w:rsid w:val="00A34979"/>
    <w:rsid w:val="00A43E6C"/>
    <w:rsid w:val="00A61874"/>
    <w:rsid w:val="00A90C71"/>
    <w:rsid w:val="00A91F17"/>
    <w:rsid w:val="00AB3BD4"/>
    <w:rsid w:val="00AC497D"/>
    <w:rsid w:val="00AC65DC"/>
    <w:rsid w:val="00AD63E0"/>
    <w:rsid w:val="00AE439F"/>
    <w:rsid w:val="00AE4FDF"/>
    <w:rsid w:val="00AF0758"/>
    <w:rsid w:val="00B03209"/>
    <w:rsid w:val="00B258A4"/>
    <w:rsid w:val="00B44A8F"/>
    <w:rsid w:val="00B4754A"/>
    <w:rsid w:val="00B5371D"/>
    <w:rsid w:val="00B53FB6"/>
    <w:rsid w:val="00B6660F"/>
    <w:rsid w:val="00B81E71"/>
    <w:rsid w:val="00B837E4"/>
    <w:rsid w:val="00B8383A"/>
    <w:rsid w:val="00B843CF"/>
    <w:rsid w:val="00B87082"/>
    <w:rsid w:val="00B921CA"/>
    <w:rsid w:val="00B950DF"/>
    <w:rsid w:val="00B96055"/>
    <w:rsid w:val="00BA5383"/>
    <w:rsid w:val="00BB1A3E"/>
    <w:rsid w:val="00BB73E9"/>
    <w:rsid w:val="00BC3E1E"/>
    <w:rsid w:val="00BC73B1"/>
    <w:rsid w:val="00BD7588"/>
    <w:rsid w:val="00BE0813"/>
    <w:rsid w:val="00BE3EC0"/>
    <w:rsid w:val="00BF06E3"/>
    <w:rsid w:val="00BF6167"/>
    <w:rsid w:val="00C018B2"/>
    <w:rsid w:val="00C03BF2"/>
    <w:rsid w:val="00C057B3"/>
    <w:rsid w:val="00C105EC"/>
    <w:rsid w:val="00C243E8"/>
    <w:rsid w:val="00C2466E"/>
    <w:rsid w:val="00C34016"/>
    <w:rsid w:val="00C40F27"/>
    <w:rsid w:val="00C45C2C"/>
    <w:rsid w:val="00C645D9"/>
    <w:rsid w:val="00C65D1E"/>
    <w:rsid w:val="00C660F0"/>
    <w:rsid w:val="00C713FA"/>
    <w:rsid w:val="00C93CC2"/>
    <w:rsid w:val="00C94537"/>
    <w:rsid w:val="00CA2B2E"/>
    <w:rsid w:val="00CB06A1"/>
    <w:rsid w:val="00CC0848"/>
    <w:rsid w:val="00CC437E"/>
    <w:rsid w:val="00CC4C21"/>
    <w:rsid w:val="00CC7975"/>
    <w:rsid w:val="00CD09C7"/>
    <w:rsid w:val="00CD326A"/>
    <w:rsid w:val="00CD4154"/>
    <w:rsid w:val="00CD67A5"/>
    <w:rsid w:val="00CD7565"/>
    <w:rsid w:val="00D01A26"/>
    <w:rsid w:val="00D072EA"/>
    <w:rsid w:val="00D2005C"/>
    <w:rsid w:val="00D22F07"/>
    <w:rsid w:val="00D31F1B"/>
    <w:rsid w:val="00D33DBF"/>
    <w:rsid w:val="00D44341"/>
    <w:rsid w:val="00D63376"/>
    <w:rsid w:val="00D710E7"/>
    <w:rsid w:val="00D75FFC"/>
    <w:rsid w:val="00D8338F"/>
    <w:rsid w:val="00DA28D0"/>
    <w:rsid w:val="00DC5C7F"/>
    <w:rsid w:val="00DD0855"/>
    <w:rsid w:val="00DD1F51"/>
    <w:rsid w:val="00DD5355"/>
    <w:rsid w:val="00DE2A33"/>
    <w:rsid w:val="00DF78C2"/>
    <w:rsid w:val="00E11829"/>
    <w:rsid w:val="00E1659A"/>
    <w:rsid w:val="00E32520"/>
    <w:rsid w:val="00E409F3"/>
    <w:rsid w:val="00E4457B"/>
    <w:rsid w:val="00E5501F"/>
    <w:rsid w:val="00E61DB4"/>
    <w:rsid w:val="00E65F6A"/>
    <w:rsid w:val="00E7365D"/>
    <w:rsid w:val="00E74A43"/>
    <w:rsid w:val="00E80C7F"/>
    <w:rsid w:val="00E82C79"/>
    <w:rsid w:val="00E868F3"/>
    <w:rsid w:val="00E9769A"/>
    <w:rsid w:val="00EA4875"/>
    <w:rsid w:val="00EA6048"/>
    <w:rsid w:val="00EB2FD9"/>
    <w:rsid w:val="00EC0DF2"/>
    <w:rsid w:val="00EC2665"/>
    <w:rsid w:val="00ED0BFC"/>
    <w:rsid w:val="00EE0020"/>
    <w:rsid w:val="00EF13E2"/>
    <w:rsid w:val="00EF6D79"/>
    <w:rsid w:val="00F11205"/>
    <w:rsid w:val="00F1583F"/>
    <w:rsid w:val="00F1782C"/>
    <w:rsid w:val="00F24182"/>
    <w:rsid w:val="00F33B83"/>
    <w:rsid w:val="00F35EE5"/>
    <w:rsid w:val="00F43258"/>
    <w:rsid w:val="00F6715B"/>
    <w:rsid w:val="00F67C42"/>
    <w:rsid w:val="00F900E0"/>
    <w:rsid w:val="00F93864"/>
    <w:rsid w:val="00FA3C23"/>
    <w:rsid w:val="00FB2DA9"/>
    <w:rsid w:val="00FC174B"/>
    <w:rsid w:val="00FC40D1"/>
    <w:rsid w:val="00FD1BC6"/>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8065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8065D6"/>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10</cp:revision>
  <cp:lastPrinted>2021-09-13T03:37:00Z</cp:lastPrinted>
  <dcterms:created xsi:type="dcterms:W3CDTF">2021-08-25T03:25:00Z</dcterms:created>
  <dcterms:modified xsi:type="dcterms:W3CDTF">2021-09-13T03:41:00Z</dcterms:modified>
</cp:coreProperties>
</file>