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7E93393B"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007248ED">
        <w:rPr>
          <w:rFonts w:ascii="Times New Roman" w:hAnsi="Times New Roman" w:cs="Times New Roman"/>
          <w:sz w:val="24"/>
          <w:szCs w:val="24"/>
        </w:rPr>
        <w:t>68</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 1</w:t>
      </w:r>
      <w:r w:rsidR="007248ED">
        <w:rPr>
          <w:rFonts w:ascii="Times New Roman" w:hAnsi="Times New Roman" w:cs="Times New Roman"/>
          <w:sz w:val="24"/>
          <w:szCs w:val="24"/>
        </w:rPr>
        <w:t>7</w:t>
      </w:r>
      <w:proofErr w:type="gramEnd"/>
      <w:r w:rsidR="007248ED">
        <w:rPr>
          <w:rFonts w:ascii="Times New Roman" w:hAnsi="Times New Roman" w:cs="Times New Roman"/>
          <w:sz w:val="24"/>
          <w:szCs w:val="24"/>
        </w:rPr>
        <w:t xml:space="preserve"> December</w:t>
      </w:r>
      <w:r w:rsidR="00DC22F5">
        <w:rPr>
          <w:rFonts w:ascii="Times New Roman" w:hAnsi="Times New Roman" w:cs="Times New Roman"/>
          <w:sz w:val="24"/>
          <w:szCs w:val="24"/>
        </w:rPr>
        <w:t xml:space="preserve"> 2021</w:t>
      </w:r>
    </w:p>
    <w:p w14:paraId="0D1555DD" w14:textId="5A12FB43" w:rsidR="003A0C26" w:rsidRDefault="003A0C2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Consolidated numbers:</w:t>
      </w:r>
    </w:p>
    <w:p w14:paraId="2838B29B" w14:textId="7C420DB8" w:rsidR="007248ED" w:rsidRDefault="003A0C26" w:rsidP="003A0C26">
      <w:pPr>
        <w:spacing w:after="0" w:line="240" w:lineRule="auto"/>
        <w:ind w:left="5490"/>
        <w:rPr>
          <w:rFonts w:ascii="Times New Roman" w:hAnsi="Times New Roman" w:cs="Times New Roman"/>
          <w:sz w:val="24"/>
          <w:szCs w:val="24"/>
        </w:rPr>
      </w:pPr>
      <w:r>
        <w:rPr>
          <w:rFonts w:ascii="Times New Roman" w:hAnsi="Times New Roman" w:cs="Times New Roman"/>
          <w:sz w:val="24"/>
          <w:szCs w:val="24"/>
        </w:rPr>
        <w:t xml:space="preserve"> </w:t>
      </w:r>
      <w:r w:rsidR="006F5ABA">
        <w:rPr>
          <w:rFonts w:ascii="Times New Roman" w:hAnsi="Times New Roman" w:cs="Times New Roman"/>
          <w:sz w:val="24"/>
          <w:szCs w:val="24"/>
        </w:rPr>
        <w:t>SCA</w:t>
      </w:r>
      <w:r w:rsidR="007D2B64">
        <w:rPr>
          <w:rFonts w:ascii="Times New Roman" w:hAnsi="Times New Roman" w:cs="Times New Roman"/>
          <w:sz w:val="24"/>
          <w:szCs w:val="24"/>
        </w:rPr>
        <w:t xml:space="preserve"> </w:t>
      </w:r>
      <w:r w:rsidR="007248ED">
        <w:rPr>
          <w:rFonts w:ascii="Times New Roman" w:hAnsi="Times New Roman" w:cs="Times New Roman"/>
          <w:sz w:val="24"/>
          <w:szCs w:val="24"/>
        </w:rPr>
        <w:t>CL 01/2021</w:t>
      </w:r>
    </w:p>
    <w:p w14:paraId="141D3F98" w14:textId="77777777" w:rsidR="007248ED" w:rsidRDefault="007248E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CL 02/2021</w:t>
      </w:r>
    </w:p>
    <w:p w14:paraId="39C68942" w14:textId="344F1BD1" w:rsidR="002E2AE3" w:rsidRDefault="007248ED"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 MA 17/2021</w:t>
      </w:r>
      <w:r w:rsidR="006F5ABA">
        <w:rPr>
          <w:rFonts w:ascii="Times New Roman" w:hAnsi="Times New Roman" w:cs="Times New Roman"/>
          <w:sz w:val="24"/>
          <w:szCs w:val="24"/>
        </w:rPr>
        <w:t xml:space="preserve"> </w:t>
      </w:r>
    </w:p>
    <w:p w14:paraId="0AD6B0FD" w14:textId="28CBA58F"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w:t>
      </w:r>
      <w:r w:rsidR="00A706F6">
        <w:rPr>
          <w:rFonts w:ascii="Times New Roman" w:hAnsi="Times New Roman" w:cs="Times New Roman"/>
          <w:sz w:val="24"/>
          <w:szCs w:val="24"/>
        </w:rPr>
        <w:t xml:space="preserve"> CP 08/2018</w:t>
      </w:r>
      <w:r w:rsidR="00FE2CFC">
        <w:rPr>
          <w:rFonts w:ascii="Times New Roman" w:hAnsi="Times New Roman" w:cs="Times New Roman"/>
          <w:sz w:val="24"/>
          <w:szCs w:val="24"/>
        </w:rPr>
        <w:t>)</w:t>
      </w:r>
    </w:p>
    <w:p w14:paraId="31EA072B" w14:textId="54AB6D64" w:rsidR="00F24182" w:rsidRDefault="00F24182" w:rsidP="00214DB4">
      <w:pPr>
        <w:spacing w:after="0" w:line="240" w:lineRule="auto"/>
        <w:ind w:left="5580"/>
        <w:rPr>
          <w:rFonts w:ascii="Times New Roman" w:hAnsi="Times New Roman" w:cs="Times New Roman"/>
          <w:sz w:val="24"/>
          <w:szCs w:val="24"/>
        </w:rPr>
      </w:pPr>
    </w:p>
    <w:p w14:paraId="4F90862B" w14:textId="76780E96" w:rsidR="006E24E7" w:rsidRDefault="006E24E7" w:rsidP="00214DB4">
      <w:pPr>
        <w:spacing w:after="0" w:line="240" w:lineRule="auto"/>
        <w:ind w:left="5580"/>
        <w:rPr>
          <w:rFonts w:ascii="Times New Roman" w:hAnsi="Times New Roman" w:cs="Times New Roman"/>
          <w:sz w:val="24"/>
          <w:szCs w:val="24"/>
        </w:rPr>
      </w:pPr>
    </w:p>
    <w:p w14:paraId="76D49111" w14:textId="77777777" w:rsidR="006E24E7" w:rsidRDefault="006E24E7" w:rsidP="00214DB4">
      <w:pPr>
        <w:spacing w:after="0" w:line="240" w:lineRule="auto"/>
        <w:ind w:left="5580"/>
        <w:rPr>
          <w:rFonts w:ascii="Times New Roman" w:hAnsi="Times New Roman" w:cs="Times New Roman"/>
          <w:sz w:val="24"/>
          <w:szCs w:val="24"/>
        </w:rPr>
      </w:pPr>
    </w:p>
    <w:p w14:paraId="33AB6D87" w14:textId="02303019" w:rsidR="005D3054" w:rsidRPr="005D3054" w:rsidRDefault="00903DC7" w:rsidP="00F24182">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GOVERNMENT OF SEYCHELLES</w:t>
      </w:r>
      <w:r>
        <w:rPr>
          <w:rFonts w:ascii="Times New Roman" w:hAnsi="Times New Roman" w:cs="Times New Roman"/>
          <w:b/>
          <w:sz w:val="24"/>
          <w:szCs w:val="24"/>
        </w:rPr>
        <w:tab/>
      </w:r>
      <w:r w:rsidR="003F751A">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r w:rsidR="00F24182">
        <w:rPr>
          <w:rFonts w:ascii="Times New Roman" w:hAnsi="Times New Roman" w:cs="Times New Roman"/>
          <w:b/>
          <w:sz w:val="24"/>
          <w:szCs w:val="24"/>
        </w:rPr>
        <w:tab/>
      </w:r>
      <w:r w:rsidR="00F24182">
        <w:rPr>
          <w:rFonts w:ascii="Times New Roman" w:hAnsi="Times New Roman" w:cs="Times New Roman"/>
          <w:b/>
          <w:sz w:val="24"/>
          <w:szCs w:val="24"/>
        </w:rPr>
        <w:tab/>
      </w:r>
      <w:r w:rsidR="00F24182" w:rsidRPr="005D3054">
        <w:rPr>
          <w:rFonts w:ascii="Times New Roman" w:hAnsi="Times New Roman" w:cs="Times New Roman"/>
          <w:b/>
          <w:sz w:val="24"/>
          <w:szCs w:val="24"/>
        </w:rPr>
        <w:t>Appellant</w:t>
      </w:r>
      <w:r w:rsidR="00F24182" w:rsidRPr="005D3054">
        <w:rPr>
          <w:rFonts w:ascii="Times New Roman" w:hAnsi="Times New Roman" w:cs="Times New Roman"/>
          <w:sz w:val="24"/>
          <w:szCs w:val="24"/>
        </w:rPr>
        <w:tab/>
      </w:r>
    </w:p>
    <w:p w14:paraId="0358837C" w14:textId="77777777" w:rsidR="007248ED" w:rsidRDefault="005D3054" w:rsidP="005D3054">
      <w:pPr>
        <w:pStyle w:val="NoSpacing"/>
        <w:rPr>
          <w:rFonts w:ascii="Times New Roman" w:hAnsi="Times New Roman" w:cs="Times New Roman"/>
          <w:i/>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by M</w:t>
      </w:r>
      <w:r w:rsidR="00856A03">
        <w:rPr>
          <w:rFonts w:ascii="Times New Roman" w:hAnsi="Times New Roman" w:cs="Times New Roman"/>
          <w:i/>
          <w:sz w:val="24"/>
          <w:szCs w:val="24"/>
        </w:rPr>
        <w:t xml:space="preserve">r. </w:t>
      </w:r>
      <w:r w:rsidR="007248ED">
        <w:rPr>
          <w:rFonts w:ascii="Times New Roman" w:hAnsi="Times New Roman" w:cs="Times New Roman"/>
          <w:i/>
          <w:sz w:val="24"/>
          <w:szCs w:val="24"/>
        </w:rPr>
        <w:t>Frank Ally</w:t>
      </w:r>
      <w:r w:rsidRPr="005D3054">
        <w:rPr>
          <w:rFonts w:ascii="Times New Roman" w:hAnsi="Times New Roman" w:cs="Times New Roman"/>
          <w:i/>
          <w:sz w:val="24"/>
          <w:szCs w:val="24"/>
        </w:rPr>
        <w:t>)</w:t>
      </w:r>
    </w:p>
    <w:p w14:paraId="22FB069B" w14:textId="749AC6DC" w:rsidR="007248ED" w:rsidRDefault="007248ED" w:rsidP="005D3054">
      <w:pPr>
        <w:pStyle w:val="NoSpacing"/>
        <w:rPr>
          <w:rFonts w:ascii="Times New Roman" w:hAnsi="Times New Roman" w:cs="Times New Roman"/>
          <w:i/>
          <w:sz w:val="24"/>
          <w:szCs w:val="24"/>
        </w:rPr>
      </w:pPr>
    </w:p>
    <w:p w14:paraId="70CBE96C" w14:textId="2C2079EB" w:rsidR="00A706F6" w:rsidRDefault="00A706F6" w:rsidP="005D3054">
      <w:pPr>
        <w:pStyle w:val="NoSpacing"/>
        <w:rPr>
          <w:rFonts w:ascii="Times New Roman" w:hAnsi="Times New Roman" w:cs="Times New Roman"/>
          <w:sz w:val="24"/>
          <w:szCs w:val="24"/>
        </w:rPr>
      </w:pPr>
      <w:r>
        <w:rPr>
          <w:rFonts w:ascii="Times New Roman" w:hAnsi="Times New Roman" w:cs="Times New Roman"/>
          <w:sz w:val="24"/>
          <w:szCs w:val="24"/>
        </w:rPr>
        <w:t>And</w:t>
      </w:r>
    </w:p>
    <w:p w14:paraId="10B35862" w14:textId="2773341A" w:rsidR="00A706F6" w:rsidRDefault="00A706F6" w:rsidP="005D3054">
      <w:pPr>
        <w:pStyle w:val="NoSpacing"/>
        <w:rPr>
          <w:rFonts w:ascii="Times New Roman" w:hAnsi="Times New Roman" w:cs="Times New Roman"/>
          <w:sz w:val="24"/>
          <w:szCs w:val="24"/>
        </w:rPr>
      </w:pPr>
    </w:p>
    <w:p w14:paraId="09A2919B" w14:textId="1C89DDB2" w:rsidR="00A706F6" w:rsidRDefault="00903DC7" w:rsidP="005D3054">
      <w:pPr>
        <w:pStyle w:val="NoSpacing"/>
        <w:rPr>
          <w:rFonts w:ascii="Times New Roman" w:hAnsi="Times New Roman" w:cs="Times New Roman"/>
          <w:b/>
          <w:sz w:val="24"/>
          <w:szCs w:val="24"/>
        </w:rPr>
      </w:pPr>
      <w:r w:rsidRPr="00903DC7">
        <w:rPr>
          <w:rFonts w:ascii="Times New Roman" w:hAnsi="Times New Roman" w:cs="Times New Roman"/>
          <w:b/>
          <w:sz w:val="24"/>
          <w:szCs w:val="24"/>
        </w:rPr>
        <w:t>PHILIPPE JUMEAU</w:t>
      </w:r>
      <w:r w:rsidR="00A706F6">
        <w:rPr>
          <w:rFonts w:ascii="Times New Roman" w:hAnsi="Times New Roman" w:cs="Times New Roman"/>
          <w:sz w:val="24"/>
          <w:szCs w:val="24"/>
        </w:rPr>
        <w:tab/>
      </w:r>
      <w:r w:rsidR="00A706F6">
        <w:rPr>
          <w:rFonts w:ascii="Times New Roman" w:hAnsi="Times New Roman" w:cs="Times New Roman"/>
          <w:sz w:val="24"/>
          <w:szCs w:val="24"/>
        </w:rPr>
        <w:tab/>
      </w:r>
      <w:r w:rsidR="00A706F6">
        <w:rPr>
          <w:rFonts w:ascii="Times New Roman" w:hAnsi="Times New Roman" w:cs="Times New Roman"/>
          <w:sz w:val="24"/>
          <w:szCs w:val="24"/>
        </w:rPr>
        <w:tab/>
      </w:r>
      <w:r w:rsidR="00A706F6">
        <w:rPr>
          <w:rFonts w:ascii="Times New Roman" w:hAnsi="Times New Roman" w:cs="Times New Roman"/>
          <w:sz w:val="24"/>
          <w:szCs w:val="24"/>
        </w:rPr>
        <w:tab/>
      </w:r>
      <w:r w:rsidR="00A706F6">
        <w:rPr>
          <w:rFonts w:ascii="Times New Roman" w:hAnsi="Times New Roman" w:cs="Times New Roman"/>
          <w:sz w:val="24"/>
          <w:szCs w:val="24"/>
        </w:rPr>
        <w:tab/>
      </w:r>
      <w:r w:rsidR="00A706F6">
        <w:rPr>
          <w:rFonts w:ascii="Times New Roman" w:hAnsi="Times New Roman" w:cs="Times New Roman"/>
          <w:sz w:val="24"/>
          <w:szCs w:val="24"/>
        </w:rPr>
        <w:tab/>
      </w:r>
      <w:r w:rsidR="00A706F6" w:rsidRPr="00A706F6">
        <w:rPr>
          <w:rFonts w:ascii="Times New Roman" w:hAnsi="Times New Roman" w:cs="Times New Roman"/>
          <w:b/>
          <w:sz w:val="24"/>
          <w:szCs w:val="24"/>
        </w:rPr>
        <w:t>Respondent</w:t>
      </w:r>
    </w:p>
    <w:p w14:paraId="26CE6461" w14:textId="5257F2C7" w:rsidR="00A706F6" w:rsidRDefault="00A706F6" w:rsidP="005D3054">
      <w:pPr>
        <w:pStyle w:val="NoSpacing"/>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Mr. </w:t>
      </w:r>
      <w:proofErr w:type="spellStart"/>
      <w:r>
        <w:rPr>
          <w:rFonts w:ascii="Times New Roman" w:hAnsi="Times New Roman" w:cs="Times New Roman"/>
          <w:i/>
          <w:sz w:val="24"/>
          <w:szCs w:val="24"/>
        </w:rPr>
        <w:t>Wilby</w:t>
      </w:r>
      <w:proofErr w:type="spellEnd"/>
      <w:r>
        <w:rPr>
          <w:rFonts w:ascii="Times New Roman" w:hAnsi="Times New Roman" w:cs="Times New Roman"/>
          <w:i/>
          <w:sz w:val="24"/>
          <w:szCs w:val="24"/>
        </w:rPr>
        <w:t xml:space="preserve"> Lucas)</w:t>
      </w:r>
    </w:p>
    <w:p w14:paraId="1309A1AD" w14:textId="77777777" w:rsidR="00A706F6" w:rsidRPr="00A706F6" w:rsidRDefault="00A706F6" w:rsidP="005D3054">
      <w:pPr>
        <w:pStyle w:val="NoSpacing"/>
        <w:rPr>
          <w:rFonts w:ascii="Times New Roman" w:hAnsi="Times New Roman" w:cs="Times New Roman"/>
          <w:i/>
          <w:sz w:val="24"/>
          <w:szCs w:val="24"/>
        </w:rPr>
      </w:pPr>
    </w:p>
    <w:p w14:paraId="583EBF7B" w14:textId="660D0478" w:rsidR="007248ED" w:rsidRDefault="00903DC7" w:rsidP="005D3054">
      <w:pPr>
        <w:pStyle w:val="NoSpacing"/>
        <w:rPr>
          <w:rFonts w:ascii="Times New Roman" w:hAnsi="Times New Roman" w:cs="Times New Roman"/>
          <w:b/>
          <w:sz w:val="24"/>
          <w:szCs w:val="24"/>
        </w:rPr>
      </w:pPr>
      <w:r w:rsidRPr="007248ED">
        <w:rPr>
          <w:rFonts w:ascii="Times New Roman" w:hAnsi="Times New Roman" w:cs="Times New Roman"/>
          <w:b/>
          <w:sz w:val="24"/>
          <w:szCs w:val="24"/>
        </w:rPr>
        <w:t>THE ATTORNEY GENERAL</w:t>
      </w:r>
      <w:r w:rsidR="005D3054" w:rsidRPr="007248ED">
        <w:rPr>
          <w:rFonts w:ascii="Times New Roman" w:hAnsi="Times New Roman" w:cs="Times New Roman"/>
          <w:b/>
          <w:sz w:val="24"/>
          <w:szCs w:val="24"/>
        </w:rPr>
        <w:tab/>
      </w:r>
      <w:r w:rsidR="005D3054" w:rsidRPr="007248ED">
        <w:rPr>
          <w:rFonts w:ascii="Times New Roman" w:hAnsi="Times New Roman" w:cs="Times New Roman"/>
          <w:b/>
          <w:sz w:val="24"/>
          <w:szCs w:val="24"/>
        </w:rPr>
        <w:tab/>
      </w:r>
      <w:r w:rsidR="007248ED">
        <w:rPr>
          <w:rFonts w:ascii="Times New Roman" w:hAnsi="Times New Roman" w:cs="Times New Roman"/>
          <w:b/>
          <w:sz w:val="24"/>
          <w:szCs w:val="24"/>
        </w:rPr>
        <w:tab/>
      </w:r>
      <w:r w:rsidR="007248ED">
        <w:rPr>
          <w:rFonts w:ascii="Times New Roman" w:hAnsi="Times New Roman" w:cs="Times New Roman"/>
          <w:b/>
          <w:sz w:val="24"/>
          <w:szCs w:val="24"/>
        </w:rPr>
        <w:tab/>
      </w:r>
      <w:r w:rsidR="007248ED">
        <w:rPr>
          <w:rFonts w:ascii="Times New Roman" w:hAnsi="Times New Roman" w:cs="Times New Roman"/>
          <w:b/>
          <w:sz w:val="24"/>
          <w:szCs w:val="24"/>
        </w:rPr>
        <w:tab/>
      </w:r>
      <w:r w:rsidR="00A706F6">
        <w:rPr>
          <w:rFonts w:ascii="Times New Roman" w:hAnsi="Times New Roman" w:cs="Times New Roman"/>
          <w:b/>
          <w:sz w:val="24"/>
          <w:szCs w:val="24"/>
        </w:rPr>
        <w:t>Respondent</w:t>
      </w:r>
    </w:p>
    <w:p w14:paraId="761E9885" w14:textId="2D9E0FDA" w:rsidR="00A706F6" w:rsidRDefault="007248ED" w:rsidP="005D3054">
      <w:pPr>
        <w:pStyle w:val="NoSpacing"/>
        <w:rPr>
          <w:rFonts w:ascii="Times New Roman" w:hAnsi="Times New Roman" w:cs="Times New Roman"/>
          <w:b/>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M</w:t>
      </w:r>
      <w:r w:rsidR="00A706F6">
        <w:rPr>
          <w:rFonts w:ascii="Times New Roman" w:hAnsi="Times New Roman" w:cs="Times New Roman"/>
          <w:i/>
          <w:sz w:val="24"/>
          <w:szCs w:val="24"/>
        </w:rPr>
        <w:t>r</w:t>
      </w:r>
      <w:r>
        <w:rPr>
          <w:rFonts w:ascii="Times New Roman" w:hAnsi="Times New Roman" w:cs="Times New Roman"/>
          <w:i/>
          <w:sz w:val="24"/>
          <w:szCs w:val="24"/>
        </w:rPr>
        <w:t>s. Nissa Thompson</w:t>
      </w:r>
      <w:r w:rsidR="00A706F6">
        <w:rPr>
          <w:rFonts w:ascii="Times New Roman" w:hAnsi="Times New Roman" w:cs="Times New Roman"/>
          <w:b/>
          <w:sz w:val="24"/>
          <w:szCs w:val="24"/>
        </w:rPr>
        <w:t>)</w:t>
      </w:r>
    </w:p>
    <w:p w14:paraId="4C036078" w14:textId="77777777" w:rsidR="00A706F6" w:rsidRDefault="00A706F6" w:rsidP="005D3054">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398C6A6D" w14:textId="2EDF6A72" w:rsidR="005D3054" w:rsidRPr="007248ED" w:rsidRDefault="005D3054" w:rsidP="005D3054">
      <w:pPr>
        <w:pStyle w:val="NoSpacing"/>
        <w:rPr>
          <w:rFonts w:ascii="Times New Roman" w:hAnsi="Times New Roman" w:cs="Times New Roman"/>
          <w:b/>
          <w:sz w:val="24"/>
          <w:szCs w:val="24"/>
        </w:rPr>
      </w:pPr>
      <w:r w:rsidRPr="007248ED">
        <w:rPr>
          <w:rFonts w:ascii="Times New Roman" w:hAnsi="Times New Roman" w:cs="Times New Roman"/>
          <w:b/>
          <w:sz w:val="24"/>
          <w:szCs w:val="24"/>
        </w:rPr>
        <w:tab/>
      </w:r>
      <w:r w:rsidRPr="007248ED">
        <w:rPr>
          <w:rFonts w:ascii="Times New Roman" w:hAnsi="Times New Roman" w:cs="Times New Roman"/>
          <w:b/>
          <w:sz w:val="24"/>
          <w:szCs w:val="24"/>
        </w:rPr>
        <w:tab/>
      </w:r>
    </w:p>
    <w:p w14:paraId="006EF1BE" w14:textId="7E133BA8" w:rsidR="00A706F6" w:rsidRDefault="00903DC7" w:rsidP="007D5C18">
      <w:pPr>
        <w:pStyle w:val="Attorneysnames"/>
        <w:tabs>
          <w:tab w:val="clear" w:pos="4092"/>
          <w:tab w:val="clear" w:pos="5580"/>
          <w:tab w:val="center" w:pos="4680"/>
        </w:tabs>
        <w:rPr>
          <w:b/>
          <w:i w:val="0"/>
        </w:rPr>
      </w:pPr>
      <w:r w:rsidRPr="00A706F6">
        <w:rPr>
          <w:b/>
          <w:i w:val="0"/>
        </w:rPr>
        <w:t>PHILIPPE JUMEAU</w:t>
      </w:r>
      <w:r w:rsidR="00A706F6">
        <w:rPr>
          <w:i w:val="0"/>
        </w:rPr>
        <w:tab/>
      </w:r>
      <w:r w:rsidR="00A706F6">
        <w:rPr>
          <w:i w:val="0"/>
        </w:rPr>
        <w:tab/>
      </w:r>
      <w:r w:rsidR="00A706F6">
        <w:rPr>
          <w:i w:val="0"/>
        </w:rPr>
        <w:tab/>
      </w:r>
      <w:r w:rsidR="00960EFF">
        <w:rPr>
          <w:i w:val="0"/>
        </w:rPr>
        <w:tab/>
      </w:r>
      <w:r w:rsidR="00A706F6">
        <w:rPr>
          <w:b/>
          <w:i w:val="0"/>
        </w:rPr>
        <w:t>Cross-Appellant</w:t>
      </w:r>
    </w:p>
    <w:p w14:paraId="1385B2FF" w14:textId="462059BA" w:rsidR="002E2AE3" w:rsidRPr="00214DB4" w:rsidRDefault="00A706F6" w:rsidP="007D5C18">
      <w:pPr>
        <w:pStyle w:val="Attorneysnames"/>
        <w:tabs>
          <w:tab w:val="clear" w:pos="4092"/>
          <w:tab w:val="clear" w:pos="5580"/>
          <w:tab w:val="center" w:pos="4680"/>
        </w:tabs>
      </w:pPr>
      <w:r>
        <w:t>(</w:t>
      </w:r>
      <w:proofErr w:type="gramStart"/>
      <w:r>
        <w:t>rep</w:t>
      </w:r>
      <w:proofErr w:type="gramEnd"/>
      <w:r>
        <w:t xml:space="preserve">. by Mr. </w:t>
      </w:r>
      <w:proofErr w:type="spellStart"/>
      <w:r>
        <w:t>Wilby</w:t>
      </w:r>
      <w:proofErr w:type="spellEnd"/>
      <w:r>
        <w:t xml:space="preserve"> Lucas)</w:t>
      </w:r>
      <w:r w:rsidR="007D5C18">
        <w:tab/>
      </w:r>
    </w:p>
    <w:p w14:paraId="0B309BD5" w14:textId="0CC0BC77" w:rsidR="00380619" w:rsidRPr="00FD4B0D" w:rsidRDefault="00A706F6" w:rsidP="00214DB4">
      <w:pPr>
        <w:tabs>
          <w:tab w:val="left" w:pos="540"/>
          <w:tab w:val="left" w:pos="4092"/>
          <w:tab w:val="left" w:pos="5580"/>
        </w:tabs>
        <w:spacing w:after="0" w:line="240" w:lineRule="auto"/>
        <w:rPr>
          <w:rFonts w:ascii="Times New Roman" w:hAnsi="Times New Roman" w:cs="Times New Roman"/>
          <w:sz w:val="8"/>
          <w:szCs w:val="8"/>
        </w:rPr>
      </w:pPr>
      <w:r>
        <w:rPr>
          <w:rFonts w:ascii="Times New Roman" w:hAnsi="Times New Roman" w:cs="Times New Roman"/>
          <w:sz w:val="8"/>
          <w:szCs w:val="8"/>
        </w:rPr>
        <w:t>__________________</w:t>
      </w: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0103702F" w:rsidR="00F24182" w:rsidRPr="006F5ABA" w:rsidRDefault="00903DC7" w:rsidP="00FE2CFC">
      <w:pPr>
        <w:pStyle w:val="Partynames"/>
        <w:tabs>
          <w:tab w:val="clear" w:pos="5580"/>
          <w:tab w:val="left" w:pos="5730"/>
          <w:tab w:val="left" w:pos="5760"/>
        </w:tabs>
      </w:pPr>
      <w:r>
        <w:t>GOVERNMENT OF SEYCHELLES</w:t>
      </w:r>
      <w:r w:rsidR="00A706F6">
        <w:tab/>
      </w:r>
      <w:r w:rsidR="00960EFF">
        <w:tab/>
      </w:r>
      <w:r w:rsidR="00960EFF">
        <w:tab/>
      </w:r>
      <w:r w:rsidR="00A706F6">
        <w:t>1</w:t>
      </w:r>
      <w:r w:rsidR="00A706F6" w:rsidRPr="00A706F6">
        <w:rPr>
          <w:vertAlign w:val="superscript"/>
        </w:rPr>
        <w:t>st</w:t>
      </w:r>
      <w:r w:rsidR="00A706F6">
        <w:t xml:space="preserve"> R</w:t>
      </w:r>
      <w:r w:rsidR="00DC22F5">
        <w:t>espondent</w:t>
      </w:r>
    </w:p>
    <w:p w14:paraId="35F33580" w14:textId="4101DB7A"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 xml:space="preserve">Mr. </w:t>
      </w:r>
      <w:r w:rsidR="00A706F6">
        <w:rPr>
          <w:rFonts w:ascii="Times New Roman" w:hAnsi="Times New Roman" w:cs="Times New Roman"/>
          <w:i/>
          <w:sz w:val="24"/>
          <w:szCs w:val="24"/>
        </w:rPr>
        <w:t>Frank Ally</w:t>
      </w:r>
      <w:r w:rsidR="00856A03">
        <w:rPr>
          <w:rFonts w:ascii="Times New Roman" w:hAnsi="Times New Roman" w:cs="Times New Roman"/>
          <w:i/>
          <w:sz w:val="24"/>
          <w:szCs w:val="24"/>
        </w:rPr>
        <w:t>)</w:t>
      </w:r>
    </w:p>
    <w:p w14:paraId="7F4DA398" w14:textId="7CFD70F6" w:rsidR="00A706F6" w:rsidRDefault="00A706F6" w:rsidP="00F24182">
      <w:pPr>
        <w:tabs>
          <w:tab w:val="left" w:pos="540"/>
          <w:tab w:val="left" w:pos="4092"/>
        </w:tabs>
        <w:spacing w:after="0" w:line="240" w:lineRule="auto"/>
        <w:rPr>
          <w:rFonts w:ascii="Times New Roman" w:hAnsi="Times New Roman" w:cs="Times New Roman"/>
          <w:i/>
          <w:sz w:val="24"/>
          <w:szCs w:val="24"/>
        </w:rPr>
      </w:pPr>
    </w:p>
    <w:p w14:paraId="21E39716" w14:textId="2EEBCA06" w:rsidR="00A706F6" w:rsidRDefault="00903DC7" w:rsidP="00960EFF">
      <w:pPr>
        <w:tabs>
          <w:tab w:val="left" w:pos="540"/>
          <w:tab w:val="left" w:pos="4092"/>
          <w:tab w:val="left" w:pos="6480"/>
        </w:tabs>
        <w:spacing w:after="0" w:line="240" w:lineRule="auto"/>
        <w:rPr>
          <w:rFonts w:ascii="Times New Roman" w:hAnsi="Times New Roman" w:cs="Times New Roman"/>
          <w:b/>
          <w:sz w:val="24"/>
          <w:szCs w:val="24"/>
        </w:rPr>
      </w:pPr>
      <w:r>
        <w:rPr>
          <w:rFonts w:ascii="Times New Roman" w:hAnsi="Times New Roman" w:cs="Times New Roman"/>
          <w:b/>
          <w:sz w:val="24"/>
          <w:szCs w:val="24"/>
        </w:rPr>
        <w:t>THE ATTORNEY GENERAL</w:t>
      </w:r>
      <w:r w:rsidR="00A706F6">
        <w:rPr>
          <w:rFonts w:ascii="Times New Roman" w:hAnsi="Times New Roman" w:cs="Times New Roman"/>
          <w:b/>
          <w:sz w:val="24"/>
          <w:szCs w:val="24"/>
        </w:rPr>
        <w:tab/>
      </w:r>
      <w:r w:rsidR="00A706F6">
        <w:rPr>
          <w:rFonts w:ascii="Times New Roman" w:hAnsi="Times New Roman" w:cs="Times New Roman"/>
          <w:b/>
          <w:sz w:val="24"/>
          <w:szCs w:val="24"/>
        </w:rPr>
        <w:tab/>
      </w:r>
      <w:proofErr w:type="gramStart"/>
      <w:r w:rsidR="00A706F6">
        <w:rPr>
          <w:rFonts w:ascii="Times New Roman" w:hAnsi="Times New Roman" w:cs="Times New Roman"/>
          <w:b/>
          <w:sz w:val="24"/>
          <w:szCs w:val="24"/>
        </w:rPr>
        <w:t>2</w:t>
      </w:r>
      <w:r w:rsidR="00A706F6" w:rsidRPr="00A706F6">
        <w:rPr>
          <w:rFonts w:ascii="Times New Roman" w:hAnsi="Times New Roman" w:cs="Times New Roman"/>
          <w:b/>
          <w:sz w:val="24"/>
          <w:szCs w:val="24"/>
          <w:vertAlign w:val="superscript"/>
        </w:rPr>
        <w:t>nd</w:t>
      </w:r>
      <w:proofErr w:type="gramEnd"/>
      <w:r w:rsidR="00A706F6">
        <w:rPr>
          <w:rFonts w:ascii="Times New Roman" w:hAnsi="Times New Roman" w:cs="Times New Roman"/>
          <w:b/>
          <w:sz w:val="24"/>
          <w:szCs w:val="24"/>
        </w:rPr>
        <w:t xml:space="preserve"> Respondent</w:t>
      </w:r>
    </w:p>
    <w:p w14:paraId="033F4D79" w14:textId="38AC2330" w:rsidR="00A706F6" w:rsidRPr="00A706F6" w:rsidRDefault="00A706F6" w:rsidP="00F24182">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by Mrs. Nissa Thompson)</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7C9EB566" w14:textId="3C7A8875" w:rsidR="000A0FCF" w:rsidRPr="00112966" w:rsidRDefault="00405958" w:rsidP="00F24182">
      <w:pPr>
        <w:pStyle w:val="NoSpacing"/>
        <w:tabs>
          <w:tab w:val="left" w:pos="1890"/>
        </w:tabs>
        <w:ind w:left="1890" w:hanging="1890"/>
        <w:rPr>
          <w:rFonts w:ascii="Times New Roman" w:hAnsi="Times New Roman" w:cs="Times New Roman"/>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248ED">
        <w:rPr>
          <w:rFonts w:ascii="Times New Roman" w:hAnsi="Times New Roman" w:cs="Times New Roman"/>
          <w:i/>
          <w:sz w:val="24"/>
          <w:szCs w:val="24"/>
        </w:rPr>
        <w:t xml:space="preserve">Government of Seychelles </w:t>
      </w:r>
      <w:r w:rsidR="00964DA5">
        <w:rPr>
          <w:rFonts w:ascii="Times New Roman" w:hAnsi="Times New Roman" w:cs="Times New Roman"/>
          <w:i/>
          <w:sz w:val="24"/>
          <w:szCs w:val="24"/>
        </w:rPr>
        <w:t>v</w:t>
      </w:r>
      <w:r w:rsidR="007248ED">
        <w:rPr>
          <w:rFonts w:ascii="Times New Roman" w:hAnsi="Times New Roman" w:cs="Times New Roman"/>
          <w:i/>
          <w:sz w:val="24"/>
          <w:szCs w:val="24"/>
        </w:rPr>
        <w:t xml:space="preserve"> </w:t>
      </w:r>
      <w:proofErr w:type="spellStart"/>
      <w:r w:rsidR="007248ED">
        <w:rPr>
          <w:rFonts w:ascii="Times New Roman" w:hAnsi="Times New Roman" w:cs="Times New Roman"/>
          <w:i/>
          <w:sz w:val="24"/>
          <w:szCs w:val="24"/>
        </w:rPr>
        <w:t>Jumeau</w:t>
      </w:r>
      <w:proofErr w:type="spellEnd"/>
      <w:r w:rsidR="00964DA5">
        <w:rPr>
          <w:rFonts w:ascii="Times New Roman" w:hAnsi="Times New Roman" w:cs="Times New Roman"/>
          <w:i/>
          <w:sz w:val="24"/>
          <w:szCs w:val="24"/>
        </w:rPr>
        <w:t xml:space="preserve"> &amp; Anor</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w:t>
      </w:r>
      <w:r w:rsidR="003A0C26">
        <w:rPr>
          <w:rFonts w:ascii="Times New Roman" w:hAnsi="Times New Roman" w:cs="Times New Roman"/>
          <w:sz w:val="24"/>
          <w:szCs w:val="24"/>
        </w:rPr>
        <w:t xml:space="preserve">Consolidated numbers: </w:t>
      </w:r>
      <w:proofErr w:type="gramStart"/>
      <w:r w:rsidR="00DC22F5">
        <w:rPr>
          <w:rFonts w:ascii="Times New Roman" w:hAnsi="Times New Roman" w:cs="Times New Roman"/>
          <w:sz w:val="24"/>
          <w:szCs w:val="24"/>
        </w:rPr>
        <w:t xml:space="preserve">SCA </w:t>
      </w:r>
      <w:r w:rsidR="007248ED">
        <w:rPr>
          <w:rFonts w:ascii="Times New Roman" w:hAnsi="Times New Roman" w:cs="Times New Roman"/>
          <w:sz w:val="24"/>
          <w:szCs w:val="24"/>
        </w:rPr>
        <w:t xml:space="preserve"> CL</w:t>
      </w:r>
      <w:proofErr w:type="gramEnd"/>
      <w:r w:rsidR="007248ED">
        <w:rPr>
          <w:rFonts w:ascii="Times New Roman" w:hAnsi="Times New Roman" w:cs="Times New Roman"/>
          <w:sz w:val="24"/>
          <w:szCs w:val="24"/>
        </w:rPr>
        <w:t xml:space="preserve"> 01/21 – SCA CL 02/2021 and SCA MA 17/2021)</w:t>
      </w:r>
      <w:r w:rsidR="003F751A">
        <w:rPr>
          <w:rFonts w:ascii="Times New Roman" w:hAnsi="Times New Roman" w:cs="Times New Roman"/>
        </w:rPr>
        <w:t xml:space="preserve"> </w:t>
      </w:r>
      <w:r w:rsidR="000A0FCF" w:rsidRPr="00112966">
        <w:rPr>
          <w:rFonts w:ascii="Times New Roman" w:hAnsi="Times New Roman" w:cs="Times New Roman"/>
        </w:rPr>
        <w:t>[2021] SCCA</w:t>
      </w:r>
      <w:r w:rsidR="003A0C26">
        <w:rPr>
          <w:rFonts w:ascii="Times New Roman" w:hAnsi="Times New Roman" w:cs="Times New Roman"/>
        </w:rPr>
        <w:t xml:space="preserve"> </w:t>
      </w:r>
      <w:r w:rsidR="007248ED">
        <w:rPr>
          <w:rFonts w:ascii="Times New Roman" w:hAnsi="Times New Roman" w:cs="Times New Roman"/>
        </w:rPr>
        <w:t>68</w:t>
      </w:r>
      <w:r w:rsidR="00DC22F5">
        <w:rPr>
          <w:rFonts w:ascii="Times New Roman" w:hAnsi="Times New Roman" w:cs="Times New Roman"/>
        </w:rPr>
        <w:t xml:space="preserve"> (Arising in</w:t>
      </w:r>
      <w:r w:rsidR="00A706F6">
        <w:rPr>
          <w:rFonts w:ascii="Times New Roman" w:hAnsi="Times New Roman" w:cs="Times New Roman"/>
        </w:rPr>
        <w:t xml:space="preserve"> CP 08/2018</w:t>
      </w:r>
      <w:r w:rsidR="00EC3641">
        <w:rPr>
          <w:rFonts w:ascii="Times New Roman" w:hAnsi="Times New Roman" w:cs="Times New Roman"/>
        </w:rPr>
        <w:t>)</w:t>
      </w:r>
      <w:r w:rsidR="000A0FCF" w:rsidRPr="00112966">
        <w:rPr>
          <w:rFonts w:ascii="Times New Roman" w:hAnsi="Times New Roman" w:cs="Times New Roman"/>
        </w:rPr>
        <w:t xml:space="preserve"> </w:t>
      </w:r>
    </w:p>
    <w:p w14:paraId="6FA1FDAB" w14:textId="328E3D2E" w:rsidR="000A0FCF" w:rsidRPr="00112966" w:rsidRDefault="00DC22F5" w:rsidP="000A0FCF">
      <w:pPr>
        <w:pStyle w:val="NoSpacing"/>
        <w:ind w:left="1890"/>
        <w:rPr>
          <w:rFonts w:ascii="Times New Roman" w:hAnsi="Times New Roman" w:cs="Times New Roman"/>
        </w:rPr>
      </w:pPr>
      <w:r>
        <w:rPr>
          <w:rFonts w:ascii="Times New Roman" w:hAnsi="Times New Roman" w:cs="Times New Roman"/>
        </w:rPr>
        <w:t>1</w:t>
      </w:r>
      <w:r w:rsidR="007248ED">
        <w:rPr>
          <w:rFonts w:ascii="Times New Roman" w:hAnsi="Times New Roman" w:cs="Times New Roman"/>
        </w:rPr>
        <w:t xml:space="preserve">7 December </w:t>
      </w:r>
      <w:r w:rsidR="000A0FCF" w:rsidRPr="00112966">
        <w:rPr>
          <w:rFonts w:ascii="Times New Roman" w:hAnsi="Times New Roman" w:cs="Times New Roman"/>
        </w:rPr>
        <w:t>2021</w:t>
      </w:r>
    </w:p>
    <w:p w14:paraId="2CBC2A12" w14:textId="4C4F02DE"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248ED">
        <w:rPr>
          <w:rFonts w:ascii="Times New Roman" w:hAnsi="Times New Roman" w:cs="Times New Roman"/>
          <w:sz w:val="24"/>
          <w:szCs w:val="24"/>
        </w:rPr>
        <w:t xml:space="preserve">Fernando President, </w:t>
      </w:r>
      <w:r w:rsidR="00856A03" w:rsidRPr="00856A03">
        <w:rPr>
          <w:rFonts w:ascii="Times New Roman" w:hAnsi="Times New Roman" w:cs="Times New Roman"/>
          <w:sz w:val="24"/>
          <w:szCs w:val="24"/>
        </w:rPr>
        <w:t>Twomey JA</w:t>
      </w:r>
      <w:r w:rsidR="00856A03">
        <w:rPr>
          <w:rFonts w:ascii="Times New Roman" w:hAnsi="Times New Roman" w:cs="Times New Roman"/>
          <w:sz w:val="24"/>
          <w:szCs w:val="24"/>
        </w:rPr>
        <w:t>,</w:t>
      </w:r>
      <w:r w:rsidR="007248ED">
        <w:rPr>
          <w:rFonts w:ascii="Times New Roman" w:hAnsi="Times New Roman" w:cs="Times New Roman"/>
          <w:sz w:val="24"/>
          <w:szCs w:val="24"/>
        </w:rPr>
        <w:t xml:space="preserve"> Tibatemwa-</w:t>
      </w:r>
      <w:proofErr w:type="spellStart"/>
      <w:r w:rsidR="007248ED">
        <w:rPr>
          <w:rFonts w:ascii="Times New Roman" w:hAnsi="Times New Roman" w:cs="Times New Roman"/>
          <w:sz w:val="24"/>
          <w:szCs w:val="24"/>
        </w:rPr>
        <w:t>Ekirikubinza</w:t>
      </w:r>
      <w:proofErr w:type="spellEnd"/>
      <w:r w:rsidR="007248ED">
        <w:rPr>
          <w:rFonts w:ascii="Times New Roman" w:hAnsi="Times New Roman" w:cs="Times New Roman"/>
          <w:sz w:val="24"/>
          <w:szCs w:val="24"/>
        </w:rPr>
        <w:t xml:space="preserve"> JA, Dingake JA, </w:t>
      </w:r>
      <w:proofErr w:type="gramStart"/>
      <w:r w:rsidR="007248ED">
        <w:rPr>
          <w:rFonts w:ascii="Times New Roman" w:hAnsi="Times New Roman" w:cs="Times New Roman"/>
          <w:sz w:val="24"/>
          <w:szCs w:val="24"/>
        </w:rPr>
        <w:t>Esparon</w:t>
      </w:r>
      <w:proofErr w:type="gramEnd"/>
      <w:r w:rsidR="007248ED">
        <w:rPr>
          <w:rFonts w:ascii="Times New Roman" w:hAnsi="Times New Roman" w:cs="Times New Roman"/>
          <w:sz w:val="24"/>
          <w:szCs w:val="24"/>
        </w:rPr>
        <w:t xml:space="preserve"> JA</w:t>
      </w:r>
    </w:p>
    <w:p w14:paraId="0B2CDE4B" w14:textId="247777EE" w:rsidR="00F24182" w:rsidRDefault="00346D7F" w:rsidP="007D5C18">
      <w:pPr>
        <w:spacing w:after="0" w:line="240" w:lineRule="auto"/>
        <w:ind w:left="1890" w:hanging="1890"/>
        <w:jc w:val="both"/>
        <w:rPr>
          <w:rFonts w:ascii="Times New Roman" w:hAnsi="Times New Roman" w:cs="Times New Roman"/>
          <w:b/>
          <w:sz w:val="24"/>
          <w:szCs w:val="24"/>
        </w:rPr>
      </w:pPr>
      <w:r w:rsidRPr="004A2599">
        <w:rPr>
          <w:rFonts w:ascii="Times New Roman" w:hAnsi="Times New Roman" w:cs="Times New Roman"/>
          <w:b/>
          <w:sz w:val="24"/>
          <w:szCs w:val="24"/>
        </w:rPr>
        <w:t>Summary:</w:t>
      </w:r>
      <w:r w:rsidR="000E15DC">
        <w:rPr>
          <w:rFonts w:ascii="Times New Roman" w:hAnsi="Times New Roman" w:cs="Times New Roman"/>
          <w:b/>
          <w:sz w:val="24"/>
          <w:szCs w:val="24"/>
        </w:rPr>
        <w:tab/>
      </w:r>
      <w:r w:rsidR="007248ED">
        <w:rPr>
          <w:rFonts w:ascii="Times New Roman" w:hAnsi="Times New Roman" w:cs="Times New Roman"/>
          <w:sz w:val="24"/>
          <w:szCs w:val="24"/>
        </w:rPr>
        <w:t>Compulsory acquisition of land – remedies under Part III of Schedule 7 to the Constitution; calculation of deductions</w:t>
      </w:r>
      <w:r w:rsidR="00903DC7">
        <w:rPr>
          <w:rFonts w:ascii="Times New Roman" w:hAnsi="Times New Roman" w:cs="Times New Roman"/>
          <w:sz w:val="24"/>
          <w:szCs w:val="24"/>
        </w:rPr>
        <w:t xml:space="preserve">- locus </w:t>
      </w:r>
      <w:proofErr w:type="spellStart"/>
      <w:r w:rsidR="00903DC7">
        <w:rPr>
          <w:rFonts w:ascii="Times New Roman" w:hAnsi="Times New Roman" w:cs="Times New Roman"/>
          <w:sz w:val="24"/>
          <w:szCs w:val="24"/>
        </w:rPr>
        <w:t>standi</w:t>
      </w:r>
      <w:proofErr w:type="spellEnd"/>
    </w:p>
    <w:p w14:paraId="1A9C66B6" w14:textId="4C89EAD3"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E2ED6">
        <w:rPr>
          <w:rFonts w:ascii="Times New Roman" w:hAnsi="Times New Roman" w:cs="Times New Roman"/>
          <w:sz w:val="24"/>
          <w:szCs w:val="24"/>
        </w:rPr>
        <w:t xml:space="preserve">6 </w:t>
      </w:r>
      <w:r w:rsidR="007248ED">
        <w:rPr>
          <w:rFonts w:ascii="Times New Roman" w:hAnsi="Times New Roman" w:cs="Times New Roman"/>
          <w:sz w:val="24"/>
          <w:szCs w:val="24"/>
        </w:rPr>
        <w:t>December</w:t>
      </w:r>
      <w:r w:rsidR="000A0FCF">
        <w:rPr>
          <w:rFonts w:ascii="Times New Roman" w:hAnsi="Times New Roman" w:cs="Times New Roman"/>
          <w:sz w:val="24"/>
          <w:szCs w:val="24"/>
        </w:rPr>
        <w:t xml:space="preserve"> </w:t>
      </w:r>
      <w:r w:rsidR="009F73C2">
        <w:rPr>
          <w:rFonts w:ascii="Times New Roman" w:hAnsi="Times New Roman" w:cs="Times New Roman"/>
          <w:sz w:val="24"/>
          <w:szCs w:val="24"/>
        </w:rPr>
        <w:t>2021</w:t>
      </w:r>
    </w:p>
    <w:p w14:paraId="00356EF9" w14:textId="516776CD" w:rsidR="000A0FCF" w:rsidRDefault="00344425" w:rsidP="000A0FCF">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DC22F5">
        <w:rPr>
          <w:rFonts w:ascii="Times New Roman" w:hAnsi="Times New Roman" w:cs="Times New Roman"/>
          <w:sz w:val="24"/>
          <w:szCs w:val="24"/>
        </w:rPr>
        <w:t>1</w:t>
      </w:r>
      <w:r w:rsidR="007248ED">
        <w:rPr>
          <w:rFonts w:ascii="Times New Roman" w:hAnsi="Times New Roman" w:cs="Times New Roman"/>
          <w:sz w:val="24"/>
          <w:szCs w:val="24"/>
        </w:rPr>
        <w:t>7 December</w:t>
      </w:r>
      <w:r w:rsidR="000A0FCF">
        <w:rPr>
          <w:rFonts w:ascii="Times New Roman" w:hAnsi="Times New Roman" w:cs="Times New Roman"/>
          <w:sz w:val="24"/>
          <w:szCs w:val="24"/>
        </w:rPr>
        <w:t xml:space="preserve"> 2021</w:t>
      </w:r>
    </w:p>
    <w:p w14:paraId="03A890ED" w14:textId="77777777" w:rsidR="00E13194" w:rsidRDefault="00E13194"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OR</w:t>
      </w:r>
      <w:r w:rsidR="006F5ABA">
        <w:rPr>
          <w:rFonts w:ascii="Times New Roman" w:hAnsi="Times New Roman" w:cs="Times New Roman"/>
          <w:b/>
          <w:sz w:val="24"/>
          <w:szCs w:val="24"/>
        </w:rPr>
        <w:t>DER</w:t>
      </w:r>
    </w:p>
    <w:p w14:paraId="2CFB5046" w14:textId="6559DBE8" w:rsidR="00E13194" w:rsidRDefault="00E13194" w:rsidP="00E13194">
      <w:pPr>
        <w:pBdr>
          <w:top w:val="single" w:sz="4" w:space="12" w:color="auto"/>
          <w:bottom w:val="single" w:sz="4" w:space="0" w:color="auto"/>
        </w:pBdr>
        <w:tabs>
          <w:tab w:val="left" w:pos="2892"/>
        </w:tabs>
        <w:spacing w:after="0" w:line="276" w:lineRule="auto"/>
        <w:rPr>
          <w:rFonts w:ascii="Times New Roman" w:hAnsi="Times New Roman" w:cs="Times New Roman"/>
          <w:sz w:val="24"/>
          <w:szCs w:val="24"/>
        </w:rPr>
      </w:pPr>
      <w:r w:rsidRPr="00E13194">
        <w:rPr>
          <w:rFonts w:ascii="Times New Roman" w:hAnsi="Times New Roman" w:cs="Times New Roman"/>
          <w:sz w:val="24"/>
          <w:szCs w:val="24"/>
        </w:rPr>
        <w:t xml:space="preserve"> </w:t>
      </w:r>
    </w:p>
    <w:p w14:paraId="7BE99563" w14:textId="65D74F4B" w:rsidR="00E13194" w:rsidRDefault="00E13194" w:rsidP="00E13194">
      <w:pPr>
        <w:pBdr>
          <w:top w:val="single" w:sz="4" w:space="12" w:color="auto"/>
          <w:bottom w:val="single" w:sz="4" w:space="0" w:color="auto"/>
        </w:pBdr>
        <w:tabs>
          <w:tab w:val="left" w:pos="2892"/>
        </w:tabs>
        <w:spacing w:after="0" w:line="276"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The Appellant’s appeal succeeds and the impugned judgment of the court below </w:t>
      </w:r>
      <w:proofErr w:type="gramStart"/>
      <w:r>
        <w:rPr>
          <w:rFonts w:ascii="Times New Roman" w:hAnsi="Times New Roman" w:cs="Times New Roman"/>
          <w:sz w:val="24"/>
          <w:szCs w:val="24"/>
        </w:rPr>
        <w:t>is hereby quashed and set aside in its entirety</w:t>
      </w:r>
      <w:proofErr w:type="gramEnd"/>
      <w:r>
        <w:rPr>
          <w:rFonts w:ascii="Times New Roman" w:hAnsi="Times New Roman" w:cs="Times New Roman"/>
          <w:sz w:val="24"/>
          <w:szCs w:val="24"/>
        </w:rPr>
        <w:t>.</w:t>
      </w:r>
    </w:p>
    <w:p w14:paraId="1009CCA3" w14:textId="77777777" w:rsidR="00E13194" w:rsidRDefault="00E13194" w:rsidP="00E13194">
      <w:pPr>
        <w:pBdr>
          <w:top w:val="single" w:sz="4" w:space="12" w:color="auto"/>
          <w:bottom w:val="single" w:sz="4" w:space="0" w:color="auto"/>
        </w:pBdr>
        <w:tabs>
          <w:tab w:val="left" w:pos="2892"/>
        </w:tabs>
        <w:spacing w:after="0" w:line="276" w:lineRule="auto"/>
        <w:ind w:left="360" w:hanging="360"/>
        <w:rPr>
          <w:rFonts w:ascii="Times New Roman" w:hAnsi="Times New Roman" w:cs="Times New Roman"/>
          <w:sz w:val="24"/>
          <w:szCs w:val="24"/>
        </w:rPr>
      </w:pPr>
    </w:p>
    <w:p w14:paraId="7C446EDA" w14:textId="322C8EED" w:rsidR="00E13194" w:rsidRDefault="00E13194" w:rsidP="00E13194">
      <w:pPr>
        <w:pBdr>
          <w:top w:val="single" w:sz="4" w:space="12" w:color="auto"/>
          <w:bottom w:val="single" w:sz="4" w:space="0" w:color="auto"/>
        </w:pBdr>
        <w:tabs>
          <w:tab w:val="left" w:pos="2892"/>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(b) The Respondent’s cross-appeal is without merit and it </w:t>
      </w:r>
      <w:proofErr w:type="gramStart"/>
      <w:r>
        <w:rPr>
          <w:rFonts w:ascii="Times New Roman" w:hAnsi="Times New Roman" w:cs="Times New Roman"/>
          <w:sz w:val="24"/>
          <w:szCs w:val="24"/>
        </w:rPr>
        <w:t>is dismissed</w:t>
      </w:r>
      <w:proofErr w:type="gramEnd"/>
      <w:r>
        <w:rPr>
          <w:rFonts w:ascii="Times New Roman" w:hAnsi="Times New Roman" w:cs="Times New Roman"/>
          <w:sz w:val="24"/>
          <w:szCs w:val="24"/>
        </w:rPr>
        <w:t xml:space="preserve"> in its entirety.</w:t>
      </w:r>
    </w:p>
    <w:p w14:paraId="7273DAC2" w14:textId="77777777" w:rsidR="00E13194" w:rsidRDefault="00E13194" w:rsidP="00E13194">
      <w:pPr>
        <w:pBdr>
          <w:top w:val="single" w:sz="4" w:space="12" w:color="auto"/>
          <w:bottom w:val="single" w:sz="4" w:space="0" w:color="auto"/>
        </w:pBdr>
        <w:tabs>
          <w:tab w:val="left" w:pos="2892"/>
        </w:tabs>
        <w:spacing w:after="0" w:line="276" w:lineRule="auto"/>
        <w:rPr>
          <w:rFonts w:ascii="Times New Roman" w:hAnsi="Times New Roman" w:cs="Times New Roman"/>
          <w:sz w:val="24"/>
          <w:szCs w:val="24"/>
        </w:rPr>
      </w:pPr>
    </w:p>
    <w:p w14:paraId="4DDF7D85" w14:textId="21FBD4C0" w:rsidR="00E13194" w:rsidRPr="00E13194" w:rsidRDefault="00E13194" w:rsidP="00E13194">
      <w:pPr>
        <w:pBdr>
          <w:top w:val="single" w:sz="4" w:space="12" w:color="auto"/>
          <w:bottom w:val="single" w:sz="4" w:space="0" w:color="auto"/>
        </w:pBdr>
        <w:tabs>
          <w:tab w:val="left" w:pos="2892"/>
        </w:tabs>
        <w:spacing w:after="0" w:line="276" w:lineRule="auto"/>
        <w:rPr>
          <w:rFonts w:ascii="Times New Roman" w:hAnsi="Times New Roman" w:cs="Times New Roman"/>
          <w:sz w:val="24"/>
          <w:szCs w:val="24"/>
        </w:rPr>
      </w:pPr>
      <w:r>
        <w:rPr>
          <w:rFonts w:ascii="Times New Roman" w:hAnsi="Times New Roman" w:cs="Times New Roman"/>
          <w:sz w:val="24"/>
          <w:szCs w:val="24"/>
        </w:rPr>
        <w:t>(c) There is no order as to costs.</w:t>
      </w:r>
    </w:p>
    <w:p w14:paraId="2F6671EA" w14:textId="77777777" w:rsidR="003A0C26" w:rsidRDefault="003A0C26"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b/>
          <w:sz w:val="24"/>
          <w:szCs w:val="24"/>
        </w:rPr>
      </w:pPr>
    </w:p>
    <w:p w14:paraId="236B39BD" w14:textId="77777777" w:rsidR="00FA6B52" w:rsidRDefault="00FA6B52" w:rsidP="006F5ABA">
      <w:pPr>
        <w:jc w:val="center"/>
        <w:rPr>
          <w:rFonts w:ascii="Times New Roman" w:hAnsi="Times New Roman" w:cs="Times New Roman"/>
          <w:b/>
          <w:sz w:val="24"/>
          <w:szCs w:val="24"/>
        </w:rPr>
      </w:pPr>
    </w:p>
    <w:p w14:paraId="151B6112" w14:textId="26B5B19A"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50404798" w:rsidR="003F751A" w:rsidRDefault="00EE2ED6" w:rsidP="003F751A">
      <w:pPr>
        <w:jc w:val="both"/>
        <w:rPr>
          <w:rFonts w:ascii="Times New Roman" w:hAnsi="Times New Roman" w:cs="Times New Roman"/>
          <w:b/>
        </w:rPr>
      </w:pPr>
      <w:r>
        <w:rPr>
          <w:rFonts w:ascii="Times New Roman" w:hAnsi="Times New Roman" w:cs="Times New Roman"/>
          <w:b/>
        </w:rPr>
        <w:t xml:space="preserve">DR. O. </w:t>
      </w:r>
      <w:r w:rsidR="003F751A">
        <w:rPr>
          <w:rFonts w:ascii="Times New Roman" w:hAnsi="Times New Roman" w:cs="Times New Roman"/>
          <w:b/>
        </w:rPr>
        <w:t>DINGAKE</w:t>
      </w:r>
      <w:r>
        <w:rPr>
          <w:rFonts w:ascii="Times New Roman" w:hAnsi="Times New Roman" w:cs="Times New Roman"/>
          <w:b/>
        </w:rPr>
        <w:t>,</w:t>
      </w:r>
      <w:r w:rsidR="003F751A">
        <w:rPr>
          <w:rFonts w:ascii="Times New Roman" w:hAnsi="Times New Roman" w:cs="Times New Roman"/>
          <w:b/>
        </w:rPr>
        <w:t xml:space="preserve"> JA </w:t>
      </w:r>
    </w:p>
    <w:p w14:paraId="5559FAE9" w14:textId="7BEEC7EB" w:rsidR="00FE2CFC" w:rsidRDefault="00FE2CFC" w:rsidP="00FE2CFC">
      <w:pPr>
        <w:jc w:val="both"/>
        <w:rPr>
          <w:rFonts w:ascii="Times New Roman" w:hAnsi="Times New Roman" w:cs="Times New Roman"/>
        </w:rPr>
      </w:pPr>
    </w:p>
    <w:p w14:paraId="12786E59" w14:textId="77777777" w:rsidR="00FA6B52" w:rsidRDefault="00FA6B52" w:rsidP="00FE2CFC">
      <w:pPr>
        <w:jc w:val="both"/>
        <w:rPr>
          <w:rFonts w:ascii="Times New Roman" w:hAnsi="Times New Roman" w:cs="Times New Roman"/>
        </w:rPr>
      </w:pPr>
    </w:p>
    <w:p w14:paraId="14D710AC" w14:textId="77777777" w:rsidR="00FA6B52" w:rsidRDefault="00FA6B52" w:rsidP="00FA6B52">
      <w:pPr>
        <w:pStyle w:val="JudgmentText"/>
        <w:numPr>
          <w:ilvl w:val="0"/>
          <w:numId w:val="0"/>
        </w:numPr>
        <w:tabs>
          <w:tab w:val="left" w:pos="720"/>
        </w:tabs>
        <w:ind w:left="720"/>
      </w:pPr>
      <w:r>
        <w:rPr>
          <w:b/>
        </w:rPr>
        <w:t>INTRODUCTION</w:t>
      </w:r>
      <w:r>
        <w:t xml:space="preserve"> </w:t>
      </w:r>
    </w:p>
    <w:p w14:paraId="19A7520E" w14:textId="01FC4A02" w:rsidR="00FA6B52" w:rsidRDefault="00FA6B52" w:rsidP="00FA6B52">
      <w:pPr>
        <w:pStyle w:val="JudgmentText"/>
        <w:tabs>
          <w:tab w:val="left" w:pos="720"/>
        </w:tabs>
      </w:pPr>
      <w:proofErr w:type="gramStart"/>
      <w:r>
        <w:t>This is an appeal against the decision of the Constitutional Court in which it held that the Respondent did not receive full and fair compensation for</w:t>
      </w:r>
      <w:r w:rsidR="00903DC7">
        <w:t xml:space="preserve"> </w:t>
      </w:r>
      <w:r>
        <w:t xml:space="preserve">four parcels of </w:t>
      </w:r>
      <w:r w:rsidR="00903DC7">
        <w:t>l</w:t>
      </w:r>
      <w:r>
        <w:t xml:space="preserve">and </w:t>
      </w:r>
      <w:r w:rsidR="00903DC7">
        <w:t xml:space="preserve">acquired before the 1993 Constitution and </w:t>
      </w:r>
      <w:r>
        <w:t>awarded the Respondent SCR 30,700,200.</w:t>
      </w:r>
      <w:proofErr w:type="gramEnd"/>
    </w:p>
    <w:p w14:paraId="4303A612" w14:textId="406B2854" w:rsidR="00FA6B52" w:rsidRDefault="00FA6B52" w:rsidP="00FA6B52">
      <w:pPr>
        <w:pStyle w:val="JudgmentText"/>
        <w:tabs>
          <w:tab w:val="left" w:pos="720"/>
        </w:tabs>
      </w:pPr>
      <w:r>
        <w:t xml:space="preserve">The Respondent (Mr </w:t>
      </w:r>
      <w:proofErr w:type="spellStart"/>
      <w:r>
        <w:t>Jumeau</w:t>
      </w:r>
      <w:proofErr w:type="spellEnd"/>
      <w:r>
        <w:t>) has filed a Cross-Appeal against part of the Constitutional Court’s decision and seeks relief specified in paragraph 3 of the Notice of the Cross-Appeal</w:t>
      </w:r>
      <w:r w:rsidR="0003273C">
        <w:t>, namely that a V</w:t>
      </w:r>
      <w:r w:rsidR="00903DC7">
        <w:t xml:space="preserve">illa on one of the parcels of land acquired was not valued for the </w:t>
      </w:r>
      <w:r w:rsidR="00D62953">
        <w:t>purposes</w:t>
      </w:r>
      <w:r w:rsidR="00903DC7">
        <w:t xml:space="preserve"> of compensation.</w:t>
      </w:r>
    </w:p>
    <w:p w14:paraId="7E06E936" w14:textId="0BB80012" w:rsidR="00FA6B52" w:rsidRDefault="00FA6B52" w:rsidP="00FA6B52">
      <w:pPr>
        <w:pStyle w:val="JudgmentText"/>
        <w:tabs>
          <w:tab w:val="left" w:pos="720"/>
        </w:tabs>
      </w:pPr>
      <w:r>
        <w:t xml:space="preserve">The disposition of this matter turns on a very narrow compass. </w:t>
      </w:r>
      <w:proofErr w:type="gramStart"/>
      <w:r>
        <w:t>The questions that sharply fall for determination are whether: (</w:t>
      </w:r>
      <w:proofErr w:type="spellStart"/>
      <w:r>
        <w:t>i</w:t>
      </w:r>
      <w:proofErr w:type="spellEnd"/>
      <w:r>
        <w:t>) the court below was correct to find as it did that the Respondent was not fully compensated for the compulsory acquisition of J320</w:t>
      </w:r>
      <w:r w:rsidR="00903DC7">
        <w:t xml:space="preserve"> at Port </w:t>
      </w:r>
      <w:proofErr w:type="spellStart"/>
      <w:r w:rsidR="00903DC7">
        <w:t>Glaud</w:t>
      </w:r>
      <w:proofErr w:type="spellEnd"/>
      <w:r w:rsidR="00903DC7">
        <w:t xml:space="preserve">, </w:t>
      </w:r>
      <w:proofErr w:type="spellStart"/>
      <w:r w:rsidR="00903DC7">
        <w:t>Mahe</w:t>
      </w:r>
      <w:proofErr w:type="spellEnd"/>
      <w:r w:rsidR="00903DC7">
        <w:t xml:space="preserve"> </w:t>
      </w:r>
      <w:r>
        <w:t xml:space="preserve">and V1970 </w:t>
      </w:r>
      <w:r w:rsidR="00903DC7">
        <w:t xml:space="preserve">at Mont </w:t>
      </w:r>
      <w:proofErr w:type="spellStart"/>
      <w:r w:rsidR="00903DC7">
        <w:t>Fleuri</w:t>
      </w:r>
      <w:proofErr w:type="spellEnd"/>
      <w:r w:rsidR="00903DC7">
        <w:t xml:space="preserve">, </w:t>
      </w:r>
      <w:proofErr w:type="spellStart"/>
      <w:r w:rsidR="00903DC7">
        <w:t>Mahe</w:t>
      </w:r>
      <w:proofErr w:type="spellEnd"/>
      <w:r w:rsidR="00903DC7">
        <w:t xml:space="preserve"> </w:t>
      </w:r>
      <w:r>
        <w:t>and (ii) with respect to parcels V370 and V375</w:t>
      </w:r>
      <w:r w:rsidR="00903DC7">
        <w:t xml:space="preserve"> at Beau </w:t>
      </w:r>
      <w:proofErr w:type="spellStart"/>
      <w:r w:rsidR="00903DC7">
        <w:t>Vallon</w:t>
      </w:r>
      <w:proofErr w:type="spellEnd"/>
      <w:r>
        <w:t>,</w:t>
      </w:r>
      <w:r w:rsidR="00903DC7">
        <w:t xml:space="preserve"> </w:t>
      </w:r>
      <w:proofErr w:type="spellStart"/>
      <w:r w:rsidR="00903DC7">
        <w:t>Mahe</w:t>
      </w:r>
      <w:proofErr w:type="spellEnd"/>
      <w:r>
        <w:t xml:space="preserve"> that the Respondent had locus </w:t>
      </w:r>
      <w:proofErr w:type="spellStart"/>
      <w:r>
        <w:t>standi</w:t>
      </w:r>
      <w:proofErr w:type="spellEnd"/>
      <w:r>
        <w:t xml:space="preserve"> to bring a claim under paragraph 14 of Schedule 7 to the constitution?</w:t>
      </w:r>
      <w:proofErr w:type="gramEnd"/>
    </w:p>
    <w:p w14:paraId="6A2DB34D" w14:textId="77777777" w:rsidR="00FA6B52" w:rsidRDefault="00FA6B52" w:rsidP="00FA6B52">
      <w:pPr>
        <w:pStyle w:val="JudgmentText"/>
        <w:numPr>
          <w:ilvl w:val="0"/>
          <w:numId w:val="0"/>
        </w:numPr>
        <w:tabs>
          <w:tab w:val="left" w:pos="720"/>
        </w:tabs>
        <w:ind w:left="720"/>
        <w:rPr>
          <w:b/>
        </w:rPr>
      </w:pPr>
      <w:r>
        <w:rPr>
          <w:b/>
        </w:rPr>
        <w:lastRenderedPageBreak/>
        <w:t>THE FACTS</w:t>
      </w:r>
    </w:p>
    <w:p w14:paraId="76448662" w14:textId="219FF3A6" w:rsidR="00FA6B52" w:rsidRDefault="00FA6B52" w:rsidP="00FA6B52">
      <w:pPr>
        <w:pStyle w:val="JudgmentText"/>
        <w:tabs>
          <w:tab w:val="left" w:pos="720"/>
        </w:tabs>
      </w:pPr>
      <w:r>
        <w:t xml:space="preserve">The dispositive facts of this appeal bears </w:t>
      </w:r>
      <w:r w:rsidR="00903DC7">
        <w:t xml:space="preserve">stating </w:t>
      </w:r>
      <w:r>
        <w:t xml:space="preserve">briefly: the Respondent’s claim arose following the Government of Seychelles (the Government) compulsorily </w:t>
      </w:r>
      <w:r w:rsidR="00903DC7">
        <w:t xml:space="preserve">acquiring </w:t>
      </w:r>
      <w:r>
        <w:t>four parcels of land from the Respondent, namely: J320, V1970, V370 and V375. Simply for convenience I refer to the Government of Seychelles throughout this judgment as the Government.</w:t>
      </w:r>
    </w:p>
    <w:p w14:paraId="3DE44FA5" w14:textId="1052DC0F" w:rsidR="00FA6B52" w:rsidRDefault="00FA6B52" w:rsidP="00FA6B52">
      <w:pPr>
        <w:pStyle w:val="JudgmentText"/>
        <w:tabs>
          <w:tab w:val="left" w:pos="720"/>
        </w:tabs>
      </w:pPr>
      <w:r>
        <w:t xml:space="preserve">The said acquisition </w:t>
      </w:r>
      <w:proofErr w:type="gramStart"/>
      <w:r>
        <w:t>was done</w:t>
      </w:r>
      <w:proofErr w:type="gramEnd"/>
      <w:r>
        <w:t xml:space="preserve"> pursuant to the Lands Acquisition </w:t>
      </w:r>
      <w:r w:rsidR="00903DC7">
        <w:t>Act</w:t>
      </w:r>
      <w:r>
        <w:t>, 1977, prior to the coming into force of the 1993 constitution.</w:t>
      </w:r>
    </w:p>
    <w:p w14:paraId="7AD03219" w14:textId="77777777" w:rsidR="00FA6B52" w:rsidRDefault="00FA6B52" w:rsidP="00FA6B52">
      <w:pPr>
        <w:pStyle w:val="JudgmentText"/>
        <w:tabs>
          <w:tab w:val="left" w:pos="720"/>
        </w:tabs>
      </w:pPr>
      <w:r>
        <w:t>The Respondent aggrieved by the decision of the Government of Seychelles to acquire the parcels of land aforesaid brought proceedings before the Constitutional Court, contending that the Government of Seychelles contravened paragraph 14 of Schedule 7 to the constitution.</w:t>
      </w:r>
    </w:p>
    <w:p w14:paraId="201EDC06" w14:textId="37ADB141" w:rsidR="00FA6B52" w:rsidRDefault="00FA6B52" w:rsidP="00FA6B52">
      <w:pPr>
        <w:pStyle w:val="JudgmentText"/>
        <w:tabs>
          <w:tab w:val="left" w:pos="720"/>
        </w:tabs>
      </w:pPr>
      <w:r>
        <w:t xml:space="preserve">Before the Constitutional Court, the Respondent claimed, in relation to parcels J320 and V1970 that he was not compensated for the acquisition of the above parcels whilst the Government contended he was. In its </w:t>
      </w:r>
      <w:proofErr w:type="gramStart"/>
      <w:r>
        <w:t>pleadings</w:t>
      </w:r>
      <w:proofErr w:type="gramEnd"/>
      <w:r>
        <w:t xml:space="preserve"> the Government contended that the Respondent was given SCR 1,400.000 and parcel V5093 </w:t>
      </w:r>
      <w:r w:rsidR="00903DC7">
        <w:t xml:space="preserve">in part exchange </w:t>
      </w:r>
      <w:r>
        <w:t xml:space="preserve">as full and final compensation for the above parcels of land. </w:t>
      </w:r>
    </w:p>
    <w:p w14:paraId="5AEB9E3B" w14:textId="4BF5A867" w:rsidR="00FA6B52" w:rsidRDefault="00FA6B52" w:rsidP="00FA6B52">
      <w:pPr>
        <w:pStyle w:val="JudgmentText"/>
        <w:tabs>
          <w:tab w:val="left" w:pos="720"/>
        </w:tabs>
      </w:pPr>
      <w:r>
        <w:t xml:space="preserve">The Constitutional Court found that compensation in the amount alleged by Government </w:t>
      </w:r>
      <w:proofErr w:type="gramStart"/>
      <w:r>
        <w:t>was not effected</w:t>
      </w:r>
      <w:proofErr w:type="gramEnd"/>
      <w:r>
        <w:t xml:space="preserve"> and that even if it was, it would be inadequate. The court also held that the Respondent had locus </w:t>
      </w:r>
      <w:proofErr w:type="spellStart"/>
      <w:r>
        <w:t>standi</w:t>
      </w:r>
      <w:proofErr w:type="spellEnd"/>
      <w:r>
        <w:t xml:space="preserve"> to bring the claim, at the time he did, with respect to parcels V370 and V375.</w:t>
      </w:r>
    </w:p>
    <w:p w14:paraId="1C222549" w14:textId="77777777" w:rsidR="00FA6B52" w:rsidRDefault="00FA6B52" w:rsidP="00FA6B52">
      <w:pPr>
        <w:pStyle w:val="JudgmentText"/>
        <w:numPr>
          <w:ilvl w:val="0"/>
          <w:numId w:val="0"/>
        </w:numPr>
        <w:tabs>
          <w:tab w:val="left" w:pos="720"/>
        </w:tabs>
        <w:ind w:left="720"/>
        <w:rPr>
          <w:b/>
        </w:rPr>
      </w:pPr>
      <w:r>
        <w:rPr>
          <w:b/>
        </w:rPr>
        <w:t>CONSIDERATION</w:t>
      </w:r>
    </w:p>
    <w:p w14:paraId="64FD31EA" w14:textId="6153D268" w:rsidR="00FA6B52" w:rsidRDefault="00FA6B52" w:rsidP="00FA6B52">
      <w:pPr>
        <w:pStyle w:val="JudgmentText"/>
        <w:tabs>
          <w:tab w:val="left" w:pos="720"/>
        </w:tabs>
      </w:pPr>
      <w:r>
        <w:t>On the evidence filed of record and the Respondent</w:t>
      </w:r>
      <w:r w:rsidR="00903DC7">
        <w:t>’s</w:t>
      </w:r>
      <w:r>
        <w:t xml:space="preserve"> concessions in this court there is no need to interrogate the question whether the Government paid SCR 1,400.000 as alleged at length because before this court the Respondent has conceded receiving </w:t>
      </w:r>
      <w:proofErr w:type="gramStart"/>
      <w:r>
        <w:t>same</w:t>
      </w:r>
      <w:proofErr w:type="gramEnd"/>
      <w:r>
        <w:t xml:space="preserve">. The failure to disclose </w:t>
      </w:r>
      <w:proofErr w:type="gramStart"/>
      <w:r>
        <w:t>this at all material times</w:t>
      </w:r>
      <w:proofErr w:type="gramEnd"/>
      <w:r>
        <w:t xml:space="preserve"> before the court below may well suggest that the Respondent litigated in bad faith and sought to mislead the court.</w:t>
      </w:r>
    </w:p>
    <w:p w14:paraId="6070DA63" w14:textId="13C76C92" w:rsidR="00FA6B52" w:rsidRDefault="00FA6B52" w:rsidP="00FA6B52">
      <w:pPr>
        <w:pStyle w:val="JudgmentText"/>
        <w:tabs>
          <w:tab w:val="left" w:pos="720"/>
        </w:tabs>
      </w:pPr>
      <w:r>
        <w:lastRenderedPageBreak/>
        <w:t xml:space="preserve">Ordinarily where a litigant </w:t>
      </w:r>
      <w:proofErr w:type="gramStart"/>
      <w:r>
        <w:t>is found</w:t>
      </w:r>
      <w:proofErr w:type="gramEnd"/>
      <w:r>
        <w:t xml:space="preserve"> to have deliberately withheld critical information to the court, adverse consequences for such conduct may follow. In thi</w:t>
      </w:r>
      <w:r w:rsidR="00D62953">
        <w:t xml:space="preserve">s </w:t>
      </w:r>
      <w:proofErr w:type="gramStart"/>
      <w:r w:rsidR="00D62953">
        <w:t>case</w:t>
      </w:r>
      <w:proofErr w:type="gramEnd"/>
      <w:r w:rsidR="00D62953">
        <w:t xml:space="preserve"> such a finding cannot </w:t>
      </w:r>
      <w:r>
        <w:t>authoritatively be made. We nevertheless emphasise that litigants ought to litigate honestly at all times and aid the court in doing justice to the parties.</w:t>
      </w:r>
    </w:p>
    <w:p w14:paraId="6476F5E2" w14:textId="2A4A5382" w:rsidR="00FA6B52" w:rsidRDefault="00FA6B52" w:rsidP="00FA6B52">
      <w:pPr>
        <w:pStyle w:val="JudgmentText"/>
        <w:tabs>
          <w:tab w:val="left" w:pos="720"/>
        </w:tabs>
      </w:pPr>
      <w:r>
        <w:t xml:space="preserve">On the evidence filed of </w:t>
      </w:r>
      <w:proofErr w:type="gramStart"/>
      <w:r>
        <w:t>record</w:t>
      </w:r>
      <w:proofErr w:type="gramEnd"/>
      <w:r>
        <w:t xml:space="preserve"> we are satisfied that the Respondent was fully compensated for the acquisition of parcels J320 and V1970, in full and final settlement of the matter.</w:t>
      </w:r>
    </w:p>
    <w:p w14:paraId="42C3CAD9" w14:textId="00725EC6" w:rsidR="00FA6B52" w:rsidRDefault="00FA6B52" w:rsidP="00FA6B52">
      <w:pPr>
        <w:pStyle w:val="JudgmentText"/>
        <w:tabs>
          <w:tab w:val="left" w:pos="720"/>
        </w:tabs>
      </w:pPr>
      <w:r>
        <w:t xml:space="preserve">Nothing more needs to </w:t>
      </w:r>
      <w:proofErr w:type="gramStart"/>
      <w:r>
        <w:t>be said</w:t>
      </w:r>
      <w:proofErr w:type="gramEnd"/>
      <w:r>
        <w:t xml:space="preserve"> in relation the compensation with respect to the above pieces of land. The Respondent on the evidence availed to us is not entitled to any further compensation with respect to the acquisition of parcels J320 and V 1970, and we so hold.</w:t>
      </w:r>
    </w:p>
    <w:p w14:paraId="1F5D072B" w14:textId="2D73C7FA" w:rsidR="00FA6B52" w:rsidRDefault="00FA6B52" w:rsidP="008444A3">
      <w:pPr>
        <w:pStyle w:val="JudgmentText"/>
        <w:tabs>
          <w:tab w:val="left" w:pos="720"/>
        </w:tabs>
      </w:pPr>
      <w:r>
        <w:t xml:space="preserve">We turn now to consider the issue of </w:t>
      </w:r>
      <w:r>
        <w:rPr>
          <w:i/>
        </w:rPr>
        <w:t xml:space="preserve">locus </w:t>
      </w:r>
      <w:proofErr w:type="spellStart"/>
      <w:r>
        <w:rPr>
          <w:i/>
        </w:rPr>
        <w:t>standi</w:t>
      </w:r>
      <w:proofErr w:type="spellEnd"/>
      <w:r w:rsidR="00903DC7">
        <w:rPr>
          <w:i/>
        </w:rPr>
        <w:t xml:space="preserve"> </w:t>
      </w:r>
      <w:r w:rsidR="00903DC7" w:rsidRPr="008444A3">
        <w:t>with respect to the other parcels of land</w:t>
      </w:r>
      <w:r w:rsidRPr="008444A3">
        <w:t>.</w:t>
      </w:r>
    </w:p>
    <w:p w14:paraId="65968AF7" w14:textId="77777777" w:rsidR="00FA6B52" w:rsidRDefault="00FA6B52" w:rsidP="00FA6B52">
      <w:pPr>
        <w:pStyle w:val="JudgmentText"/>
        <w:numPr>
          <w:ilvl w:val="0"/>
          <w:numId w:val="0"/>
        </w:numPr>
        <w:tabs>
          <w:tab w:val="left" w:pos="720"/>
        </w:tabs>
        <w:ind w:left="720"/>
        <w:rPr>
          <w:b/>
        </w:rPr>
      </w:pPr>
      <w:r>
        <w:rPr>
          <w:b/>
        </w:rPr>
        <w:t>LOCUS STANDI</w:t>
      </w:r>
    </w:p>
    <w:p w14:paraId="5B5E00C4" w14:textId="77777777" w:rsidR="00FA6B52" w:rsidRDefault="00FA6B52" w:rsidP="00FA6B52">
      <w:pPr>
        <w:pStyle w:val="JudgmentText"/>
        <w:tabs>
          <w:tab w:val="left" w:pos="720"/>
        </w:tabs>
      </w:pPr>
      <w:r>
        <w:t xml:space="preserve">The Constitutional Court found that the petitioner had sought compensation under the Lands Acquisition Act, 1977 for his properties even before the Constitution came into force on 21st June 1993. The Court came to this finding based on the various Letters in which the Respondent sought compensation (see paragraphs [37]-[40] of the Judgment). The letters </w:t>
      </w:r>
      <w:proofErr w:type="gramStart"/>
      <w:r>
        <w:t>make reference</w:t>
      </w:r>
      <w:proofErr w:type="gramEnd"/>
      <w:r>
        <w:t xml:space="preserve"> to parcels V370 and V375.</w:t>
      </w:r>
    </w:p>
    <w:p w14:paraId="405053A4" w14:textId="77777777" w:rsidR="00FA6B52" w:rsidRDefault="00FA6B52" w:rsidP="00FA6B52">
      <w:pPr>
        <w:pStyle w:val="JudgmentText"/>
        <w:tabs>
          <w:tab w:val="left" w:pos="720"/>
        </w:tabs>
      </w:pPr>
      <w:r>
        <w:t xml:space="preserve">At paragraph 36 the court below found that parcels V370 and V375 </w:t>
      </w:r>
      <w:proofErr w:type="gramStart"/>
      <w:r>
        <w:t>were compulsorily acquired</w:t>
      </w:r>
      <w:proofErr w:type="gramEnd"/>
      <w:r>
        <w:t xml:space="preserve"> on the 7</w:t>
      </w:r>
      <w:r>
        <w:rPr>
          <w:vertAlign w:val="superscript"/>
        </w:rPr>
        <w:t>th</w:t>
      </w:r>
      <w:r>
        <w:t xml:space="preserve"> of May 1985.</w:t>
      </w:r>
    </w:p>
    <w:p w14:paraId="64A59EC1" w14:textId="77777777" w:rsidR="00FA6B52" w:rsidRDefault="00FA6B52" w:rsidP="00FA6B52">
      <w:pPr>
        <w:pStyle w:val="JudgmentText"/>
        <w:tabs>
          <w:tab w:val="left" w:pos="720"/>
        </w:tabs>
      </w:pPr>
      <w:r>
        <w:t>Paragraph 14 (1) (a) of Schedule 7 of the Constitution sets out the requisites for applications in relation to land that has been compulsorily acquired by the Government. It provides as follows:</w:t>
      </w:r>
    </w:p>
    <w:p w14:paraId="40C84CB2" w14:textId="77777777" w:rsidR="00FA6B52" w:rsidRDefault="00FA6B52" w:rsidP="00FA6B52">
      <w:pPr>
        <w:pStyle w:val="JudgmentText"/>
        <w:numPr>
          <w:ilvl w:val="0"/>
          <w:numId w:val="0"/>
        </w:numPr>
        <w:tabs>
          <w:tab w:val="left" w:pos="720"/>
        </w:tabs>
        <w:ind w:left="720"/>
      </w:pPr>
      <w:proofErr w:type="gramStart"/>
      <w:r>
        <w:rPr>
          <w:i/>
        </w:rPr>
        <w:t>“ 14.(1) the State undertakes to continue to consider all applications made during the period of twelve months from the date of coming into force of this Constitution by a person whose land was compulsorily acquired under the Lands Acquisition Act, 1977 during the period starting June, 1977 and ending on the date of coming into force of this Constitution and to negotiate in good faith with the person with a view to -….”</w:t>
      </w:r>
      <w:proofErr w:type="gramEnd"/>
    </w:p>
    <w:p w14:paraId="48B0F5AC" w14:textId="10270913" w:rsidR="00FA6B52" w:rsidRDefault="00FA6B52" w:rsidP="00FA6B52">
      <w:pPr>
        <w:pStyle w:val="JudgmentText"/>
        <w:tabs>
          <w:tab w:val="left" w:pos="720"/>
        </w:tabs>
      </w:pPr>
      <w:r>
        <w:lastRenderedPageBreak/>
        <w:t xml:space="preserve">We have perused through the record with a fine comb. We could not find any evidence establishing that the Respondent brought the application contemplated under the </w:t>
      </w:r>
      <w:proofErr w:type="gramStart"/>
      <w:r>
        <w:t>above cited</w:t>
      </w:r>
      <w:proofErr w:type="gramEnd"/>
      <w:r>
        <w:t xml:space="preserve"> provision within the twelve months period stipulated therein</w:t>
      </w:r>
      <w:r w:rsidR="00903DC7">
        <w:t xml:space="preserve"> or at any time </w:t>
      </w:r>
      <w:r w:rsidR="0024789C">
        <w:t>thereafter</w:t>
      </w:r>
      <w:r>
        <w:t>.</w:t>
      </w:r>
    </w:p>
    <w:p w14:paraId="4493C517" w14:textId="6481A473" w:rsidR="000E42AC" w:rsidRDefault="000E42AC" w:rsidP="00FA6B52">
      <w:pPr>
        <w:pStyle w:val="JudgmentText"/>
        <w:tabs>
          <w:tab w:val="left" w:pos="720"/>
        </w:tabs>
      </w:pPr>
      <w:r>
        <w:t>We are also of the considered view that the Respondent failed to comply with rule 4 (1) (b) of the Constitutional Court (Application, Contravention, Enforcement or Interpretation of the Constitution Rules. This is so because even if the Petitioner (Respondent) had sought compensation under the Lands Acquisition Act, 1977 for his properties, before the Constitution came into force on the 21</w:t>
      </w:r>
      <w:r w:rsidRPr="000E42AC">
        <w:rPr>
          <w:vertAlign w:val="superscript"/>
        </w:rPr>
        <w:t>st</w:t>
      </w:r>
      <w:r>
        <w:t xml:space="preserve"> June 1993, negotiations appear to have continued between the Appellant and the Respondent after the coming into force of the 1993 Constitution.</w:t>
      </w:r>
    </w:p>
    <w:p w14:paraId="5C8EC8DC" w14:textId="69D33544" w:rsidR="000E42AC" w:rsidRDefault="000E42AC" w:rsidP="00FA6B52">
      <w:pPr>
        <w:pStyle w:val="JudgmentText"/>
        <w:tabs>
          <w:tab w:val="left" w:pos="720"/>
        </w:tabs>
      </w:pPr>
      <w:r>
        <w:t xml:space="preserve">In our </w:t>
      </w:r>
      <w:proofErr w:type="gramStart"/>
      <w:r>
        <w:t>view</w:t>
      </w:r>
      <w:proofErr w:type="gramEnd"/>
      <w:r>
        <w:t xml:space="preserve"> the above indicates that the S</w:t>
      </w:r>
      <w:r w:rsidR="00FC2923">
        <w:t xml:space="preserve">tate </w:t>
      </w:r>
      <w:r>
        <w:t xml:space="preserve">continued to consider the Petitioner’s applications as if made in accordance with Paragraph 14 (a) of Schedule 7 of the Constitution. What is of importance in this case is that the Petitioner did not bring his action after the breakdown of the negotiations between him and the State, within the prescriptive time period set out in rule 4 </w:t>
      </w:r>
      <w:r w:rsidR="00FC2923">
        <w:t>(</w:t>
      </w:r>
      <w:r>
        <w:t>1) (b)</w:t>
      </w:r>
      <w:r w:rsidR="00FC2923">
        <w:t xml:space="preserve"> of the Constitutional Court (Application, Contravention, Enforcement or Interpretation of the Constitution) Rules. On the evidence, it appears that there had be</w:t>
      </w:r>
      <w:r w:rsidR="0003273C">
        <w:t>en a total silence of nearly twenty (20)</w:t>
      </w:r>
      <w:r w:rsidR="00FC2923">
        <w:t xml:space="preserve"> years.</w:t>
      </w:r>
    </w:p>
    <w:p w14:paraId="47CD9FF9" w14:textId="1CB5CD09" w:rsidR="00FA6B52" w:rsidRDefault="00FA6B52" w:rsidP="00FA6B52">
      <w:pPr>
        <w:pStyle w:val="JudgmentText"/>
        <w:tabs>
          <w:tab w:val="left" w:pos="720"/>
        </w:tabs>
      </w:pPr>
      <w:r>
        <w:t xml:space="preserve">It follows in our view that the Respondent </w:t>
      </w:r>
      <w:r w:rsidR="00903DC7">
        <w:t xml:space="preserve">having </w:t>
      </w:r>
      <w:r>
        <w:t>failed to meet the essential condition of the applications contemplated by the constitutio</w:t>
      </w:r>
      <w:r w:rsidR="00FC2923">
        <w:t xml:space="preserve">n, combined with his non –compliance with rule 4 (1) (b) of the Constitutional Court (Application, Contravention, Enforcement or Interpretation of the Constitution) Rules </w:t>
      </w:r>
      <w:r>
        <w:t xml:space="preserve">is ill-suited to bring this application. The court below, </w:t>
      </w:r>
      <w:r w:rsidR="00FC2923">
        <w:t xml:space="preserve">having failed to consider the above, </w:t>
      </w:r>
      <w:r>
        <w:t>with respect</w:t>
      </w:r>
      <w:r w:rsidR="00FC2923">
        <w:t>,</w:t>
      </w:r>
      <w:r>
        <w:t xml:space="preserve"> erred in holding that the Respondent had </w:t>
      </w:r>
      <w:r>
        <w:rPr>
          <w:i/>
        </w:rPr>
        <w:t xml:space="preserve">locus </w:t>
      </w:r>
      <w:proofErr w:type="spellStart"/>
      <w:r>
        <w:rPr>
          <w:i/>
        </w:rPr>
        <w:t>standi</w:t>
      </w:r>
      <w:proofErr w:type="spellEnd"/>
      <w:r>
        <w:rPr>
          <w:i/>
        </w:rPr>
        <w:t xml:space="preserve"> </w:t>
      </w:r>
      <w:r>
        <w:t>to bring the suit he did.</w:t>
      </w:r>
    </w:p>
    <w:p w14:paraId="367F0127" w14:textId="359CA0A7" w:rsidR="00FA6B52" w:rsidRDefault="00FA6B52" w:rsidP="00FA6B52">
      <w:pPr>
        <w:pStyle w:val="JudgmentText"/>
        <w:tabs>
          <w:tab w:val="left" w:pos="720"/>
        </w:tabs>
      </w:pPr>
      <w:r>
        <w:t xml:space="preserve">The Respondent having failed to bring himself within the protective wings of the constitution, under which he sought refuge means he has no locus </w:t>
      </w:r>
      <w:proofErr w:type="spellStart"/>
      <w:r>
        <w:rPr>
          <w:i/>
        </w:rPr>
        <w:t>standi</w:t>
      </w:r>
      <w:proofErr w:type="spellEnd"/>
      <w:r>
        <w:rPr>
          <w:i/>
        </w:rPr>
        <w:t xml:space="preserve"> </w:t>
      </w:r>
      <w:r>
        <w:t>to bring the claims he did as contended by the learned Attorney General and we so hold.</w:t>
      </w:r>
    </w:p>
    <w:p w14:paraId="54CBF6C4" w14:textId="77777777" w:rsidR="006E24E7" w:rsidRPr="006E24E7" w:rsidRDefault="006E24E7" w:rsidP="006E24E7">
      <w:pPr>
        <w:pStyle w:val="JudgmentText"/>
        <w:numPr>
          <w:ilvl w:val="0"/>
          <w:numId w:val="0"/>
        </w:numPr>
        <w:tabs>
          <w:tab w:val="left" w:pos="720"/>
        </w:tabs>
        <w:ind w:left="720"/>
        <w:rPr>
          <w:sz w:val="10"/>
          <w:szCs w:val="10"/>
        </w:rPr>
      </w:pPr>
      <w:bookmarkStart w:id="0" w:name="_GoBack"/>
      <w:bookmarkEnd w:id="0"/>
    </w:p>
    <w:p w14:paraId="1FAE43D2" w14:textId="77777777" w:rsidR="00FA6B52" w:rsidRDefault="00FA6B52" w:rsidP="00FA6B52">
      <w:pPr>
        <w:pStyle w:val="JudgmentText"/>
        <w:numPr>
          <w:ilvl w:val="0"/>
          <w:numId w:val="0"/>
        </w:numPr>
        <w:tabs>
          <w:tab w:val="left" w:pos="720"/>
        </w:tabs>
        <w:ind w:left="720"/>
        <w:rPr>
          <w:b/>
          <w:i/>
        </w:rPr>
      </w:pPr>
      <w:r>
        <w:rPr>
          <w:b/>
          <w:i/>
        </w:rPr>
        <w:t>CROSS-APPEAL</w:t>
      </w:r>
    </w:p>
    <w:p w14:paraId="0EA4CD94" w14:textId="12654A84" w:rsidR="00FA6B52" w:rsidRDefault="00FA6B52" w:rsidP="00FA6B52">
      <w:pPr>
        <w:pStyle w:val="JudgmentText"/>
        <w:tabs>
          <w:tab w:val="left" w:pos="720"/>
        </w:tabs>
        <w:rPr>
          <w:b/>
          <w:u w:val="single"/>
        </w:rPr>
      </w:pPr>
      <w:r>
        <w:lastRenderedPageBreak/>
        <w:t xml:space="preserve">The Respondent, in his cross-appeal complains, that the Constitutional Court failed to consider compensation for the Villa on land V1970; and pronounce itself on documentary evidence that the Villa attracted a monthly </w:t>
      </w:r>
      <w:proofErr w:type="gramStart"/>
      <w:r>
        <w:t>rent which</w:t>
      </w:r>
      <w:proofErr w:type="gramEnd"/>
      <w:r>
        <w:t xml:space="preserve"> is a guidance to assess the value of the Villa. </w:t>
      </w:r>
    </w:p>
    <w:p w14:paraId="636F560B" w14:textId="0EDD24DA" w:rsidR="00FA6B52" w:rsidRDefault="00FA6B52" w:rsidP="00FA6B52">
      <w:pPr>
        <w:pStyle w:val="JudgmentText"/>
        <w:tabs>
          <w:tab w:val="left" w:pos="720"/>
        </w:tabs>
        <w:rPr>
          <w:b/>
          <w:u w:val="single"/>
        </w:rPr>
      </w:pPr>
      <w:proofErr w:type="gramStart"/>
      <w:r>
        <w:t xml:space="preserve">He also complains that the court below failed to award compensation for </w:t>
      </w:r>
      <w:r w:rsidR="00903DC7">
        <w:t xml:space="preserve">a </w:t>
      </w:r>
      <w:r>
        <w:t>vehicular access road built on land V370 prior to its acquisition; consider loss of revenue for the rent of the Villa; enforce the order of 25</w:t>
      </w:r>
      <w:r>
        <w:rPr>
          <w:vertAlign w:val="superscript"/>
        </w:rPr>
        <w:t>th</w:t>
      </w:r>
      <w:r>
        <w:t xml:space="preserve"> of February 2020 in which the Court ordered the Government to ensure and ascertain whether there are Government owned properties corresponding in value to parcels J320, V370, V375 and V1970.</w:t>
      </w:r>
      <w:proofErr w:type="gramEnd"/>
    </w:p>
    <w:p w14:paraId="4144D570" w14:textId="54DB8AB9" w:rsidR="00FA6B52" w:rsidRDefault="00FA6B52" w:rsidP="00FA6B52">
      <w:pPr>
        <w:pStyle w:val="JudgmentText"/>
        <w:tabs>
          <w:tab w:val="left" w:pos="720"/>
        </w:tabs>
        <w:rPr>
          <w:b/>
          <w:u w:val="single"/>
        </w:rPr>
      </w:pPr>
      <w:r>
        <w:t>Lastly</w:t>
      </w:r>
      <w:r w:rsidR="00FA5E92">
        <w:t>,</w:t>
      </w:r>
      <w:r>
        <w:t xml:space="preserve"> the Respondent complains that the court below failed to transfer V1970 back to the Respondent for the reason that the purpose of its acquisition has been frustrated and remained undeveloped.</w:t>
      </w:r>
    </w:p>
    <w:p w14:paraId="08BD03AE" w14:textId="77777777" w:rsidR="00FA6B52" w:rsidRDefault="00FA6B52" w:rsidP="00FA6B52">
      <w:pPr>
        <w:pStyle w:val="JudgmentText"/>
        <w:tabs>
          <w:tab w:val="left" w:pos="720"/>
        </w:tabs>
        <w:rPr>
          <w:b/>
          <w:u w:val="single"/>
        </w:rPr>
      </w:pPr>
      <w:r>
        <w:t xml:space="preserve">There is no merit to any of the above grounds. In our </w:t>
      </w:r>
      <w:proofErr w:type="gramStart"/>
      <w:r>
        <w:t>view</w:t>
      </w:r>
      <w:proofErr w:type="gramEnd"/>
      <w:r>
        <w:t xml:space="preserve"> the issue of the value of the Villa is related to the issue earlier discussed about the parties hereto having entered into an agreement to settle the matter fully and in final terms.</w:t>
      </w:r>
    </w:p>
    <w:p w14:paraId="5642E375" w14:textId="77777777" w:rsidR="00FA6B52" w:rsidRDefault="00FA6B52" w:rsidP="00FA6B52">
      <w:pPr>
        <w:pStyle w:val="JudgmentText"/>
        <w:tabs>
          <w:tab w:val="left" w:pos="720"/>
        </w:tabs>
        <w:rPr>
          <w:b/>
          <w:u w:val="single"/>
        </w:rPr>
      </w:pPr>
      <w:proofErr w:type="gramStart"/>
      <w:r>
        <w:t>In a nutshell</w:t>
      </w:r>
      <w:proofErr w:type="gramEnd"/>
      <w:r>
        <w:t xml:space="preserve"> the Respondent has not established by any cogent and credible evidence that the value of the Villa was not taken into consideration in the agreement the parties executed when he accepted payment in full and final settlement in 1995.</w:t>
      </w:r>
    </w:p>
    <w:p w14:paraId="5F1CD0A6" w14:textId="59105EA7" w:rsidR="00FA6B52" w:rsidRDefault="00FA6B52" w:rsidP="00FA6B52">
      <w:pPr>
        <w:pStyle w:val="JudgmentText"/>
        <w:tabs>
          <w:tab w:val="left" w:pos="720"/>
        </w:tabs>
        <w:rPr>
          <w:b/>
          <w:u w:val="single"/>
        </w:rPr>
      </w:pPr>
      <w:r>
        <w:t>In the result the cro</w:t>
      </w:r>
      <w:r w:rsidR="001B6007">
        <w:t>s</w:t>
      </w:r>
      <w:r>
        <w:t>s –appeal is liable to be dismissed as we hereby do</w:t>
      </w:r>
    </w:p>
    <w:p w14:paraId="6F7D65A4" w14:textId="77777777" w:rsidR="00FA6B52" w:rsidRDefault="00FA6B52" w:rsidP="00FA6B52">
      <w:pPr>
        <w:pStyle w:val="JudgmentText"/>
        <w:numPr>
          <w:ilvl w:val="0"/>
          <w:numId w:val="0"/>
        </w:numPr>
        <w:tabs>
          <w:tab w:val="left" w:pos="720"/>
        </w:tabs>
        <w:ind w:left="720"/>
        <w:rPr>
          <w:b/>
          <w:u w:val="single"/>
        </w:rPr>
      </w:pPr>
      <w:r>
        <w:rPr>
          <w:b/>
        </w:rPr>
        <w:t>COSTS</w:t>
      </w:r>
    </w:p>
    <w:p w14:paraId="38B12FA7" w14:textId="77777777" w:rsidR="00FA6B52" w:rsidRDefault="00FA6B52" w:rsidP="00FA6B52">
      <w:pPr>
        <w:pStyle w:val="JudgmentText"/>
        <w:tabs>
          <w:tab w:val="left" w:pos="720"/>
        </w:tabs>
      </w:pPr>
      <w:r>
        <w:t>It is trite law that costs follow the event and that ordinarily the Appellant being the successful party in this litigation would be entitled to costs. However, the general trend is that in constitutional matters courts should not be too quick to condemn the losing party to costs. It is for this reason that we take the view that each party must pay its costs.</w:t>
      </w:r>
    </w:p>
    <w:p w14:paraId="007DE2E1" w14:textId="77777777" w:rsidR="00FA6B52" w:rsidRDefault="00FA6B52" w:rsidP="00FA6B52">
      <w:pPr>
        <w:pStyle w:val="JudgmentText"/>
        <w:tabs>
          <w:tab w:val="left" w:pos="720"/>
        </w:tabs>
      </w:pPr>
      <w:r>
        <w:t>In all the circumstances of this case we make the following formal orders:</w:t>
      </w:r>
    </w:p>
    <w:p w14:paraId="7875709B" w14:textId="3F999067" w:rsidR="00FA6B52" w:rsidRDefault="00FA6B52" w:rsidP="00FA6B52">
      <w:pPr>
        <w:pStyle w:val="JudgmentText"/>
        <w:numPr>
          <w:ilvl w:val="0"/>
          <w:numId w:val="32"/>
        </w:numPr>
        <w:tabs>
          <w:tab w:val="left" w:pos="720"/>
        </w:tabs>
      </w:pPr>
      <w:r>
        <w:lastRenderedPageBreak/>
        <w:t>The Appellant</w:t>
      </w:r>
      <w:r w:rsidR="00FA5E92">
        <w:t>’s</w:t>
      </w:r>
      <w:r>
        <w:t xml:space="preserve"> appeal succeeds and the impugned judgment of the court below is hereby quashed and set aside in its entirety</w:t>
      </w:r>
    </w:p>
    <w:p w14:paraId="4C6DE438" w14:textId="4B5DF010" w:rsidR="00FA6B52" w:rsidRDefault="00FA6B52" w:rsidP="00FA6B52">
      <w:pPr>
        <w:pStyle w:val="JudgmentText"/>
        <w:numPr>
          <w:ilvl w:val="0"/>
          <w:numId w:val="32"/>
        </w:numPr>
        <w:tabs>
          <w:tab w:val="left" w:pos="720"/>
        </w:tabs>
      </w:pPr>
      <w:r>
        <w:t>The Respondent</w:t>
      </w:r>
      <w:r w:rsidR="00FA5E92">
        <w:t>’s</w:t>
      </w:r>
      <w:r>
        <w:t xml:space="preserve"> cross-appeal is without merit and it is dismissed in its entirety</w:t>
      </w:r>
    </w:p>
    <w:p w14:paraId="2ED90BBE" w14:textId="77777777" w:rsidR="00FA6B52" w:rsidRDefault="00FA6B52" w:rsidP="00FA6B52">
      <w:pPr>
        <w:pStyle w:val="JudgmentText"/>
        <w:numPr>
          <w:ilvl w:val="0"/>
          <w:numId w:val="32"/>
        </w:numPr>
        <w:tabs>
          <w:tab w:val="left" w:pos="720"/>
        </w:tabs>
      </w:pPr>
      <w:r>
        <w:t>There is no order as to costs.</w:t>
      </w:r>
    </w:p>
    <w:p w14:paraId="396000C7" w14:textId="7F9B1EE7" w:rsidR="00FA6B52" w:rsidRDefault="00FA6B52" w:rsidP="00FE2CFC">
      <w:pPr>
        <w:jc w:val="both"/>
        <w:rPr>
          <w:rFonts w:ascii="Times New Roman" w:hAnsi="Times New Roman" w:cs="Times New Roman"/>
        </w:rPr>
      </w:pPr>
    </w:p>
    <w:p w14:paraId="5262C81D" w14:textId="25E4E8BF" w:rsidR="00FA6B52" w:rsidRDefault="00A24257"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noProof/>
          <w:sz w:val="24"/>
          <w:szCs w:val="24"/>
          <w:lang w:val="en-US"/>
        </w:rPr>
        <w:drawing>
          <wp:inline distT="0" distB="0" distL="0" distR="0" wp14:anchorId="28D49922" wp14:editId="0E387F84">
            <wp:extent cx="31051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704850"/>
                    </a:xfrm>
                    <a:prstGeom prst="rect">
                      <a:avLst/>
                    </a:prstGeom>
                    <a:noFill/>
                    <a:ln>
                      <a:noFill/>
                    </a:ln>
                  </pic:spPr>
                </pic:pic>
              </a:graphicData>
            </a:graphic>
          </wp:inline>
        </w:drawing>
      </w:r>
    </w:p>
    <w:p w14:paraId="6E9F54CB" w14:textId="49AECFB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7184D067" w14:textId="409215B4" w:rsidR="00684570" w:rsidRDefault="00EE2ED6"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O. </w:t>
      </w:r>
      <w:r w:rsidR="00684570">
        <w:rPr>
          <w:rFonts w:ascii="Times New Roman" w:hAnsi="Times New Roman" w:cs="Times New Roman"/>
          <w:color w:val="202124"/>
          <w:sz w:val="24"/>
          <w:szCs w:val="24"/>
          <w:shd w:val="clear" w:color="auto" w:fill="FFFFFF"/>
        </w:rPr>
        <w:t>Dingake</w:t>
      </w:r>
      <w:r>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0AED37C9" w14:textId="75DB0194" w:rsidR="00E13194" w:rsidRDefault="00E13194" w:rsidP="00684570">
      <w:pPr>
        <w:shd w:val="clear" w:color="auto" w:fill="FFFFFF"/>
        <w:spacing w:line="240" w:lineRule="auto"/>
        <w:jc w:val="both"/>
        <w:rPr>
          <w:rFonts w:ascii="Times New Roman" w:eastAsia="Times New Roman" w:hAnsi="Times New Roman" w:cs="Times New Roman"/>
          <w:color w:val="202124"/>
          <w:sz w:val="6"/>
          <w:szCs w:val="6"/>
        </w:rPr>
      </w:pPr>
    </w:p>
    <w:p w14:paraId="7CCB7EB4" w14:textId="77777777" w:rsidR="00E13194" w:rsidRPr="00EE2ED6" w:rsidRDefault="00E13194" w:rsidP="00684570">
      <w:pPr>
        <w:shd w:val="clear" w:color="auto" w:fill="FFFFFF"/>
        <w:spacing w:line="240" w:lineRule="auto"/>
        <w:jc w:val="both"/>
        <w:rPr>
          <w:rFonts w:ascii="Times New Roman" w:eastAsia="Times New Roman" w:hAnsi="Times New Roman" w:cs="Times New Roman"/>
          <w:color w:val="202124"/>
          <w:sz w:val="6"/>
          <w:szCs w:val="6"/>
        </w:rPr>
      </w:pPr>
    </w:p>
    <w:p w14:paraId="07E1F585" w14:textId="3B39DE3B"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52F8D829"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FA6B52">
        <w:rPr>
          <w:rFonts w:ascii="Times New Roman" w:hAnsi="Times New Roman" w:cs="Times New Roman"/>
          <w:color w:val="202124"/>
          <w:sz w:val="24"/>
          <w:szCs w:val="24"/>
          <w:shd w:val="clear" w:color="auto" w:fill="FFFFFF"/>
        </w:rPr>
        <w:t>Fernando President</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0D5F55DD" w14:textId="4C20916A" w:rsidR="00FA6B52" w:rsidRDefault="00FA6B52" w:rsidP="00FA6B52">
      <w:pPr>
        <w:shd w:val="clear" w:color="auto" w:fill="FFFFFF"/>
        <w:spacing w:line="240" w:lineRule="auto"/>
        <w:jc w:val="both"/>
        <w:rPr>
          <w:rFonts w:ascii="Times New Roman" w:eastAsia="Times New Roman" w:hAnsi="Times New Roman" w:cs="Times New Roman"/>
          <w:color w:val="202124"/>
          <w:sz w:val="6"/>
          <w:szCs w:val="6"/>
        </w:rPr>
      </w:pPr>
    </w:p>
    <w:p w14:paraId="18775FE9" w14:textId="77777777" w:rsidR="00FA6B52" w:rsidRPr="00EE2ED6" w:rsidRDefault="00FA6B52" w:rsidP="00FA6B52">
      <w:pPr>
        <w:shd w:val="clear" w:color="auto" w:fill="FFFFFF"/>
        <w:spacing w:line="240" w:lineRule="auto"/>
        <w:jc w:val="both"/>
        <w:rPr>
          <w:rFonts w:ascii="Times New Roman" w:eastAsia="Times New Roman" w:hAnsi="Times New Roman" w:cs="Times New Roman"/>
          <w:color w:val="202124"/>
          <w:sz w:val="6"/>
          <w:szCs w:val="6"/>
        </w:rPr>
      </w:pPr>
    </w:p>
    <w:p w14:paraId="1D6DBD41" w14:textId="77777777" w:rsidR="00FA6B52" w:rsidRPr="00C40F27" w:rsidRDefault="00FA6B52" w:rsidP="00FA6B52">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16022269" w14:textId="222CFC7D" w:rsidR="00FA6B52" w:rsidRDefault="00FA6B52" w:rsidP="00FA6B52">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Pr>
          <w:rFonts w:ascii="Times New Roman" w:hAnsi="Times New Roman" w:cs="Times New Roman"/>
          <w:color w:val="202124"/>
          <w:sz w:val="24"/>
          <w:szCs w:val="24"/>
          <w:shd w:val="clear" w:color="auto" w:fill="FFFFFF"/>
        </w:rPr>
        <w:t>Dr.</w:t>
      </w:r>
      <w:proofErr w:type="spellEnd"/>
      <w:r>
        <w:rPr>
          <w:rFonts w:ascii="Times New Roman" w:hAnsi="Times New Roman" w:cs="Times New Roman"/>
          <w:color w:val="202124"/>
          <w:sz w:val="24"/>
          <w:szCs w:val="24"/>
          <w:shd w:val="clear" w:color="auto" w:fill="FFFFFF"/>
        </w:rPr>
        <w:t xml:space="preserve"> M. Twomey, JA</w:t>
      </w:r>
    </w:p>
    <w:p w14:paraId="6030844D" w14:textId="49CA179E"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76CE85C1" w14:textId="77777777" w:rsidR="00FA6B52" w:rsidRDefault="00FA6B52" w:rsidP="00684570">
      <w:pPr>
        <w:spacing w:line="240" w:lineRule="auto"/>
        <w:ind w:right="720"/>
        <w:jc w:val="both"/>
        <w:rPr>
          <w:rFonts w:ascii="Times New Roman" w:hAnsi="Times New Roman" w:cs="Times New Roman"/>
          <w:color w:val="202124"/>
          <w:sz w:val="24"/>
          <w:szCs w:val="24"/>
          <w:shd w:val="clear" w:color="auto" w:fill="FFFFFF"/>
        </w:rPr>
      </w:pPr>
    </w:p>
    <w:p w14:paraId="40505A22" w14:textId="6DCF720C" w:rsidR="00684570" w:rsidRDefault="00684570" w:rsidP="00EE2ED6">
      <w:pPr>
        <w:tabs>
          <w:tab w:val="left" w:pos="5040"/>
        </w:tabs>
        <w:spacing w:line="48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proofErr w:type="spellStart"/>
      <w:r w:rsidR="00FA5E92">
        <w:rPr>
          <w:rFonts w:ascii="Times New Roman" w:hAnsi="Times New Roman" w:cs="Times New Roman"/>
          <w:color w:val="202124"/>
          <w:sz w:val="24"/>
          <w:szCs w:val="24"/>
          <w:shd w:val="clear" w:color="auto" w:fill="FFFFFF"/>
        </w:rPr>
        <w:t>Dr.</w:t>
      </w:r>
      <w:proofErr w:type="spellEnd"/>
      <w:r w:rsidR="00FA5E92">
        <w:rPr>
          <w:rFonts w:ascii="Times New Roman" w:hAnsi="Times New Roman" w:cs="Times New Roman"/>
          <w:color w:val="202124"/>
          <w:sz w:val="24"/>
          <w:szCs w:val="24"/>
          <w:shd w:val="clear" w:color="auto" w:fill="FFFFFF"/>
        </w:rPr>
        <w:t xml:space="preserve"> </w:t>
      </w:r>
      <w:r w:rsidR="00FA6B52">
        <w:rPr>
          <w:rFonts w:ascii="Times New Roman" w:hAnsi="Times New Roman" w:cs="Times New Roman"/>
          <w:color w:val="202124"/>
          <w:sz w:val="24"/>
          <w:szCs w:val="24"/>
          <w:shd w:val="clear" w:color="auto" w:fill="FFFFFF"/>
        </w:rPr>
        <w:t>L. Tibatemwa-</w:t>
      </w:r>
      <w:proofErr w:type="spellStart"/>
      <w:r w:rsidR="00FA6B52">
        <w:rPr>
          <w:rFonts w:ascii="Times New Roman" w:hAnsi="Times New Roman" w:cs="Times New Roman"/>
          <w:color w:val="202124"/>
          <w:sz w:val="24"/>
          <w:szCs w:val="24"/>
          <w:shd w:val="clear" w:color="auto" w:fill="FFFFFF"/>
        </w:rPr>
        <w:t>Ekirikubinza</w:t>
      </w:r>
      <w:proofErr w:type="spellEnd"/>
      <w:r w:rsidR="00FA6B52">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JA</w:t>
      </w:r>
    </w:p>
    <w:p w14:paraId="3C844AE6" w14:textId="3CB52FAA" w:rsidR="00FA6B52" w:rsidRPr="006A44F9" w:rsidRDefault="00FA6B52" w:rsidP="00EE2ED6">
      <w:pPr>
        <w:tabs>
          <w:tab w:val="left" w:pos="5040"/>
        </w:tabs>
        <w:spacing w:line="480" w:lineRule="auto"/>
        <w:jc w:val="both"/>
        <w:rPr>
          <w:rFonts w:ascii="Times New Roman" w:hAnsi="Times New Roman" w:cs="Times New Roman"/>
          <w:color w:val="202124"/>
          <w:sz w:val="6"/>
          <w:szCs w:val="6"/>
          <w:shd w:val="clear" w:color="auto" w:fill="FFFFFF"/>
        </w:rPr>
      </w:pPr>
    </w:p>
    <w:p w14:paraId="1A2BE27A" w14:textId="0B644C67" w:rsidR="006A44F9" w:rsidRDefault="00FA6B52" w:rsidP="006A44F9">
      <w:pPr>
        <w:tabs>
          <w:tab w:val="left" w:pos="5040"/>
        </w:tabs>
        <w:spacing w:line="480" w:lineRule="auto"/>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t>D. Esparon, JA</w:t>
      </w:r>
      <w:bookmarkStart w:id="1" w:name="_Toc409448291"/>
    </w:p>
    <w:p w14:paraId="21D3C2CB" w14:textId="77777777" w:rsidR="006A44F9" w:rsidRPr="006A44F9" w:rsidRDefault="006A44F9" w:rsidP="006A44F9">
      <w:pPr>
        <w:tabs>
          <w:tab w:val="left" w:pos="5040"/>
        </w:tabs>
        <w:spacing w:line="480" w:lineRule="auto"/>
        <w:jc w:val="both"/>
        <w:rPr>
          <w:rFonts w:ascii="Times New Roman" w:hAnsi="Times New Roman" w:cs="Times New Roman"/>
          <w:color w:val="202124"/>
          <w:sz w:val="6"/>
          <w:szCs w:val="6"/>
          <w:shd w:val="clear" w:color="auto" w:fill="FFFFFF"/>
        </w:rPr>
      </w:pPr>
    </w:p>
    <w:p w14:paraId="1474E1CD" w14:textId="3DA265E5" w:rsidR="00684570" w:rsidRDefault="00684570" w:rsidP="006A44F9">
      <w:pPr>
        <w:tabs>
          <w:tab w:val="left" w:pos="504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w:t>
      </w:r>
      <w:r w:rsidR="00FA6B52">
        <w:rPr>
          <w:rFonts w:ascii="Times New Roman" w:eastAsia="Times New Roman" w:hAnsi="Times New Roman" w:cs="Times New Roman"/>
          <w:sz w:val="24"/>
          <w:szCs w:val="24"/>
        </w:rPr>
        <w:t>7 December</w:t>
      </w:r>
      <w:r>
        <w:rPr>
          <w:rFonts w:ascii="Times New Roman" w:eastAsia="Times New Roman" w:hAnsi="Times New Roman" w:cs="Times New Roman"/>
          <w:sz w:val="24"/>
          <w:szCs w:val="24"/>
        </w:rPr>
        <w:t xml:space="preserve"> 2021.</w:t>
      </w:r>
      <w:bookmarkEnd w:id="1"/>
    </w:p>
    <w:sectPr w:rsidR="00684570"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A5FE" w14:textId="77777777" w:rsidR="002D7D3A" w:rsidRDefault="002D7D3A" w:rsidP="006A68E2">
      <w:pPr>
        <w:spacing w:after="0" w:line="240" w:lineRule="auto"/>
      </w:pPr>
      <w:r>
        <w:separator/>
      </w:r>
    </w:p>
  </w:endnote>
  <w:endnote w:type="continuationSeparator" w:id="0">
    <w:p w14:paraId="1A5D0A14" w14:textId="77777777" w:rsidR="002D7D3A" w:rsidRDefault="002D7D3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2410"/>
      <w:docPartObj>
        <w:docPartGallery w:val="Page Numbers (Bottom of Page)"/>
        <w:docPartUnique/>
      </w:docPartObj>
    </w:sdtPr>
    <w:sdtEndPr>
      <w:rPr>
        <w:noProof/>
      </w:rPr>
    </w:sdtEndPr>
    <w:sdtContent>
      <w:p w14:paraId="673B4262" w14:textId="7F77EE44" w:rsidR="006E24E7" w:rsidRDefault="006E24E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34F22166" w14:textId="77777777" w:rsidR="00903DC7" w:rsidRDefault="0090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744F" w14:textId="77777777" w:rsidR="002D7D3A" w:rsidRDefault="002D7D3A" w:rsidP="006A68E2">
      <w:pPr>
        <w:spacing w:after="0" w:line="240" w:lineRule="auto"/>
      </w:pPr>
      <w:r>
        <w:separator/>
      </w:r>
    </w:p>
  </w:footnote>
  <w:footnote w:type="continuationSeparator" w:id="0">
    <w:p w14:paraId="39DFD4CE" w14:textId="77777777" w:rsidR="002D7D3A" w:rsidRDefault="002D7D3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0AF29A9"/>
    <w:multiLevelType w:val="hybridMultilevel"/>
    <w:tmpl w:val="51302CA0"/>
    <w:lvl w:ilvl="0" w:tplc="DDF0C2A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4"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7DB8468A"/>
    <w:multiLevelType w:val="hybridMultilevel"/>
    <w:tmpl w:val="D0ECA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6"/>
  </w:num>
  <w:num w:numId="4">
    <w:abstractNumId w:val="12"/>
  </w:num>
  <w:num w:numId="5">
    <w:abstractNumId w:val="1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2"/>
  </w:num>
  <w:num w:numId="7">
    <w:abstractNumId w:val="8"/>
  </w:num>
  <w:num w:numId="8">
    <w:abstractNumId w:val="19"/>
  </w:num>
  <w:num w:numId="9">
    <w:abstractNumId w:val="3"/>
  </w:num>
  <w:num w:numId="10">
    <w:abstractNumId w:val="19"/>
  </w:num>
  <w:num w:numId="11">
    <w:abstractNumId w:val="19"/>
  </w:num>
  <w:num w:numId="12">
    <w:abstractNumId w:val="13"/>
  </w:num>
  <w:num w:numId="13">
    <w:abstractNumId w:val="23"/>
  </w:num>
  <w:num w:numId="14">
    <w:abstractNumId w:val="19"/>
    <w:lvlOverride w:ilvl="0">
      <w:startOverride w:val="1"/>
    </w:lvlOverride>
  </w:num>
  <w:num w:numId="15">
    <w:abstractNumId w:val="19"/>
  </w:num>
  <w:num w:numId="16">
    <w:abstractNumId w:val="1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7"/>
  </w:num>
  <w:num w:numId="30">
    <w:abstractNumId w:val="24"/>
  </w:num>
  <w:num w:numId="31">
    <w:abstractNumId w:val="2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A0NzA2Mze2NDdQ0lEKTi0uzszPAykwrAUAtu2TdiwAAAA="/>
  </w:docVars>
  <w:rsids>
    <w:rsidRoot w:val="00CC4C21"/>
    <w:rsid w:val="00015DE3"/>
    <w:rsid w:val="00025CDF"/>
    <w:rsid w:val="000301BB"/>
    <w:rsid w:val="0003054E"/>
    <w:rsid w:val="0003273C"/>
    <w:rsid w:val="00036B20"/>
    <w:rsid w:val="00040193"/>
    <w:rsid w:val="00050392"/>
    <w:rsid w:val="00050B7D"/>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6415"/>
    <w:rsid w:val="000E15DC"/>
    <w:rsid w:val="000E42AC"/>
    <w:rsid w:val="00112139"/>
    <w:rsid w:val="001126AB"/>
    <w:rsid w:val="001135C2"/>
    <w:rsid w:val="00114CB7"/>
    <w:rsid w:val="00116DDC"/>
    <w:rsid w:val="001278AB"/>
    <w:rsid w:val="001428B9"/>
    <w:rsid w:val="00144C3A"/>
    <w:rsid w:val="0014564E"/>
    <w:rsid w:val="00151BF3"/>
    <w:rsid w:val="001520C4"/>
    <w:rsid w:val="00157C6B"/>
    <w:rsid w:val="00162586"/>
    <w:rsid w:val="001723B1"/>
    <w:rsid w:val="00185F10"/>
    <w:rsid w:val="001930BC"/>
    <w:rsid w:val="00195F76"/>
    <w:rsid w:val="00196639"/>
    <w:rsid w:val="001A0CAF"/>
    <w:rsid w:val="001A3E53"/>
    <w:rsid w:val="001B0EFE"/>
    <w:rsid w:val="001B6007"/>
    <w:rsid w:val="001C54C3"/>
    <w:rsid w:val="001C78EC"/>
    <w:rsid w:val="001D33D2"/>
    <w:rsid w:val="002015F8"/>
    <w:rsid w:val="00211C81"/>
    <w:rsid w:val="00212006"/>
    <w:rsid w:val="0021402A"/>
    <w:rsid w:val="00214DB4"/>
    <w:rsid w:val="002207B6"/>
    <w:rsid w:val="00235626"/>
    <w:rsid w:val="00243AE1"/>
    <w:rsid w:val="00244FEB"/>
    <w:rsid w:val="00245165"/>
    <w:rsid w:val="0024789C"/>
    <w:rsid w:val="00271C68"/>
    <w:rsid w:val="0027707F"/>
    <w:rsid w:val="00285375"/>
    <w:rsid w:val="002978B1"/>
    <w:rsid w:val="002C1057"/>
    <w:rsid w:val="002C2D81"/>
    <w:rsid w:val="002D0DE2"/>
    <w:rsid w:val="002D3055"/>
    <w:rsid w:val="002D4EB8"/>
    <w:rsid w:val="002D7D3A"/>
    <w:rsid w:val="002E1B36"/>
    <w:rsid w:val="002E2AE3"/>
    <w:rsid w:val="002E2D44"/>
    <w:rsid w:val="003033A1"/>
    <w:rsid w:val="00307BB3"/>
    <w:rsid w:val="00311B33"/>
    <w:rsid w:val="003137B8"/>
    <w:rsid w:val="00315AA7"/>
    <w:rsid w:val="00344425"/>
    <w:rsid w:val="00346D7F"/>
    <w:rsid w:val="003615E7"/>
    <w:rsid w:val="00363764"/>
    <w:rsid w:val="00363898"/>
    <w:rsid w:val="0036708A"/>
    <w:rsid w:val="00373165"/>
    <w:rsid w:val="00380619"/>
    <w:rsid w:val="00385BB5"/>
    <w:rsid w:val="00390F88"/>
    <w:rsid w:val="00392D92"/>
    <w:rsid w:val="003A0C26"/>
    <w:rsid w:val="003A5477"/>
    <w:rsid w:val="003A6C9E"/>
    <w:rsid w:val="003B3E4B"/>
    <w:rsid w:val="003C11F1"/>
    <w:rsid w:val="003E2E94"/>
    <w:rsid w:val="003E5B26"/>
    <w:rsid w:val="003F5E76"/>
    <w:rsid w:val="003F751A"/>
    <w:rsid w:val="00403F4C"/>
    <w:rsid w:val="00405958"/>
    <w:rsid w:val="00412994"/>
    <w:rsid w:val="00416353"/>
    <w:rsid w:val="004344B4"/>
    <w:rsid w:val="004362B7"/>
    <w:rsid w:val="00453AC2"/>
    <w:rsid w:val="00463B4E"/>
    <w:rsid w:val="00472219"/>
    <w:rsid w:val="004A0A8E"/>
    <w:rsid w:val="004A2599"/>
    <w:rsid w:val="004A4C0A"/>
    <w:rsid w:val="004A7784"/>
    <w:rsid w:val="004B067C"/>
    <w:rsid w:val="004B1E93"/>
    <w:rsid w:val="004B7720"/>
    <w:rsid w:val="004C16E0"/>
    <w:rsid w:val="004D7477"/>
    <w:rsid w:val="004E63C8"/>
    <w:rsid w:val="00524F8B"/>
    <w:rsid w:val="005304AC"/>
    <w:rsid w:val="00544E37"/>
    <w:rsid w:val="00570BC5"/>
    <w:rsid w:val="00572ED8"/>
    <w:rsid w:val="005802AC"/>
    <w:rsid w:val="0058564A"/>
    <w:rsid w:val="005A5FCB"/>
    <w:rsid w:val="005A7439"/>
    <w:rsid w:val="005B12AA"/>
    <w:rsid w:val="005D3054"/>
    <w:rsid w:val="005E6FB2"/>
    <w:rsid w:val="00601509"/>
    <w:rsid w:val="00602E59"/>
    <w:rsid w:val="0060768B"/>
    <w:rsid w:val="0060782F"/>
    <w:rsid w:val="0061354A"/>
    <w:rsid w:val="00635504"/>
    <w:rsid w:val="00652326"/>
    <w:rsid w:val="00662CEA"/>
    <w:rsid w:val="00664E51"/>
    <w:rsid w:val="006720CF"/>
    <w:rsid w:val="00673D15"/>
    <w:rsid w:val="00673F34"/>
    <w:rsid w:val="00682172"/>
    <w:rsid w:val="00684570"/>
    <w:rsid w:val="00687181"/>
    <w:rsid w:val="006A44F9"/>
    <w:rsid w:val="006A6465"/>
    <w:rsid w:val="006A68E2"/>
    <w:rsid w:val="006B7D2C"/>
    <w:rsid w:val="006C1880"/>
    <w:rsid w:val="006C30D7"/>
    <w:rsid w:val="006C5E78"/>
    <w:rsid w:val="006D305B"/>
    <w:rsid w:val="006D57EC"/>
    <w:rsid w:val="006E24E7"/>
    <w:rsid w:val="006F5ABA"/>
    <w:rsid w:val="006F6614"/>
    <w:rsid w:val="00701E94"/>
    <w:rsid w:val="0070371E"/>
    <w:rsid w:val="00706EB0"/>
    <w:rsid w:val="00715C55"/>
    <w:rsid w:val="00716FAC"/>
    <w:rsid w:val="0072185E"/>
    <w:rsid w:val="00722761"/>
    <w:rsid w:val="00723DED"/>
    <w:rsid w:val="007248ED"/>
    <w:rsid w:val="00730A82"/>
    <w:rsid w:val="00733AD4"/>
    <w:rsid w:val="00736607"/>
    <w:rsid w:val="007371C8"/>
    <w:rsid w:val="0075634D"/>
    <w:rsid w:val="00756E67"/>
    <w:rsid w:val="007637B5"/>
    <w:rsid w:val="007904C2"/>
    <w:rsid w:val="007925FA"/>
    <w:rsid w:val="00796B89"/>
    <w:rsid w:val="007A5F5C"/>
    <w:rsid w:val="007A6037"/>
    <w:rsid w:val="007A6875"/>
    <w:rsid w:val="007A6931"/>
    <w:rsid w:val="007A6F06"/>
    <w:rsid w:val="007C5E28"/>
    <w:rsid w:val="007D25FE"/>
    <w:rsid w:val="007D2B64"/>
    <w:rsid w:val="007D5C18"/>
    <w:rsid w:val="007D72AE"/>
    <w:rsid w:val="008001C8"/>
    <w:rsid w:val="0081101D"/>
    <w:rsid w:val="00813B26"/>
    <w:rsid w:val="00815764"/>
    <w:rsid w:val="008208F8"/>
    <w:rsid w:val="008252B1"/>
    <w:rsid w:val="00836048"/>
    <w:rsid w:val="00837AA5"/>
    <w:rsid w:val="00841774"/>
    <w:rsid w:val="008444A3"/>
    <w:rsid w:val="00850555"/>
    <w:rsid w:val="00856A03"/>
    <w:rsid w:val="008577B7"/>
    <w:rsid w:val="00863627"/>
    <w:rsid w:val="00877F00"/>
    <w:rsid w:val="008817F2"/>
    <w:rsid w:val="008821CA"/>
    <w:rsid w:val="00890F42"/>
    <w:rsid w:val="008A00BC"/>
    <w:rsid w:val="008B23BB"/>
    <w:rsid w:val="008D714D"/>
    <w:rsid w:val="008E4240"/>
    <w:rsid w:val="008E771B"/>
    <w:rsid w:val="008F09EA"/>
    <w:rsid w:val="008F675F"/>
    <w:rsid w:val="00900FDC"/>
    <w:rsid w:val="00903DC7"/>
    <w:rsid w:val="00907773"/>
    <w:rsid w:val="00921C70"/>
    <w:rsid w:val="009229A8"/>
    <w:rsid w:val="009277E6"/>
    <w:rsid w:val="00932D76"/>
    <w:rsid w:val="009501E8"/>
    <w:rsid w:val="00952714"/>
    <w:rsid w:val="009539C2"/>
    <w:rsid w:val="00960EFF"/>
    <w:rsid w:val="00964DA5"/>
    <w:rsid w:val="00983AAA"/>
    <w:rsid w:val="00987977"/>
    <w:rsid w:val="009A3363"/>
    <w:rsid w:val="009A34F7"/>
    <w:rsid w:val="009A7688"/>
    <w:rsid w:val="009A769C"/>
    <w:rsid w:val="009B3EAA"/>
    <w:rsid w:val="009B495E"/>
    <w:rsid w:val="009B65F3"/>
    <w:rsid w:val="009C60B1"/>
    <w:rsid w:val="009F08EA"/>
    <w:rsid w:val="009F125D"/>
    <w:rsid w:val="009F73C2"/>
    <w:rsid w:val="00A0256C"/>
    <w:rsid w:val="00A04F30"/>
    <w:rsid w:val="00A102D5"/>
    <w:rsid w:val="00A163BC"/>
    <w:rsid w:val="00A1750E"/>
    <w:rsid w:val="00A2058F"/>
    <w:rsid w:val="00A22E70"/>
    <w:rsid w:val="00A23225"/>
    <w:rsid w:val="00A24257"/>
    <w:rsid w:val="00A24F6C"/>
    <w:rsid w:val="00A25856"/>
    <w:rsid w:val="00A25BCD"/>
    <w:rsid w:val="00A262DB"/>
    <w:rsid w:val="00A266BE"/>
    <w:rsid w:val="00A34979"/>
    <w:rsid w:val="00A43E6C"/>
    <w:rsid w:val="00A706F6"/>
    <w:rsid w:val="00A768A7"/>
    <w:rsid w:val="00AB3BD4"/>
    <w:rsid w:val="00AC497D"/>
    <w:rsid w:val="00AC65DC"/>
    <w:rsid w:val="00AE439F"/>
    <w:rsid w:val="00B03209"/>
    <w:rsid w:val="00B4754A"/>
    <w:rsid w:val="00B5371D"/>
    <w:rsid w:val="00B53FB6"/>
    <w:rsid w:val="00B55F0E"/>
    <w:rsid w:val="00B6660F"/>
    <w:rsid w:val="00B674A4"/>
    <w:rsid w:val="00B81E71"/>
    <w:rsid w:val="00B837E4"/>
    <w:rsid w:val="00B8383A"/>
    <w:rsid w:val="00B843CF"/>
    <w:rsid w:val="00B87082"/>
    <w:rsid w:val="00B921CA"/>
    <w:rsid w:val="00B950DF"/>
    <w:rsid w:val="00B96055"/>
    <w:rsid w:val="00BA5383"/>
    <w:rsid w:val="00BB1A3E"/>
    <w:rsid w:val="00BC3E1E"/>
    <w:rsid w:val="00BC73B1"/>
    <w:rsid w:val="00BE0813"/>
    <w:rsid w:val="00BE3EC0"/>
    <w:rsid w:val="00BE70A5"/>
    <w:rsid w:val="00BF06E3"/>
    <w:rsid w:val="00BF6167"/>
    <w:rsid w:val="00C03BF2"/>
    <w:rsid w:val="00C057B3"/>
    <w:rsid w:val="00C17BAC"/>
    <w:rsid w:val="00C243E8"/>
    <w:rsid w:val="00C2466E"/>
    <w:rsid w:val="00C3718C"/>
    <w:rsid w:val="00C645D9"/>
    <w:rsid w:val="00C65D1E"/>
    <w:rsid w:val="00C660F0"/>
    <w:rsid w:val="00C713FA"/>
    <w:rsid w:val="00C94537"/>
    <w:rsid w:val="00CA2B2E"/>
    <w:rsid w:val="00CC0848"/>
    <w:rsid w:val="00CC437E"/>
    <w:rsid w:val="00CC4C21"/>
    <w:rsid w:val="00CC7975"/>
    <w:rsid w:val="00CD09C7"/>
    <w:rsid w:val="00CD67A5"/>
    <w:rsid w:val="00CD7565"/>
    <w:rsid w:val="00D01A26"/>
    <w:rsid w:val="00D2005C"/>
    <w:rsid w:val="00D22F07"/>
    <w:rsid w:val="00D31F1B"/>
    <w:rsid w:val="00D33DBF"/>
    <w:rsid w:val="00D44341"/>
    <w:rsid w:val="00D62953"/>
    <w:rsid w:val="00D710E7"/>
    <w:rsid w:val="00D75FFC"/>
    <w:rsid w:val="00D8338F"/>
    <w:rsid w:val="00DA28D0"/>
    <w:rsid w:val="00DB562E"/>
    <w:rsid w:val="00DC22F5"/>
    <w:rsid w:val="00DC5C7F"/>
    <w:rsid w:val="00DD0855"/>
    <w:rsid w:val="00DD1F51"/>
    <w:rsid w:val="00E11829"/>
    <w:rsid w:val="00E13194"/>
    <w:rsid w:val="00E1659A"/>
    <w:rsid w:val="00E32520"/>
    <w:rsid w:val="00E409F3"/>
    <w:rsid w:val="00E45519"/>
    <w:rsid w:val="00E5501F"/>
    <w:rsid w:val="00E61BB6"/>
    <w:rsid w:val="00E65F6A"/>
    <w:rsid w:val="00E82C79"/>
    <w:rsid w:val="00E868F3"/>
    <w:rsid w:val="00E9392E"/>
    <w:rsid w:val="00E9769A"/>
    <w:rsid w:val="00EA4875"/>
    <w:rsid w:val="00EA6048"/>
    <w:rsid w:val="00EC0DF2"/>
    <w:rsid w:val="00EC2665"/>
    <w:rsid w:val="00EC3641"/>
    <w:rsid w:val="00ED0BFC"/>
    <w:rsid w:val="00EE0020"/>
    <w:rsid w:val="00EE2ED6"/>
    <w:rsid w:val="00EF13E2"/>
    <w:rsid w:val="00EF6D79"/>
    <w:rsid w:val="00F11205"/>
    <w:rsid w:val="00F24182"/>
    <w:rsid w:val="00F320E9"/>
    <w:rsid w:val="00F33B83"/>
    <w:rsid w:val="00F35EE5"/>
    <w:rsid w:val="00F43258"/>
    <w:rsid w:val="00F47E26"/>
    <w:rsid w:val="00F6715B"/>
    <w:rsid w:val="00F67C42"/>
    <w:rsid w:val="00F85691"/>
    <w:rsid w:val="00F900E0"/>
    <w:rsid w:val="00F93864"/>
    <w:rsid w:val="00FA5E92"/>
    <w:rsid w:val="00FA6B52"/>
    <w:rsid w:val="00FB2DA9"/>
    <w:rsid w:val="00FC174B"/>
    <w:rsid w:val="00FC2923"/>
    <w:rsid w:val="00FD1BC6"/>
    <w:rsid w:val="00FD4B0D"/>
    <w:rsid w:val="00FE2C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9E8E"/>
  <w15:docId w15:val="{1CE5505D-B874-6841-872A-FAC43CA6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character" w:styleId="Strong">
    <w:name w:val="Strong"/>
    <w:basedOn w:val="DefaultParagraphFont"/>
    <w:uiPriority w:val="22"/>
    <w:qFormat/>
    <w:rsid w:val="00EE2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501704526">
      <w:bodyDiv w:val="1"/>
      <w:marLeft w:val="0"/>
      <w:marRight w:val="0"/>
      <w:marTop w:val="0"/>
      <w:marBottom w:val="0"/>
      <w:divBdr>
        <w:top w:val="none" w:sz="0" w:space="0" w:color="auto"/>
        <w:left w:val="none" w:sz="0" w:space="0" w:color="auto"/>
        <w:bottom w:val="none" w:sz="0" w:space="0" w:color="auto"/>
        <w:right w:val="none" w:sz="0" w:space="0" w:color="auto"/>
      </w:divBdr>
    </w:div>
    <w:div w:id="684401830">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8</cp:revision>
  <cp:lastPrinted>2021-12-15T10:10:00Z</cp:lastPrinted>
  <dcterms:created xsi:type="dcterms:W3CDTF">2021-12-15T00:04:00Z</dcterms:created>
  <dcterms:modified xsi:type="dcterms:W3CDTF">2021-12-17T03:35:00Z</dcterms:modified>
</cp:coreProperties>
</file>