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4635" w14:textId="6904EE92" w:rsidR="001D33D2" w:rsidRPr="004A2599" w:rsidRDefault="003B3E4B"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11E0498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470A337" w14:textId="0C455CEB"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D8B0A69" w14:textId="024367CD" w:rsidR="007637B5"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w:t>
      </w:r>
      <w:r w:rsidR="009F73C2">
        <w:rPr>
          <w:rFonts w:ascii="Times New Roman" w:hAnsi="Times New Roman" w:cs="Times New Roman"/>
          <w:sz w:val="24"/>
          <w:szCs w:val="24"/>
        </w:rPr>
        <w:t>1</w:t>
      </w:r>
      <w:r>
        <w:rPr>
          <w:rFonts w:ascii="Times New Roman" w:hAnsi="Times New Roman" w:cs="Times New Roman"/>
          <w:sz w:val="24"/>
          <w:szCs w:val="24"/>
        </w:rPr>
        <w:t>] SCC</w:t>
      </w:r>
      <w:r w:rsidR="00664E51">
        <w:rPr>
          <w:rFonts w:ascii="Times New Roman" w:hAnsi="Times New Roman" w:cs="Times New Roman"/>
          <w:sz w:val="24"/>
          <w:szCs w:val="24"/>
        </w:rPr>
        <w:t>A</w:t>
      </w:r>
      <w:r>
        <w:rPr>
          <w:rFonts w:ascii="Times New Roman" w:hAnsi="Times New Roman" w:cs="Times New Roman"/>
          <w:sz w:val="24"/>
          <w:szCs w:val="24"/>
        </w:rPr>
        <w:t xml:space="preserve"> </w:t>
      </w:r>
      <w:proofErr w:type="gramStart"/>
      <w:r w:rsidR="007248ED">
        <w:rPr>
          <w:rFonts w:ascii="Times New Roman" w:hAnsi="Times New Roman" w:cs="Times New Roman"/>
          <w:sz w:val="24"/>
          <w:szCs w:val="24"/>
        </w:rPr>
        <w:t>6</w:t>
      </w:r>
      <w:r w:rsidR="001818BC">
        <w:rPr>
          <w:rFonts w:ascii="Times New Roman" w:hAnsi="Times New Roman" w:cs="Times New Roman"/>
          <w:sz w:val="24"/>
          <w:szCs w:val="24"/>
        </w:rPr>
        <w:t>9</w:t>
      </w:r>
      <w:r w:rsidR="00FE2CFC">
        <w:rPr>
          <w:rFonts w:ascii="Times New Roman" w:hAnsi="Times New Roman" w:cs="Times New Roman"/>
          <w:sz w:val="24"/>
          <w:szCs w:val="24"/>
        </w:rPr>
        <w:t xml:space="preserve"> </w:t>
      </w:r>
      <w:r w:rsidR="00DC22F5">
        <w:rPr>
          <w:rFonts w:ascii="Times New Roman" w:hAnsi="Times New Roman" w:cs="Times New Roman"/>
          <w:sz w:val="24"/>
          <w:szCs w:val="24"/>
        </w:rPr>
        <w:t xml:space="preserve"> 1</w:t>
      </w:r>
      <w:r w:rsidR="007248ED">
        <w:rPr>
          <w:rFonts w:ascii="Times New Roman" w:hAnsi="Times New Roman" w:cs="Times New Roman"/>
          <w:sz w:val="24"/>
          <w:szCs w:val="24"/>
        </w:rPr>
        <w:t>7</w:t>
      </w:r>
      <w:proofErr w:type="gramEnd"/>
      <w:r w:rsidR="007248ED">
        <w:rPr>
          <w:rFonts w:ascii="Times New Roman" w:hAnsi="Times New Roman" w:cs="Times New Roman"/>
          <w:sz w:val="24"/>
          <w:szCs w:val="24"/>
        </w:rPr>
        <w:t xml:space="preserve"> December</w:t>
      </w:r>
      <w:r w:rsidR="00DC22F5">
        <w:rPr>
          <w:rFonts w:ascii="Times New Roman" w:hAnsi="Times New Roman" w:cs="Times New Roman"/>
          <w:sz w:val="24"/>
          <w:szCs w:val="24"/>
        </w:rPr>
        <w:t xml:space="preserve"> 2021</w:t>
      </w:r>
    </w:p>
    <w:p w14:paraId="6EF1DF30" w14:textId="6A6EB8AF" w:rsidR="001818BC" w:rsidRDefault="001818B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 20/2019</w:t>
      </w:r>
    </w:p>
    <w:p w14:paraId="0AD6B0FD" w14:textId="472D4AD8" w:rsidR="00245165" w:rsidRDefault="0024516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w:t>
      </w:r>
      <w:r w:rsidR="006939DD">
        <w:rPr>
          <w:rFonts w:ascii="Times New Roman" w:hAnsi="Times New Roman" w:cs="Times New Roman"/>
          <w:sz w:val="24"/>
          <w:szCs w:val="24"/>
        </w:rPr>
        <w:t xml:space="preserve"> MA 62/2018</w:t>
      </w:r>
      <w:r w:rsidR="00FE2CFC">
        <w:rPr>
          <w:rFonts w:ascii="Times New Roman" w:hAnsi="Times New Roman" w:cs="Times New Roman"/>
          <w:sz w:val="24"/>
          <w:szCs w:val="24"/>
        </w:rPr>
        <w:t>)</w:t>
      </w:r>
    </w:p>
    <w:p w14:paraId="2F9D1A29" w14:textId="0C7E1A1D" w:rsidR="006939DD" w:rsidRDefault="006939DD"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(Arising out of DV 158/2007)</w:t>
      </w:r>
    </w:p>
    <w:p w14:paraId="31EA072B" w14:textId="057526F9" w:rsidR="00F24182" w:rsidRDefault="00F24182" w:rsidP="00214DB4">
      <w:pPr>
        <w:spacing w:after="0" w:line="240" w:lineRule="auto"/>
        <w:ind w:left="5580"/>
        <w:rPr>
          <w:rFonts w:ascii="Times New Roman" w:hAnsi="Times New Roman" w:cs="Times New Roman"/>
          <w:sz w:val="24"/>
          <w:szCs w:val="24"/>
        </w:rPr>
      </w:pPr>
    </w:p>
    <w:p w14:paraId="7A64DFB7" w14:textId="77777777" w:rsidR="00157C6B" w:rsidRPr="004A2599" w:rsidRDefault="00157C6B" w:rsidP="00214DB4">
      <w:pPr>
        <w:spacing w:after="0" w:line="240" w:lineRule="auto"/>
        <w:ind w:left="5580"/>
        <w:rPr>
          <w:rFonts w:ascii="Times New Roman" w:hAnsi="Times New Roman" w:cs="Times New Roman"/>
          <w:sz w:val="24"/>
          <w:szCs w:val="24"/>
        </w:rPr>
      </w:pPr>
    </w:p>
    <w:p w14:paraId="108C7183" w14:textId="63A89A1F" w:rsidR="006A68E2" w:rsidRDefault="006A68E2" w:rsidP="00214DB4">
      <w:pPr>
        <w:spacing w:after="0" w:line="240" w:lineRule="auto"/>
        <w:ind w:left="5580"/>
        <w:rPr>
          <w:rFonts w:ascii="Times New Roman" w:hAnsi="Times New Roman" w:cs="Times New Roman"/>
          <w:sz w:val="24"/>
          <w:szCs w:val="24"/>
        </w:rPr>
      </w:pPr>
    </w:p>
    <w:p w14:paraId="33AB6D87" w14:textId="1B9E6685" w:rsidR="005D3054" w:rsidRPr="005D3054" w:rsidRDefault="001818BC" w:rsidP="00F24182">
      <w:pPr>
        <w:pStyle w:val="NoSpacing"/>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Mariaan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Laubscher</w:t>
      </w:r>
      <w:proofErr w:type="spellEnd"/>
      <w:r>
        <w:rPr>
          <w:rFonts w:ascii="Times New Roman" w:hAnsi="Times New Roman" w:cs="Times New Roman"/>
          <w:b/>
          <w:sz w:val="24"/>
          <w:szCs w:val="24"/>
        </w:rPr>
        <w:tab/>
      </w:r>
      <w:r w:rsidR="00856A03">
        <w:rPr>
          <w:rFonts w:ascii="Times New Roman" w:hAnsi="Times New Roman" w:cs="Times New Roman"/>
          <w:b/>
          <w:sz w:val="24"/>
          <w:szCs w:val="24"/>
        </w:rPr>
        <w:tab/>
      </w:r>
      <w:r w:rsidR="003F751A">
        <w:rPr>
          <w:rFonts w:ascii="Times New Roman" w:hAnsi="Times New Roman" w:cs="Times New Roman"/>
          <w:b/>
          <w:sz w:val="24"/>
          <w:szCs w:val="24"/>
        </w:rPr>
        <w:tab/>
      </w:r>
      <w:r w:rsidR="00F24182" w:rsidRPr="00F24182">
        <w:rPr>
          <w:rFonts w:ascii="Times New Roman" w:hAnsi="Times New Roman" w:cs="Times New Roman"/>
          <w:b/>
          <w:sz w:val="24"/>
          <w:szCs w:val="24"/>
        </w:rPr>
        <w:t xml:space="preserve"> </w:t>
      </w:r>
      <w:r w:rsidR="00F24182">
        <w:rPr>
          <w:rFonts w:ascii="Times New Roman" w:hAnsi="Times New Roman" w:cs="Times New Roman"/>
          <w:b/>
          <w:sz w:val="24"/>
          <w:szCs w:val="24"/>
        </w:rPr>
        <w:tab/>
      </w:r>
      <w:r w:rsidR="00F24182">
        <w:rPr>
          <w:rFonts w:ascii="Times New Roman" w:hAnsi="Times New Roman" w:cs="Times New Roman"/>
          <w:b/>
          <w:sz w:val="24"/>
          <w:szCs w:val="24"/>
        </w:rPr>
        <w:tab/>
      </w:r>
      <w:r w:rsidR="00F24182">
        <w:rPr>
          <w:rFonts w:ascii="Times New Roman" w:hAnsi="Times New Roman" w:cs="Times New Roman"/>
          <w:b/>
          <w:sz w:val="24"/>
          <w:szCs w:val="24"/>
        </w:rPr>
        <w:tab/>
      </w:r>
      <w:r>
        <w:rPr>
          <w:rFonts w:ascii="Times New Roman" w:hAnsi="Times New Roman" w:cs="Times New Roman"/>
          <w:b/>
          <w:sz w:val="24"/>
          <w:szCs w:val="24"/>
        </w:rPr>
        <w:t>A</w:t>
      </w:r>
      <w:r w:rsidR="00F24182" w:rsidRPr="005D3054">
        <w:rPr>
          <w:rFonts w:ascii="Times New Roman" w:hAnsi="Times New Roman" w:cs="Times New Roman"/>
          <w:b/>
          <w:sz w:val="24"/>
          <w:szCs w:val="24"/>
        </w:rPr>
        <w:t>ppellant</w:t>
      </w:r>
      <w:r w:rsidR="00F24182" w:rsidRPr="005D3054">
        <w:rPr>
          <w:rFonts w:ascii="Times New Roman" w:hAnsi="Times New Roman" w:cs="Times New Roman"/>
          <w:sz w:val="24"/>
          <w:szCs w:val="24"/>
        </w:rPr>
        <w:tab/>
      </w:r>
    </w:p>
    <w:p w14:paraId="0358837C" w14:textId="77A6F020" w:rsidR="007248ED" w:rsidRDefault="005D3054" w:rsidP="005D3054">
      <w:pPr>
        <w:pStyle w:val="NoSpacing"/>
        <w:rPr>
          <w:rFonts w:ascii="Times New Roman" w:hAnsi="Times New Roman" w:cs="Times New Roman"/>
          <w:i/>
          <w:sz w:val="24"/>
          <w:szCs w:val="24"/>
        </w:rPr>
      </w:pPr>
      <w:r w:rsidRPr="005D3054">
        <w:rPr>
          <w:rFonts w:ascii="Times New Roman" w:hAnsi="Times New Roman" w:cs="Times New Roman"/>
          <w:i/>
          <w:sz w:val="24"/>
          <w:szCs w:val="24"/>
        </w:rPr>
        <w:t>(</w:t>
      </w:r>
      <w:proofErr w:type="gramStart"/>
      <w:r w:rsidRPr="005D3054">
        <w:rPr>
          <w:rFonts w:ascii="Times New Roman" w:hAnsi="Times New Roman" w:cs="Times New Roman"/>
          <w:i/>
          <w:sz w:val="24"/>
          <w:szCs w:val="24"/>
        </w:rPr>
        <w:t>rep</w:t>
      </w:r>
      <w:proofErr w:type="gramEnd"/>
      <w:r w:rsidRPr="005D3054">
        <w:rPr>
          <w:rFonts w:ascii="Times New Roman" w:hAnsi="Times New Roman" w:cs="Times New Roman"/>
          <w:i/>
          <w:sz w:val="24"/>
          <w:szCs w:val="24"/>
        </w:rPr>
        <w:t>. by M</w:t>
      </w:r>
      <w:r w:rsidR="00856A03">
        <w:rPr>
          <w:rFonts w:ascii="Times New Roman" w:hAnsi="Times New Roman" w:cs="Times New Roman"/>
          <w:i/>
          <w:sz w:val="24"/>
          <w:szCs w:val="24"/>
        </w:rPr>
        <w:t xml:space="preserve">r. </w:t>
      </w:r>
      <w:proofErr w:type="spellStart"/>
      <w:r w:rsidR="001818BC">
        <w:rPr>
          <w:rFonts w:ascii="Times New Roman" w:hAnsi="Times New Roman" w:cs="Times New Roman"/>
          <w:i/>
          <w:sz w:val="24"/>
          <w:szCs w:val="24"/>
        </w:rPr>
        <w:t>Divino</w:t>
      </w:r>
      <w:proofErr w:type="spellEnd"/>
      <w:r w:rsidR="001818BC">
        <w:rPr>
          <w:rFonts w:ascii="Times New Roman" w:hAnsi="Times New Roman" w:cs="Times New Roman"/>
          <w:i/>
          <w:sz w:val="24"/>
          <w:szCs w:val="24"/>
        </w:rPr>
        <w:t xml:space="preserve"> </w:t>
      </w:r>
      <w:proofErr w:type="spellStart"/>
      <w:r w:rsidR="001818BC">
        <w:rPr>
          <w:rFonts w:ascii="Times New Roman" w:hAnsi="Times New Roman" w:cs="Times New Roman"/>
          <w:i/>
          <w:sz w:val="24"/>
          <w:szCs w:val="24"/>
        </w:rPr>
        <w:t>Sabino</w:t>
      </w:r>
      <w:proofErr w:type="spellEnd"/>
      <w:r w:rsidRPr="005D3054">
        <w:rPr>
          <w:rFonts w:ascii="Times New Roman" w:hAnsi="Times New Roman" w:cs="Times New Roman"/>
          <w:i/>
          <w:sz w:val="24"/>
          <w:szCs w:val="24"/>
        </w:rPr>
        <w:t>)</w:t>
      </w:r>
    </w:p>
    <w:p w14:paraId="22FB069B" w14:textId="77777777" w:rsidR="007248ED" w:rsidRDefault="007248ED" w:rsidP="005D3054">
      <w:pPr>
        <w:pStyle w:val="NoSpacing"/>
        <w:rPr>
          <w:rFonts w:ascii="Times New Roman" w:hAnsi="Times New Roman" w:cs="Times New Roman"/>
          <w:i/>
          <w:sz w:val="24"/>
          <w:szCs w:val="24"/>
        </w:rPr>
      </w:pPr>
    </w:p>
    <w:p w14:paraId="0B309BD5" w14:textId="77777777" w:rsidR="00380619" w:rsidRPr="00FD4B0D" w:rsidRDefault="00380619" w:rsidP="00214DB4">
      <w:pPr>
        <w:tabs>
          <w:tab w:val="left" w:pos="540"/>
          <w:tab w:val="left" w:pos="4092"/>
          <w:tab w:val="left" w:pos="5580"/>
        </w:tabs>
        <w:spacing w:after="0" w:line="240" w:lineRule="auto"/>
        <w:rPr>
          <w:rFonts w:ascii="Times New Roman" w:hAnsi="Times New Roman" w:cs="Times New Roman"/>
          <w:sz w:val="8"/>
          <w:szCs w:val="8"/>
        </w:rPr>
      </w:pPr>
    </w:p>
    <w:p w14:paraId="62D700E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3F297ED3" w14:textId="15992F6B" w:rsidR="00F24182" w:rsidRPr="006F5ABA" w:rsidRDefault="001818BC" w:rsidP="00FE2CFC">
      <w:pPr>
        <w:pStyle w:val="Partynames"/>
        <w:tabs>
          <w:tab w:val="clear" w:pos="5580"/>
          <w:tab w:val="left" w:pos="5730"/>
          <w:tab w:val="left" w:pos="5760"/>
        </w:tabs>
      </w:pPr>
      <w:r>
        <w:t xml:space="preserve">Michael </w:t>
      </w:r>
      <w:proofErr w:type="spellStart"/>
      <w:r>
        <w:t>Bloss</w:t>
      </w:r>
      <w:proofErr w:type="spellEnd"/>
      <w:r w:rsidR="00F24182">
        <w:tab/>
      </w:r>
      <w:r w:rsidR="00DC22F5">
        <w:t>Respondent</w:t>
      </w:r>
    </w:p>
    <w:p w14:paraId="35F33580" w14:textId="0EBE4B6E" w:rsidR="00F24182" w:rsidRDefault="00F24182" w:rsidP="00F24182">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w:t>
      </w:r>
      <w:proofErr w:type="gramStart"/>
      <w:r w:rsidRPr="006F5ABA">
        <w:rPr>
          <w:rFonts w:ascii="Times New Roman" w:hAnsi="Times New Roman" w:cs="Times New Roman"/>
          <w:i/>
          <w:sz w:val="24"/>
          <w:szCs w:val="24"/>
        </w:rPr>
        <w:t>rep</w:t>
      </w:r>
      <w:proofErr w:type="gramEnd"/>
      <w:r w:rsidRPr="006F5ABA">
        <w:rPr>
          <w:rFonts w:ascii="Times New Roman" w:hAnsi="Times New Roman" w:cs="Times New Roman"/>
          <w:i/>
          <w:sz w:val="24"/>
          <w:szCs w:val="24"/>
        </w:rPr>
        <w:t xml:space="preserve">. by </w:t>
      </w:r>
      <w:r>
        <w:rPr>
          <w:rFonts w:ascii="Times New Roman" w:hAnsi="Times New Roman" w:cs="Times New Roman"/>
          <w:i/>
          <w:sz w:val="24"/>
          <w:szCs w:val="24"/>
        </w:rPr>
        <w:t xml:space="preserve">Mr. </w:t>
      </w:r>
      <w:r w:rsidR="001818BC">
        <w:rPr>
          <w:rFonts w:ascii="Times New Roman" w:hAnsi="Times New Roman" w:cs="Times New Roman"/>
          <w:i/>
          <w:sz w:val="24"/>
          <w:szCs w:val="24"/>
        </w:rPr>
        <w:t>Charles Lucas</w:t>
      </w:r>
      <w:r w:rsidR="00856A03">
        <w:rPr>
          <w:rFonts w:ascii="Times New Roman" w:hAnsi="Times New Roman" w:cs="Times New Roman"/>
          <w:i/>
          <w:sz w:val="24"/>
          <w:szCs w:val="24"/>
        </w:rPr>
        <w:t>)</w:t>
      </w:r>
    </w:p>
    <w:p w14:paraId="0FF82B17"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58DCE659" w14:textId="0F070C9C" w:rsidR="001818BC" w:rsidRDefault="00405958" w:rsidP="00F24182">
      <w:pPr>
        <w:pStyle w:val="NoSpacing"/>
        <w:tabs>
          <w:tab w:val="left" w:pos="1890"/>
        </w:tabs>
        <w:ind w:left="1890" w:hanging="1890"/>
        <w:rPr>
          <w:rFonts w:ascii="Times New Roman" w:hAnsi="Times New Roman" w:cs="Times New Roman"/>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1818BC">
        <w:rPr>
          <w:rFonts w:ascii="Times New Roman" w:hAnsi="Times New Roman" w:cs="Times New Roman"/>
          <w:i/>
          <w:sz w:val="24"/>
          <w:szCs w:val="24"/>
        </w:rPr>
        <w:t>Laubscher</w:t>
      </w:r>
      <w:proofErr w:type="spellEnd"/>
      <w:r w:rsidR="001818BC">
        <w:rPr>
          <w:rFonts w:ascii="Times New Roman" w:hAnsi="Times New Roman" w:cs="Times New Roman"/>
          <w:i/>
          <w:sz w:val="24"/>
          <w:szCs w:val="24"/>
        </w:rPr>
        <w:t xml:space="preserve"> v </w:t>
      </w:r>
      <w:proofErr w:type="spellStart"/>
      <w:r w:rsidR="001818BC">
        <w:rPr>
          <w:rFonts w:ascii="Times New Roman" w:hAnsi="Times New Roman" w:cs="Times New Roman"/>
          <w:i/>
          <w:sz w:val="24"/>
          <w:szCs w:val="24"/>
        </w:rPr>
        <w:t>Bloss</w:t>
      </w:r>
      <w:proofErr w:type="spellEnd"/>
      <w:r w:rsidR="00FE2CFC">
        <w:rPr>
          <w:rFonts w:ascii="Times New Roman" w:hAnsi="Times New Roman" w:cs="Times New Roman"/>
          <w:sz w:val="24"/>
          <w:szCs w:val="24"/>
        </w:rPr>
        <w:t xml:space="preserve"> </w:t>
      </w:r>
      <w:r w:rsidR="00DC22F5">
        <w:rPr>
          <w:rFonts w:ascii="Times New Roman" w:hAnsi="Times New Roman" w:cs="Times New Roman"/>
          <w:sz w:val="24"/>
          <w:szCs w:val="24"/>
        </w:rPr>
        <w:t xml:space="preserve">(SCA </w:t>
      </w:r>
      <w:r w:rsidR="001818BC">
        <w:rPr>
          <w:rFonts w:ascii="Times New Roman" w:hAnsi="Times New Roman" w:cs="Times New Roman"/>
          <w:sz w:val="24"/>
          <w:szCs w:val="24"/>
        </w:rPr>
        <w:t xml:space="preserve">20/2019 </w:t>
      </w:r>
      <w:r w:rsidR="000A0FCF" w:rsidRPr="00112966">
        <w:rPr>
          <w:rFonts w:ascii="Times New Roman" w:hAnsi="Times New Roman" w:cs="Times New Roman"/>
        </w:rPr>
        <w:t>[2021] SCCA</w:t>
      </w:r>
      <w:r w:rsidR="001818BC">
        <w:rPr>
          <w:rFonts w:ascii="Times New Roman" w:hAnsi="Times New Roman" w:cs="Times New Roman"/>
        </w:rPr>
        <w:t xml:space="preserve"> </w:t>
      </w:r>
      <w:r w:rsidR="007248ED">
        <w:rPr>
          <w:rFonts w:ascii="Times New Roman" w:hAnsi="Times New Roman" w:cs="Times New Roman"/>
        </w:rPr>
        <w:t>6</w:t>
      </w:r>
      <w:r w:rsidR="001818BC">
        <w:rPr>
          <w:rFonts w:ascii="Times New Roman" w:hAnsi="Times New Roman" w:cs="Times New Roman"/>
        </w:rPr>
        <w:t>9</w:t>
      </w:r>
    </w:p>
    <w:p w14:paraId="7C9EB566" w14:textId="702DD10F" w:rsidR="000A0FCF" w:rsidRPr="00112966" w:rsidRDefault="00DC22F5" w:rsidP="001818BC">
      <w:pPr>
        <w:pStyle w:val="NoSpacing"/>
        <w:tabs>
          <w:tab w:val="left" w:pos="1890"/>
        </w:tabs>
        <w:ind w:left="1890" w:hanging="90"/>
        <w:rPr>
          <w:rFonts w:ascii="Times New Roman" w:hAnsi="Times New Roman" w:cs="Times New Roman"/>
        </w:rPr>
      </w:pPr>
      <w:r>
        <w:rPr>
          <w:rFonts w:ascii="Times New Roman" w:hAnsi="Times New Roman" w:cs="Times New Roman"/>
        </w:rPr>
        <w:t xml:space="preserve"> (A</w:t>
      </w:r>
      <w:r w:rsidR="006939DD">
        <w:rPr>
          <w:rFonts w:ascii="Times New Roman" w:hAnsi="Times New Roman" w:cs="Times New Roman"/>
        </w:rPr>
        <w:t>ppeal from MA 62/2018) (A</w:t>
      </w:r>
      <w:r>
        <w:rPr>
          <w:rFonts w:ascii="Times New Roman" w:hAnsi="Times New Roman" w:cs="Times New Roman"/>
        </w:rPr>
        <w:t>rising</w:t>
      </w:r>
      <w:r w:rsidR="006939DD">
        <w:rPr>
          <w:rFonts w:ascii="Times New Roman" w:hAnsi="Times New Roman" w:cs="Times New Roman"/>
        </w:rPr>
        <w:t xml:space="preserve"> out of DV 158/2007</w:t>
      </w:r>
      <w:r w:rsidR="00EC3641">
        <w:rPr>
          <w:rFonts w:ascii="Times New Roman" w:hAnsi="Times New Roman" w:cs="Times New Roman"/>
        </w:rPr>
        <w:t>)</w:t>
      </w:r>
      <w:r w:rsidR="000A0FCF" w:rsidRPr="00112966">
        <w:rPr>
          <w:rFonts w:ascii="Times New Roman" w:hAnsi="Times New Roman" w:cs="Times New Roman"/>
        </w:rPr>
        <w:t xml:space="preserve"> </w:t>
      </w:r>
    </w:p>
    <w:p w14:paraId="6FA1FDAB" w14:textId="328E3D2E" w:rsidR="000A0FCF" w:rsidRPr="00112966" w:rsidRDefault="00DC22F5" w:rsidP="000A0FCF">
      <w:pPr>
        <w:pStyle w:val="NoSpacing"/>
        <w:ind w:left="1890"/>
        <w:rPr>
          <w:rFonts w:ascii="Times New Roman" w:hAnsi="Times New Roman" w:cs="Times New Roman"/>
        </w:rPr>
      </w:pPr>
      <w:r>
        <w:rPr>
          <w:rFonts w:ascii="Times New Roman" w:hAnsi="Times New Roman" w:cs="Times New Roman"/>
        </w:rPr>
        <w:t>1</w:t>
      </w:r>
      <w:r w:rsidR="007248ED">
        <w:rPr>
          <w:rFonts w:ascii="Times New Roman" w:hAnsi="Times New Roman" w:cs="Times New Roman"/>
        </w:rPr>
        <w:t xml:space="preserve">7 December </w:t>
      </w:r>
      <w:r w:rsidR="000A0FCF" w:rsidRPr="00112966">
        <w:rPr>
          <w:rFonts w:ascii="Times New Roman" w:hAnsi="Times New Roman" w:cs="Times New Roman"/>
        </w:rPr>
        <w:t>2021</w:t>
      </w:r>
    </w:p>
    <w:p w14:paraId="2CBC2A12" w14:textId="3DFBAA29"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7248ED">
        <w:rPr>
          <w:rFonts w:ascii="Times New Roman" w:hAnsi="Times New Roman" w:cs="Times New Roman"/>
          <w:sz w:val="24"/>
          <w:szCs w:val="24"/>
        </w:rPr>
        <w:t xml:space="preserve">Fernando President, </w:t>
      </w:r>
      <w:r w:rsidR="001818BC">
        <w:rPr>
          <w:rFonts w:ascii="Times New Roman" w:hAnsi="Times New Roman" w:cs="Times New Roman"/>
          <w:sz w:val="24"/>
          <w:szCs w:val="24"/>
        </w:rPr>
        <w:t>Robinson JA, D</w:t>
      </w:r>
      <w:r w:rsidR="007248ED">
        <w:rPr>
          <w:rFonts w:ascii="Times New Roman" w:hAnsi="Times New Roman" w:cs="Times New Roman"/>
          <w:sz w:val="24"/>
          <w:szCs w:val="24"/>
        </w:rPr>
        <w:t>ingake JA</w:t>
      </w:r>
    </w:p>
    <w:p w14:paraId="0B2CDE4B" w14:textId="0345F5AB" w:rsidR="00F24182" w:rsidRDefault="00346D7F" w:rsidP="007D5C18">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Summary:</w:t>
      </w:r>
      <w:r w:rsidR="000E15DC">
        <w:rPr>
          <w:rFonts w:ascii="Times New Roman" w:hAnsi="Times New Roman" w:cs="Times New Roman"/>
          <w:b/>
          <w:sz w:val="24"/>
          <w:szCs w:val="24"/>
        </w:rPr>
        <w:tab/>
      </w:r>
      <w:r w:rsidR="004C58B8">
        <w:rPr>
          <w:rFonts w:ascii="Times New Roman" w:hAnsi="Times New Roman" w:cs="Times New Roman"/>
          <w:sz w:val="24"/>
          <w:szCs w:val="24"/>
        </w:rPr>
        <w:t>Dingake JA – Judgment by consent, interpretation of the clause, intention of the parties, contribution payments toward rent for the child</w:t>
      </w:r>
    </w:p>
    <w:p w14:paraId="5970AFD3" w14:textId="741D50DB" w:rsidR="004C58B8" w:rsidRDefault="004C58B8" w:rsidP="007D5C18">
      <w:pPr>
        <w:spacing w:after="0" w:line="240" w:lineRule="auto"/>
        <w:ind w:left="1890" w:hanging="1890"/>
        <w:jc w:val="both"/>
        <w:rPr>
          <w:rFonts w:ascii="Times New Roman" w:hAnsi="Times New Roman" w:cs="Times New Roman"/>
          <w:sz w:val="24"/>
          <w:szCs w:val="24"/>
        </w:rPr>
      </w:pPr>
      <w:r>
        <w:rPr>
          <w:rFonts w:ascii="Times New Roman" w:hAnsi="Times New Roman" w:cs="Times New Roman"/>
          <w:b/>
          <w:sz w:val="24"/>
          <w:szCs w:val="24"/>
        </w:rPr>
        <w:tab/>
      </w:r>
      <w:r w:rsidR="00BF2AB7">
        <w:rPr>
          <w:rFonts w:ascii="Times New Roman" w:hAnsi="Times New Roman" w:cs="Times New Roman"/>
          <w:sz w:val="24"/>
          <w:szCs w:val="24"/>
        </w:rPr>
        <w:t>Fernando P – Appeal against Ruling of Supreme Court dated 1 April 2019</w:t>
      </w:r>
    </w:p>
    <w:p w14:paraId="18AB6B74" w14:textId="162AB074" w:rsidR="004C58B8" w:rsidRPr="004C58B8" w:rsidRDefault="004C58B8" w:rsidP="004C58B8">
      <w:pPr>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Robinson JA – Judgment by consent – contribution payments toward rent for the child - clarification of judgment [“slip rule”] – section 147 Seychelles Code of Civil Procedure.  Appeal dismissed.  No order as to costs.</w:t>
      </w:r>
    </w:p>
    <w:p w14:paraId="1A9C66B6" w14:textId="45494CA6" w:rsidR="00344425" w:rsidRPr="005B12AA" w:rsidRDefault="00344425" w:rsidP="00DC2899">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EE2ED6">
        <w:rPr>
          <w:rFonts w:ascii="Times New Roman" w:hAnsi="Times New Roman" w:cs="Times New Roman"/>
          <w:sz w:val="24"/>
          <w:szCs w:val="24"/>
        </w:rPr>
        <w:t xml:space="preserve">6 </w:t>
      </w:r>
      <w:r w:rsidR="007248ED">
        <w:rPr>
          <w:rFonts w:ascii="Times New Roman" w:hAnsi="Times New Roman" w:cs="Times New Roman"/>
          <w:sz w:val="24"/>
          <w:szCs w:val="24"/>
        </w:rPr>
        <w:t>December</w:t>
      </w:r>
      <w:r w:rsidR="000A0FCF">
        <w:rPr>
          <w:rFonts w:ascii="Times New Roman" w:hAnsi="Times New Roman" w:cs="Times New Roman"/>
          <w:sz w:val="24"/>
          <w:szCs w:val="24"/>
        </w:rPr>
        <w:t xml:space="preserve"> </w:t>
      </w:r>
      <w:r w:rsidR="009F73C2">
        <w:rPr>
          <w:rFonts w:ascii="Times New Roman" w:hAnsi="Times New Roman" w:cs="Times New Roman"/>
          <w:sz w:val="24"/>
          <w:szCs w:val="24"/>
        </w:rPr>
        <w:t>2021</w:t>
      </w:r>
    </w:p>
    <w:p w14:paraId="00356EF9" w14:textId="14851940" w:rsidR="000A0FCF" w:rsidRDefault="00344425" w:rsidP="000A0FCF">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DC22F5">
        <w:rPr>
          <w:rFonts w:ascii="Times New Roman" w:hAnsi="Times New Roman" w:cs="Times New Roman"/>
          <w:sz w:val="24"/>
          <w:szCs w:val="24"/>
        </w:rPr>
        <w:t>1</w:t>
      </w:r>
      <w:r w:rsidR="007248ED">
        <w:rPr>
          <w:rFonts w:ascii="Times New Roman" w:hAnsi="Times New Roman" w:cs="Times New Roman"/>
          <w:sz w:val="24"/>
          <w:szCs w:val="24"/>
        </w:rPr>
        <w:t>7 December</w:t>
      </w:r>
      <w:r w:rsidR="000A0FCF">
        <w:rPr>
          <w:rFonts w:ascii="Times New Roman" w:hAnsi="Times New Roman" w:cs="Times New Roman"/>
          <w:sz w:val="24"/>
          <w:szCs w:val="24"/>
        </w:rPr>
        <w:t xml:space="preserve"> 2021</w:t>
      </w:r>
    </w:p>
    <w:p w14:paraId="64261FA4" w14:textId="77777777" w:rsidR="000A0FCF" w:rsidRDefault="000A0FCF" w:rsidP="000A0FCF">
      <w:pPr>
        <w:spacing w:after="0" w:line="240" w:lineRule="auto"/>
        <w:ind w:left="1890" w:hanging="1890"/>
        <w:rPr>
          <w:rFonts w:ascii="Times New Roman" w:hAnsi="Times New Roman" w:cs="Times New Roman"/>
          <w:sz w:val="24"/>
          <w:szCs w:val="24"/>
        </w:rPr>
      </w:pPr>
    </w:p>
    <w:p w14:paraId="2DCDD963" w14:textId="65E0EE20" w:rsidR="000D6415" w:rsidRDefault="006F5ABA" w:rsidP="000A0FCF">
      <w:pPr>
        <w:pBdr>
          <w:top w:val="single" w:sz="4" w:space="12" w:color="auto"/>
          <w:bottom w:val="single" w:sz="4" w:space="0"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011C1E3E" w14:textId="3F95B5C6" w:rsidR="0061648D" w:rsidRPr="0061648D" w:rsidRDefault="0061648D" w:rsidP="000A0FCF">
      <w:pPr>
        <w:pBdr>
          <w:top w:val="single" w:sz="4" w:space="12" w:color="auto"/>
          <w:bottom w:val="single" w:sz="4" w:space="0" w:color="auto"/>
        </w:pBdr>
        <w:tabs>
          <w:tab w:val="left" w:pos="2892"/>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The appeal </w:t>
      </w:r>
      <w:proofErr w:type="gramStart"/>
      <w:r>
        <w:rPr>
          <w:rFonts w:ascii="Times New Roman" w:hAnsi="Times New Roman" w:cs="Times New Roman"/>
          <w:sz w:val="24"/>
          <w:szCs w:val="24"/>
        </w:rPr>
        <w:t>is dismissed</w:t>
      </w:r>
      <w:proofErr w:type="gramEnd"/>
      <w:r>
        <w:rPr>
          <w:rFonts w:ascii="Times New Roman" w:hAnsi="Times New Roman" w:cs="Times New Roman"/>
          <w:sz w:val="24"/>
          <w:szCs w:val="24"/>
        </w:rPr>
        <w:t>. There is no order as to costs.</w:t>
      </w:r>
    </w:p>
    <w:p w14:paraId="236B39BD" w14:textId="77777777" w:rsidR="00FA6B52" w:rsidRDefault="00FA6B52" w:rsidP="006F5ABA">
      <w:pPr>
        <w:jc w:val="center"/>
        <w:rPr>
          <w:rFonts w:ascii="Times New Roman" w:hAnsi="Times New Roman" w:cs="Times New Roman"/>
          <w:b/>
          <w:sz w:val="24"/>
          <w:szCs w:val="24"/>
        </w:rPr>
      </w:pPr>
    </w:p>
    <w:p w14:paraId="151B6112" w14:textId="26B5B19A" w:rsidR="00722761" w:rsidRPr="006F5ABA" w:rsidRDefault="006F5ABA" w:rsidP="006F5ABA">
      <w:pPr>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5667A663" w14:textId="77777777" w:rsidR="006F5ABA" w:rsidRPr="006F5ABA" w:rsidRDefault="006F5ABA" w:rsidP="005B12AA">
      <w:pPr>
        <w:pStyle w:val="JudgmentText"/>
        <w:numPr>
          <w:ilvl w:val="0"/>
          <w:numId w:val="0"/>
        </w:numPr>
        <w:spacing w:line="480" w:lineRule="auto"/>
        <w:ind w:left="720" w:hanging="720"/>
        <w:rPr>
          <w:b/>
        </w:rPr>
      </w:pPr>
      <w:r w:rsidRPr="006F5ABA">
        <w:rPr>
          <w:b/>
        </w:rPr>
        <w:t>______________________________________________________________________________</w:t>
      </w:r>
    </w:p>
    <w:p w14:paraId="17BD4422" w14:textId="50404798" w:rsidR="003F751A" w:rsidRDefault="00EE2ED6" w:rsidP="003F751A">
      <w:pPr>
        <w:jc w:val="both"/>
        <w:rPr>
          <w:rFonts w:ascii="Times New Roman" w:hAnsi="Times New Roman" w:cs="Times New Roman"/>
          <w:b/>
        </w:rPr>
      </w:pPr>
      <w:r>
        <w:rPr>
          <w:rFonts w:ascii="Times New Roman" w:hAnsi="Times New Roman" w:cs="Times New Roman"/>
          <w:b/>
        </w:rPr>
        <w:t xml:space="preserve">DR. O. </w:t>
      </w:r>
      <w:r w:rsidR="003F751A">
        <w:rPr>
          <w:rFonts w:ascii="Times New Roman" w:hAnsi="Times New Roman" w:cs="Times New Roman"/>
          <w:b/>
        </w:rPr>
        <w:t>DINGAKE</w:t>
      </w:r>
      <w:r>
        <w:rPr>
          <w:rFonts w:ascii="Times New Roman" w:hAnsi="Times New Roman" w:cs="Times New Roman"/>
          <w:b/>
        </w:rPr>
        <w:t>,</w:t>
      </w:r>
      <w:r w:rsidR="003F751A">
        <w:rPr>
          <w:rFonts w:ascii="Times New Roman" w:hAnsi="Times New Roman" w:cs="Times New Roman"/>
          <w:b/>
        </w:rPr>
        <w:t xml:space="preserve"> JA </w:t>
      </w:r>
    </w:p>
    <w:p w14:paraId="5559FAE9" w14:textId="1EC554A2" w:rsidR="00FE2CFC" w:rsidRDefault="00FE2CFC" w:rsidP="00FE2CFC">
      <w:pPr>
        <w:jc w:val="both"/>
        <w:rPr>
          <w:rFonts w:ascii="Times New Roman" w:hAnsi="Times New Roman" w:cs="Times New Roman"/>
        </w:rPr>
      </w:pPr>
    </w:p>
    <w:p w14:paraId="134C8F1D" w14:textId="35322D41" w:rsidR="00BF2AB7" w:rsidRDefault="00BF2AB7" w:rsidP="00FE2CFC">
      <w:pPr>
        <w:jc w:val="both"/>
        <w:rPr>
          <w:rFonts w:ascii="Times New Roman" w:hAnsi="Times New Roman" w:cs="Times New Roman"/>
        </w:rPr>
      </w:pPr>
    </w:p>
    <w:p w14:paraId="40AE963D" w14:textId="77777777" w:rsidR="001818BC" w:rsidRDefault="001818BC" w:rsidP="001818BC">
      <w:pPr>
        <w:pStyle w:val="JudgmentText"/>
        <w:numPr>
          <w:ilvl w:val="0"/>
          <w:numId w:val="0"/>
        </w:numPr>
        <w:tabs>
          <w:tab w:val="left" w:pos="720"/>
        </w:tabs>
        <w:ind w:left="720"/>
        <w:rPr>
          <w:b/>
        </w:rPr>
      </w:pPr>
      <w:r>
        <w:rPr>
          <w:b/>
        </w:rPr>
        <w:lastRenderedPageBreak/>
        <w:t>INTRODUCTION</w:t>
      </w:r>
      <w:r>
        <w:t xml:space="preserve"> </w:t>
      </w:r>
      <w:r>
        <w:rPr>
          <w:b/>
        </w:rPr>
        <w:t>AND FACTUAL BACKGROUND</w:t>
      </w:r>
    </w:p>
    <w:p w14:paraId="04C67110" w14:textId="77777777" w:rsidR="001818BC" w:rsidRDefault="001818BC" w:rsidP="001818BC">
      <w:pPr>
        <w:pStyle w:val="JudgmentText"/>
        <w:tabs>
          <w:tab w:val="left" w:pos="720"/>
        </w:tabs>
      </w:pPr>
      <w:r>
        <w:t xml:space="preserve">The fate of this appeal turns on the interpretation of the court order obtained by consent. </w:t>
      </w:r>
    </w:p>
    <w:p w14:paraId="4BEC308E" w14:textId="77777777" w:rsidR="001818BC" w:rsidRDefault="001818BC" w:rsidP="001818BC">
      <w:pPr>
        <w:pStyle w:val="JudgmentText"/>
        <w:tabs>
          <w:tab w:val="left" w:pos="720"/>
        </w:tabs>
      </w:pPr>
      <w:r>
        <w:t xml:space="preserve">The Appellant, Ms </w:t>
      </w:r>
      <w:proofErr w:type="spellStart"/>
      <w:r>
        <w:t>Laubscher</w:t>
      </w:r>
      <w:proofErr w:type="spellEnd"/>
      <w:r>
        <w:t xml:space="preserve"> and the Respondent, Mr </w:t>
      </w:r>
      <w:proofErr w:type="spellStart"/>
      <w:r>
        <w:t>Bloss</w:t>
      </w:r>
      <w:proofErr w:type="spellEnd"/>
      <w:r>
        <w:t xml:space="preserve"> were married and now divorced. The parties have a child, Alexis, who at the time of the Supreme Court proceedings was almost 18 years old. </w:t>
      </w:r>
    </w:p>
    <w:p w14:paraId="3F0F84D6" w14:textId="484F038D" w:rsidR="001818BC" w:rsidRDefault="001818BC" w:rsidP="001818BC">
      <w:pPr>
        <w:pStyle w:val="JudgmentText"/>
        <w:tabs>
          <w:tab w:val="left" w:pos="720"/>
        </w:tabs>
      </w:pPr>
      <w:r>
        <w:t xml:space="preserve">Prior to the Supreme Court proceedings, the parties obtained Judgment by consent, in which, among other things, they agreed that Mr </w:t>
      </w:r>
      <w:proofErr w:type="spellStart"/>
      <w:r>
        <w:t>Bloss</w:t>
      </w:r>
      <w:proofErr w:type="spellEnd"/>
      <w:r>
        <w:t xml:space="preserve"> would make certain monthly payments representing rent for alternative accommodation for Alexis as Ms </w:t>
      </w:r>
      <w:proofErr w:type="spellStart"/>
      <w:r>
        <w:t>Laubscher</w:t>
      </w:r>
      <w:proofErr w:type="spellEnd"/>
      <w:r>
        <w:t xml:space="preserve"> was moving out of the matrimonial home with their son.</w:t>
      </w:r>
    </w:p>
    <w:p w14:paraId="0DD3E6FE" w14:textId="39E8BA71" w:rsidR="00F27461" w:rsidRDefault="00FC7155" w:rsidP="00F27461">
      <w:pPr>
        <w:pStyle w:val="JudgmentText"/>
        <w:tabs>
          <w:tab w:val="left" w:pos="720"/>
        </w:tabs>
      </w:pPr>
      <w:r>
        <w:t xml:space="preserve">It is important here to note that the parties mutually resolved their issues during court </w:t>
      </w:r>
      <w:proofErr w:type="gramStart"/>
      <w:r>
        <w:t>proceedings, that</w:t>
      </w:r>
      <w:proofErr w:type="gramEnd"/>
      <w:r>
        <w:t xml:space="preserve"> </w:t>
      </w:r>
      <w:r w:rsidR="00F27461">
        <w:t>culminated</w:t>
      </w:r>
      <w:r>
        <w:t xml:space="preserve"> in the parties obtaining judgement by consent. This is the clearest evidence of “a real contract between the partie</w:t>
      </w:r>
      <w:r w:rsidR="00F27461">
        <w:t>s</w:t>
      </w:r>
      <w:r>
        <w:t xml:space="preserve">” as suggested by Lord Green in </w:t>
      </w:r>
      <w:proofErr w:type="spellStart"/>
      <w:r>
        <w:t>Chandless</w:t>
      </w:r>
      <w:proofErr w:type="spellEnd"/>
      <w:r>
        <w:t xml:space="preserve"> –</w:t>
      </w:r>
      <w:proofErr w:type="spellStart"/>
      <w:r>
        <w:t>Chandless</w:t>
      </w:r>
      <w:proofErr w:type="spellEnd"/>
      <w:r>
        <w:t xml:space="preserve"> v Nicholson (1942) </w:t>
      </w:r>
      <w:proofErr w:type="gramStart"/>
      <w:r>
        <w:t>2</w:t>
      </w:r>
      <w:proofErr w:type="gramEnd"/>
      <w:r>
        <w:t xml:space="preserve"> AER 315 at 317, cited in </w:t>
      </w:r>
      <w:proofErr w:type="spellStart"/>
      <w:r w:rsidR="00F27461">
        <w:t>Pardiwalla</w:t>
      </w:r>
      <w:proofErr w:type="spellEnd"/>
      <w:r w:rsidR="00F27461">
        <w:t xml:space="preserve"> v </w:t>
      </w:r>
      <w:proofErr w:type="spellStart"/>
      <w:r w:rsidR="00F27461">
        <w:t>Pardiwalla</w:t>
      </w:r>
      <w:proofErr w:type="spellEnd"/>
      <w:r w:rsidR="00F27461">
        <w:t xml:space="preserve"> (1993 -1994) SCAR 234.</w:t>
      </w:r>
    </w:p>
    <w:p w14:paraId="5167E9FF" w14:textId="77777777" w:rsidR="001818BC" w:rsidRDefault="001818BC" w:rsidP="001818BC">
      <w:pPr>
        <w:pStyle w:val="JudgmentText"/>
        <w:tabs>
          <w:tab w:val="left" w:pos="720"/>
        </w:tabs>
      </w:pPr>
      <w:r>
        <w:t xml:space="preserve">In 2012 when Alexis was 11 years old Mr </w:t>
      </w:r>
      <w:proofErr w:type="spellStart"/>
      <w:r>
        <w:t>Bloss</w:t>
      </w:r>
      <w:proofErr w:type="spellEnd"/>
      <w:r>
        <w:t xml:space="preserve"> had stopped making the payments for the reason that Ms </w:t>
      </w:r>
      <w:proofErr w:type="spellStart"/>
      <w:r>
        <w:t>Laubscher</w:t>
      </w:r>
      <w:proofErr w:type="spellEnd"/>
      <w:r>
        <w:t xml:space="preserve"> had moved in with her boyfriend, whose accommodation </w:t>
      </w:r>
      <w:proofErr w:type="gramStart"/>
      <w:r>
        <w:t>was provided by his employer</w:t>
      </w:r>
      <w:proofErr w:type="gramEnd"/>
      <w:r>
        <w:t xml:space="preserve"> and therefore Ms </w:t>
      </w:r>
      <w:proofErr w:type="spellStart"/>
      <w:r>
        <w:t>Laubscher</w:t>
      </w:r>
      <w:proofErr w:type="spellEnd"/>
      <w:r>
        <w:t xml:space="preserve"> was not paying any rent. </w:t>
      </w:r>
    </w:p>
    <w:p w14:paraId="1A88B6D4" w14:textId="77777777" w:rsidR="001818BC" w:rsidRDefault="001818BC" w:rsidP="001818BC">
      <w:pPr>
        <w:pStyle w:val="JudgmentText"/>
        <w:tabs>
          <w:tab w:val="left" w:pos="720"/>
        </w:tabs>
      </w:pPr>
      <w:r>
        <w:t xml:space="preserve">During the Supreme Court proceedings, the parties came to a mutual agreement that there was only one issue </w:t>
      </w:r>
      <w:proofErr w:type="gramStart"/>
      <w:r>
        <w:t>left to be determined</w:t>
      </w:r>
      <w:proofErr w:type="gramEnd"/>
      <w:r>
        <w:t xml:space="preserve"> by the Court (the rest having been disposed of amicably between the parties). The issue that </w:t>
      </w:r>
      <w:proofErr w:type="gramStart"/>
      <w:r>
        <w:t>was left</w:t>
      </w:r>
      <w:proofErr w:type="gramEnd"/>
      <w:r>
        <w:t xml:space="preserve"> to be determined was the clause regarding payments representing rent. </w:t>
      </w:r>
    </w:p>
    <w:p w14:paraId="09DA98AB" w14:textId="77777777" w:rsidR="001818BC" w:rsidRDefault="001818BC" w:rsidP="001818BC">
      <w:pPr>
        <w:pStyle w:val="JudgmentText"/>
        <w:tabs>
          <w:tab w:val="left" w:pos="720"/>
        </w:tabs>
      </w:pPr>
      <w:r>
        <w:t xml:space="preserve">The Trial Judge interpreted the clause in favour of Mr </w:t>
      </w:r>
      <w:proofErr w:type="spellStart"/>
      <w:r>
        <w:t>Bloss</w:t>
      </w:r>
      <w:proofErr w:type="spellEnd"/>
      <w:r>
        <w:t xml:space="preserve">, finding that since Ms </w:t>
      </w:r>
      <w:proofErr w:type="spellStart"/>
      <w:r>
        <w:t>Laubscher</w:t>
      </w:r>
      <w:proofErr w:type="spellEnd"/>
      <w:r>
        <w:t xml:space="preserve"> is not paying rent, Mr </w:t>
      </w:r>
      <w:proofErr w:type="spellStart"/>
      <w:r>
        <w:t>Bloss</w:t>
      </w:r>
      <w:proofErr w:type="spellEnd"/>
      <w:r>
        <w:t xml:space="preserve"> no longer has obligation to pay contributions to rent. Ms </w:t>
      </w:r>
      <w:proofErr w:type="spellStart"/>
      <w:r>
        <w:t>Laubscher</w:t>
      </w:r>
      <w:proofErr w:type="spellEnd"/>
      <w:r>
        <w:t xml:space="preserve"> is now appealing the said decision seeking reliefs specified in paragraph 3 of the Notice of Appeal. One of the reliefs sought is ordering Mr </w:t>
      </w:r>
      <w:proofErr w:type="spellStart"/>
      <w:r>
        <w:t>Bloss</w:t>
      </w:r>
      <w:proofErr w:type="spellEnd"/>
      <w:r>
        <w:t xml:space="preserve"> to pay Ms </w:t>
      </w:r>
      <w:proofErr w:type="spellStart"/>
      <w:r>
        <w:t>Laubscher</w:t>
      </w:r>
      <w:proofErr w:type="spellEnd"/>
      <w:r>
        <w:t xml:space="preserve"> amount specified in the clause from July 2012 (when payments stopped) until April 2019 (when child became 18 years old).</w:t>
      </w:r>
    </w:p>
    <w:p w14:paraId="2F8BBAA2" w14:textId="77777777" w:rsidR="001818BC" w:rsidRDefault="001818BC" w:rsidP="001818BC">
      <w:pPr>
        <w:pStyle w:val="JudgmentText"/>
        <w:numPr>
          <w:ilvl w:val="0"/>
          <w:numId w:val="0"/>
        </w:numPr>
        <w:tabs>
          <w:tab w:val="left" w:pos="720"/>
        </w:tabs>
        <w:ind w:left="720"/>
      </w:pPr>
      <w:r>
        <w:rPr>
          <w:b/>
        </w:rPr>
        <w:lastRenderedPageBreak/>
        <w:t>GROUNDS OF APPEAL</w:t>
      </w:r>
    </w:p>
    <w:p w14:paraId="1E83B1F2" w14:textId="77777777" w:rsidR="001818BC" w:rsidRDefault="001818BC" w:rsidP="001818BC">
      <w:pPr>
        <w:pStyle w:val="JudgmentText"/>
        <w:tabs>
          <w:tab w:val="left" w:pos="720"/>
        </w:tabs>
        <w:ind w:right="-138"/>
      </w:pPr>
      <w:r>
        <w:t>The Appellant submits 2 Grounds of Appeal:</w:t>
      </w:r>
    </w:p>
    <w:p w14:paraId="3D4E4344" w14:textId="77777777" w:rsidR="001818BC" w:rsidRDefault="001818BC" w:rsidP="001818BC">
      <w:pPr>
        <w:pStyle w:val="JudgmentText"/>
        <w:numPr>
          <w:ilvl w:val="0"/>
          <w:numId w:val="0"/>
        </w:numPr>
        <w:tabs>
          <w:tab w:val="left" w:pos="720"/>
        </w:tabs>
        <w:spacing w:after="0"/>
        <w:ind w:left="1440" w:right="-138"/>
      </w:pPr>
      <w:r>
        <w:rPr>
          <w:b/>
          <w:i/>
        </w:rPr>
        <w:t xml:space="preserve">Ground </w:t>
      </w:r>
      <w:proofErr w:type="gramStart"/>
      <w:r>
        <w:rPr>
          <w:b/>
          <w:i/>
        </w:rPr>
        <w:t>1</w:t>
      </w:r>
      <w:proofErr w:type="gramEnd"/>
      <w:r>
        <w:rPr>
          <w:i/>
        </w:rPr>
        <w:t xml:space="preserve"> – </w:t>
      </w:r>
      <w:r>
        <w:t>The Learned Judge failed to take into consideration that the relevant clause did not give the Respondent discretion to cease making payments before the child reached the age of 18;</w:t>
      </w:r>
    </w:p>
    <w:p w14:paraId="7E7763F0" w14:textId="77777777" w:rsidR="001818BC" w:rsidRDefault="001818BC" w:rsidP="001818BC">
      <w:pPr>
        <w:pStyle w:val="JudgmentText"/>
        <w:numPr>
          <w:ilvl w:val="0"/>
          <w:numId w:val="0"/>
        </w:numPr>
        <w:tabs>
          <w:tab w:val="left" w:pos="720"/>
        </w:tabs>
        <w:ind w:left="1440" w:right="-138"/>
        <w:rPr>
          <w:b/>
          <w:i/>
        </w:rPr>
      </w:pPr>
      <w:r>
        <w:rPr>
          <w:b/>
          <w:i/>
        </w:rPr>
        <w:t>Ground 2</w:t>
      </w:r>
      <w:r>
        <w:rPr>
          <w:i/>
        </w:rPr>
        <w:t xml:space="preserve"> –</w:t>
      </w:r>
      <w:r>
        <w:t xml:space="preserve"> The Learned Judge failed to appreciate that the reference to rent payable was only that, a reference to explain the monthly amount that was payable;</w:t>
      </w:r>
      <w:r>
        <w:rPr>
          <w:b/>
          <w:i/>
        </w:rPr>
        <w:t xml:space="preserve"> </w:t>
      </w:r>
    </w:p>
    <w:p w14:paraId="4541DF08" w14:textId="77777777" w:rsidR="001818BC" w:rsidRDefault="001818BC" w:rsidP="001818BC">
      <w:pPr>
        <w:pStyle w:val="JudgmentText"/>
        <w:numPr>
          <w:ilvl w:val="0"/>
          <w:numId w:val="0"/>
        </w:numPr>
        <w:tabs>
          <w:tab w:val="left" w:pos="720"/>
        </w:tabs>
        <w:ind w:left="720"/>
      </w:pPr>
      <w:r>
        <w:rPr>
          <w:b/>
        </w:rPr>
        <w:t>THE CLAUSE THAT FALLS FOR INTERPRETATION</w:t>
      </w:r>
    </w:p>
    <w:p w14:paraId="0B15FEAA" w14:textId="77777777" w:rsidR="001818BC" w:rsidRDefault="001818BC" w:rsidP="001818BC">
      <w:pPr>
        <w:pStyle w:val="JudgmentText"/>
        <w:tabs>
          <w:tab w:val="left" w:pos="720"/>
        </w:tabs>
        <w:spacing w:line="240" w:lineRule="auto"/>
      </w:pPr>
      <w:r>
        <w:t xml:space="preserve">The clause that falls for interpretation, Clause </w:t>
      </w:r>
      <w:proofErr w:type="spellStart"/>
      <w:r>
        <w:t>i</w:t>
      </w:r>
      <w:proofErr w:type="spellEnd"/>
      <w:r>
        <w:t>(d) states:</w:t>
      </w:r>
    </w:p>
    <w:p w14:paraId="65D7818B" w14:textId="77777777" w:rsidR="001818BC" w:rsidRDefault="001818BC" w:rsidP="001818BC">
      <w:pPr>
        <w:pStyle w:val="JudgmentText"/>
        <w:numPr>
          <w:ilvl w:val="0"/>
          <w:numId w:val="0"/>
        </w:numPr>
        <w:tabs>
          <w:tab w:val="left" w:pos="720"/>
        </w:tabs>
        <w:spacing w:line="240" w:lineRule="auto"/>
        <w:ind w:left="1440"/>
        <w:rPr>
          <w:i/>
        </w:rPr>
      </w:pPr>
      <w:r>
        <w:rPr>
          <w:i/>
        </w:rPr>
        <w:t xml:space="preserve">d) </w:t>
      </w:r>
      <w:proofErr w:type="gramStart"/>
      <w:r>
        <w:rPr>
          <w:i/>
        </w:rPr>
        <w:t>the</w:t>
      </w:r>
      <w:proofErr w:type="gramEnd"/>
      <w:r>
        <w:rPr>
          <w:i/>
        </w:rPr>
        <w:t xml:space="preserve"> Petitioner shall pay the sum of SCR2,525/- every month to the Respondent, as a consideration for her moving out of the matrimonial house together with the child Alexis, such payment represents rent contribution for alternative accommodation for Alexis. Such payment to </w:t>
      </w:r>
      <w:proofErr w:type="gramStart"/>
      <w:r>
        <w:rPr>
          <w:i/>
        </w:rPr>
        <w:t>be made</w:t>
      </w:r>
      <w:proofErr w:type="gramEnd"/>
      <w:r>
        <w:rPr>
          <w:i/>
        </w:rPr>
        <w:t xml:space="preserve"> until the child Alexis attains the age of 18 years. The payment of such consideration is to begin when the Respondent moves out of the matrimonial home, which shall be within a period of not more than six months from the date of this judgment. The Petitioner shall contribute SCR1</w:t>
      </w:r>
      <w:proofErr w:type="gramStart"/>
      <w:r>
        <w:rPr>
          <w:i/>
        </w:rPr>
        <w:t>,500</w:t>
      </w:r>
      <w:proofErr w:type="gramEnd"/>
      <w:r>
        <w:rPr>
          <w:i/>
        </w:rPr>
        <w:t xml:space="preserve"> towards the cost of house moving.”</w:t>
      </w:r>
    </w:p>
    <w:p w14:paraId="17919DC5" w14:textId="77777777" w:rsidR="001818BC" w:rsidRDefault="001818BC" w:rsidP="001818BC">
      <w:pPr>
        <w:pStyle w:val="JudgmentText"/>
        <w:numPr>
          <w:ilvl w:val="0"/>
          <w:numId w:val="0"/>
        </w:numPr>
        <w:tabs>
          <w:tab w:val="left" w:pos="720"/>
        </w:tabs>
        <w:ind w:left="720"/>
        <w:rPr>
          <w:b/>
        </w:rPr>
      </w:pPr>
      <w:r>
        <w:rPr>
          <w:b/>
        </w:rPr>
        <w:t>CONSIDERATION</w:t>
      </w:r>
    </w:p>
    <w:p w14:paraId="485E541A" w14:textId="77777777" w:rsidR="001818BC" w:rsidRDefault="001818BC" w:rsidP="001818BC">
      <w:pPr>
        <w:pStyle w:val="JudgmentText"/>
        <w:tabs>
          <w:tab w:val="left" w:pos="720"/>
        </w:tabs>
      </w:pPr>
      <w:r>
        <w:t xml:space="preserve">It is important in interpreting the clause to interpret it as a whole. It is trite law that Judgment by Consent has elements of </w:t>
      </w:r>
      <w:proofErr w:type="gramStart"/>
      <w:r>
        <w:t>contract</w:t>
      </w:r>
      <w:proofErr w:type="gramEnd"/>
      <w:r>
        <w:t xml:space="preserve"> as it is an agreement between the parties. </w:t>
      </w:r>
    </w:p>
    <w:p w14:paraId="65CD3280" w14:textId="14F2706D" w:rsidR="001818BC" w:rsidRDefault="001818BC" w:rsidP="001818BC">
      <w:pPr>
        <w:pStyle w:val="JudgmentText"/>
        <w:tabs>
          <w:tab w:val="left" w:pos="720"/>
        </w:tabs>
      </w:pPr>
      <w:r>
        <w:t xml:space="preserve">In </w:t>
      </w:r>
      <w:proofErr w:type="spellStart"/>
      <w:r>
        <w:rPr>
          <w:i/>
        </w:rPr>
        <w:t>Pardiwalla</w:t>
      </w:r>
      <w:proofErr w:type="spellEnd"/>
      <w:r>
        <w:rPr>
          <w:i/>
        </w:rPr>
        <w:t xml:space="preserve"> v </w:t>
      </w:r>
      <w:proofErr w:type="spellStart"/>
      <w:r>
        <w:rPr>
          <w:i/>
        </w:rPr>
        <w:t>Pardiwalla</w:t>
      </w:r>
      <w:proofErr w:type="spellEnd"/>
      <w:r>
        <w:rPr>
          <w:i/>
        </w:rPr>
        <w:t xml:space="preserve"> (1993-1994) SCAR </w:t>
      </w:r>
      <w:proofErr w:type="gramStart"/>
      <w:r>
        <w:rPr>
          <w:i/>
        </w:rPr>
        <w:t>234</w:t>
      </w:r>
      <w:proofErr w:type="gramEnd"/>
      <w:r>
        <w:rPr>
          <w:i/>
        </w:rPr>
        <w:t xml:space="preserve"> </w:t>
      </w:r>
      <w:r>
        <w:t xml:space="preserve">it was stated </w:t>
      </w:r>
      <w:r w:rsidR="00072D53">
        <w:t xml:space="preserve">that </w:t>
      </w:r>
      <w:r>
        <w:t xml:space="preserve">a judgment by consent is in effect a contract binding both parties which becomes an enforceable judgment of the court. Article 1162 of the Civil Code provides </w:t>
      </w:r>
      <w:proofErr w:type="gramStart"/>
      <w:r>
        <w:t>that :</w:t>
      </w:r>
      <w:proofErr w:type="gramEnd"/>
      <w:r>
        <w:t xml:space="preserve"> </w:t>
      </w:r>
      <w:r>
        <w:rPr>
          <w:i/>
        </w:rPr>
        <w:t>“In case of doubt, the contract shall be interpreted against the person who has the benefit of the term and in favour of the person who is bound by the obligation”</w:t>
      </w:r>
      <w:r>
        <w:t xml:space="preserve">. As stated in </w:t>
      </w:r>
      <w:r>
        <w:rPr>
          <w:i/>
        </w:rPr>
        <w:t xml:space="preserve">Vidot &amp; </w:t>
      </w:r>
      <w:proofErr w:type="spellStart"/>
      <w:r>
        <w:rPr>
          <w:i/>
        </w:rPr>
        <w:t>Ano</w:t>
      </w:r>
      <w:proofErr w:type="spellEnd"/>
      <w:r>
        <w:rPr>
          <w:i/>
        </w:rPr>
        <w:t xml:space="preserve"> v Henry &amp; </w:t>
      </w:r>
      <w:proofErr w:type="spellStart"/>
      <w:r>
        <w:rPr>
          <w:i/>
        </w:rPr>
        <w:t>Ano</w:t>
      </w:r>
      <w:proofErr w:type="spellEnd"/>
      <w:r>
        <w:rPr>
          <w:i/>
        </w:rPr>
        <w:t xml:space="preserve"> </w:t>
      </w:r>
      <w:r>
        <w:t xml:space="preserve">(SCA 17/2018) [2020] SCCA 32 (18 December 2020), </w:t>
      </w:r>
      <w:r>
        <w:rPr>
          <w:i/>
        </w:rPr>
        <w:t xml:space="preserve">“the contra </w:t>
      </w:r>
      <w:proofErr w:type="spellStart"/>
      <w:r>
        <w:rPr>
          <w:i/>
        </w:rPr>
        <w:t>preferentum</w:t>
      </w:r>
      <w:proofErr w:type="spellEnd"/>
      <w:r>
        <w:rPr>
          <w:i/>
        </w:rPr>
        <w:t xml:space="preserve"> rule found in Article 1162 dictates that the court interprets the ambiguity in favour of the Respondents</w:t>
      </w:r>
      <w:r>
        <w:t xml:space="preserve">” (respondents being a party bound by the obligation in that case). </w:t>
      </w:r>
    </w:p>
    <w:p w14:paraId="0C17362A" w14:textId="0A2E80F5" w:rsidR="001818BC" w:rsidRDefault="001818BC" w:rsidP="001818BC">
      <w:pPr>
        <w:pStyle w:val="JudgmentText"/>
        <w:tabs>
          <w:tab w:val="left" w:pos="720"/>
        </w:tabs>
      </w:pPr>
      <w:r>
        <w:lastRenderedPageBreak/>
        <w:t>The effect of the above a</w:t>
      </w:r>
      <w:r w:rsidR="00F27461">
        <w:t>uthorities is plain. It is that</w:t>
      </w:r>
      <w:r>
        <w:t xml:space="preserve"> if there is in fact ambiguity in the clause in the present case, the clause </w:t>
      </w:r>
      <w:proofErr w:type="gramStart"/>
      <w:r>
        <w:t>should then be interpreted</w:t>
      </w:r>
      <w:proofErr w:type="gramEnd"/>
      <w:r>
        <w:t xml:space="preserve"> in favour of Mr </w:t>
      </w:r>
      <w:proofErr w:type="spellStart"/>
      <w:r>
        <w:t>Bloss</w:t>
      </w:r>
      <w:proofErr w:type="spellEnd"/>
      <w:r>
        <w:t xml:space="preserve">. </w:t>
      </w:r>
    </w:p>
    <w:p w14:paraId="3515FB6A" w14:textId="160BF4A0" w:rsidR="00F27461" w:rsidRDefault="00072D53" w:rsidP="001818BC">
      <w:pPr>
        <w:pStyle w:val="JudgmentText"/>
        <w:tabs>
          <w:tab w:val="left" w:pos="720"/>
        </w:tabs>
      </w:pPr>
      <w:r>
        <w:t xml:space="preserve">Speaking for myself, I </w:t>
      </w:r>
      <w:r w:rsidR="00F27461">
        <w:t>do not find the clause to be ambiguous. It is clear that payment is for rental contribution. In any event, in the event, it is considered ambiguous in that it is capable of more than one meaning the principles of contract and the provisions of the Civil Code would compel an interpretation that favours the conclusion reached by the court below.</w:t>
      </w:r>
    </w:p>
    <w:p w14:paraId="71859EAE" w14:textId="17FC8B5A" w:rsidR="001818BC" w:rsidRDefault="004F7761" w:rsidP="001818BC">
      <w:pPr>
        <w:pStyle w:val="JudgmentText"/>
        <w:tabs>
          <w:tab w:val="left" w:pos="720"/>
        </w:tabs>
      </w:pPr>
      <w:r>
        <w:t>It is trite law that u</w:t>
      </w:r>
      <w:r w:rsidR="001818BC">
        <w:t>nder t</w:t>
      </w:r>
      <w:r>
        <w:t xml:space="preserve">he contract law principles, </w:t>
      </w:r>
      <w:r w:rsidR="001818BC">
        <w:t xml:space="preserve">weight </w:t>
      </w:r>
      <w:proofErr w:type="gramStart"/>
      <w:r w:rsidR="001818BC">
        <w:t>must also be given</w:t>
      </w:r>
      <w:proofErr w:type="gramEnd"/>
      <w:r w:rsidR="001818BC">
        <w:t xml:space="preserve"> to the intention of the parties. It is trite learning that when interpreting a contract, the first step is to determine the common intention of the parties (</w:t>
      </w:r>
      <w:r w:rsidR="001818BC">
        <w:rPr>
          <w:i/>
        </w:rPr>
        <w:t>Chow v Bossy</w:t>
      </w:r>
      <w:r w:rsidR="001818BC">
        <w:t xml:space="preserve"> (2006-2007) SCAR 57). Priority </w:t>
      </w:r>
      <w:proofErr w:type="gramStart"/>
      <w:r w:rsidR="001818BC">
        <w:t>is given</w:t>
      </w:r>
      <w:proofErr w:type="gramEnd"/>
      <w:r w:rsidR="001818BC">
        <w:t xml:space="preserve"> to true intention and in the event of a conflict between their true intention and their intention as expressed in the deed, the former must prevail (</w:t>
      </w:r>
      <w:proofErr w:type="spellStart"/>
      <w:r w:rsidR="001818BC">
        <w:rPr>
          <w:i/>
        </w:rPr>
        <w:t>Ladouceur</w:t>
      </w:r>
      <w:proofErr w:type="spellEnd"/>
      <w:r w:rsidR="001818BC">
        <w:rPr>
          <w:i/>
        </w:rPr>
        <w:t xml:space="preserve"> v Bibi</w:t>
      </w:r>
      <w:r w:rsidR="001818BC">
        <w:t xml:space="preserve"> (1975) SLR 278; </w:t>
      </w:r>
      <w:proofErr w:type="spellStart"/>
      <w:r w:rsidR="001818BC">
        <w:rPr>
          <w:i/>
        </w:rPr>
        <w:t>Ladouceur</w:t>
      </w:r>
      <w:proofErr w:type="spellEnd"/>
      <w:r w:rsidR="001818BC">
        <w:rPr>
          <w:i/>
        </w:rPr>
        <w:t xml:space="preserve"> v Bibi</w:t>
      </w:r>
      <w:r w:rsidR="001818BC">
        <w:t xml:space="preserve"> (1979) SCAR 174).</w:t>
      </w:r>
    </w:p>
    <w:p w14:paraId="2E25669C" w14:textId="77777777" w:rsidR="001818BC" w:rsidRDefault="001818BC" w:rsidP="001818BC">
      <w:pPr>
        <w:pStyle w:val="JudgmentText"/>
        <w:tabs>
          <w:tab w:val="left" w:pos="720"/>
        </w:tabs>
      </w:pPr>
      <w:r>
        <w:t xml:space="preserve">As for the intention of the </w:t>
      </w:r>
      <w:proofErr w:type="gramStart"/>
      <w:r>
        <w:t>parties</w:t>
      </w:r>
      <w:proofErr w:type="gramEnd"/>
      <w:r>
        <w:t xml:space="preserve"> it seems to me that the intention of the parties was that the Respondent was to help out the Appellant with the rent as she is moving out of the matrimonial home with the child. Consequently, if there is no rent to pay why </w:t>
      </w:r>
      <w:proofErr w:type="gramStart"/>
      <w:r>
        <w:t>should the Respondent</w:t>
      </w:r>
      <w:proofErr w:type="gramEnd"/>
      <w:r>
        <w:t xml:space="preserve"> pay the contribution to the rent? In that </w:t>
      </w:r>
      <w:proofErr w:type="gramStart"/>
      <w:r>
        <w:t>regard</w:t>
      </w:r>
      <w:proofErr w:type="gramEnd"/>
      <w:r>
        <w:t xml:space="preserve"> I agree with the Respondent. His subsequent conduct further supports this intention, as he stopped paying the contribution once the Appellant was not paying any rent. </w:t>
      </w:r>
    </w:p>
    <w:p w14:paraId="6BDE29A3" w14:textId="77777777" w:rsidR="001818BC" w:rsidRDefault="001818BC" w:rsidP="001818BC">
      <w:pPr>
        <w:pStyle w:val="JudgmentText"/>
        <w:tabs>
          <w:tab w:val="left" w:pos="720"/>
        </w:tabs>
      </w:pPr>
      <w:r>
        <w:t>Although the clause is not a model of clarity and may be capable of several meanings, read as a whole, the clause obligated the Respondent to contribute to rental payment and this obligation was to subsist until the child was 18 years.</w:t>
      </w:r>
    </w:p>
    <w:p w14:paraId="44F0508B" w14:textId="77777777" w:rsidR="001818BC" w:rsidRDefault="001818BC" w:rsidP="001818BC">
      <w:pPr>
        <w:pStyle w:val="JudgmentText"/>
        <w:tabs>
          <w:tab w:val="left" w:pos="720"/>
        </w:tabs>
      </w:pPr>
      <w:r>
        <w:t xml:space="preserve">The suggestion that this agreement </w:t>
      </w:r>
      <w:proofErr w:type="gramStart"/>
      <w:r>
        <w:t>could be interpreted</w:t>
      </w:r>
      <w:proofErr w:type="gramEnd"/>
      <w:r>
        <w:t xml:space="preserve"> as possibly part of the general maintenance to the child would be inconsistent with the context, facts and the wording of the clause earlier produced.</w:t>
      </w:r>
    </w:p>
    <w:p w14:paraId="524EC7ED" w14:textId="11717B4A" w:rsidR="001818BC" w:rsidRDefault="001818BC" w:rsidP="001818BC">
      <w:pPr>
        <w:pStyle w:val="JudgmentText"/>
        <w:tabs>
          <w:tab w:val="left" w:pos="720"/>
        </w:tabs>
      </w:pPr>
      <w:r>
        <w:t>Having considered the clause very carefully, the intention of the pa</w:t>
      </w:r>
      <w:r w:rsidR="00072D53">
        <w:t xml:space="preserve">rties and the applicable law, I am </w:t>
      </w:r>
      <w:r>
        <w:t xml:space="preserve">of the considered view that the Trial Judge was correct in his determination. The </w:t>
      </w:r>
      <w:r>
        <w:lastRenderedPageBreak/>
        <w:t xml:space="preserve">Appellant has not provided compelling arguments why the clause </w:t>
      </w:r>
      <w:proofErr w:type="gramStart"/>
      <w:r>
        <w:t>should be interpreted</w:t>
      </w:r>
      <w:proofErr w:type="gramEnd"/>
      <w:r>
        <w:t xml:space="preserve"> in any other way other than what it clearly states: that payment represents rent.</w:t>
      </w:r>
    </w:p>
    <w:p w14:paraId="4A2E0D6D" w14:textId="77777777" w:rsidR="00700ED9" w:rsidRDefault="00072D53" w:rsidP="001818BC">
      <w:pPr>
        <w:pStyle w:val="JudgmentText"/>
        <w:tabs>
          <w:tab w:val="left" w:pos="720"/>
        </w:tabs>
      </w:pPr>
      <w:r>
        <w:t>In my mind a proper consideration of the clause that falls for determination, combined with the instructive provisions of the Civil Code and the application of the general principles of contract, individually and collectively, make the decision of the court below, sought to be quashed, unassailable.</w:t>
      </w:r>
    </w:p>
    <w:p w14:paraId="3358AA5D" w14:textId="1E958D56" w:rsidR="001818BC" w:rsidRDefault="00700ED9" w:rsidP="001818BC">
      <w:pPr>
        <w:pStyle w:val="JudgmentText"/>
        <w:tabs>
          <w:tab w:val="left" w:pos="720"/>
        </w:tabs>
      </w:pPr>
      <w:r>
        <w:t xml:space="preserve"> In my </w:t>
      </w:r>
      <w:proofErr w:type="gramStart"/>
      <w:r>
        <w:t>mind</w:t>
      </w:r>
      <w:proofErr w:type="gramEnd"/>
      <w:r>
        <w:t xml:space="preserve"> it is </w:t>
      </w:r>
      <w:r w:rsidR="001818BC">
        <w:t xml:space="preserve">unmistakable that </w:t>
      </w:r>
      <w:r w:rsidR="004F7761">
        <w:t xml:space="preserve">the </w:t>
      </w:r>
      <w:r w:rsidR="001818BC">
        <w:t xml:space="preserve">purpose of payment was contribution for rent. </w:t>
      </w:r>
      <w:r>
        <w:t xml:space="preserve">It </w:t>
      </w:r>
      <w:proofErr w:type="gramStart"/>
      <w:r>
        <w:t>cannot be denied</w:t>
      </w:r>
      <w:proofErr w:type="gramEnd"/>
      <w:r>
        <w:t>, that logically,</w:t>
      </w:r>
      <w:r w:rsidR="001818BC">
        <w:t xml:space="preserve"> when there is no rent to be paid, the purpose </w:t>
      </w:r>
      <w:r>
        <w:t xml:space="preserve">of the contribution </w:t>
      </w:r>
      <w:r w:rsidR="001818BC">
        <w:t>ceases to exist</w:t>
      </w:r>
      <w:r>
        <w:t>.</w:t>
      </w:r>
    </w:p>
    <w:p w14:paraId="6B8C6E66" w14:textId="77619000" w:rsidR="001818BC" w:rsidRDefault="00700ED9" w:rsidP="001818BC">
      <w:pPr>
        <w:pStyle w:val="JudgmentText"/>
        <w:tabs>
          <w:tab w:val="left" w:pos="720"/>
        </w:tabs>
      </w:pPr>
      <w:r>
        <w:t>I</w:t>
      </w:r>
      <w:r w:rsidR="001818BC">
        <w:t xml:space="preserve"> must point out that the matter of the Respondent deciding to stop paying was conc</w:t>
      </w:r>
      <w:r>
        <w:t>erning, but it is important to note</w:t>
      </w:r>
      <w:r w:rsidR="001818BC">
        <w:t xml:space="preserve"> that </w:t>
      </w:r>
      <w:r>
        <w:t xml:space="preserve">it </w:t>
      </w:r>
      <w:r w:rsidR="001818BC">
        <w:t xml:space="preserve">is not </w:t>
      </w:r>
      <w:r>
        <w:t xml:space="preserve">the </w:t>
      </w:r>
      <w:r w:rsidR="001818BC">
        <w:t xml:space="preserve">issue we </w:t>
      </w:r>
      <w:r>
        <w:t xml:space="preserve">are </w:t>
      </w:r>
      <w:r w:rsidR="001818BC">
        <w:t xml:space="preserve">called upon to decide. We </w:t>
      </w:r>
      <w:proofErr w:type="gramStart"/>
      <w:r w:rsidR="001818BC">
        <w:t xml:space="preserve">are called </w:t>
      </w:r>
      <w:r w:rsidR="004F7761">
        <w:t>upon</w:t>
      </w:r>
      <w:proofErr w:type="gramEnd"/>
      <w:r w:rsidR="004F7761">
        <w:t xml:space="preserve"> </w:t>
      </w:r>
      <w:r w:rsidR="001818BC">
        <w:t>to decide the meaning of the clause quoted earlier.</w:t>
      </w:r>
    </w:p>
    <w:p w14:paraId="575DFC24" w14:textId="0DC1D253" w:rsidR="001818BC" w:rsidRDefault="004F7761" w:rsidP="004F7761">
      <w:pPr>
        <w:pStyle w:val="JudgmentText"/>
        <w:tabs>
          <w:tab w:val="left" w:pos="720"/>
        </w:tabs>
      </w:pPr>
      <w:r>
        <w:t xml:space="preserve">In our </w:t>
      </w:r>
      <w:r w:rsidR="001818BC">
        <w:t xml:space="preserve">respectful opinion, </w:t>
      </w:r>
      <w:r>
        <w:t>proceeding on the assumption that the clause that falls for determination is indee</w:t>
      </w:r>
      <w:r w:rsidR="00700ED9">
        <w:t>d ambiguous, it would seem to me</w:t>
      </w:r>
      <w:r>
        <w:t xml:space="preserve"> that </w:t>
      </w:r>
      <w:r w:rsidR="001818BC">
        <w:t xml:space="preserve">the true intention of the parties was for the Respondent to assist in rent payments considering that the Appellant had moved out of the matrimonial home </w:t>
      </w:r>
      <w:r w:rsidR="001818BC">
        <w:rPr>
          <w:u w:val="single"/>
        </w:rPr>
        <w:t>and</w:t>
      </w:r>
      <w:r w:rsidR="001818BC">
        <w:t xml:space="preserve"> had to look for rented accommodation. If the true intention was to make payments in consideration that the Appellant has moved out </w:t>
      </w:r>
      <w:r w:rsidR="001818BC">
        <w:rPr>
          <w:u w:val="single"/>
        </w:rPr>
        <w:t>only</w:t>
      </w:r>
      <w:r w:rsidR="001818BC">
        <w:t xml:space="preserve"> (as per Appellant’s argument), what was the purpose </w:t>
      </w:r>
      <w:proofErr w:type="gramStart"/>
      <w:r w:rsidR="001818BC">
        <w:t>to expressly state</w:t>
      </w:r>
      <w:proofErr w:type="gramEnd"/>
      <w:r w:rsidR="001818BC">
        <w:t xml:space="preserve"> that payment represent rent? </w:t>
      </w:r>
    </w:p>
    <w:p w14:paraId="4B9EC6A5" w14:textId="27D5EED5" w:rsidR="001818BC" w:rsidRDefault="00700ED9" w:rsidP="001818BC">
      <w:pPr>
        <w:pStyle w:val="JudgmentText"/>
        <w:tabs>
          <w:tab w:val="left" w:pos="720"/>
        </w:tabs>
      </w:pPr>
      <w:r>
        <w:t>It seems to me</w:t>
      </w:r>
      <w:r w:rsidR="001818BC">
        <w:t xml:space="preserve"> that if the true intention was to ass</w:t>
      </w:r>
      <w:r w:rsidR="004F7761">
        <w:t xml:space="preserve">ist with rent payment, logically </w:t>
      </w:r>
      <w:r w:rsidR="001818BC">
        <w:t>then once the Appellant was not paying rent there is no need for assistance with it and the Respondent is not obliged by that clause to continue making rent contributions.</w:t>
      </w:r>
    </w:p>
    <w:p w14:paraId="5538209E" w14:textId="350A4911" w:rsidR="00700ED9" w:rsidRDefault="00700ED9" w:rsidP="001818BC">
      <w:pPr>
        <w:pStyle w:val="JudgmentText"/>
        <w:tabs>
          <w:tab w:val="left" w:pos="720"/>
        </w:tabs>
      </w:pPr>
      <w:r>
        <w:t>This is not a conclusion my heart would have preferred, but the law dictates that this appeal should fail.</w:t>
      </w:r>
    </w:p>
    <w:p w14:paraId="2537926B" w14:textId="57DB58B0" w:rsidR="001818BC" w:rsidRDefault="001818BC" w:rsidP="00401AE2">
      <w:pPr>
        <w:pStyle w:val="JudgmentText"/>
        <w:tabs>
          <w:tab w:val="left" w:pos="720"/>
        </w:tabs>
        <w:spacing w:line="240" w:lineRule="auto"/>
      </w:pPr>
      <w:r>
        <w:t>In the result, this appeal is without merit a</w:t>
      </w:r>
      <w:r w:rsidR="00700ED9">
        <w:t xml:space="preserve">nd it </w:t>
      </w:r>
      <w:proofErr w:type="gramStart"/>
      <w:r w:rsidR="00700ED9">
        <w:t>is dismissed</w:t>
      </w:r>
      <w:proofErr w:type="gramEnd"/>
      <w:r w:rsidR="00700ED9">
        <w:t>. I</w:t>
      </w:r>
      <w:r>
        <w:t xml:space="preserve"> make no order as to costs.</w:t>
      </w:r>
    </w:p>
    <w:p w14:paraId="1D93CE21" w14:textId="7B6AD5F1" w:rsidR="001818BC" w:rsidRPr="00401AE2" w:rsidRDefault="00401AE2" w:rsidP="00401AE2">
      <w:pPr>
        <w:spacing w:line="240" w:lineRule="auto"/>
        <w:ind w:left="-360"/>
        <w:jc w:val="both"/>
        <w:rPr>
          <w:rFonts w:ascii="Times New Roman" w:hAnsi="Times New Roman" w:cs="Times New Roman"/>
          <w:sz w:val="44"/>
          <w:szCs w:val="44"/>
        </w:rPr>
      </w:pPr>
      <w:r>
        <w:rPr>
          <w:rFonts w:ascii="Times New Roman" w:hAnsi="Times New Roman"/>
          <w:noProof/>
          <w:sz w:val="24"/>
          <w:szCs w:val="24"/>
          <w:lang w:val="en-US"/>
        </w:rPr>
        <w:lastRenderedPageBreak/>
        <w:drawing>
          <wp:inline distT="0" distB="0" distL="0" distR="0" wp14:anchorId="4C9E7EAD" wp14:editId="7A301D0F">
            <wp:extent cx="37052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5225" cy="695325"/>
                    </a:xfrm>
                    <a:prstGeom prst="rect">
                      <a:avLst/>
                    </a:prstGeom>
                    <a:noFill/>
                    <a:ln>
                      <a:noFill/>
                    </a:ln>
                  </pic:spPr>
                </pic:pic>
              </a:graphicData>
            </a:graphic>
          </wp:inline>
        </w:drawing>
      </w:r>
    </w:p>
    <w:p w14:paraId="6E9F54CB" w14:textId="49AECFB2" w:rsidR="00684570" w:rsidRPr="00C40F27" w:rsidRDefault="00684570" w:rsidP="00401AE2">
      <w:pPr>
        <w:pStyle w:val="ListParagraph"/>
        <w:spacing w:line="240" w:lineRule="auto"/>
        <w:ind w:left="0"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_______________________</w:t>
      </w:r>
    </w:p>
    <w:p w14:paraId="6030844D" w14:textId="656D08D2" w:rsidR="00684570" w:rsidRDefault="00EE2ED6" w:rsidP="00700ED9">
      <w:pPr>
        <w:pStyle w:val="ListParagraph"/>
        <w:spacing w:line="480" w:lineRule="auto"/>
        <w:ind w:left="0" w:right="720"/>
        <w:jc w:val="both"/>
        <w:rPr>
          <w:rFonts w:ascii="Times New Roman" w:hAnsi="Times New Roman" w:cs="Times New Roman"/>
          <w:color w:val="202124"/>
          <w:sz w:val="24"/>
          <w:szCs w:val="24"/>
          <w:shd w:val="clear" w:color="auto" w:fill="FFFFFF"/>
        </w:rPr>
      </w:pPr>
      <w:proofErr w:type="spellStart"/>
      <w:r>
        <w:rPr>
          <w:rFonts w:ascii="Times New Roman" w:hAnsi="Times New Roman" w:cs="Times New Roman"/>
          <w:color w:val="202124"/>
          <w:sz w:val="24"/>
          <w:szCs w:val="24"/>
          <w:shd w:val="clear" w:color="auto" w:fill="FFFFFF"/>
        </w:rPr>
        <w:t>Dr.</w:t>
      </w:r>
      <w:proofErr w:type="spellEnd"/>
      <w:r>
        <w:rPr>
          <w:rFonts w:ascii="Times New Roman" w:hAnsi="Times New Roman" w:cs="Times New Roman"/>
          <w:color w:val="202124"/>
          <w:sz w:val="24"/>
          <w:szCs w:val="24"/>
          <w:shd w:val="clear" w:color="auto" w:fill="FFFFFF"/>
        </w:rPr>
        <w:t xml:space="preserve"> O. </w:t>
      </w:r>
      <w:r w:rsidR="00684570">
        <w:rPr>
          <w:rFonts w:ascii="Times New Roman" w:hAnsi="Times New Roman" w:cs="Times New Roman"/>
          <w:color w:val="202124"/>
          <w:sz w:val="24"/>
          <w:szCs w:val="24"/>
          <w:shd w:val="clear" w:color="auto" w:fill="FFFFFF"/>
        </w:rPr>
        <w:t>Dingake</w:t>
      </w:r>
      <w:r>
        <w:rPr>
          <w:rFonts w:ascii="Times New Roman" w:hAnsi="Times New Roman" w:cs="Times New Roman"/>
          <w:color w:val="202124"/>
          <w:sz w:val="24"/>
          <w:szCs w:val="24"/>
          <w:shd w:val="clear" w:color="auto" w:fill="FFFFFF"/>
        </w:rPr>
        <w:t>,</w:t>
      </w:r>
      <w:r w:rsidR="00684570">
        <w:rPr>
          <w:rFonts w:ascii="Times New Roman" w:hAnsi="Times New Roman" w:cs="Times New Roman"/>
          <w:color w:val="202124"/>
          <w:sz w:val="24"/>
          <w:szCs w:val="24"/>
          <w:shd w:val="clear" w:color="auto" w:fill="FFFFFF"/>
        </w:rPr>
        <w:t xml:space="preserve"> JA</w:t>
      </w:r>
    </w:p>
    <w:p w14:paraId="22F83BA1" w14:textId="77777777" w:rsidR="00BF2AB7" w:rsidRDefault="00BF2AB7" w:rsidP="00700ED9">
      <w:pPr>
        <w:pStyle w:val="ListParagraph"/>
        <w:spacing w:line="480" w:lineRule="auto"/>
        <w:ind w:left="0" w:right="720"/>
        <w:jc w:val="both"/>
        <w:rPr>
          <w:rFonts w:ascii="Times New Roman" w:hAnsi="Times New Roman" w:cs="Times New Roman"/>
          <w:color w:val="202124"/>
          <w:sz w:val="24"/>
          <w:szCs w:val="24"/>
          <w:shd w:val="clear" w:color="auto" w:fill="FFFFFF"/>
        </w:rPr>
      </w:pPr>
    </w:p>
    <w:p w14:paraId="086D945A" w14:textId="77777777" w:rsidR="00401AE2" w:rsidRPr="00401AE2" w:rsidRDefault="00401AE2" w:rsidP="00401AE2">
      <w:pPr>
        <w:pStyle w:val="JudgmentText"/>
        <w:numPr>
          <w:ilvl w:val="0"/>
          <w:numId w:val="0"/>
        </w:numPr>
        <w:spacing w:line="480" w:lineRule="auto"/>
        <w:ind w:left="720" w:hanging="720"/>
        <w:rPr>
          <w:b/>
        </w:rPr>
      </w:pPr>
      <w:r w:rsidRPr="00401AE2">
        <w:rPr>
          <w:b/>
        </w:rPr>
        <w:t xml:space="preserve">FERNANDO, PRESIDENT </w:t>
      </w:r>
    </w:p>
    <w:p w14:paraId="6EE0EF73" w14:textId="77777777" w:rsidR="00401AE2" w:rsidRPr="00401AE2" w:rsidRDefault="00401AE2" w:rsidP="00401AE2">
      <w:pPr>
        <w:pStyle w:val="ListParagraph"/>
        <w:numPr>
          <w:ilvl w:val="0"/>
          <w:numId w:val="33"/>
        </w:numPr>
        <w:spacing w:line="360" w:lineRule="auto"/>
        <w:jc w:val="both"/>
        <w:rPr>
          <w:rFonts w:ascii="Times New Roman" w:hAnsi="Times New Roman" w:cs="Times New Roman"/>
          <w:sz w:val="24"/>
          <w:szCs w:val="24"/>
        </w:rPr>
      </w:pPr>
      <w:r w:rsidRPr="00401AE2">
        <w:rPr>
          <w:rFonts w:ascii="Times New Roman" w:hAnsi="Times New Roman" w:cs="Times New Roman"/>
          <w:sz w:val="24"/>
          <w:szCs w:val="24"/>
        </w:rPr>
        <w:t xml:space="preserve">I have read the Draft Judgment of Justice Dingake where he has set out the facts of this case correctly and the clause in the Consent Judgment that falls to </w:t>
      </w:r>
      <w:proofErr w:type="gramStart"/>
      <w:r w:rsidRPr="00401AE2">
        <w:rPr>
          <w:rFonts w:ascii="Times New Roman" w:hAnsi="Times New Roman" w:cs="Times New Roman"/>
          <w:sz w:val="24"/>
          <w:szCs w:val="24"/>
        </w:rPr>
        <w:t>be interpreted</w:t>
      </w:r>
      <w:proofErr w:type="gramEnd"/>
      <w:r w:rsidRPr="00401AE2">
        <w:rPr>
          <w:rFonts w:ascii="Times New Roman" w:hAnsi="Times New Roman" w:cs="Times New Roman"/>
          <w:sz w:val="24"/>
          <w:szCs w:val="24"/>
        </w:rPr>
        <w:t>.</w:t>
      </w:r>
    </w:p>
    <w:p w14:paraId="464EF5CE" w14:textId="77777777" w:rsidR="00401AE2" w:rsidRPr="00401AE2" w:rsidRDefault="00401AE2" w:rsidP="00401AE2">
      <w:pPr>
        <w:pStyle w:val="ListParagraph"/>
        <w:spacing w:line="360" w:lineRule="auto"/>
        <w:jc w:val="both"/>
        <w:rPr>
          <w:rFonts w:ascii="Times New Roman" w:hAnsi="Times New Roman" w:cs="Times New Roman"/>
          <w:sz w:val="24"/>
          <w:szCs w:val="24"/>
        </w:rPr>
      </w:pPr>
    </w:p>
    <w:p w14:paraId="5E38B062" w14:textId="77777777" w:rsidR="00401AE2" w:rsidRPr="00401AE2" w:rsidRDefault="00401AE2" w:rsidP="00401AE2">
      <w:pPr>
        <w:pStyle w:val="ListParagraph"/>
        <w:numPr>
          <w:ilvl w:val="0"/>
          <w:numId w:val="33"/>
        </w:numPr>
        <w:spacing w:line="360" w:lineRule="auto"/>
        <w:jc w:val="both"/>
        <w:rPr>
          <w:rFonts w:ascii="Times New Roman" w:hAnsi="Times New Roman" w:cs="Times New Roman"/>
          <w:sz w:val="24"/>
          <w:szCs w:val="24"/>
        </w:rPr>
      </w:pPr>
      <w:r w:rsidRPr="00401AE2">
        <w:rPr>
          <w:rFonts w:ascii="Times New Roman" w:hAnsi="Times New Roman" w:cs="Times New Roman"/>
          <w:sz w:val="24"/>
          <w:szCs w:val="24"/>
        </w:rPr>
        <w:t xml:space="preserve">I agree with Justice Dingake that the fate of this appeal turns on the interpretation of a court order obtained </w:t>
      </w:r>
      <w:proofErr w:type="gramStart"/>
      <w:r w:rsidRPr="00401AE2">
        <w:rPr>
          <w:rFonts w:ascii="Times New Roman" w:hAnsi="Times New Roman" w:cs="Times New Roman"/>
          <w:sz w:val="24"/>
          <w:szCs w:val="24"/>
        </w:rPr>
        <w:t>on the basis of</w:t>
      </w:r>
      <w:proofErr w:type="gramEnd"/>
      <w:r w:rsidRPr="00401AE2">
        <w:rPr>
          <w:rFonts w:ascii="Times New Roman" w:hAnsi="Times New Roman" w:cs="Times New Roman"/>
          <w:sz w:val="24"/>
          <w:szCs w:val="24"/>
        </w:rPr>
        <w:t xml:space="preserve"> a Consent judgment and that a clause in an agreement has to be interpreted as a whole. There is no need to look into anything else in considering this appeal. I also agree with him that the court must be slow to impose terms on an agreement, which were not within the contemplation of the parties when they made the agreement.  The intention of the parties in this case has to be gathered from clause </w:t>
      </w:r>
      <w:proofErr w:type="spellStart"/>
      <w:proofErr w:type="gramStart"/>
      <w:r w:rsidRPr="00401AE2">
        <w:rPr>
          <w:rFonts w:ascii="Times New Roman" w:hAnsi="Times New Roman" w:cs="Times New Roman"/>
          <w:sz w:val="24"/>
          <w:szCs w:val="24"/>
        </w:rPr>
        <w:t>i</w:t>
      </w:r>
      <w:proofErr w:type="spellEnd"/>
      <w:r w:rsidRPr="00401AE2">
        <w:rPr>
          <w:rFonts w:ascii="Times New Roman" w:hAnsi="Times New Roman" w:cs="Times New Roman"/>
          <w:sz w:val="24"/>
          <w:szCs w:val="24"/>
        </w:rPr>
        <w:t>(</w:t>
      </w:r>
      <w:proofErr w:type="gramEnd"/>
      <w:r w:rsidRPr="00401AE2">
        <w:rPr>
          <w:rFonts w:ascii="Times New Roman" w:hAnsi="Times New Roman" w:cs="Times New Roman"/>
          <w:sz w:val="24"/>
          <w:szCs w:val="24"/>
        </w:rPr>
        <w:t xml:space="preserve">d) of the Consent Judgment as there was no other evidence placed before the Court. </w:t>
      </w:r>
    </w:p>
    <w:p w14:paraId="3FD3838E" w14:textId="77777777" w:rsidR="00401AE2" w:rsidRPr="00401AE2" w:rsidRDefault="00401AE2" w:rsidP="00401AE2">
      <w:pPr>
        <w:pStyle w:val="ListParagraph"/>
        <w:spacing w:line="360" w:lineRule="auto"/>
        <w:rPr>
          <w:rFonts w:ascii="Times New Roman" w:hAnsi="Times New Roman" w:cs="Times New Roman"/>
          <w:sz w:val="24"/>
          <w:szCs w:val="24"/>
        </w:rPr>
      </w:pPr>
    </w:p>
    <w:p w14:paraId="306AC444" w14:textId="77777777" w:rsidR="00401AE2" w:rsidRPr="00401AE2" w:rsidRDefault="00401AE2" w:rsidP="00401AE2">
      <w:pPr>
        <w:pStyle w:val="ListParagraph"/>
        <w:numPr>
          <w:ilvl w:val="0"/>
          <w:numId w:val="33"/>
        </w:numPr>
        <w:spacing w:line="360" w:lineRule="auto"/>
        <w:jc w:val="both"/>
        <w:rPr>
          <w:rFonts w:ascii="Times New Roman" w:hAnsi="Times New Roman" w:cs="Times New Roman"/>
          <w:sz w:val="24"/>
          <w:szCs w:val="24"/>
        </w:rPr>
      </w:pPr>
      <w:r w:rsidRPr="00401AE2">
        <w:rPr>
          <w:rFonts w:ascii="Times New Roman" w:hAnsi="Times New Roman" w:cs="Times New Roman"/>
          <w:sz w:val="24"/>
          <w:szCs w:val="24"/>
        </w:rPr>
        <w:t xml:space="preserve">I have set down herein clause </w:t>
      </w:r>
      <w:proofErr w:type="spellStart"/>
      <w:r w:rsidRPr="00401AE2">
        <w:rPr>
          <w:rFonts w:ascii="Times New Roman" w:hAnsi="Times New Roman" w:cs="Times New Roman"/>
          <w:sz w:val="24"/>
          <w:szCs w:val="24"/>
        </w:rPr>
        <w:t>i</w:t>
      </w:r>
      <w:proofErr w:type="spellEnd"/>
      <w:r w:rsidRPr="00401AE2">
        <w:rPr>
          <w:rFonts w:ascii="Times New Roman" w:hAnsi="Times New Roman" w:cs="Times New Roman"/>
          <w:sz w:val="24"/>
          <w:szCs w:val="24"/>
        </w:rPr>
        <w:t>(d) of the Consent Judgment that falls for interpretation for purposes of convenience:</w:t>
      </w:r>
    </w:p>
    <w:p w14:paraId="0AF82AD7" w14:textId="77777777" w:rsidR="00401AE2" w:rsidRPr="00401AE2" w:rsidRDefault="00401AE2" w:rsidP="00401AE2">
      <w:pPr>
        <w:pStyle w:val="ListParagraph"/>
        <w:spacing w:line="360" w:lineRule="auto"/>
        <w:rPr>
          <w:rFonts w:ascii="Times New Roman" w:hAnsi="Times New Roman" w:cs="Times New Roman"/>
          <w:sz w:val="24"/>
          <w:szCs w:val="24"/>
        </w:rPr>
      </w:pPr>
    </w:p>
    <w:p w14:paraId="6D902E2E" w14:textId="77777777" w:rsidR="00401AE2" w:rsidRPr="00401AE2" w:rsidRDefault="00401AE2" w:rsidP="00401AE2">
      <w:pPr>
        <w:pStyle w:val="ListParagraph"/>
        <w:spacing w:line="360" w:lineRule="auto"/>
        <w:jc w:val="both"/>
        <w:rPr>
          <w:rFonts w:ascii="Times New Roman" w:hAnsi="Times New Roman" w:cs="Times New Roman"/>
          <w:sz w:val="24"/>
          <w:szCs w:val="24"/>
        </w:rPr>
      </w:pPr>
      <w:r w:rsidRPr="00401AE2">
        <w:rPr>
          <w:rFonts w:ascii="Times New Roman" w:hAnsi="Times New Roman" w:cs="Times New Roman"/>
          <w:sz w:val="24"/>
          <w:szCs w:val="24"/>
        </w:rPr>
        <w:t xml:space="preserve">“The petitioner shall pay the sum of SR 2,525/- every month to the Respondent, </w:t>
      </w:r>
      <w:bookmarkStart w:id="0" w:name="_Hlk90047062"/>
      <w:r w:rsidRPr="00401AE2">
        <w:rPr>
          <w:rFonts w:ascii="Times New Roman" w:hAnsi="Times New Roman" w:cs="Times New Roman"/>
          <w:sz w:val="24"/>
          <w:szCs w:val="24"/>
        </w:rPr>
        <w:t xml:space="preserve">as a consideration for her moving out of the matrimonial house together with the child </w:t>
      </w:r>
      <w:proofErr w:type="gramStart"/>
      <w:r w:rsidRPr="00401AE2">
        <w:rPr>
          <w:rFonts w:ascii="Times New Roman" w:hAnsi="Times New Roman" w:cs="Times New Roman"/>
          <w:sz w:val="24"/>
          <w:szCs w:val="24"/>
        </w:rPr>
        <w:t>Alexis,</w:t>
      </w:r>
      <w:proofErr w:type="gramEnd"/>
      <w:r w:rsidRPr="00401AE2">
        <w:rPr>
          <w:rFonts w:ascii="Times New Roman" w:hAnsi="Times New Roman" w:cs="Times New Roman"/>
          <w:sz w:val="24"/>
          <w:szCs w:val="24"/>
        </w:rPr>
        <w:t xml:space="preserve"> </w:t>
      </w:r>
      <w:bookmarkEnd w:id="0"/>
      <w:r w:rsidRPr="00401AE2">
        <w:rPr>
          <w:rFonts w:ascii="Times New Roman" w:hAnsi="Times New Roman" w:cs="Times New Roman"/>
          <w:sz w:val="24"/>
          <w:szCs w:val="24"/>
        </w:rPr>
        <w:t xml:space="preserve">such payment represents rent contribution for alternative accommodation for Alexis. Such payment to </w:t>
      </w:r>
      <w:proofErr w:type="gramStart"/>
      <w:r w:rsidRPr="00401AE2">
        <w:rPr>
          <w:rFonts w:ascii="Times New Roman" w:hAnsi="Times New Roman" w:cs="Times New Roman"/>
          <w:sz w:val="24"/>
          <w:szCs w:val="24"/>
        </w:rPr>
        <w:t>be made</w:t>
      </w:r>
      <w:proofErr w:type="gramEnd"/>
      <w:r w:rsidRPr="00401AE2">
        <w:rPr>
          <w:rFonts w:ascii="Times New Roman" w:hAnsi="Times New Roman" w:cs="Times New Roman"/>
          <w:sz w:val="24"/>
          <w:szCs w:val="24"/>
        </w:rPr>
        <w:t xml:space="preserve"> until the child Alexis attains the age of 18 years. The payment of such consideration is to begin when the Respondent moves out of the matrimonial home, which shall be within a period of not more than six months from the date of this judgment. The Petitioner shall contribute SR 1500 towards the cost of house moving”</w:t>
      </w:r>
    </w:p>
    <w:p w14:paraId="4F487DC4" w14:textId="77777777" w:rsidR="00401AE2" w:rsidRPr="00401AE2" w:rsidRDefault="00401AE2" w:rsidP="00401AE2">
      <w:pPr>
        <w:spacing w:line="360" w:lineRule="auto"/>
        <w:jc w:val="both"/>
        <w:rPr>
          <w:rFonts w:ascii="Times New Roman" w:hAnsi="Times New Roman" w:cs="Times New Roman"/>
          <w:sz w:val="24"/>
          <w:szCs w:val="24"/>
        </w:rPr>
      </w:pPr>
    </w:p>
    <w:p w14:paraId="2B0DA724" w14:textId="77777777" w:rsidR="00401AE2" w:rsidRPr="00401AE2" w:rsidRDefault="00401AE2" w:rsidP="00401AE2">
      <w:pPr>
        <w:pStyle w:val="ListParagraph"/>
        <w:numPr>
          <w:ilvl w:val="0"/>
          <w:numId w:val="33"/>
        </w:numPr>
        <w:spacing w:line="360" w:lineRule="auto"/>
        <w:jc w:val="both"/>
        <w:rPr>
          <w:rFonts w:ascii="Times New Roman" w:hAnsi="Times New Roman" w:cs="Times New Roman"/>
          <w:sz w:val="24"/>
          <w:szCs w:val="24"/>
        </w:rPr>
      </w:pPr>
      <w:r w:rsidRPr="00401AE2">
        <w:rPr>
          <w:rFonts w:ascii="Times New Roman" w:hAnsi="Times New Roman" w:cs="Times New Roman"/>
          <w:sz w:val="24"/>
          <w:szCs w:val="24"/>
        </w:rPr>
        <w:lastRenderedPageBreak/>
        <w:t xml:space="preserve">I disagree with Justice Dingake </w:t>
      </w:r>
      <w:proofErr w:type="gramStart"/>
      <w:r w:rsidRPr="00401AE2">
        <w:rPr>
          <w:rFonts w:ascii="Times New Roman" w:hAnsi="Times New Roman" w:cs="Times New Roman"/>
          <w:sz w:val="24"/>
          <w:szCs w:val="24"/>
        </w:rPr>
        <w:t>in regard to</w:t>
      </w:r>
      <w:proofErr w:type="gramEnd"/>
      <w:r w:rsidRPr="00401AE2">
        <w:rPr>
          <w:rFonts w:ascii="Times New Roman" w:hAnsi="Times New Roman" w:cs="Times New Roman"/>
          <w:sz w:val="24"/>
          <w:szCs w:val="24"/>
        </w:rPr>
        <w:t xml:space="preserve"> his pronouncement at the second sentence in paragraph 14 of the judgment and his subsequent statements in support of the pronouncement he had made therein. Paragraph 14 of the judgment states: “As for the intention of the parties it seems to me that the intention of the parties was that the Respondent was to help out the Appellant with the rent as she is moving out of the matrimonial home with the child. </w:t>
      </w:r>
      <w:r w:rsidRPr="00401AE2">
        <w:rPr>
          <w:rFonts w:ascii="Times New Roman" w:hAnsi="Times New Roman" w:cs="Times New Roman"/>
          <w:sz w:val="24"/>
          <w:szCs w:val="24"/>
          <w:u w:val="single"/>
        </w:rPr>
        <w:t>Consequently, if there is no rent to pay why should the Respondent pay the contribution to the rent</w:t>
      </w:r>
      <w:proofErr w:type="gramStart"/>
      <w:r w:rsidRPr="00401AE2">
        <w:rPr>
          <w:rFonts w:ascii="Times New Roman" w:hAnsi="Times New Roman" w:cs="Times New Roman"/>
          <w:sz w:val="24"/>
          <w:szCs w:val="24"/>
        </w:rPr>
        <w:t>?...</w:t>
      </w:r>
      <w:proofErr w:type="gramEnd"/>
      <w:r w:rsidRPr="00401AE2">
        <w:rPr>
          <w:rFonts w:ascii="Times New Roman" w:hAnsi="Times New Roman" w:cs="Times New Roman"/>
          <w:sz w:val="24"/>
          <w:szCs w:val="24"/>
        </w:rPr>
        <w:t>”</w:t>
      </w:r>
    </w:p>
    <w:p w14:paraId="45D1C8E0" w14:textId="77777777" w:rsidR="00401AE2" w:rsidRPr="00401AE2" w:rsidRDefault="00401AE2" w:rsidP="00401AE2">
      <w:pPr>
        <w:pStyle w:val="ListParagraph"/>
        <w:spacing w:line="360" w:lineRule="auto"/>
        <w:jc w:val="both"/>
        <w:rPr>
          <w:rFonts w:ascii="Times New Roman" w:hAnsi="Times New Roman" w:cs="Times New Roman"/>
          <w:sz w:val="24"/>
          <w:szCs w:val="24"/>
        </w:rPr>
      </w:pPr>
    </w:p>
    <w:p w14:paraId="1C140714" w14:textId="77777777" w:rsidR="00401AE2" w:rsidRPr="00401AE2" w:rsidRDefault="00401AE2" w:rsidP="00401AE2">
      <w:pPr>
        <w:pStyle w:val="ListParagraph"/>
        <w:numPr>
          <w:ilvl w:val="0"/>
          <w:numId w:val="33"/>
        </w:numPr>
        <w:spacing w:line="360" w:lineRule="auto"/>
        <w:jc w:val="both"/>
        <w:rPr>
          <w:rFonts w:ascii="Times New Roman" w:hAnsi="Times New Roman" w:cs="Times New Roman"/>
          <w:sz w:val="24"/>
          <w:szCs w:val="24"/>
        </w:rPr>
      </w:pPr>
      <w:r w:rsidRPr="00401AE2">
        <w:rPr>
          <w:rFonts w:ascii="Times New Roman" w:hAnsi="Times New Roman" w:cs="Times New Roman"/>
          <w:sz w:val="24"/>
          <w:szCs w:val="24"/>
        </w:rPr>
        <w:t xml:space="preserve">It is incorrect to say as stated by Justice Dingake, that the intention of the parties “was to help out the </w:t>
      </w:r>
      <w:r w:rsidRPr="00401AE2">
        <w:rPr>
          <w:rFonts w:ascii="Times New Roman" w:hAnsi="Times New Roman" w:cs="Times New Roman"/>
          <w:sz w:val="24"/>
          <w:szCs w:val="24"/>
          <w:u w:val="single"/>
        </w:rPr>
        <w:t>Appellant</w:t>
      </w:r>
      <w:r w:rsidRPr="00401AE2">
        <w:rPr>
          <w:rFonts w:ascii="Times New Roman" w:hAnsi="Times New Roman" w:cs="Times New Roman"/>
          <w:sz w:val="24"/>
          <w:szCs w:val="24"/>
        </w:rPr>
        <w:t xml:space="preserve"> with the rent”; for according to </w:t>
      </w:r>
      <w:proofErr w:type="spellStart"/>
      <w:proofErr w:type="gramStart"/>
      <w:r w:rsidRPr="00401AE2">
        <w:rPr>
          <w:rFonts w:ascii="Times New Roman" w:hAnsi="Times New Roman" w:cs="Times New Roman"/>
          <w:sz w:val="24"/>
          <w:szCs w:val="24"/>
        </w:rPr>
        <w:t>i</w:t>
      </w:r>
      <w:proofErr w:type="spellEnd"/>
      <w:r w:rsidRPr="00401AE2">
        <w:rPr>
          <w:rFonts w:ascii="Times New Roman" w:hAnsi="Times New Roman" w:cs="Times New Roman"/>
          <w:sz w:val="24"/>
          <w:szCs w:val="24"/>
        </w:rPr>
        <w:t>(</w:t>
      </w:r>
      <w:proofErr w:type="gramEnd"/>
      <w:r w:rsidRPr="00401AE2">
        <w:rPr>
          <w:rFonts w:ascii="Times New Roman" w:hAnsi="Times New Roman" w:cs="Times New Roman"/>
          <w:sz w:val="24"/>
          <w:szCs w:val="24"/>
        </w:rPr>
        <w:t xml:space="preserve">d) of the Consent judgment: “such payment represents rent contribution for alternative accommodation for </w:t>
      </w:r>
      <w:r w:rsidRPr="00401AE2">
        <w:rPr>
          <w:rFonts w:ascii="Times New Roman" w:hAnsi="Times New Roman" w:cs="Times New Roman"/>
          <w:sz w:val="24"/>
          <w:szCs w:val="24"/>
          <w:u w:val="single"/>
        </w:rPr>
        <w:t>Alexis</w:t>
      </w:r>
      <w:r w:rsidRPr="00401AE2">
        <w:rPr>
          <w:rFonts w:ascii="Times New Roman" w:hAnsi="Times New Roman" w:cs="Times New Roman"/>
          <w:sz w:val="24"/>
          <w:szCs w:val="24"/>
        </w:rPr>
        <w:t xml:space="preserve">” and not the Appellant. ‘Alternative accommodation’ has to </w:t>
      </w:r>
      <w:proofErr w:type="gramStart"/>
      <w:r w:rsidRPr="00401AE2">
        <w:rPr>
          <w:rFonts w:ascii="Times New Roman" w:hAnsi="Times New Roman" w:cs="Times New Roman"/>
          <w:sz w:val="24"/>
          <w:szCs w:val="24"/>
        </w:rPr>
        <w:t>be understood</w:t>
      </w:r>
      <w:proofErr w:type="gramEnd"/>
      <w:r w:rsidRPr="00401AE2">
        <w:rPr>
          <w:rFonts w:ascii="Times New Roman" w:hAnsi="Times New Roman" w:cs="Times New Roman"/>
          <w:sz w:val="24"/>
          <w:szCs w:val="24"/>
        </w:rPr>
        <w:t xml:space="preserve"> in this context as meaning, alternative to the matrimonial home he was living in.  It can be rent-free or rental accommodation for Alexis.</w:t>
      </w:r>
    </w:p>
    <w:p w14:paraId="47604B9A" w14:textId="77777777" w:rsidR="00401AE2" w:rsidRPr="00401AE2" w:rsidRDefault="00401AE2" w:rsidP="00401AE2">
      <w:pPr>
        <w:pStyle w:val="ListParagraph"/>
        <w:spacing w:line="360" w:lineRule="auto"/>
        <w:rPr>
          <w:rFonts w:ascii="Times New Roman" w:hAnsi="Times New Roman" w:cs="Times New Roman"/>
          <w:sz w:val="24"/>
          <w:szCs w:val="24"/>
        </w:rPr>
      </w:pPr>
    </w:p>
    <w:p w14:paraId="54413BC5" w14:textId="77777777" w:rsidR="00401AE2" w:rsidRPr="00401AE2" w:rsidRDefault="00401AE2" w:rsidP="00401AE2">
      <w:pPr>
        <w:pStyle w:val="ListParagraph"/>
        <w:numPr>
          <w:ilvl w:val="0"/>
          <w:numId w:val="33"/>
        </w:numPr>
        <w:spacing w:line="360" w:lineRule="auto"/>
        <w:jc w:val="both"/>
        <w:rPr>
          <w:rFonts w:ascii="Times New Roman" w:hAnsi="Times New Roman" w:cs="Times New Roman"/>
          <w:sz w:val="24"/>
          <w:szCs w:val="24"/>
        </w:rPr>
      </w:pPr>
      <w:r w:rsidRPr="00401AE2">
        <w:rPr>
          <w:rFonts w:ascii="Times New Roman" w:hAnsi="Times New Roman" w:cs="Times New Roman"/>
          <w:sz w:val="24"/>
          <w:szCs w:val="24"/>
        </w:rPr>
        <w:t xml:space="preserve">I agree with paragraph 15 of his judgment where Justice Dingake states: “Although the clause is not a model of clarity and may be capable of several meanings, </w:t>
      </w:r>
      <w:r w:rsidRPr="00401AE2">
        <w:rPr>
          <w:rFonts w:ascii="Times New Roman" w:hAnsi="Times New Roman" w:cs="Times New Roman"/>
          <w:sz w:val="24"/>
          <w:szCs w:val="24"/>
          <w:u w:val="single"/>
        </w:rPr>
        <w:t xml:space="preserve">read as a whole, the clause obligated the Respondent to contribute to rental payment and this obligation was to subsist </w:t>
      </w:r>
      <w:r w:rsidRPr="00401AE2">
        <w:rPr>
          <w:rFonts w:ascii="Times New Roman" w:hAnsi="Times New Roman" w:cs="Times New Roman"/>
          <w:b/>
          <w:sz w:val="24"/>
          <w:szCs w:val="24"/>
          <w:u w:val="single"/>
        </w:rPr>
        <w:t>until the child was 18 years</w:t>
      </w:r>
      <w:r w:rsidRPr="00401AE2">
        <w:rPr>
          <w:rFonts w:ascii="Times New Roman" w:hAnsi="Times New Roman" w:cs="Times New Roman"/>
          <w:sz w:val="24"/>
          <w:szCs w:val="24"/>
        </w:rPr>
        <w:t>.”</w:t>
      </w:r>
    </w:p>
    <w:p w14:paraId="659ED2D3" w14:textId="77777777" w:rsidR="00401AE2" w:rsidRPr="00401AE2" w:rsidRDefault="00401AE2" w:rsidP="00401AE2">
      <w:pPr>
        <w:pStyle w:val="ListParagraph"/>
        <w:spacing w:line="360" w:lineRule="auto"/>
        <w:rPr>
          <w:rFonts w:ascii="Times New Roman" w:hAnsi="Times New Roman" w:cs="Times New Roman"/>
          <w:sz w:val="24"/>
          <w:szCs w:val="24"/>
        </w:rPr>
      </w:pPr>
    </w:p>
    <w:p w14:paraId="190AD5D3" w14:textId="77777777" w:rsidR="00401AE2" w:rsidRPr="00401AE2" w:rsidRDefault="00401AE2" w:rsidP="00401AE2">
      <w:pPr>
        <w:pStyle w:val="ListParagraph"/>
        <w:numPr>
          <w:ilvl w:val="0"/>
          <w:numId w:val="33"/>
        </w:numPr>
        <w:spacing w:line="360" w:lineRule="auto"/>
        <w:jc w:val="both"/>
        <w:rPr>
          <w:rFonts w:ascii="Times New Roman" w:hAnsi="Times New Roman" w:cs="Times New Roman"/>
          <w:sz w:val="24"/>
          <w:szCs w:val="24"/>
        </w:rPr>
      </w:pPr>
      <w:r w:rsidRPr="00401AE2">
        <w:rPr>
          <w:rFonts w:ascii="Times New Roman" w:hAnsi="Times New Roman" w:cs="Times New Roman"/>
          <w:sz w:val="24"/>
          <w:szCs w:val="24"/>
        </w:rPr>
        <w:t xml:space="preserve">The following sentences stand out in clause </w:t>
      </w:r>
      <w:proofErr w:type="spellStart"/>
      <w:r w:rsidRPr="00401AE2">
        <w:rPr>
          <w:rFonts w:ascii="Times New Roman" w:hAnsi="Times New Roman" w:cs="Times New Roman"/>
          <w:sz w:val="24"/>
          <w:szCs w:val="24"/>
        </w:rPr>
        <w:t>i</w:t>
      </w:r>
      <w:proofErr w:type="spellEnd"/>
      <w:r w:rsidRPr="00401AE2">
        <w:rPr>
          <w:rFonts w:ascii="Times New Roman" w:hAnsi="Times New Roman" w:cs="Times New Roman"/>
          <w:sz w:val="24"/>
          <w:szCs w:val="24"/>
        </w:rPr>
        <w:t xml:space="preserve"> (d) in support of the Appellant’s argument:</w:t>
      </w:r>
    </w:p>
    <w:p w14:paraId="4FB9CC14" w14:textId="77777777" w:rsidR="00401AE2" w:rsidRPr="00401AE2" w:rsidRDefault="00401AE2" w:rsidP="00401AE2">
      <w:pPr>
        <w:pStyle w:val="ListParagraph"/>
        <w:spacing w:line="360" w:lineRule="auto"/>
        <w:jc w:val="both"/>
        <w:rPr>
          <w:rFonts w:ascii="Times New Roman" w:hAnsi="Times New Roman" w:cs="Times New Roman"/>
          <w:sz w:val="24"/>
          <w:szCs w:val="24"/>
        </w:rPr>
      </w:pPr>
    </w:p>
    <w:p w14:paraId="25D6FF99" w14:textId="77777777" w:rsidR="00401AE2" w:rsidRPr="00401AE2" w:rsidRDefault="00401AE2" w:rsidP="00401AE2">
      <w:pPr>
        <w:pStyle w:val="ListParagraph"/>
        <w:numPr>
          <w:ilvl w:val="0"/>
          <w:numId w:val="34"/>
        </w:numPr>
        <w:spacing w:line="360" w:lineRule="auto"/>
        <w:jc w:val="both"/>
        <w:rPr>
          <w:rFonts w:ascii="Times New Roman" w:hAnsi="Times New Roman" w:cs="Times New Roman"/>
          <w:sz w:val="24"/>
          <w:szCs w:val="24"/>
        </w:rPr>
      </w:pPr>
      <w:r w:rsidRPr="00401AE2">
        <w:rPr>
          <w:rFonts w:ascii="Times New Roman" w:hAnsi="Times New Roman" w:cs="Times New Roman"/>
          <w:sz w:val="24"/>
          <w:szCs w:val="24"/>
        </w:rPr>
        <w:t>“The petitioner shall pay the sum of SR 2,525/-  every month to the Respondent, and that</w:t>
      </w:r>
    </w:p>
    <w:p w14:paraId="44184C60" w14:textId="77777777" w:rsidR="00401AE2" w:rsidRPr="00401AE2" w:rsidRDefault="00401AE2" w:rsidP="00401AE2">
      <w:pPr>
        <w:pStyle w:val="ListParagraph"/>
        <w:numPr>
          <w:ilvl w:val="0"/>
          <w:numId w:val="34"/>
        </w:numPr>
        <w:spacing w:line="360" w:lineRule="auto"/>
        <w:jc w:val="both"/>
        <w:rPr>
          <w:rFonts w:ascii="Times New Roman" w:hAnsi="Times New Roman" w:cs="Times New Roman"/>
          <w:sz w:val="24"/>
          <w:szCs w:val="24"/>
        </w:rPr>
      </w:pPr>
      <w:r w:rsidRPr="00401AE2">
        <w:rPr>
          <w:rFonts w:ascii="Times New Roman" w:hAnsi="Times New Roman" w:cs="Times New Roman"/>
          <w:sz w:val="24"/>
          <w:szCs w:val="24"/>
        </w:rPr>
        <w:t>as a consideration for her moving out of the matrimonial house together with the child Alexis,</w:t>
      </w:r>
    </w:p>
    <w:p w14:paraId="7336D6C3" w14:textId="77777777" w:rsidR="00401AE2" w:rsidRPr="00401AE2" w:rsidRDefault="00401AE2" w:rsidP="00401AE2">
      <w:pPr>
        <w:pStyle w:val="ListParagraph"/>
        <w:numPr>
          <w:ilvl w:val="0"/>
          <w:numId w:val="34"/>
        </w:numPr>
        <w:spacing w:line="360" w:lineRule="auto"/>
        <w:jc w:val="both"/>
        <w:rPr>
          <w:rFonts w:ascii="Times New Roman" w:hAnsi="Times New Roman" w:cs="Times New Roman"/>
          <w:sz w:val="24"/>
          <w:szCs w:val="24"/>
        </w:rPr>
      </w:pPr>
      <w:r w:rsidRPr="00401AE2">
        <w:rPr>
          <w:rFonts w:ascii="Times New Roman" w:hAnsi="Times New Roman" w:cs="Times New Roman"/>
          <w:sz w:val="24"/>
          <w:szCs w:val="24"/>
        </w:rPr>
        <w:t>Such payment to be made until the child Alexis attains the age of 18 years,</w:t>
      </w:r>
    </w:p>
    <w:p w14:paraId="19D9F984" w14:textId="77777777" w:rsidR="00401AE2" w:rsidRPr="00401AE2" w:rsidRDefault="00401AE2" w:rsidP="00401AE2">
      <w:pPr>
        <w:pStyle w:val="ListParagraph"/>
        <w:numPr>
          <w:ilvl w:val="0"/>
          <w:numId w:val="34"/>
        </w:numPr>
        <w:spacing w:line="360" w:lineRule="auto"/>
        <w:jc w:val="both"/>
        <w:rPr>
          <w:rFonts w:ascii="Times New Roman" w:hAnsi="Times New Roman" w:cs="Times New Roman"/>
          <w:sz w:val="24"/>
          <w:szCs w:val="24"/>
        </w:rPr>
      </w:pPr>
      <w:r w:rsidRPr="00401AE2">
        <w:rPr>
          <w:rFonts w:ascii="Times New Roman" w:hAnsi="Times New Roman" w:cs="Times New Roman"/>
          <w:sz w:val="24"/>
          <w:szCs w:val="24"/>
        </w:rPr>
        <w:t>The payment of such consideration is to begin when the Respondent moves out of the matrimonial home,”</w:t>
      </w:r>
    </w:p>
    <w:p w14:paraId="5A460E66" w14:textId="77777777" w:rsidR="00401AE2" w:rsidRPr="00401AE2" w:rsidRDefault="00401AE2" w:rsidP="00401AE2">
      <w:pPr>
        <w:pStyle w:val="ListParagraph"/>
        <w:spacing w:line="360" w:lineRule="auto"/>
        <w:rPr>
          <w:rFonts w:ascii="Times New Roman" w:hAnsi="Times New Roman" w:cs="Times New Roman"/>
          <w:sz w:val="24"/>
          <w:szCs w:val="24"/>
        </w:rPr>
      </w:pPr>
    </w:p>
    <w:p w14:paraId="4CA349E7" w14:textId="77777777" w:rsidR="00401AE2" w:rsidRPr="00401AE2" w:rsidRDefault="00401AE2" w:rsidP="00401AE2">
      <w:pPr>
        <w:pStyle w:val="ListParagraph"/>
        <w:numPr>
          <w:ilvl w:val="0"/>
          <w:numId w:val="33"/>
        </w:numPr>
        <w:spacing w:line="360" w:lineRule="auto"/>
        <w:jc w:val="both"/>
        <w:rPr>
          <w:rFonts w:ascii="Times New Roman" w:hAnsi="Times New Roman" w:cs="Times New Roman"/>
          <w:sz w:val="24"/>
          <w:szCs w:val="24"/>
        </w:rPr>
      </w:pPr>
      <w:r w:rsidRPr="00401AE2">
        <w:rPr>
          <w:rFonts w:ascii="Times New Roman" w:hAnsi="Times New Roman" w:cs="Times New Roman"/>
          <w:sz w:val="24"/>
          <w:szCs w:val="24"/>
        </w:rPr>
        <w:t>The only sentence that the Respondent relies on, in support of his argument is:</w:t>
      </w:r>
    </w:p>
    <w:p w14:paraId="2F56FD82" w14:textId="77777777" w:rsidR="00401AE2" w:rsidRPr="00401AE2" w:rsidRDefault="00401AE2" w:rsidP="00401AE2">
      <w:pPr>
        <w:pStyle w:val="ListParagraph"/>
        <w:spacing w:line="360" w:lineRule="auto"/>
        <w:jc w:val="both"/>
        <w:rPr>
          <w:rFonts w:ascii="Times New Roman" w:hAnsi="Times New Roman" w:cs="Times New Roman"/>
          <w:sz w:val="24"/>
          <w:szCs w:val="24"/>
        </w:rPr>
      </w:pPr>
    </w:p>
    <w:p w14:paraId="37482EDB" w14:textId="77777777" w:rsidR="00401AE2" w:rsidRPr="00401AE2" w:rsidRDefault="00401AE2" w:rsidP="00401AE2">
      <w:pPr>
        <w:pStyle w:val="ListParagraph"/>
        <w:spacing w:line="360" w:lineRule="auto"/>
        <w:jc w:val="both"/>
        <w:rPr>
          <w:rFonts w:ascii="Times New Roman" w:hAnsi="Times New Roman" w:cs="Times New Roman"/>
          <w:sz w:val="24"/>
          <w:szCs w:val="24"/>
        </w:rPr>
      </w:pPr>
      <w:r w:rsidRPr="00401AE2">
        <w:rPr>
          <w:rFonts w:ascii="Times New Roman" w:hAnsi="Times New Roman" w:cs="Times New Roman"/>
          <w:sz w:val="24"/>
          <w:szCs w:val="24"/>
        </w:rPr>
        <w:t>“Such payment represents rent contribution for alternative accommodation for Alexis.”</w:t>
      </w:r>
    </w:p>
    <w:p w14:paraId="673A5E19" w14:textId="77777777" w:rsidR="00401AE2" w:rsidRPr="00BF2AB7" w:rsidRDefault="00401AE2" w:rsidP="00401AE2">
      <w:pPr>
        <w:spacing w:line="360" w:lineRule="auto"/>
        <w:jc w:val="both"/>
        <w:rPr>
          <w:rFonts w:ascii="Times New Roman" w:hAnsi="Times New Roman" w:cs="Times New Roman"/>
          <w:sz w:val="10"/>
          <w:szCs w:val="10"/>
        </w:rPr>
      </w:pPr>
    </w:p>
    <w:p w14:paraId="4538DD6B" w14:textId="0FFCAEE3" w:rsidR="00401AE2" w:rsidRDefault="00401AE2" w:rsidP="00401AE2">
      <w:pPr>
        <w:pStyle w:val="ListParagraph"/>
        <w:numPr>
          <w:ilvl w:val="0"/>
          <w:numId w:val="33"/>
        </w:numPr>
        <w:spacing w:line="360" w:lineRule="auto"/>
        <w:jc w:val="both"/>
        <w:rPr>
          <w:rFonts w:ascii="Times New Roman" w:hAnsi="Times New Roman" w:cs="Times New Roman"/>
          <w:sz w:val="24"/>
          <w:szCs w:val="24"/>
        </w:rPr>
      </w:pPr>
      <w:r w:rsidRPr="00401AE2">
        <w:rPr>
          <w:rFonts w:ascii="Times New Roman" w:hAnsi="Times New Roman" w:cs="Times New Roman"/>
          <w:sz w:val="24"/>
          <w:szCs w:val="24"/>
        </w:rPr>
        <w:t xml:space="preserve">In my view clause </w:t>
      </w:r>
      <w:proofErr w:type="spellStart"/>
      <w:proofErr w:type="gramStart"/>
      <w:r w:rsidRPr="00401AE2">
        <w:rPr>
          <w:rFonts w:ascii="Times New Roman" w:hAnsi="Times New Roman" w:cs="Times New Roman"/>
          <w:sz w:val="24"/>
          <w:szCs w:val="24"/>
        </w:rPr>
        <w:t>i</w:t>
      </w:r>
      <w:proofErr w:type="spellEnd"/>
      <w:r w:rsidRPr="00401AE2">
        <w:rPr>
          <w:rFonts w:ascii="Times New Roman" w:hAnsi="Times New Roman" w:cs="Times New Roman"/>
          <w:sz w:val="24"/>
          <w:szCs w:val="24"/>
        </w:rPr>
        <w:t>(</w:t>
      </w:r>
      <w:proofErr w:type="gramEnd"/>
      <w:r w:rsidRPr="00401AE2">
        <w:rPr>
          <w:rFonts w:ascii="Times New Roman" w:hAnsi="Times New Roman" w:cs="Times New Roman"/>
          <w:sz w:val="24"/>
          <w:szCs w:val="24"/>
        </w:rPr>
        <w:t xml:space="preserve">d) read as a whole, cannot be interpreted to mean anything other than what is set out in paragraph 6 above.  </w:t>
      </w:r>
    </w:p>
    <w:p w14:paraId="6BCDE64C" w14:textId="77777777" w:rsidR="00401AE2" w:rsidRPr="00401AE2" w:rsidRDefault="00401AE2" w:rsidP="00401AE2">
      <w:pPr>
        <w:pStyle w:val="ListParagraph"/>
        <w:spacing w:line="360" w:lineRule="auto"/>
        <w:jc w:val="both"/>
        <w:rPr>
          <w:rFonts w:ascii="Times New Roman" w:hAnsi="Times New Roman" w:cs="Times New Roman"/>
          <w:sz w:val="24"/>
          <w:szCs w:val="24"/>
        </w:rPr>
      </w:pPr>
    </w:p>
    <w:p w14:paraId="319320C6" w14:textId="77777777" w:rsidR="00401AE2" w:rsidRPr="00401AE2" w:rsidRDefault="00401AE2" w:rsidP="00401AE2">
      <w:pPr>
        <w:pStyle w:val="ListParagraph"/>
        <w:numPr>
          <w:ilvl w:val="0"/>
          <w:numId w:val="33"/>
        </w:numPr>
        <w:spacing w:line="360" w:lineRule="auto"/>
        <w:jc w:val="both"/>
        <w:rPr>
          <w:rFonts w:ascii="Times New Roman" w:hAnsi="Times New Roman" w:cs="Times New Roman"/>
          <w:sz w:val="24"/>
          <w:szCs w:val="24"/>
        </w:rPr>
      </w:pPr>
      <w:r w:rsidRPr="00401AE2">
        <w:rPr>
          <w:rFonts w:ascii="Times New Roman" w:hAnsi="Times New Roman" w:cs="Times New Roman"/>
          <w:sz w:val="24"/>
          <w:szCs w:val="24"/>
        </w:rPr>
        <w:t xml:space="preserve">Counsel for the Appellant had argued before the Supreme Court that the real underlined reason why the payment was to </w:t>
      </w:r>
      <w:proofErr w:type="gramStart"/>
      <w:r w:rsidRPr="00401AE2">
        <w:rPr>
          <w:rFonts w:ascii="Times New Roman" w:hAnsi="Times New Roman" w:cs="Times New Roman"/>
          <w:sz w:val="24"/>
          <w:szCs w:val="24"/>
        </w:rPr>
        <w:t>be made</w:t>
      </w:r>
      <w:proofErr w:type="gramEnd"/>
      <w:r w:rsidRPr="00401AE2">
        <w:rPr>
          <w:rFonts w:ascii="Times New Roman" w:hAnsi="Times New Roman" w:cs="Times New Roman"/>
          <w:sz w:val="24"/>
          <w:szCs w:val="24"/>
        </w:rPr>
        <w:t xml:space="preserve"> as mentioned in the Judgment by Consent is consideration for her moving out of the matrimonial house together with the child and relinquishing her rights in the matrimonial home. This according to him was regardless of whether she had to pay rent or not. Counsel for the Respondent had argued before the Supreme Court that the sum of SR 2525.00 was for rental payment. He had </w:t>
      </w:r>
      <w:proofErr w:type="gramStart"/>
      <w:r w:rsidRPr="00401AE2">
        <w:rPr>
          <w:rFonts w:ascii="Times New Roman" w:hAnsi="Times New Roman" w:cs="Times New Roman"/>
          <w:sz w:val="24"/>
          <w:szCs w:val="24"/>
        </w:rPr>
        <w:t>said</w:t>
      </w:r>
      <w:proofErr w:type="gramEnd"/>
      <w:r w:rsidRPr="00401AE2">
        <w:rPr>
          <w:rFonts w:ascii="Times New Roman" w:hAnsi="Times New Roman" w:cs="Times New Roman"/>
          <w:sz w:val="24"/>
          <w:szCs w:val="24"/>
        </w:rPr>
        <w:t xml:space="preserve"> “wherever you go, wherever you live in rental accommodation this shall be the figure that we shall fix now both parties agreed.” At the time the Consent Judgment was signed there was no indication whatsoever that the Appellant was to move into the house of another person who had been provided accommodation by his employer or that even if that were to happen, that the Appellant would not have to contribute towards the rent. There was no evidence before the Court that the person with whom the Appellant would settle down would receive free accommodation from his employer and even if that </w:t>
      </w:r>
      <w:proofErr w:type="gramStart"/>
      <w:r w:rsidRPr="00401AE2">
        <w:rPr>
          <w:rFonts w:ascii="Times New Roman" w:hAnsi="Times New Roman" w:cs="Times New Roman"/>
          <w:sz w:val="24"/>
          <w:szCs w:val="24"/>
        </w:rPr>
        <w:t>be</w:t>
      </w:r>
      <w:proofErr w:type="gramEnd"/>
      <w:r w:rsidRPr="00401AE2">
        <w:rPr>
          <w:rFonts w:ascii="Times New Roman" w:hAnsi="Times New Roman" w:cs="Times New Roman"/>
          <w:sz w:val="24"/>
          <w:szCs w:val="24"/>
        </w:rPr>
        <w:t xml:space="preserve"> the case, such person will not ask for payment of rent from the Respondent. This is because, accommodation even if provided free to an employee by the employer, a value is placed on it from the point of view of the employee and it forms part of his remuneration package. It was therefore absurd for the counsel for the Respondent to have argued before the Supreme Court: “If she is now going to move out or the relationship breaks up or she is obliged to pay rents and of course my client will resume paying the payment for his son.” In my </w:t>
      </w:r>
      <w:proofErr w:type="gramStart"/>
      <w:r w:rsidRPr="00401AE2">
        <w:rPr>
          <w:rFonts w:ascii="Times New Roman" w:hAnsi="Times New Roman" w:cs="Times New Roman"/>
          <w:sz w:val="24"/>
          <w:szCs w:val="24"/>
        </w:rPr>
        <w:t>view</w:t>
      </w:r>
      <w:proofErr w:type="gramEnd"/>
      <w:r w:rsidRPr="00401AE2">
        <w:rPr>
          <w:rFonts w:ascii="Times New Roman" w:hAnsi="Times New Roman" w:cs="Times New Roman"/>
          <w:sz w:val="24"/>
          <w:szCs w:val="24"/>
        </w:rPr>
        <w:t xml:space="preserve"> Consent Judgments are not entered on the basis of contingencies, which could keep on changing. I am also of the view that a party to a Consent judgment cannot unilaterally stop, start, and then stop and start once again in abiding by the conditions agreed in a Consent Judgment, without having recourse to Court. The only instance stated in the Consent Judgment when payment of rent would cease is when Alexis attains the age of 18 years.  There is no mention in clause </w:t>
      </w:r>
      <w:proofErr w:type="spellStart"/>
      <w:proofErr w:type="gramStart"/>
      <w:r w:rsidRPr="00401AE2">
        <w:rPr>
          <w:rFonts w:ascii="Times New Roman" w:hAnsi="Times New Roman" w:cs="Times New Roman"/>
          <w:sz w:val="24"/>
          <w:szCs w:val="24"/>
        </w:rPr>
        <w:t>i</w:t>
      </w:r>
      <w:proofErr w:type="spellEnd"/>
      <w:r w:rsidRPr="00401AE2">
        <w:rPr>
          <w:rFonts w:ascii="Times New Roman" w:hAnsi="Times New Roman" w:cs="Times New Roman"/>
          <w:sz w:val="24"/>
          <w:szCs w:val="24"/>
        </w:rPr>
        <w:t>(</w:t>
      </w:r>
      <w:proofErr w:type="gramEnd"/>
      <w:r w:rsidRPr="00401AE2">
        <w:rPr>
          <w:rFonts w:ascii="Times New Roman" w:hAnsi="Times New Roman" w:cs="Times New Roman"/>
          <w:sz w:val="24"/>
          <w:szCs w:val="24"/>
        </w:rPr>
        <w:t xml:space="preserve">d) </w:t>
      </w:r>
      <w:r w:rsidRPr="00401AE2">
        <w:rPr>
          <w:rFonts w:ascii="Times New Roman" w:hAnsi="Times New Roman" w:cs="Times New Roman"/>
          <w:sz w:val="24"/>
          <w:szCs w:val="24"/>
        </w:rPr>
        <w:lastRenderedPageBreak/>
        <w:t>that the Respondent need not or can cease to pay the sum of SR 2,525/- if Alexis is to find rent free accommodation.</w:t>
      </w:r>
    </w:p>
    <w:p w14:paraId="745D09AB" w14:textId="77777777" w:rsidR="00401AE2" w:rsidRPr="00401AE2" w:rsidRDefault="00401AE2" w:rsidP="00401AE2">
      <w:pPr>
        <w:pStyle w:val="ListParagraph"/>
        <w:spacing w:line="360" w:lineRule="auto"/>
        <w:jc w:val="both"/>
        <w:rPr>
          <w:rFonts w:ascii="Times New Roman" w:hAnsi="Times New Roman" w:cs="Times New Roman"/>
          <w:sz w:val="24"/>
          <w:szCs w:val="24"/>
        </w:rPr>
      </w:pPr>
    </w:p>
    <w:p w14:paraId="3048D8BD" w14:textId="77777777" w:rsidR="00401AE2" w:rsidRPr="00401AE2" w:rsidRDefault="00401AE2" w:rsidP="00401AE2">
      <w:pPr>
        <w:pStyle w:val="ListParagraph"/>
        <w:numPr>
          <w:ilvl w:val="0"/>
          <w:numId w:val="33"/>
        </w:numPr>
        <w:spacing w:line="360" w:lineRule="auto"/>
        <w:jc w:val="both"/>
        <w:rPr>
          <w:rFonts w:ascii="Times New Roman" w:hAnsi="Times New Roman" w:cs="Times New Roman"/>
          <w:sz w:val="24"/>
          <w:szCs w:val="24"/>
        </w:rPr>
      </w:pPr>
      <w:r w:rsidRPr="00401AE2">
        <w:rPr>
          <w:rFonts w:ascii="Times New Roman" w:hAnsi="Times New Roman" w:cs="Times New Roman"/>
          <w:sz w:val="24"/>
          <w:szCs w:val="24"/>
        </w:rPr>
        <w:t xml:space="preserve">I therefore have no hesitation in allowing the appeal and ordering the relief prayed for at paragraph (ii) of the Notice of Appeal. I also order costs against the Respondent.  </w:t>
      </w:r>
    </w:p>
    <w:p w14:paraId="75AF889F" w14:textId="77777777" w:rsidR="00401AE2" w:rsidRPr="00401AE2" w:rsidRDefault="00401AE2" w:rsidP="00401AE2">
      <w:pPr>
        <w:pStyle w:val="ListParagraph"/>
        <w:rPr>
          <w:rFonts w:ascii="Times New Roman" w:hAnsi="Times New Roman" w:cs="Times New Roman"/>
          <w:sz w:val="24"/>
          <w:szCs w:val="24"/>
        </w:rPr>
      </w:pPr>
    </w:p>
    <w:p w14:paraId="6A194447" w14:textId="77777777" w:rsidR="00401AE2" w:rsidRPr="00401AE2" w:rsidRDefault="00401AE2" w:rsidP="00401AE2">
      <w:pPr>
        <w:pStyle w:val="ListParagraph"/>
        <w:spacing w:line="360" w:lineRule="auto"/>
        <w:jc w:val="both"/>
        <w:rPr>
          <w:rFonts w:ascii="Times New Roman" w:hAnsi="Times New Roman" w:cs="Times New Roman"/>
          <w:sz w:val="24"/>
          <w:szCs w:val="24"/>
        </w:rPr>
      </w:pPr>
    </w:p>
    <w:p w14:paraId="665D5632" w14:textId="77777777" w:rsidR="00401AE2" w:rsidRPr="00401AE2" w:rsidRDefault="00401AE2" w:rsidP="00401AE2">
      <w:pPr>
        <w:pStyle w:val="JudgmentText"/>
        <w:numPr>
          <w:ilvl w:val="0"/>
          <w:numId w:val="0"/>
        </w:numPr>
        <w:spacing w:line="240" w:lineRule="auto"/>
        <w:ind w:left="720" w:hanging="720"/>
        <w:rPr>
          <w:b/>
        </w:rPr>
      </w:pPr>
      <w:r w:rsidRPr="00401AE2">
        <w:rPr>
          <w:b/>
        </w:rPr>
        <w:t>__________________</w:t>
      </w:r>
    </w:p>
    <w:p w14:paraId="25C0A66A" w14:textId="77777777" w:rsidR="00401AE2" w:rsidRPr="00401AE2" w:rsidRDefault="00401AE2" w:rsidP="00401AE2">
      <w:pPr>
        <w:pStyle w:val="JudgmentText"/>
        <w:numPr>
          <w:ilvl w:val="0"/>
          <w:numId w:val="0"/>
        </w:numPr>
        <w:spacing w:line="240" w:lineRule="auto"/>
        <w:ind w:left="720" w:hanging="720"/>
      </w:pPr>
      <w:r w:rsidRPr="00401AE2">
        <w:t>Fernando, President</w:t>
      </w:r>
    </w:p>
    <w:p w14:paraId="6E515FD9" w14:textId="65B0C41F" w:rsidR="00401AE2" w:rsidRDefault="00401AE2" w:rsidP="00684570">
      <w:pPr>
        <w:spacing w:line="240" w:lineRule="auto"/>
        <w:ind w:right="720"/>
        <w:jc w:val="both"/>
        <w:rPr>
          <w:rFonts w:ascii="Times New Roman" w:hAnsi="Times New Roman" w:cs="Times New Roman"/>
          <w:color w:val="202124"/>
          <w:sz w:val="24"/>
          <w:szCs w:val="24"/>
          <w:shd w:val="clear" w:color="auto" w:fill="FFFFFF"/>
        </w:rPr>
      </w:pPr>
    </w:p>
    <w:p w14:paraId="4960BA72" w14:textId="766F7EF5" w:rsidR="00401AE2" w:rsidRDefault="00401AE2" w:rsidP="00684570">
      <w:pPr>
        <w:spacing w:line="240" w:lineRule="auto"/>
        <w:ind w:right="720"/>
        <w:jc w:val="both"/>
        <w:rPr>
          <w:rFonts w:ascii="Times New Roman" w:hAnsi="Times New Roman" w:cs="Times New Roman"/>
          <w:color w:val="202124"/>
          <w:sz w:val="24"/>
          <w:szCs w:val="24"/>
          <w:shd w:val="clear" w:color="auto" w:fill="FFFFFF"/>
        </w:rPr>
      </w:pPr>
    </w:p>
    <w:p w14:paraId="3457BDAE" w14:textId="39026E6B" w:rsidR="001D0217" w:rsidRPr="001D0217" w:rsidRDefault="001D0217" w:rsidP="00684570">
      <w:pPr>
        <w:spacing w:line="240" w:lineRule="auto"/>
        <w:ind w:right="720"/>
        <w:jc w:val="both"/>
        <w:rPr>
          <w:rFonts w:ascii="Times New Roman" w:hAnsi="Times New Roman" w:cs="Times New Roman"/>
          <w:b/>
          <w:color w:val="202124"/>
          <w:sz w:val="24"/>
          <w:szCs w:val="24"/>
          <w:shd w:val="clear" w:color="auto" w:fill="FFFFFF"/>
        </w:rPr>
      </w:pPr>
      <w:r>
        <w:rPr>
          <w:rFonts w:ascii="Times New Roman" w:hAnsi="Times New Roman" w:cs="Times New Roman"/>
          <w:b/>
          <w:color w:val="202124"/>
          <w:sz w:val="24"/>
          <w:szCs w:val="24"/>
          <w:shd w:val="clear" w:color="auto" w:fill="FFFFFF"/>
        </w:rPr>
        <w:t>ROBINSON, JA</w:t>
      </w:r>
    </w:p>
    <w:p w14:paraId="0E3B7741" w14:textId="77777777" w:rsidR="001D0217" w:rsidRPr="00486A1A" w:rsidRDefault="001D0217" w:rsidP="001D0217">
      <w:pPr>
        <w:jc w:val="both"/>
        <w:rPr>
          <w:rFonts w:ascii="Times New Roman" w:hAnsi="Times New Roman" w:cs="Times New Roman"/>
          <w:b/>
        </w:rPr>
      </w:pPr>
    </w:p>
    <w:p w14:paraId="1A5AAB91" w14:textId="77777777" w:rsidR="001D0217" w:rsidRDefault="001D0217" w:rsidP="001D0217">
      <w:pPr>
        <w:pStyle w:val="JudgmentText"/>
        <w:numPr>
          <w:ilvl w:val="0"/>
          <w:numId w:val="37"/>
        </w:numPr>
        <w:tabs>
          <w:tab w:val="left" w:pos="720"/>
        </w:tabs>
      </w:pPr>
      <w:r>
        <w:t xml:space="preserve">The facts of this case are not in dispute and are set out in the judgment of Dingake JA, who has dismissed the appeal. Fernando, President, has allowed the appeal in a separate judgment. I am also of the opinion that the appeal </w:t>
      </w:r>
      <w:proofErr w:type="gramStart"/>
      <w:r>
        <w:t>should be dismissed</w:t>
      </w:r>
      <w:proofErr w:type="gramEnd"/>
      <w:r>
        <w:t>. I give the reasons for my opinion.</w:t>
      </w:r>
    </w:p>
    <w:p w14:paraId="2374A0EF" w14:textId="77777777" w:rsidR="001D0217" w:rsidRDefault="001D0217" w:rsidP="001D0217">
      <w:pPr>
        <w:pStyle w:val="JudgmentText"/>
        <w:tabs>
          <w:tab w:val="left" w:pos="720"/>
        </w:tabs>
      </w:pPr>
      <w:r>
        <w:t xml:space="preserve">The issue, in this case, concerns paragraph </w:t>
      </w:r>
      <w:r>
        <w:rPr>
          <w:i/>
        </w:rPr>
        <w:t>″</w:t>
      </w:r>
      <w:proofErr w:type="spellStart"/>
      <w:r>
        <w:rPr>
          <w:i/>
        </w:rPr>
        <w:t>i</w:t>
      </w:r>
      <w:proofErr w:type="spellEnd"/>
      <w:r>
        <w:rPr>
          <w:i/>
        </w:rPr>
        <w:t xml:space="preserve"> (</w:t>
      </w:r>
      <w:r w:rsidRPr="00056038">
        <w:rPr>
          <w:i/>
        </w:rPr>
        <w:t>d</w:t>
      </w:r>
      <w:proofErr w:type="gramStart"/>
      <w:r w:rsidRPr="00056038">
        <w:rPr>
          <w:i/>
        </w:rPr>
        <w:t>)″</w:t>
      </w:r>
      <w:proofErr w:type="gramEnd"/>
      <w:r>
        <w:t xml:space="preserve"> of the judgment. I read that paragraph ―</w:t>
      </w:r>
    </w:p>
    <w:p w14:paraId="4C4EC0B3" w14:textId="77777777" w:rsidR="001D0217" w:rsidRDefault="001D0217" w:rsidP="001D0217">
      <w:pPr>
        <w:pStyle w:val="JudgmentText"/>
        <w:numPr>
          <w:ilvl w:val="0"/>
          <w:numId w:val="0"/>
        </w:numPr>
        <w:tabs>
          <w:tab w:val="left" w:pos="720"/>
        </w:tabs>
        <w:spacing w:line="240" w:lineRule="auto"/>
        <w:ind w:left="1440"/>
        <w:rPr>
          <w:i/>
        </w:rPr>
      </w:pPr>
      <w:proofErr w:type="gramStart"/>
      <w:r w:rsidRPr="00074F08">
        <w:rPr>
          <w:i/>
        </w:rPr>
        <w:t>″(</w:t>
      </w:r>
      <w:proofErr w:type="gramEnd"/>
      <w:r w:rsidRPr="00074F08">
        <w:rPr>
          <w:i/>
        </w:rPr>
        <w:t>d) the Petitioner shall pay the sum of SCR2,525/- every month to the Respondent, as a consideration for her moving out of the matrimonia</w:t>
      </w:r>
      <w:r>
        <w:rPr>
          <w:i/>
        </w:rPr>
        <w:t xml:space="preserve">l house together with the child </w:t>
      </w:r>
      <w:r w:rsidRPr="00074F08">
        <w:rPr>
          <w:i/>
        </w:rPr>
        <w:t xml:space="preserve">Alexis, </w:t>
      </w:r>
      <w:r w:rsidRPr="004D73A6">
        <w:rPr>
          <w:b/>
          <w:i/>
        </w:rPr>
        <w:t>such payment represents rent contribution for alternative accommodation for Alexis</w:t>
      </w:r>
      <w:r w:rsidRPr="00074F08">
        <w:rPr>
          <w:i/>
        </w:rPr>
        <w:t xml:space="preserve">. Such payment to </w:t>
      </w:r>
      <w:proofErr w:type="gramStart"/>
      <w:r w:rsidRPr="00074F08">
        <w:rPr>
          <w:i/>
        </w:rPr>
        <w:t>be made</w:t>
      </w:r>
      <w:proofErr w:type="gramEnd"/>
      <w:r w:rsidRPr="00074F08">
        <w:rPr>
          <w:i/>
        </w:rPr>
        <w:t xml:space="preserve"> until the child Alexis attains the age of 18 years. The payment of such consideration is to begin when the Respondent moves out of the matrimonial home, which shall be within a period of not more than six months from the date of this judgment. The Petitioner shall contribute SCR1</w:t>
      </w:r>
      <w:proofErr w:type="gramStart"/>
      <w:r w:rsidRPr="00074F08">
        <w:rPr>
          <w:i/>
        </w:rPr>
        <w:t>,500</w:t>
      </w:r>
      <w:proofErr w:type="gramEnd"/>
      <w:r w:rsidRPr="00074F08">
        <w:rPr>
          <w:i/>
        </w:rPr>
        <w:t xml:space="preserve"> towards the cost of house moving.″</w:t>
      </w:r>
      <w:r>
        <w:rPr>
          <w:i/>
        </w:rPr>
        <w:t xml:space="preserve"> </w:t>
      </w:r>
    </w:p>
    <w:p w14:paraId="04435EA2" w14:textId="77777777" w:rsidR="001D0217" w:rsidRDefault="001D0217" w:rsidP="001D0217">
      <w:pPr>
        <w:pStyle w:val="JudgmentText"/>
        <w:numPr>
          <w:ilvl w:val="0"/>
          <w:numId w:val="0"/>
        </w:numPr>
        <w:tabs>
          <w:tab w:val="left" w:pos="720"/>
        </w:tabs>
        <w:spacing w:after="0"/>
        <w:ind w:left="1440"/>
      </w:pPr>
      <w:r w:rsidRPr="004D73A6">
        <w:t>Emphasis is mine</w:t>
      </w:r>
    </w:p>
    <w:p w14:paraId="27922AE5" w14:textId="77777777" w:rsidR="001D0217" w:rsidRPr="004D73A6" w:rsidRDefault="001D0217" w:rsidP="001D0217">
      <w:pPr>
        <w:pStyle w:val="JudgmentText"/>
        <w:numPr>
          <w:ilvl w:val="0"/>
          <w:numId w:val="0"/>
        </w:numPr>
        <w:tabs>
          <w:tab w:val="left" w:pos="720"/>
        </w:tabs>
        <w:spacing w:after="0"/>
        <w:ind w:left="1440"/>
      </w:pPr>
    </w:p>
    <w:p w14:paraId="2D8455F4" w14:textId="77777777" w:rsidR="001D0217" w:rsidRDefault="001D0217" w:rsidP="001D0217">
      <w:pPr>
        <w:pStyle w:val="JudgmentText"/>
        <w:tabs>
          <w:tab w:val="left" w:pos="720"/>
        </w:tabs>
      </w:pPr>
      <w:r w:rsidRPr="00074F08">
        <w:t xml:space="preserve">The </w:t>
      </w:r>
      <w:r>
        <w:t xml:space="preserve">learned Judge, after having examined paragraph </w:t>
      </w:r>
      <w:r w:rsidRPr="00056038">
        <w:rPr>
          <w:i/>
        </w:rPr>
        <w:t>″</w:t>
      </w:r>
      <w:proofErr w:type="spellStart"/>
      <w:r w:rsidRPr="00056038">
        <w:rPr>
          <w:i/>
        </w:rPr>
        <w:t>i</w:t>
      </w:r>
      <w:proofErr w:type="spellEnd"/>
      <w:r w:rsidRPr="00056038">
        <w:rPr>
          <w:i/>
        </w:rPr>
        <w:t xml:space="preserve"> </w:t>
      </w:r>
      <w:r>
        <w:rPr>
          <w:i/>
        </w:rPr>
        <w:t>(</w:t>
      </w:r>
      <w:r w:rsidRPr="00056038">
        <w:rPr>
          <w:i/>
        </w:rPr>
        <w:t>d)″</w:t>
      </w:r>
      <w:r>
        <w:t xml:space="preserve"> of the judgment, in light of the oral submissions of the Appellant and the Respondent, concluded as follows ―</w:t>
      </w:r>
    </w:p>
    <w:p w14:paraId="48E24569" w14:textId="77777777" w:rsidR="001D0217" w:rsidRPr="005D68C6" w:rsidRDefault="001D0217" w:rsidP="001D0217">
      <w:pPr>
        <w:pStyle w:val="JudgmentText"/>
        <w:numPr>
          <w:ilvl w:val="0"/>
          <w:numId w:val="0"/>
        </w:numPr>
        <w:tabs>
          <w:tab w:val="left" w:pos="1440"/>
        </w:tabs>
        <w:spacing w:before="240" w:line="240" w:lineRule="auto"/>
        <w:ind w:left="1440"/>
        <w:rPr>
          <w:i/>
        </w:rPr>
      </w:pPr>
      <w:r>
        <w:rPr>
          <w:i/>
        </w:rPr>
        <w:lastRenderedPageBreak/>
        <w:t>″…</w:t>
      </w:r>
      <w:r w:rsidRPr="005D68C6">
        <w:rPr>
          <w:i/>
        </w:rPr>
        <w:t xml:space="preserve"> I am of the opinion that the payment of SR2</w:t>
      </w:r>
      <w:proofErr w:type="gramStart"/>
      <w:r w:rsidRPr="005D68C6">
        <w:rPr>
          <w:i/>
        </w:rPr>
        <w:t>,525</w:t>
      </w:r>
      <w:proofErr w:type="gramEnd"/>
      <w:r w:rsidRPr="005D68C6">
        <w:rPr>
          <w:i/>
        </w:rPr>
        <w:t xml:space="preserve"> every month is subject to the phrase ″such payment represents rent contribution for alternative accommodation for Alexis″. It speaks for itself that if there </w:t>
      </w:r>
      <w:proofErr w:type="gramStart"/>
      <w:r w:rsidRPr="005D68C6">
        <w:rPr>
          <w:i/>
        </w:rPr>
        <w:t>is</w:t>
      </w:r>
      <w:proofErr w:type="gramEnd"/>
      <w:r w:rsidRPr="005D68C6">
        <w:rPr>
          <w:i/>
        </w:rPr>
        <w:t xml:space="preserve"> rent free alternative accommodation for Alexis, the obligations would not arise.</w:t>
      </w:r>
    </w:p>
    <w:p w14:paraId="2B8DA9D5" w14:textId="77777777" w:rsidR="001D0217" w:rsidRPr="005D68C6" w:rsidRDefault="001D0217" w:rsidP="001D0217">
      <w:pPr>
        <w:pStyle w:val="JudgmentText"/>
        <w:numPr>
          <w:ilvl w:val="0"/>
          <w:numId w:val="0"/>
        </w:numPr>
        <w:tabs>
          <w:tab w:val="left" w:pos="1440"/>
        </w:tabs>
        <w:spacing w:before="240" w:line="240" w:lineRule="auto"/>
        <w:ind w:left="1440"/>
        <w:rPr>
          <w:i/>
        </w:rPr>
      </w:pPr>
      <w:r w:rsidRPr="005D68C6">
        <w:rPr>
          <w:i/>
        </w:rPr>
        <w:t>It is admitted between the parties that following the entering of the judgment by consent,</w:t>
      </w:r>
      <w:r>
        <w:rPr>
          <w:i/>
        </w:rPr>
        <w:t xml:space="preserve"> </w:t>
      </w:r>
      <w:r w:rsidRPr="005D68C6">
        <w:rPr>
          <w:i/>
        </w:rPr>
        <w:t xml:space="preserve">the Petitioner started to live with her boyfriend free of charge and </w:t>
      </w:r>
      <w:proofErr w:type="gramStart"/>
      <w:r w:rsidRPr="005D68C6">
        <w:rPr>
          <w:i/>
        </w:rPr>
        <w:t>no rent contribution is made by the Applicant regarding this accommodation</w:t>
      </w:r>
      <w:proofErr w:type="gramEnd"/>
      <w:r w:rsidRPr="005D68C6">
        <w:rPr>
          <w:i/>
        </w:rPr>
        <w:t>.</w:t>
      </w:r>
    </w:p>
    <w:p w14:paraId="74B91E4D" w14:textId="77777777" w:rsidR="001D0217" w:rsidRPr="005D68C6" w:rsidRDefault="001D0217" w:rsidP="001D0217">
      <w:pPr>
        <w:pStyle w:val="JudgmentText"/>
        <w:numPr>
          <w:ilvl w:val="0"/>
          <w:numId w:val="0"/>
        </w:numPr>
        <w:tabs>
          <w:tab w:val="left" w:pos="1440"/>
        </w:tabs>
        <w:spacing w:before="240" w:line="240" w:lineRule="auto"/>
        <w:ind w:left="1440"/>
        <w:rPr>
          <w:i/>
        </w:rPr>
      </w:pPr>
      <w:r w:rsidRPr="005D68C6">
        <w:rPr>
          <w:i/>
        </w:rPr>
        <w:t>Accordingly, I find that there arose no duty on the part of the Respondent to pay SR2</w:t>
      </w:r>
      <w:proofErr w:type="gramStart"/>
      <w:r w:rsidRPr="005D68C6">
        <w:rPr>
          <w:i/>
        </w:rPr>
        <w:t>,525</w:t>
      </w:r>
      <w:proofErr w:type="gramEnd"/>
      <w:r w:rsidRPr="005D68C6">
        <w:rPr>
          <w:i/>
        </w:rPr>
        <w:t xml:space="preserve"> monthly rent contribution towards the Petitioner. Thus, to this extent, I dismissed the Petition …″</w:t>
      </w:r>
      <w:r>
        <w:rPr>
          <w:i/>
        </w:rPr>
        <w:t>.</w:t>
      </w:r>
    </w:p>
    <w:p w14:paraId="7CCC6C93" w14:textId="77777777" w:rsidR="001D0217" w:rsidRDefault="001D0217" w:rsidP="001D0217">
      <w:pPr>
        <w:pStyle w:val="JudgmentText"/>
        <w:tabs>
          <w:tab w:val="left" w:pos="720"/>
        </w:tabs>
      </w:pPr>
      <w:r>
        <w:t>The Appellant has appealed the learned Judge's finding on two grounds of appeal.</w:t>
      </w:r>
    </w:p>
    <w:p w14:paraId="496E464D" w14:textId="77777777" w:rsidR="001D0217" w:rsidRDefault="001D0217" w:rsidP="001D0217">
      <w:pPr>
        <w:pStyle w:val="JudgmentText"/>
        <w:tabs>
          <w:tab w:val="left" w:pos="720"/>
        </w:tabs>
      </w:pPr>
      <w:r>
        <w:t xml:space="preserve">Ground one contended that the learned Judge failed to consider that the Respondent did not have the discretion under paragraph </w:t>
      </w:r>
      <w:r w:rsidRPr="00056038">
        <w:rPr>
          <w:i/>
        </w:rPr>
        <w:t>″</w:t>
      </w:r>
      <w:proofErr w:type="spellStart"/>
      <w:r>
        <w:rPr>
          <w:i/>
        </w:rPr>
        <w:t>i</w:t>
      </w:r>
      <w:proofErr w:type="spellEnd"/>
      <w:r>
        <w:rPr>
          <w:i/>
        </w:rPr>
        <w:t xml:space="preserve"> </w:t>
      </w:r>
      <w:r w:rsidRPr="00056038">
        <w:rPr>
          <w:i/>
        </w:rPr>
        <w:t>(d</w:t>
      </w:r>
      <w:proofErr w:type="gramStart"/>
      <w:r w:rsidRPr="00056038">
        <w:rPr>
          <w:i/>
        </w:rPr>
        <w:t>)″</w:t>
      </w:r>
      <w:proofErr w:type="gramEnd"/>
      <w:r>
        <w:rPr>
          <w:i/>
        </w:rPr>
        <w:t xml:space="preserve"> </w:t>
      </w:r>
      <w:r w:rsidRPr="00D72179">
        <w:t>of the judgment</w:t>
      </w:r>
      <w:r>
        <w:t xml:space="preserve"> to cease making payments before the child reached eighteen. </w:t>
      </w:r>
    </w:p>
    <w:p w14:paraId="268BDE67" w14:textId="77777777" w:rsidR="001D0217" w:rsidRPr="003378E2" w:rsidRDefault="001D0217" w:rsidP="001D0217">
      <w:pPr>
        <w:pStyle w:val="JudgmentText"/>
        <w:tabs>
          <w:tab w:val="left" w:pos="720"/>
        </w:tabs>
      </w:pPr>
      <w:r>
        <w:t xml:space="preserve">I </w:t>
      </w:r>
      <w:r w:rsidRPr="00CF64D4">
        <w:t>repeat ground two verbatim</w:t>
      </w:r>
      <w:r>
        <w:t xml:space="preserve"> ― </w:t>
      </w:r>
      <w:r w:rsidRPr="003378E2">
        <w:rPr>
          <w:i/>
        </w:rPr>
        <w:t>″The Learned Judge failed to appreciate that the reference to rent payable was only that, a reference to explain the monthly amount that was payable″</w:t>
      </w:r>
      <w:r>
        <w:rPr>
          <w:b/>
          <w:i/>
        </w:rPr>
        <w:t xml:space="preserve">. </w:t>
      </w:r>
    </w:p>
    <w:p w14:paraId="5EDFD482" w14:textId="77777777" w:rsidR="001D0217" w:rsidRDefault="001D0217" w:rsidP="001D0217">
      <w:pPr>
        <w:pStyle w:val="JudgmentText"/>
        <w:tabs>
          <w:tab w:val="left" w:pos="720"/>
        </w:tabs>
      </w:pPr>
      <w:r w:rsidRPr="00314A45">
        <w:t xml:space="preserve">Concerning these two grounds of appeal, I have considered the </w:t>
      </w:r>
      <w:r>
        <w:t>record, the skeleton heads of argument offered on behalf of the Appellant and the Respondent and the oral submissions of Counsel for the Appellant at the appeal.</w:t>
      </w:r>
    </w:p>
    <w:p w14:paraId="4BE856D1" w14:textId="77777777" w:rsidR="001D0217" w:rsidRPr="00314A45" w:rsidRDefault="001D0217" w:rsidP="001D0217">
      <w:pPr>
        <w:pStyle w:val="JudgmentText"/>
        <w:tabs>
          <w:tab w:val="left" w:pos="720"/>
        </w:tabs>
      </w:pPr>
      <w:r>
        <w:t>First, I deal with ground two of the grounds of appeal.</w:t>
      </w:r>
    </w:p>
    <w:p w14:paraId="2B5776BB" w14:textId="77777777" w:rsidR="001D0217" w:rsidRPr="003378E2" w:rsidRDefault="001D0217" w:rsidP="001D0217">
      <w:pPr>
        <w:pStyle w:val="JudgmentText"/>
        <w:tabs>
          <w:tab w:val="left" w:pos="720"/>
        </w:tabs>
      </w:pPr>
      <w:r>
        <w:t xml:space="preserve">With respect to this ground, prayer </w:t>
      </w:r>
      <w:r w:rsidRPr="003378E2">
        <w:rPr>
          <w:i/>
        </w:rPr>
        <w:t>(ii)</w:t>
      </w:r>
      <w:r>
        <w:t xml:space="preserve"> of the Appellant's prayers is asking for an order that will give effect to the Appellant's </w:t>
      </w:r>
      <w:r w:rsidRPr="003378E2">
        <w:t xml:space="preserve">interpretation of paragraph </w:t>
      </w:r>
      <w:r w:rsidRPr="003378E2">
        <w:rPr>
          <w:i/>
        </w:rPr>
        <w:t>″</w:t>
      </w:r>
      <w:proofErr w:type="spellStart"/>
      <w:r>
        <w:rPr>
          <w:i/>
        </w:rPr>
        <w:t>i</w:t>
      </w:r>
      <w:proofErr w:type="spellEnd"/>
      <w:r>
        <w:rPr>
          <w:i/>
        </w:rPr>
        <w:t xml:space="preserve"> </w:t>
      </w:r>
      <w:r w:rsidRPr="003378E2">
        <w:rPr>
          <w:i/>
        </w:rPr>
        <w:t>(d)″</w:t>
      </w:r>
      <w:r w:rsidRPr="003378E2">
        <w:t xml:space="preserve"> of the judgment as follows</w:t>
      </w:r>
      <w:r>
        <w:rPr>
          <w:i/>
        </w:rPr>
        <w:t xml:space="preserve"> ―</w:t>
      </w:r>
    </w:p>
    <w:p w14:paraId="55729F80" w14:textId="77777777" w:rsidR="001D0217" w:rsidRDefault="001D0217" w:rsidP="001D0217">
      <w:pPr>
        <w:pStyle w:val="JudgmentText"/>
        <w:numPr>
          <w:ilvl w:val="0"/>
          <w:numId w:val="0"/>
        </w:numPr>
        <w:tabs>
          <w:tab w:val="left" w:pos="1440"/>
        </w:tabs>
        <w:spacing w:after="0" w:line="240" w:lineRule="auto"/>
        <w:ind w:left="2160" w:hanging="720"/>
        <w:rPr>
          <w:i/>
        </w:rPr>
      </w:pPr>
      <w:proofErr w:type="gramStart"/>
      <w:r w:rsidRPr="003378E2">
        <w:rPr>
          <w:i/>
        </w:rPr>
        <w:t>″(</w:t>
      </w:r>
      <w:proofErr w:type="gramEnd"/>
      <w:r w:rsidRPr="003378E2">
        <w:rPr>
          <w:i/>
        </w:rPr>
        <w:t>ii)</w:t>
      </w:r>
      <w:r w:rsidRPr="003378E2">
        <w:rPr>
          <w:i/>
        </w:rPr>
        <w:tab/>
        <w:t xml:space="preserve">Ordering the Respondent </w:t>
      </w:r>
      <w:r>
        <w:rPr>
          <w:i/>
        </w:rPr>
        <w:t>to pay the Appellant SR 2,525 per month, from July 2012 (when the Respondent ceased making payments) until April 2019 (when the child became 18 years old) inclusive″.</w:t>
      </w:r>
    </w:p>
    <w:p w14:paraId="295DDADA" w14:textId="77777777" w:rsidR="001D0217" w:rsidRPr="003378E2" w:rsidRDefault="001D0217" w:rsidP="001D0217">
      <w:pPr>
        <w:pStyle w:val="JudgmentText"/>
        <w:numPr>
          <w:ilvl w:val="0"/>
          <w:numId w:val="0"/>
        </w:numPr>
        <w:tabs>
          <w:tab w:val="left" w:pos="1440"/>
        </w:tabs>
        <w:spacing w:after="0" w:line="240" w:lineRule="auto"/>
        <w:ind w:left="2160" w:hanging="720"/>
        <w:rPr>
          <w:i/>
        </w:rPr>
      </w:pPr>
    </w:p>
    <w:p w14:paraId="10A19F83" w14:textId="77777777" w:rsidR="001D0217" w:rsidRPr="00E0260B" w:rsidRDefault="001D0217" w:rsidP="001D0217">
      <w:pPr>
        <w:pStyle w:val="JudgmentText"/>
        <w:tabs>
          <w:tab w:val="left" w:pos="720"/>
        </w:tabs>
        <w:rPr>
          <w:i/>
        </w:rPr>
      </w:pPr>
      <w:r>
        <w:t>T</w:t>
      </w:r>
      <w:r w:rsidRPr="00E0260B">
        <w:t>he judgment rehearse</w:t>
      </w:r>
      <w:r>
        <w:t>d</w:t>
      </w:r>
      <w:r w:rsidRPr="00E0260B">
        <w:t xml:space="preserve"> the submissions of Counsel for the Appellant concerning</w:t>
      </w:r>
      <w:r>
        <w:t xml:space="preserve"> paragraph </w:t>
      </w:r>
      <w:r w:rsidRPr="00056038">
        <w:rPr>
          <w:i/>
        </w:rPr>
        <w:t>″</w:t>
      </w:r>
      <w:proofErr w:type="spellStart"/>
      <w:r w:rsidRPr="00056038">
        <w:rPr>
          <w:i/>
        </w:rPr>
        <w:t>i</w:t>
      </w:r>
      <w:proofErr w:type="spellEnd"/>
      <w:r w:rsidRPr="00056038">
        <w:rPr>
          <w:i/>
        </w:rPr>
        <w:t xml:space="preserve"> (d)″</w:t>
      </w:r>
      <w:r>
        <w:rPr>
          <w:i/>
        </w:rPr>
        <w:t xml:space="preserve"> </w:t>
      </w:r>
      <w:r>
        <w:t xml:space="preserve"> ―</w:t>
      </w:r>
    </w:p>
    <w:p w14:paraId="23710E8D" w14:textId="77777777" w:rsidR="001D0217" w:rsidRDefault="001D0217" w:rsidP="001D0217">
      <w:pPr>
        <w:pStyle w:val="JudgmentText"/>
        <w:numPr>
          <w:ilvl w:val="0"/>
          <w:numId w:val="0"/>
        </w:numPr>
        <w:tabs>
          <w:tab w:val="left" w:pos="1440"/>
        </w:tabs>
        <w:spacing w:before="240" w:line="240" w:lineRule="auto"/>
        <w:ind w:left="1440"/>
        <w:rPr>
          <w:i/>
        </w:rPr>
      </w:pPr>
      <w:proofErr w:type="gramStart"/>
      <w:r w:rsidRPr="00E0260B">
        <w:rPr>
          <w:i/>
        </w:rPr>
        <w:lastRenderedPageBreak/>
        <w:t>″</w:t>
      </w:r>
      <w:r w:rsidRPr="003378E2">
        <w:t>[</w:t>
      </w:r>
      <w:proofErr w:type="spellStart"/>
      <w:proofErr w:type="gramEnd"/>
      <w:r w:rsidRPr="003378E2">
        <w:t>i</w:t>
      </w:r>
      <w:proofErr w:type="spellEnd"/>
      <w:r w:rsidRPr="003378E2">
        <w:t>]</w:t>
      </w:r>
      <w:r w:rsidRPr="00E0260B">
        <w:rPr>
          <w:i/>
        </w:rPr>
        <w:t xml:space="preserve">t is the submission of the learned Counsel for the Petitioner that this clause imposed an obligation upon the Respondent to pay a sum of SR2525 every month to the Respondent, on a consideration for her moving out of the matrimonial house together with the child Alexis. According to the Learned </w:t>
      </w:r>
      <w:proofErr w:type="gramStart"/>
      <w:r w:rsidRPr="00E0260B">
        <w:rPr>
          <w:i/>
        </w:rPr>
        <w:t>Counsel</w:t>
      </w:r>
      <w:proofErr w:type="gramEnd"/>
      <w:r w:rsidRPr="00E0260B">
        <w:rPr>
          <w:i/>
        </w:rPr>
        <w:t xml:space="preserve"> this is a strict obligation. </w:t>
      </w:r>
      <w:r w:rsidRPr="00486A1A">
        <w:rPr>
          <w:b/>
          <w:i/>
        </w:rPr>
        <w:t xml:space="preserve">It is his submission that the request to pay arises </w:t>
      </w:r>
      <w:proofErr w:type="gramStart"/>
      <w:r w:rsidRPr="00486A1A">
        <w:rPr>
          <w:b/>
          <w:i/>
        </w:rPr>
        <w:t>as a result</w:t>
      </w:r>
      <w:proofErr w:type="gramEnd"/>
      <w:r w:rsidRPr="00486A1A">
        <w:rPr>
          <w:b/>
          <w:i/>
        </w:rPr>
        <w:t xml:space="preserve"> of the Applicant having to move out of the matrimonial house with their son Alexis and that it has nothing to do whether or not alternative free accommodation is available.</w:t>
      </w:r>
      <w:r>
        <w:rPr>
          <w:i/>
        </w:rPr>
        <w:t>″</w:t>
      </w:r>
    </w:p>
    <w:p w14:paraId="43480646" w14:textId="77777777" w:rsidR="001D0217" w:rsidRPr="00486A1A" w:rsidRDefault="001D0217" w:rsidP="001D0217">
      <w:pPr>
        <w:pStyle w:val="JudgmentText"/>
        <w:numPr>
          <w:ilvl w:val="0"/>
          <w:numId w:val="0"/>
        </w:numPr>
        <w:tabs>
          <w:tab w:val="left" w:pos="1440"/>
        </w:tabs>
        <w:spacing w:before="240" w:line="240" w:lineRule="auto"/>
        <w:ind w:left="1440"/>
      </w:pPr>
      <w:r w:rsidRPr="00486A1A">
        <w:t>E</w:t>
      </w:r>
      <w:r>
        <w:t>mphasis is mine</w:t>
      </w:r>
    </w:p>
    <w:p w14:paraId="3D25771C" w14:textId="77777777" w:rsidR="001D0217" w:rsidRPr="003378E2" w:rsidRDefault="001D0217" w:rsidP="001D0217">
      <w:pPr>
        <w:pStyle w:val="JudgmentText"/>
        <w:tabs>
          <w:tab w:val="left" w:pos="720"/>
        </w:tabs>
        <w:ind w:left="1440" w:hanging="1440"/>
      </w:pPr>
      <w:r w:rsidRPr="003378E2">
        <w:t>The submissions of Counsel for the Respondent are also rehearsed in the judgment ―</w:t>
      </w:r>
    </w:p>
    <w:p w14:paraId="6157322E" w14:textId="77777777" w:rsidR="001D0217" w:rsidRPr="00B0573A" w:rsidRDefault="001D0217" w:rsidP="001D0217">
      <w:pPr>
        <w:pStyle w:val="JudgmentText"/>
        <w:numPr>
          <w:ilvl w:val="0"/>
          <w:numId w:val="0"/>
        </w:numPr>
        <w:tabs>
          <w:tab w:val="left" w:pos="1440"/>
        </w:tabs>
        <w:spacing w:before="240" w:line="240" w:lineRule="auto"/>
        <w:ind w:left="1440"/>
        <w:rPr>
          <w:i/>
        </w:rPr>
      </w:pPr>
      <w:proofErr w:type="gramStart"/>
      <w:r w:rsidRPr="003378E2">
        <w:rPr>
          <w:i/>
        </w:rPr>
        <w:t>″</w:t>
      </w:r>
      <w:r w:rsidRPr="003378E2">
        <w:t>[</w:t>
      </w:r>
      <w:proofErr w:type="gramEnd"/>
      <w:r w:rsidRPr="003378E2">
        <w:t>o]</w:t>
      </w:r>
      <w:r w:rsidRPr="00B0573A">
        <w:rPr>
          <w:i/>
        </w:rPr>
        <w:t xml:space="preserve">n the other hand, the learned Counsel for the Respondent submitted to the contrary. It is his submission that the obligation of his client to pay the sum of SR2525 arises every month only if alternative accommodation for Alexis </w:t>
      </w:r>
      <w:proofErr w:type="gramStart"/>
      <w:r w:rsidRPr="00B0573A">
        <w:rPr>
          <w:i/>
        </w:rPr>
        <w:t>is needed</w:t>
      </w:r>
      <w:proofErr w:type="gramEnd"/>
      <w:r w:rsidRPr="00B0573A">
        <w:rPr>
          <w:i/>
        </w:rPr>
        <w:t>, in the sense that the Applicant had had to pay alternative rent accommodation for their son.</w:t>
      </w:r>
    </w:p>
    <w:p w14:paraId="692CF3B6" w14:textId="77777777" w:rsidR="001D0217" w:rsidRDefault="001D0217" w:rsidP="001D0217">
      <w:pPr>
        <w:pStyle w:val="JudgmentText"/>
        <w:numPr>
          <w:ilvl w:val="0"/>
          <w:numId w:val="0"/>
        </w:numPr>
        <w:tabs>
          <w:tab w:val="left" w:pos="1440"/>
        </w:tabs>
        <w:spacing w:before="240" w:line="240" w:lineRule="auto"/>
        <w:ind w:left="1440"/>
        <w:rPr>
          <w:i/>
        </w:rPr>
      </w:pPr>
      <w:r w:rsidRPr="00B0573A">
        <w:rPr>
          <w:i/>
        </w:rPr>
        <w:t>According to his submission in the event that the Petitioner gets free accommodation for both herself and his son following the judgment by consent, there would be no obligation for him to pay the monthly contribution of SR2525 every month</w:t>
      </w:r>
      <w:r>
        <w:rPr>
          <w:i/>
        </w:rPr>
        <w:t>″</w:t>
      </w:r>
      <w:r w:rsidRPr="00B0573A">
        <w:rPr>
          <w:i/>
        </w:rPr>
        <w:t>.</w:t>
      </w:r>
    </w:p>
    <w:p w14:paraId="7C8E879F" w14:textId="77777777" w:rsidR="001D0217" w:rsidRPr="00486A1A" w:rsidRDefault="001D0217" w:rsidP="001D0217">
      <w:pPr>
        <w:pStyle w:val="JudgmentText"/>
        <w:tabs>
          <w:tab w:val="left" w:pos="720"/>
        </w:tabs>
      </w:pPr>
      <w:r>
        <w:t xml:space="preserve">As I understand it ground two contended that the learned Judge failed to appreciate that the words </w:t>
      </w:r>
      <w:r w:rsidRPr="00CF64D4">
        <w:rPr>
          <w:i/>
        </w:rPr>
        <w:t>″rent payable″</w:t>
      </w:r>
      <w:r>
        <w:t xml:space="preserve"> in paragraph </w:t>
      </w:r>
      <w:r w:rsidRPr="00CF64D4">
        <w:rPr>
          <w:i/>
        </w:rPr>
        <w:t>″</w:t>
      </w:r>
      <w:proofErr w:type="spellStart"/>
      <w:r>
        <w:rPr>
          <w:i/>
        </w:rPr>
        <w:t>i</w:t>
      </w:r>
      <w:proofErr w:type="spellEnd"/>
      <w:r>
        <w:rPr>
          <w:i/>
        </w:rPr>
        <w:t xml:space="preserve"> </w:t>
      </w:r>
      <w:r w:rsidRPr="00CF64D4">
        <w:rPr>
          <w:i/>
        </w:rPr>
        <w:t>(d</w:t>
      </w:r>
      <w:proofErr w:type="gramStart"/>
      <w:r w:rsidRPr="00CF64D4">
        <w:rPr>
          <w:i/>
        </w:rPr>
        <w:t>)″</w:t>
      </w:r>
      <w:proofErr w:type="gramEnd"/>
      <w:r>
        <w:rPr>
          <w:i/>
        </w:rPr>
        <w:t xml:space="preserve"> </w:t>
      </w:r>
      <w:r w:rsidRPr="00FF17BF">
        <w:t>of the judgment</w:t>
      </w:r>
      <w:r w:rsidRPr="00CF64D4">
        <w:rPr>
          <w:i/>
        </w:rPr>
        <w:t xml:space="preserve"> </w:t>
      </w:r>
      <w:r>
        <w:t xml:space="preserve">referred to </w:t>
      </w:r>
      <w:r w:rsidRPr="00CF64D4">
        <w:rPr>
          <w:i/>
        </w:rPr>
        <w:t>″the monthly payable amount″.</w:t>
      </w:r>
    </w:p>
    <w:p w14:paraId="02F5DE4B" w14:textId="77777777" w:rsidR="001D0217" w:rsidRDefault="001D0217" w:rsidP="001D0217">
      <w:pPr>
        <w:pStyle w:val="JudgmentText"/>
        <w:tabs>
          <w:tab w:val="left" w:pos="720"/>
        </w:tabs>
      </w:pPr>
      <w:r w:rsidRPr="000F1951">
        <w:t xml:space="preserve">It </w:t>
      </w:r>
      <w:r>
        <w:t>is apparent</w:t>
      </w:r>
      <w:r w:rsidRPr="000F1951">
        <w:t xml:space="preserve"> that the learned </w:t>
      </w:r>
      <w:r>
        <w:t>Judge</w:t>
      </w:r>
      <w:r w:rsidRPr="000F1951">
        <w:t xml:space="preserve"> basing himself on the expressed words of </w:t>
      </w:r>
      <w:proofErr w:type="gramStart"/>
      <w:r>
        <w:t xml:space="preserve">paragraph </w:t>
      </w:r>
      <w:r w:rsidRPr="000F1951">
        <w:t xml:space="preserve"> </w:t>
      </w:r>
      <w:r w:rsidRPr="00B908E3">
        <w:rPr>
          <w:i/>
        </w:rPr>
        <w:t>″</w:t>
      </w:r>
      <w:proofErr w:type="spellStart"/>
      <w:proofErr w:type="gramEnd"/>
      <w:r>
        <w:rPr>
          <w:i/>
        </w:rPr>
        <w:t>i</w:t>
      </w:r>
      <w:proofErr w:type="spellEnd"/>
      <w:r>
        <w:rPr>
          <w:i/>
        </w:rPr>
        <w:t xml:space="preserve"> </w:t>
      </w:r>
      <w:r w:rsidRPr="00B908E3">
        <w:rPr>
          <w:i/>
        </w:rPr>
        <w:t xml:space="preserve">(d)″ </w:t>
      </w:r>
      <w:r w:rsidRPr="003378E2">
        <w:t>of the judgment</w:t>
      </w:r>
      <w:r w:rsidRPr="00B908E3">
        <w:rPr>
          <w:i/>
        </w:rPr>
        <w:t>,</w:t>
      </w:r>
      <w:r w:rsidRPr="000F1951">
        <w:t xml:space="preserve"> </w:t>
      </w:r>
      <w:r>
        <w:t>concluded that the</w:t>
      </w:r>
      <w:r w:rsidRPr="000F1951">
        <w:t xml:space="preserve"> Respondent was not responsible for m</w:t>
      </w:r>
      <w:r>
        <w:t>aking contribution payments toward rent for the child.</w:t>
      </w:r>
      <w:r w:rsidRPr="000F1951">
        <w:t xml:space="preserve"> </w:t>
      </w:r>
      <w:r>
        <w:t>Concerning this ground of appeal,</w:t>
      </w:r>
      <w:r w:rsidRPr="00CF64D4">
        <w:t xml:space="preserve"> I am concerned with</w:t>
      </w:r>
      <w:r>
        <w:t xml:space="preserve"> whether or not the learned Judge was correct in adopting such an approach. </w:t>
      </w:r>
    </w:p>
    <w:p w14:paraId="2D5D9CB8" w14:textId="77777777" w:rsidR="001D0217" w:rsidRDefault="001D0217" w:rsidP="001D0217">
      <w:pPr>
        <w:pStyle w:val="JudgmentText"/>
        <w:tabs>
          <w:tab w:val="left" w:pos="720"/>
        </w:tabs>
      </w:pPr>
      <w:r>
        <w:t>Section 131 of the Seychelles Code of Civil Procedure stipulates ―</w:t>
      </w:r>
    </w:p>
    <w:p w14:paraId="7B51FE88" w14:textId="77777777" w:rsidR="001D0217" w:rsidRDefault="001D0217" w:rsidP="001D0217">
      <w:pPr>
        <w:pStyle w:val="estatutes-1-sectionheading"/>
        <w:shd w:val="clear" w:color="auto" w:fill="FFFFFF"/>
        <w:spacing w:before="0" w:beforeAutospacing="0" w:after="0" w:afterAutospacing="0"/>
        <w:ind w:left="1440"/>
        <w:jc w:val="both"/>
        <w:rPr>
          <w:i/>
          <w:color w:val="000000"/>
          <w:lang w:val="en-GB"/>
        </w:rPr>
      </w:pPr>
      <w:proofErr w:type="gramStart"/>
      <w:r w:rsidRPr="00CF64D4">
        <w:rPr>
          <w:i/>
        </w:rPr>
        <w:t>″</w:t>
      </w:r>
      <w:r>
        <w:rPr>
          <w:i/>
          <w:color w:val="000000"/>
          <w:lang w:val="en-GB"/>
        </w:rPr>
        <w:t xml:space="preserve">131 </w:t>
      </w:r>
      <w:r w:rsidRPr="00CF64D4">
        <w:rPr>
          <w:i/>
          <w:color w:val="000000"/>
          <w:lang w:val="en-GB"/>
        </w:rPr>
        <w:t xml:space="preserve">The parties may at any stage of the suit before judgment, appear in court and file a judgment by consent signed by both parties, stating the terms and conditions agreed upon between them in settlement of the suit and the amount, if any, to be paid by either party to the other and the court, unless it see cause not to do so, </w:t>
      </w:r>
      <w:r w:rsidRPr="00C144AC">
        <w:rPr>
          <w:b/>
          <w:i/>
          <w:color w:val="000000"/>
          <w:lang w:val="en-GB"/>
        </w:rPr>
        <w:t>shall give judgment in accordance with such settlement″</w:t>
      </w:r>
      <w:r w:rsidRPr="00CF64D4">
        <w:rPr>
          <w:i/>
          <w:color w:val="000000"/>
          <w:lang w:val="en-GB"/>
        </w:rPr>
        <w:t>.</w:t>
      </w:r>
      <w:proofErr w:type="gramEnd"/>
      <w:r>
        <w:rPr>
          <w:i/>
          <w:color w:val="000000"/>
          <w:lang w:val="en-GB"/>
        </w:rPr>
        <w:t xml:space="preserve"> </w:t>
      </w:r>
    </w:p>
    <w:p w14:paraId="139EA763" w14:textId="77777777" w:rsidR="001D0217" w:rsidRDefault="001D0217" w:rsidP="001D0217">
      <w:pPr>
        <w:pStyle w:val="estatutes-1-sectionheading"/>
        <w:shd w:val="clear" w:color="auto" w:fill="FFFFFF"/>
        <w:spacing w:before="0" w:beforeAutospacing="0" w:after="0" w:afterAutospacing="0"/>
        <w:ind w:left="1440"/>
        <w:jc w:val="both"/>
        <w:rPr>
          <w:i/>
          <w:color w:val="000000"/>
          <w:lang w:val="en-GB"/>
        </w:rPr>
      </w:pPr>
    </w:p>
    <w:p w14:paraId="48883DBB" w14:textId="77777777" w:rsidR="001D0217" w:rsidRPr="00C144AC" w:rsidRDefault="001D0217" w:rsidP="001D0217">
      <w:pPr>
        <w:pStyle w:val="estatutes-1-sectionheading"/>
        <w:shd w:val="clear" w:color="auto" w:fill="FFFFFF"/>
        <w:spacing w:before="0" w:beforeAutospacing="0" w:after="0" w:afterAutospacing="0"/>
        <w:ind w:left="1440"/>
        <w:jc w:val="both"/>
        <w:rPr>
          <w:color w:val="000000"/>
          <w:lang w:val="en-GB"/>
        </w:rPr>
      </w:pPr>
      <w:r w:rsidRPr="00C144AC">
        <w:rPr>
          <w:color w:val="000000"/>
          <w:lang w:val="en-GB"/>
        </w:rPr>
        <w:t>Emphasis is mine</w:t>
      </w:r>
    </w:p>
    <w:p w14:paraId="2DB514B0" w14:textId="77777777" w:rsidR="001D0217" w:rsidRPr="00657BA3" w:rsidRDefault="001D0217" w:rsidP="001D0217">
      <w:pPr>
        <w:pStyle w:val="estatutes-1-sectionheading"/>
        <w:shd w:val="clear" w:color="auto" w:fill="FFFFFF"/>
        <w:spacing w:before="0" w:beforeAutospacing="0" w:after="0" w:afterAutospacing="0"/>
        <w:jc w:val="both"/>
        <w:rPr>
          <w:b/>
          <w:bCs/>
          <w:i/>
          <w:color w:val="000000"/>
          <w:lang w:val="en-GB"/>
        </w:rPr>
      </w:pPr>
    </w:p>
    <w:p w14:paraId="16E7710B" w14:textId="77777777" w:rsidR="001D0217" w:rsidRDefault="001D0217" w:rsidP="001D0217">
      <w:pPr>
        <w:pStyle w:val="JudgmentText"/>
        <w:tabs>
          <w:tab w:val="left" w:pos="720"/>
        </w:tabs>
      </w:pPr>
      <w:r>
        <w:t xml:space="preserve">See, for instance, </w:t>
      </w:r>
      <w:r w:rsidRPr="003378E2">
        <w:rPr>
          <w:i/>
        </w:rPr>
        <w:t xml:space="preserve">Marisa </w:t>
      </w:r>
      <w:proofErr w:type="spellStart"/>
      <w:r w:rsidRPr="003378E2">
        <w:rPr>
          <w:i/>
        </w:rPr>
        <w:t>Bantele-Lefevre</w:t>
      </w:r>
      <w:proofErr w:type="spellEnd"/>
      <w:r w:rsidRPr="003378E2">
        <w:rPr>
          <w:i/>
        </w:rPr>
        <w:t xml:space="preserve"> v Veronica Lanza SCA 43/2017</w:t>
      </w:r>
      <w:r>
        <w:rPr>
          <w:rStyle w:val="FootnoteReference"/>
          <w:i/>
        </w:rPr>
        <w:footnoteReference w:id="1"/>
      </w:r>
      <w:r>
        <w:t xml:space="preserve">, in which the Court of Appeal held ― </w:t>
      </w:r>
      <w:r w:rsidRPr="003378E2">
        <w:rPr>
          <w:i/>
        </w:rPr>
        <w:t xml:space="preserve">″the settlement of the parties </w:t>
      </w:r>
      <w:proofErr w:type="gramStart"/>
      <w:r w:rsidRPr="003378E2">
        <w:rPr>
          <w:i/>
        </w:rPr>
        <w:t>entered</w:t>
      </w:r>
      <w:proofErr w:type="gramEnd"/>
      <w:r w:rsidRPr="003378E2">
        <w:rPr>
          <w:i/>
        </w:rPr>
        <w:t xml:space="preserve"> as a judgment by consent, under section 131 of the Seychelles Code of Civil Procedure, becomes an enforceable judgment of the court″</w:t>
      </w:r>
      <w:r>
        <w:t xml:space="preserve">. </w:t>
      </w:r>
    </w:p>
    <w:p w14:paraId="47E862F3" w14:textId="19DD8CBC" w:rsidR="001D0217" w:rsidRDefault="001D0217" w:rsidP="001D0217">
      <w:pPr>
        <w:pStyle w:val="JudgmentText"/>
        <w:tabs>
          <w:tab w:val="left" w:pos="720"/>
        </w:tabs>
      </w:pPr>
      <w:r>
        <w:t xml:space="preserve">In parenthesis, I state that in </w:t>
      </w:r>
      <w:proofErr w:type="spellStart"/>
      <w:r w:rsidRPr="007D62ED">
        <w:rPr>
          <w:i/>
        </w:rPr>
        <w:t>Jessley</w:t>
      </w:r>
      <w:proofErr w:type="spellEnd"/>
      <w:r w:rsidRPr="007D62ED">
        <w:rPr>
          <w:i/>
        </w:rPr>
        <w:t xml:space="preserve"> Cecile v M. T Rose  &amp; ORS SCA 8/ 2009</w:t>
      </w:r>
      <w:r>
        <w:rPr>
          <w:rStyle w:val="FootnoteReference"/>
          <w:i/>
        </w:rPr>
        <w:footnoteReference w:id="2"/>
      </w:r>
      <w:r>
        <w:t xml:space="preserve">, the Court of Appeal, relying on French doctrine and jurisprudence, held that </w:t>
      </w:r>
      <w:r w:rsidRPr="007D62ED">
        <w:rPr>
          <w:i/>
        </w:rPr>
        <w:t>″the court agreement reached between the parties to a dispute results in a ″</w:t>
      </w:r>
      <w:proofErr w:type="spellStart"/>
      <w:r w:rsidRPr="007D62ED">
        <w:rPr>
          <w:i/>
        </w:rPr>
        <w:t>contrat</w:t>
      </w:r>
      <w:proofErr w:type="spellEnd"/>
      <w:r w:rsidRPr="007D62ED">
        <w:rPr>
          <w:i/>
        </w:rPr>
        <w:t xml:space="preserve"> </w:t>
      </w:r>
      <w:proofErr w:type="spellStart"/>
      <w:r w:rsidRPr="007D62ED">
        <w:rPr>
          <w:i/>
        </w:rPr>
        <w:t>judiciare</w:t>
      </w:r>
      <w:proofErr w:type="spellEnd"/>
      <w:r w:rsidRPr="007D62ED">
        <w:rPr>
          <w:i/>
        </w:rPr>
        <w:t xml:space="preserve">″. </w:t>
      </w:r>
      <w:r w:rsidRPr="00C212BF">
        <w:t>In</w:t>
      </w:r>
      <w:r w:rsidRPr="007D62ED">
        <w:rPr>
          <w:i/>
        </w:rPr>
        <w:t xml:space="preserve"> </w:t>
      </w:r>
      <w:r w:rsidRPr="007D62ED">
        <w:rPr>
          <w:b/>
        </w:rPr>
        <w:t xml:space="preserve">Marisa </w:t>
      </w:r>
      <w:proofErr w:type="spellStart"/>
      <w:r w:rsidRPr="007D62ED">
        <w:rPr>
          <w:b/>
        </w:rPr>
        <w:t>Bantele-Lefevre</w:t>
      </w:r>
      <w:proofErr w:type="spellEnd"/>
      <w:r w:rsidRPr="00C212BF">
        <w:t>,</w:t>
      </w:r>
      <w:r w:rsidRPr="007D62ED">
        <w:rPr>
          <w:b/>
          <w:i/>
        </w:rPr>
        <w:t xml:space="preserve"> </w:t>
      </w:r>
      <w:r w:rsidRPr="00BA5562">
        <w:t>the majority</w:t>
      </w:r>
      <w:r>
        <w:t xml:space="preserve"> judgment</w:t>
      </w:r>
      <w:r w:rsidRPr="007D62ED">
        <w:rPr>
          <w:b/>
          <w:i/>
        </w:rPr>
        <w:t xml:space="preserve"> </w:t>
      </w:r>
      <w:r w:rsidRPr="00BA5562">
        <w:t>disagreed with this finding</w:t>
      </w:r>
      <w:r>
        <w:t xml:space="preserve"> and gave reasons for its disagreement. The majority </w:t>
      </w:r>
      <w:r w:rsidR="00BB0934">
        <w:t>judgment</w:t>
      </w:r>
      <w:bookmarkStart w:id="1" w:name="_GoBack"/>
      <w:bookmarkEnd w:id="1"/>
      <w:r>
        <w:t xml:space="preserve"> in </w:t>
      </w:r>
      <w:r w:rsidRPr="007D62ED">
        <w:rPr>
          <w:b/>
        </w:rPr>
        <w:t xml:space="preserve">Marisa </w:t>
      </w:r>
      <w:proofErr w:type="spellStart"/>
      <w:r w:rsidRPr="007D62ED">
        <w:rPr>
          <w:b/>
        </w:rPr>
        <w:t>Bantele-Lefevre</w:t>
      </w:r>
      <w:proofErr w:type="spellEnd"/>
      <w:r>
        <w:t xml:space="preserve"> held that </w:t>
      </w:r>
      <w:r w:rsidRPr="00C212BF">
        <w:t xml:space="preserve">the procedure obtained in French jurisprudence with respect to a </w:t>
      </w:r>
      <w:r w:rsidRPr="007D62ED">
        <w:rPr>
          <w:i/>
        </w:rPr>
        <w:t>″</w:t>
      </w:r>
      <w:proofErr w:type="spellStart"/>
      <w:r w:rsidRPr="007D62ED">
        <w:rPr>
          <w:i/>
        </w:rPr>
        <w:t>contrat</w:t>
      </w:r>
      <w:proofErr w:type="spellEnd"/>
      <w:r w:rsidRPr="007D62ED">
        <w:rPr>
          <w:i/>
        </w:rPr>
        <w:t xml:space="preserve"> </w:t>
      </w:r>
      <w:proofErr w:type="spellStart"/>
      <w:r w:rsidRPr="007D62ED">
        <w:rPr>
          <w:i/>
        </w:rPr>
        <w:t>judiciare</w:t>
      </w:r>
      <w:proofErr w:type="spellEnd"/>
      <w:r w:rsidRPr="007D62ED">
        <w:rPr>
          <w:i/>
        </w:rPr>
        <w:t xml:space="preserve">″ </w:t>
      </w:r>
      <w:r w:rsidRPr="00C212BF">
        <w:t xml:space="preserve">is not analogous to the procedure </w:t>
      </w:r>
      <w:r>
        <w:t>obtained</w:t>
      </w:r>
      <w:r w:rsidRPr="00C212BF">
        <w:t xml:space="preserve"> in section 131 of the Seychelles Code of Civil Procedure. </w:t>
      </w:r>
      <w:r>
        <w:t xml:space="preserve">In this connection, I find it fitting to add that French jurisprudence does not give </w:t>
      </w:r>
      <w:r w:rsidRPr="007D62ED">
        <w:rPr>
          <w:i/>
        </w:rPr>
        <w:t xml:space="preserve">″les </w:t>
      </w:r>
      <w:proofErr w:type="spellStart"/>
      <w:r w:rsidRPr="007D62ED">
        <w:rPr>
          <w:i/>
        </w:rPr>
        <w:t>contrats</w:t>
      </w:r>
      <w:proofErr w:type="spellEnd"/>
      <w:r w:rsidRPr="007D62ED">
        <w:rPr>
          <w:i/>
        </w:rPr>
        <w:t xml:space="preserve"> </w:t>
      </w:r>
      <w:proofErr w:type="spellStart"/>
      <w:r w:rsidRPr="007D62ED">
        <w:rPr>
          <w:i/>
        </w:rPr>
        <w:t>judiciares</w:t>
      </w:r>
      <w:proofErr w:type="spellEnd"/>
      <w:r>
        <w:t xml:space="preserve"> </w:t>
      </w:r>
      <w:proofErr w:type="spellStart"/>
      <w:r w:rsidRPr="007D62ED">
        <w:rPr>
          <w:i/>
        </w:rPr>
        <w:t>l’autorité</w:t>
      </w:r>
      <w:proofErr w:type="spellEnd"/>
      <w:r w:rsidRPr="007D62ED">
        <w:rPr>
          <w:i/>
        </w:rPr>
        <w:t xml:space="preserve"> de la chose </w:t>
      </w:r>
      <w:proofErr w:type="spellStart"/>
      <w:r w:rsidRPr="007D62ED">
        <w:rPr>
          <w:i/>
        </w:rPr>
        <w:t>jugée</w:t>
      </w:r>
      <w:proofErr w:type="spellEnd"/>
      <w:r>
        <w:rPr>
          <w:rStyle w:val="FootnoteReference"/>
          <w:i/>
        </w:rPr>
        <w:footnoteReference w:id="3"/>
      </w:r>
      <w:r w:rsidRPr="007D62ED">
        <w:rPr>
          <w:i/>
        </w:rPr>
        <w:t>″.</w:t>
      </w:r>
      <w:r>
        <w:t xml:space="preserve"> Unquestionably, section 131 of the Seychelles Code of Civil Procedure gives ″</w:t>
      </w:r>
      <w:proofErr w:type="spellStart"/>
      <w:r w:rsidRPr="007D62ED">
        <w:rPr>
          <w:i/>
        </w:rPr>
        <w:t>l'autorité</w:t>
      </w:r>
      <w:proofErr w:type="spellEnd"/>
      <w:r w:rsidRPr="007D62ED">
        <w:rPr>
          <w:i/>
        </w:rPr>
        <w:t xml:space="preserve"> de la chose </w:t>
      </w:r>
      <w:proofErr w:type="spellStart"/>
      <w:r w:rsidRPr="007D62ED">
        <w:rPr>
          <w:i/>
        </w:rPr>
        <w:t>jugée</w:t>
      </w:r>
      <w:proofErr w:type="spellEnd"/>
      <w:r w:rsidRPr="007D62ED">
        <w:rPr>
          <w:i/>
        </w:rPr>
        <w:t>″</w:t>
      </w:r>
      <w:r>
        <w:t xml:space="preserve"> to a final, enforceable judgment of the court entered under that section. </w:t>
      </w:r>
    </w:p>
    <w:p w14:paraId="3928E7B5" w14:textId="77777777" w:rsidR="001D0217" w:rsidRDefault="001D0217" w:rsidP="001D0217">
      <w:pPr>
        <w:pStyle w:val="JudgmentText"/>
        <w:tabs>
          <w:tab w:val="left" w:pos="720"/>
        </w:tabs>
      </w:pPr>
      <w:r>
        <w:t>In light of the above, sections 147 and 150 of the Seychelles Code of Civil Procedure apply to a final judgment of the Supreme Court given in accordance with the parties' settlement.</w:t>
      </w:r>
    </w:p>
    <w:p w14:paraId="714DE604" w14:textId="77777777" w:rsidR="001D0217" w:rsidRPr="00CF64D4" w:rsidRDefault="001D0217" w:rsidP="001D0217">
      <w:pPr>
        <w:pStyle w:val="JudgmentText"/>
        <w:tabs>
          <w:tab w:val="left" w:pos="720"/>
        </w:tabs>
      </w:pPr>
      <w:r>
        <w:t xml:space="preserve">Under section 147 of the Seychelles Code of Civil Procedure, a legal remedy </w:t>
      </w:r>
      <w:proofErr w:type="gramStart"/>
      <w:r>
        <w:t>is stipulated</w:t>
      </w:r>
      <w:proofErr w:type="gramEnd"/>
      <w:r>
        <w:t xml:space="preserve"> for correcting clerical mistakes or errors arising from accidental slips or omissions in a judgment or order by the court on motion at any time ― the </w:t>
      </w:r>
      <w:r w:rsidRPr="004D4203">
        <w:rPr>
          <w:i/>
        </w:rPr>
        <w:t>″slip rule″</w:t>
      </w:r>
      <w:r>
        <w:t xml:space="preserve">. </w:t>
      </w:r>
    </w:p>
    <w:p w14:paraId="547E0A6F" w14:textId="77777777" w:rsidR="001D0217" w:rsidRPr="00CF64D4" w:rsidRDefault="001D0217" w:rsidP="001D0217">
      <w:pPr>
        <w:pStyle w:val="JudgmentText"/>
        <w:tabs>
          <w:tab w:val="left" w:pos="720"/>
        </w:tabs>
      </w:pPr>
      <w:r w:rsidRPr="00CF64D4">
        <w:t xml:space="preserve">Section 150 of the Seychelles Code of Civil Procedure also stipulates a legal remedy </w:t>
      </w:r>
      <w:r>
        <w:t>for the suspension or variation of a judgment as follows ―</w:t>
      </w:r>
    </w:p>
    <w:p w14:paraId="02631C38" w14:textId="77777777" w:rsidR="001D0217" w:rsidRPr="004328EB" w:rsidRDefault="001D0217" w:rsidP="001D0217">
      <w:pPr>
        <w:pStyle w:val="JudgmentText"/>
        <w:numPr>
          <w:ilvl w:val="0"/>
          <w:numId w:val="0"/>
        </w:numPr>
        <w:shd w:val="clear" w:color="auto" w:fill="FFFFFF"/>
        <w:tabs>
          <w:tab w:val="left" w:pos="1440"/>
        </w:tabs>
        <w:spacing w:after="0" w:line="240" w:lineRule="auto"/>
        <w:ind w:left="1440"/>
        <w:rPr>
          <w:bCs/>
          <w:i/>
          <w:color w:val="000000"/>
          <w:shd w:val="clear" w:color="auto" w:fill="FFB4F9"/>
        </w:rPr>
      </w:pPr>
      <w:bookmarkStart w:id="2" w:name="_Toc386020103"/>
      <w:r w:rsidRPr="00CF64D4">
        <w:rPr>
          <w:bCs/>
          <w:i/>
          <w:color w:val="000000"/>
        </w:rPr>
        <w:lastRenderedPageBreak/>
        <w:t>″</w:t>
      </w:r>
      <w:bookmarkEnd w:id="2"/>
      <w:r>
        <w:rPr>
          <w:i/>
          <w:color w:val="000000"/>
        </w:rPr>
        <w:t xml:space="preserve">150 </w:t>
      </w:r>
      <w:proofErr w:type="gramStart"/>
      <w:r w:rsidRPr="00CF64D4">
        <w:rPr>
          <w:i/>
          <w:color w:val="000000"/>
        </w:rPr>
        <w:t>The</w:t>
      </w:r>
      <w:proofErr w:type="gramEnd"/>
      <w:r w:rsidRPr="00CF64D4">
        <w:rPr>
          <w:i/>
          <w:color w:val="000000"/>
        </w:rPr>
        <w:t xml:space="preserve"> court may, after hearing both part</w:t>
      </w:r>
      <w:r>
        <w:rPr>
          <w:i/>
          <w:color w:val="000000"/>
        </w:rPr>
        <w:t xml:space="preserve">ies, alter, vary or suspend its judgment </w:t>
      </w:r>
      <w:r w:rsidRPr="00CF64D4">
        <w:rPr>
          <w:i/>
          <w:color w:val="000000"/>
        </w:rPr>
        <w:t>or order, during the sitting of </w:t>
      </w:r>
      <w:r>
        <w:rPr>
          <w:i/>
          <w:color w:val="000000"/>
        </w:rPr>
        <w:t xml:space="preserve">the court at which such judgment </w:t>
      </w:r>
      <w:r w:rsidRPr="00CF64D4">
        <w:rPr>
          <w:i/>
          <w:color w:val="000000"/>
        </w:rPr>
        <w:t>or order has been given″.</w:t>
      </w:r>
    </w:p>
    <w:p w14:paraId="2F3E464B" w14:textId="77777777" w:rsidR="001D0217" w:rsidRPr="00CF64D4" w:rsidRDefault="001D0217" w:rsidP="001D0217">
      <w:pPr>
        <w:pStyle w:val="JudgmentText"/>
        <w:numPr>
          <w:ilvl w:val="0"/>
          <w:numId w:val="0"/>
        </w:numPr>
        <w:shd w:val="clear" w:color="auto" w:fill="FFFFFF"/>
        <w:tabs>
          <w:tab w:val="left" w:pos="1440"/>
        </w:tabs>
        <w:spacing w:after="0" w:line="240" w:lineRule="auto"/>
        <w:ind w:left="1440"/>
        <w:rPr>
          <w:i/>
          <w:color w:val="000000"/>
          <w:lang w:val="en-US"/>
        </w:rPr>
      </w:pPr>
    </w:p>
    <w:p w14:paraId="031B7CB3" w14:textId="77777777" w:rsidR="001D0217" w:rsidRDefault="001D0217" w:rsidP="001D0217">
      <w:pPr>
        <w:pStyle w:val="JudgmentText"/>
        <w:tabs>
          <w:tab w:val="left" w:pos="720"/>
        </w:tabs>
      </w:pPr>
      <w:r>
        <w:t>I state that rule 13(2) of the Seychelles Court of Appeal Rules 2005, as amended, deals with correcting a Court of Appeal judgment. I read that rule ―</w:t>
      </w:r>
    </w:p>
    <w:p w14:paraId="508B9427" w14:textId="77777777" w:rsidR="001D0217" w:rsidRDefault="001D0217" w:rsidP="001D0217">
      <w:pPr>
        <w:pStyle w:val="JudgmentText"/>
        <w:numPr>
          <w:ilvl w:val="0"/>
          <w:numId w:val="0"/>
        </w:numPr>
        <w:tabs>
          <w:tab w:val="left" w:pos="720"/>
        </w:tabs>
        <w:spacing w:after="0" w:line="240" w:lineRule="auto"/>
        <w:ind w:left="1440"/>
        <w:rPr>
          <w:i/>
        </w:rPr>
      </w:pPr>
      <w:r>
        <w:rPr>
          <w:i/>
        </w:rPr>
        <w:t>″13</w:t>
      </w:r>
      <w:r w:rsidRPr="00CF64D4">
        <w:rPr>
          <w:i/>
        </w:rPr>
        <w:t xml:space="preserve">(2) The Court may of its own motion or on application correct any slip or accidental error arising in its proceedings, so as to give effect to the manifest intention of the Court notwithstanding that the proceedings have terminated and the Court is otherwise </w:t>
      </w:r>
      <w:proofErr w:type="spellStart"/>
      <w:r w:rsidRPr="00CF64D4">
        <w:rPr>
          <w:i/>
        </w:rPr>
        <w:t>functus</w:t>
      </w:r>
      <w:proofErr w:type="spellEnd"/>
      <w:r w:rsidRPr="00CF64D4">
        <w:rPr>
          <w:i/>
        </w:rPr>
        <w:t xml:space="preserve"> officio in respect thereof.″</w:t>
      </w:r>
    </w:p>
    <w:p w14:paraId="15BF6DB2" w14:textId="77777777" w:rsidR="001D0217" w:rsidRPr="00CF64D4" w:rsidRDefault="001D0217" w:rsidP="001D0217">
      <w:pPr>
        <w:pStyle w:val="JudgmentText"/>
        <w:numPr>
          <w:ilvl w:val="0"/>
          <w:numId w:val="0"/>
        </w:numPr>
        <w:tabs>
          <w:tab w:val="left" w:pos="720"/>
        </w:tabs>
        <w:spacing w:after="0" w:line="240" w:lineRule="auto"/>
        <w:ind w:left="1440"/>
        <w:rPr>
          <w:i/>
        </w:rPr>
      </w:pPr>
    </w:p>
    <w:p w14:paraId="6BE001C1" w14:textId="77777777" w:rsidR="001D0217" w:rsidRPr="00CF64D4" w:rsidRDefault="001D0217" w:rsidP="001D0217">
      <w:pPr>
        <w:pStyle w:val="JudgmentText"/>
        <w:tabs>
          <w:tab w:val="left" w:pos="720"/>
        </w:tabs>
      </w:pPr>
      <w:r>
        <w:t>S</w:t>
      </w:r>
      <w:r w:rsidRPr="00CF64D4">
        <w:t>ection 150</w:t>
      </w:r>
      <w:r>
        <w:t xml:space="preserve"> of the Seychelles Code of Civil Procedure</w:t>
      </w:r>
      <w:r w:rsidRPr="00CF64D4">
        <w:t xml:space="preserve"> does not apply</w:t>
      </w:r>
      <w:r>
        <w:t xml:space="preserve"> to t</w:t>
      </w:r>
      <w:r w:rsidRPr="00CF64D4">
        <w:t xml:space="preserve">his case. </w:t>
      </w:r>
    </w:p>
    <w:p w14:paraId="0BB03CE2" w14:textId="77777777" w:rsidR="001D0217" w:rsidRDefault="001D0217" w:rsidP="001D0217">
      <w:pPr>
        <w:pStyle w:val="JudgmentText"/>
        <w:tabs>
          <w:tab w:val="left" w:pos="720"/>
        </w:tabs>
      </w:pPr>
      <w:r>
        <w:t xml:space="preserve">I examine the Appellant's case based on the </w:t>
      </w:r>
      <w:r w:rsidRPr="0074297A">
        <w:rPr>
          <w:i/>
        </w:rPr>
        <w:t>″slip rule″</w:t>
      </w:r>
      <w:r>
        <w:t xml:space="preserve">.  </w:t>
      </w:r>
    </w:p>
    <w:p w14:paraId="031C4FA5" w14:textId="77777777" w:rsidR="001D0217" w:rsidRDefault="001D0217" w:rsidP="001D0217">
      <w:pPr>
        <w:pStyle w:val="JudgmentText"/>
        <w:tabs>
          <w:tab w:val="left" w:pos="720"/>
        </w:tabs>
      </w:pPr>
      <w:r w:rsidRPr="00CF64D4">
        <w:t xml:space="preserve">In </w:t>
      </w:r>
      <w:r w:rsidRPr="00CF64D4">
        <w:rPr>
          <w:i/>
        </w:rPr>
        <w:t>Allied Builders (Seychelles) Limited v Resort Development SCA10/2016</w:t>
      </w:r>
      <w:r>
        <w:rPr>
          <w:rStyle w:val="FootnoteReference"/>
          <w:i/>
        </w:rPr>
        <w:footnoteReference w:id="4"/>
      </w:r>
      <w:r>
        <w:t xml:space="preserve">, the Court of Appeal applied the observations in </w:t>
      </w:r>
      <w:r w:rsidRPr="00CF64D4">
        <w:rPr>
          <w:i/>
        </w:rPr>
        <w:t>Chetty v Chetty [2104] SCAMA15/13</w:t>
      </w:r>
      <w:r>
        <w:rPr>
          <w:rStyle w:val="FootnoteReference"/>
          <w:i/>
        </w:rPr>
        <w:footnoteReference w:id="5"/>
      </w:r>
      <w:r>
        <w:t xml:space="preserve"> with respect to the </w:t>
      </w:r>
      <w:r w:rsidRPr="0074297A">
        <w:rPr>
          <w:i/>
        </w:rPr>
        <w:t>″slip rule″</w:t>
      </w:r>
      <w:r>
        <w:t xml:space="preserve"> as follows ―</w:t>
      </w:r>
    </w:p>
    <w:p w14:paraId="7028207D" w14:textId="77777777" w:rsidR="001D0217" w:rsidRDefault="001D0217" w:rsidP="001D0217">
      <w:pPr>
        <w:pStyle w:val="JudgmentText"/>
        <w:numPr>
          <w:ilvl w:val="0"/>
          <w:numId w:val="0"/>
        </w:numPr>
        <w:tabs>
          <w:tab w:val="left" w:pos="1440"/>
        </w:tabs>
        <w:spacing w:after="0" w:line="240" w:lineRule="auto"/>
        <w:ind w:left="1440"/>
        <w:rPr>
          <w:i/>
          <w:iCs/>
        </w:rPr>
      </w:pPr>
      <w:r w:rsidRPr="00CF64D4">
        <w:rPr>
          <w:i/>
          <w:iCs/>
        </w:rPr>
        <w:t>″[t]he clarification and or correction of any slip or accidental error, if at all, has to be apparent from the record of an operative paragraph and not depend</w:t>
      </w:r>
      <w:r w:rsidRPr="00CF64D4">
        <w:t> </w:t>
      </w:r>
      <w:r w:rsidRPr="00CF64D4">
        <w:rPr>
          <w:i/>
          <w:iCs/>
        </w:rPr>
        <w:t>upon a construction given by the parties to any particular paragraph which is not the operative paragraph of a  judgment.</w:t>
      </w:r>
      <w:r>
        <w:rPr>
          <w:i/>
          <w:iCs/>
        </w:rPr>
        <w:t xml:space="preserve"> The applicants, in this case, are seeking prayers or an order so that their own interpretation of a paragraph of the judgment </w:t>
      </w:r>
      <w:proofErr w:type="gramStart"/>
      <w:r>
        <w:rPr>
          <w:i/>
          <w:iCs/>
        </w:rPr>
        <w:t>be given</w:t>
      </w:r>
      <w:proofErr w:type="gramEnd"/>
      <w:r>
        <w:rPr>
          <w:i/>
          <w:iCs/>
        </w:rPr>
        <w:t xml:space="preserve"> effect to so that the final orders by this Court made be negated″. </w:t>
      </w:r>
    </w:p>
    <w:p w14:paraId="4E735A6A" w14:textId="77777777" w:rsidR="001D0217" w:rsidRPr="00CF64D4" w:rsidRDefault="001D0217" w:rsidP="001D0217">
      <w:pPr>
        <w:pStyle w:val="JudgmentText"/>
        <w:numPr>
          <w:ilvl w:val="0"/>
          <w:numId w:val="0"/>
        </w:numPr>
        <w:tabs>
          <w:tab w:val="left" w:pos="1440"/>
        </w:tabs>
        <w:spacing w:after="0" w:line="240" w:lineRule="auto"/>
        <w:ind w:left="1440"/>
      </w:pPr>
    </w:p>
    <w:p w14:paraId="3A6080C8" w14:textId="77777777" w:rsidR="001D0217" w:rsidRPr="00CF64D4" w:rsidRDefault="001D0217" w:rsidP="001D0217">
      <w:pPr>
        <w:pStyle w:val="JudgmentText"/>
        <w:tabs>
          <w:tab w:val="left" w:pos="720"/>
        </w:tabs>
      </w:pPr>
      <w:r w:rsidRPr="00CF64D4">
        <w:rPr>
          <w:iCs/>
        </w:rPr>
        <w:t xml:space="preserve">It is to be noted that the clarification of </w:t>
      </w:r>
      <w:r>
        <w:rPr>
          <w:iCs/>
        </w:rPr>
        <w:t>the</w:t>
      </w:r>
      <w:r w:rsidRPr="00CF64D4">
        <w:rPr>
          <w:iCs/>
        </w:rPr>
        <w:t xml:space="preserve"> judgment </w:t>
      </w:r>
      <w:r>
        <w:rPr>
          <w:iCs/>
        </w:rPr>
        <w:t xml:space="preserve">in </w:t>
      </w:r>
      <w:r w:rsidRPr="00CF64D4">
        <w:rPr>
          <w:b/>
          <w:iCs/>
        </w:rPr>
        <w:t>Chetty</w:t>
      </w:r>
      <w:r>
        <w:rPr>
          <w:iCs/>
        </w:rPr>
        <w:t xml:space="preserve"> was sought under r</w:t>
      </w:r>
      <w:r w:rsidRPr="00CF64D4">
        <w:rPr>
          <w:iCs/>
        </w:rPr>
        <w:t>ule 13 (2) of the Seychelles Court of Appeal Rules 2005</w:t>
      </w:r>
      <w:r>
        <w:rPr>
          <w:iCs/>
        </w:rPr>
        <w:t xml:space="preserve">, as amended. I state that the observation of the Court of Appeal in </w:t>
      </w:r>
      <w:r w:rsidRPr="00CF64D4">
        <w:rPr>
          <w:b/>
          <w:iCs/>
        </w:rPr>
        <w:t>Chetty</w:t>
      </w:r>
      <w:r>
        <w:rPr>
          <w:iCs/>
        </w:rPr>
        <w:t xml:space="preserve"> applies to this case. </w:t>
      </w:r>
    </w:p>
    <w:p w14:paraId="23393E31" w14:textId="77777777" w:rsidR="001D0217" w:rsidRPr="00CF64D4" w:rsidRDefault="001D0217" w:rsidP="001D0217">
      <w:pPr>
        <w:pStyle w:val="JudgmentText"/>
        <w:tabs>
          <w:tab w:val="left" w:pos="720"/>
        </w:tabs>
      </w:pPr>
      <w:r>
        <w:rPr>
          <w:iCs/>
        </w:rPr>
        <w:t xml:space="preserve">Also, </w:t>
      </w:r>
      <w:r w:rsidRPr="00CF64D4">
        <w:rPr>
          <w:iCs/>
        </w:rPr>
        <w:t xml:space="preserve">in </w:t>
      </w:r>
      <w:r w:rsidRPr="00CF64D4">
        <w:rPr>
          <w:i/>
          <w:iCs/>
        </w:rPr>
        <w:t xml:space="preserve">Revera v </w:t>
      </w:r>
      <w:proofErr w:type="spellStart"/>
      <w:proofErr w:type="gramStart"/>
      <w:r w:rsidRPr="00CF64D4">
        <w:rPr>
          <w:i/>
          <w:iCs/>
        </w:rPr>
        <w:t>Dinan</w:t>
      </w:r>
      <w:proofErr w:type="spellEnd"/>
      <w:r w:rsidRPr="00CF64D4">
        <w:rPr>
          <w:i/>
          <w:iCs/>
        </w:rPr>
        <w:t xml:space="preserve">  </w:t>
      </w:r>
      <w:r w:rsidRPr="00CF64D4">
        <w:rPr>
          <w:i/>
        </w:rPr>
        <w:t>(</w:t>
      </w:r>
      <w:proofErr w:type="gramEnd"/>
      <w:r w:rsidRPr="00CF64D4">
        <w:rPr>
          <w:i/>
        </w:rPr>
        <w:t>1983-1987) 3 SCAR (Vol II) 225</w:t>
      </w:r>
      <w:r>
        <w:rPr>
          <w:i/>
        </w:rPr>
        <w:t>,</w:t>
      </w:r>
      <w:r w:rsidRPr="00CF64D4">
        <w:t xml:space="preserve"> the </w:t>
      </w:r>
      <w:r>
        <w:t>Court of Appeal (</w:t>
      </w:r>
      <w:proofErr w:type="spellStart"/>
      <w:r>
        <w:t>Sauzier</w:t>
      </w:r>
      <w:proofErr w:type="spellEnd"/>
      <w:r>
        <w:t xml:space="preserve"> JA) stated: ″[t]</w:t>
      </w:r>
      <w:r w:rsidRPr="00CF64D4">
        <w:rPr>
          <w:i/>
        </w:rPr>
        <w:t>he ″slip rule</w:t>
      </w:r>
      <w:r>
        <w:t xml:space="preserve">″ </w:t>
      </w:r>
      <w:r w:rsidRPr="00CF64D4">
        <w:rPr>
          <w:i/>
        </w:rPr>
        <w:t>may be used where there is no new adjudication to be made″.</w:t>
      </w:r>
    </w:p>
    <w:p w14:paraId="6613A6DB" w14:textId="77777777" w:rsidR="001D0217" w:rsidRPr="00E0260B" w:rsidRDefault="001D0217" w:rsidP="001D0217">
      <w:pPr>
        <w:pStyle w:val="JudgmentText"/>
        <w:tabs>
          <w:tab w:val="left" w:pos="720"/>
        </w:tabs>
      </w:pPr>
      <w:r>
        <w:t xml:space="preserve">The above Court of Appeal judgments emphasise that the </w:t>
      </w:r>
      <w:r w:rsidRPr="00CF64D4">
        <w:rPr>
          <w:i/>
        </w:rPr>
        <w:t>″slip rule″</w:t>
      </w:r>
      <w:r>
        <w:t xml:space="preserve"> prohibits amendments sought in terms of anything touching on a substantial issue that has to </w:t>
      </w:r>
      <w:proofErr w:type="gramStart"/>
      <w:r>
        <w:t xml:space="preserve">be </w:t>
      </w:r>
      <w:proofErr w:type="spellStart"/>
      <w:r>
        <w:t>relitigated</w:t>
      </w:r>
      <w:proofErr w:type="spellEnd"/>
      <w:proofErr w:type="gramEnd"/>
      <w:r>
        <w:t xml:space="preserve">. </w:t>
      </w:r>
      <w:r>
        <w:rPr>
          <w:i/>
        </w:rPr>
        <w:t xml:space="preserve"> </w:t>
      </w:r>
    </w:p>
    <w:p w14:paraId="1AF4FD39" w14:textId="77777777" w:rsidR="001D0217" w:rsidRPr="00E0260B" w:rsidRDefault="001D0217" w:rsidP="001D0217">
      <w:pPr>
        <w:pStyle w:val="JudgmentText"/>
        <w:tabs>
          <w:tab w:val="left" w:pos="720"/>
        </w:tabs>
      </w:pPr>
      <w:r>
        <w:lastRenderedPageBreak/>
        <w:t xml:space="preserve">Applying the above legal principles to this case, I conclude that the Appellant had asked the Supreme Court to reconsider the judgment made and perfected. In this respect, I hold the view that the interpretation sought by the Appellant would have amounted to an amendment of the judgment if the Supreme Court were to accede to her request, which </w:t>
      </w:r>
      <w:proofErr w:type="gramStart"/>
      <w:r>
        <w:t>is prohibited</w:t>
      </w:r>
      <w:proofErr w:type="gramEnd"/>
      <w:r>
        <w:t xml:space="preserve"> under section 147 of the Seychelles Code of Civil Procedure. At any rate, I conclude that the learned Judge erred in his approach in dealing with the question at issue in not considering the </w:t>
      </w:r>
      <w:r w:rsidRPr="00DF6FC0">
        <w:rPr>
          <w:i/>
        </w:rPr>
        <w:t>″slip rule″</w:t>
      </w:r>
      <w:r>
        <w:t>.</w:t>
      </w:r>
    </w:p>
    <w:p w14:paraId="43A32922" w14:textId="77777777" w:rsidR="001D0217" w:rsidRDefault="001D0217" w:rsidP="001D0217">
      <w:pPr>
        <w:pStyle w:val="JudgmentText"/>
        <w:tabs>
          <w:tab w:val="left" w:pos="720"/>
        </w:tabs>
      </w:pPr>
      <w:r>
        <w:t xml:space="preserve">For the reasons stated above, ground two is misconceived and stands dismissed. </w:t>
      </w:r>
    </w:p>
    <w:p w14:paraId="656DC462" w14:textId="77777777" w:rsidR="001D0217" w:rsidRDefault="001D0217" w:rsidP="001D0217">
      <w:pPr>
        <w:pStyle w:val="JudgmentText"/>
        <w:tabs>
          <w:tab w:val="left" w:pos="720"/>
        </w:tabs>
      </w:pPr>
      <w:r>
        <w:t>I deal with ground one of the grounds of appeal.</w:t>
      </w:r>
    </w:p>
    <w:p w14:paraId="3F13C4EF" w14:textId="77777777" w:rsidR="001D0217" w:rsidRDefault="001D0217" w:rsidP="001D0217">
      <w:pPr>
        <w:pStyle w:val="JudgmentText"/>
        <w:tabs>
          <w:tab w:val="left" w:pos="720"/>
        </w:tabs>
      </w:pPr>
      <w:r>
        <w:t xml:space="preserve">Ground one of the grounds of appeal raised an issue that </w:t>
      </w:r>
      <w:proofErr w:type="gramStart"/>
      <w:r>
        <w:t>was not raised</w:t>
      </w:r>
      <w:proofErr w:type="gramEnd"/>
      <w:r>
        <w:t xml:space="preserve"> in the Supreme Court. As mentioned above, the Appellant contended that the learned Judge erred in not considering that the Respondent did not have the discretion under the disputed paragraph to stop making payments before the child reached eighteen. </w:t>
      </w:r>
      <w:proofErr w:type="gramStart"/>
      <w:r>
        <w:t>Unquestionably, this is not an issue that I can consider for the first time on appeal.</w:t>
      </w:r>
      <w:proofErr w:type="gramEnd"/>
      <w:r>
        <w:t xml:space="preserve"> </w:t>
      </w:r>
    </w:p>
    <w:p w14:paraId="7476DCCA" w14:textId="77777777" w:rsidR="001D0217" w:rsidRDefault="001D0217" w:rsidP="001D0217">
      <w:pPr>
        <w:pStyle w:val="JudgmentText"/>
        <w:tabs>
          <w:tab w:val="left" w:pos="720"/>
        </w:tabs>
      </w:pPr>
      <w:r>
        <w:t xml:space="preserve">In any event, ground one does not arise for consideration as it </w:t>
      </w:r>
      <w:proofErr w:type="gramStart"/>
      <w:r>
        <w:t>is inextricably linked</w:t>
      </w:r>
      <w:proofErr w:type="gramEnd"/>
      <w:r>
        <w:t xml:space="preserve"> with ground two. </w:t>
      </w:r>
    </w:p>
    <w:p w14:paraId="0F0114AB" w14:textId="77777777" w:rsidR="001D0217" w:rsidRDefault="001D0217" w:rsidP="001D0217">
      <w:pPr>
        <w:pStyle w:val="JudgmentText"/>
        <w:tabs>
          <w:tab w:val="left" w:pos="720"/>
        </w:tabs>
      </w:pPr>
      <w:r>
        <w:t>Hence, ground one of the grounds of appeal is misconceived and stands dismissed.</w:t>
      </w:r>
    </w:p>
    <w:p w14:paraId="37828B29" w14:textId="77777777" w:rsidR="001D0217" w:rsidRPr="00AC082D" w:rsidRDefault="001D0217" w:rsidP="001D0217">
      <w:pPr>
        <w:pStyle w:val="JudgmentText"/>
        <w:numPr>
          <w:ilvl w:val="0"/>
          <w:numId w:val="0"/>
        </w:numPr>
        <w:tabs>
          <w:tab w:val="left" w:pos="720"/>
        </w:tabs>
        <w:rPr>
          <w:b/>
        </w:rPr>
      </w:pPr>
      <w:r w:rsidRPr="00AC082D">
        <w:rPr>
          <w:b/>
        </w:rPr>
        <w:t>Decision</w:t>
      </w:r>
    </w:p>
    <w:p w14:paraId="26216FB9" w14:textId="77777777" w:rsidR="001D0217" w:rsidRDefault="001D0217" w:rsidP="001D0217">
      <w:pPr>
        <w:pStyle w:val="JudgmentText"/>
        <w:tabs>
          <w:tab w:val="left" w:pos="720"/>
        </w:tabs>
      </w:pPr>
      <w:r>
        <w:t xml:space="preserve">For the reasons stated above, the appeal </w:t>
      </w:r>
      <w:proofErr w:type="gramStart"/>
      <w:r>
        <w:t>is dismissed</w:t>
      </w:r>
      <w:proofErr w:type="gramEnd"/>
      <w:r>
        <w:t xml:space="preserve"> in its entirety. I make no order as to costs.</w:t>
      </w:r>
    </w:p>
    <w:p w14:paraId="6BC7DF26" w14:textId="77777777" w:rsidR="001D0217" w:rsidRDefault="001D0217" w:rsidP="001D0217">
      <w:pPr>
        <w:jc w:val="both"/>
        <w:rPr>
          <w:rFonts w:ascii="Times New Roman" w:hAnsi="Times New Roman" w:cs="Times New Roman"/>
        </w:rPr>
      </w:pPr>
    </w:p>
    <w:p w14:paraId="6DC8B7ED" w14:textId="77777777" w:rsidR="001D0217" w:rsidRPr="00C40F27" w:rsidRDefault="001D0217" w:rsidP="001D0217">
      <w:pPr>
        <w:pStyle w:val="ListParagraph"/>
        <w:spacing w:line="480" w:lineRule="auto"/>
        <w:ind w:left="0"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_______________________</w:t>
      </w:r>
    </w:p>
    <w:p w14:paraId="4844FA81" w14:textId="77777777" w:rsidR="001D0217" w:rsidRDefault="001D0217" w:rsidP="001D0217">
      <w:pPr>
        <w:pStyle w:val="ListParagraph"/>
        <w:spacing w:line="480" w:lineRule="auto"/>
        <w:ind w:left="0"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F. Robinson, JA</w:t>
      </w:r>
    </w:p>
    <w:p w14:paraId="194B0700" w14:textId="77777777" w:rsidR="001D0217" w:rsidRDefault="001D0217" w:rsidP="001D0217">
      <w:pPr>
        <w:spacing w:line="240" w:lineRule="auto"/>
        <w:ind w:right="720"/>
        <w:jc w:val="both"/>
        <w:rPr>
          <w:rFonts w:ascii="Times New Roman" w:hAnsi="Times New Roman" w:cs="Times New Roman"/>
          <w:color w:val="202124"/>
          <w:sz w:val="24"/>
          <w:szCs w:val="24"/>
          <w:shd w:val="clear" w:color="auto" w:fill="FFFFFF"/>
        </w:rPr>
      </w:pPr>
    </w:p>
    <w:p w14:paraId="6E584032" w14:textId="77777777" w:rsidR="001D0217" w:rsidRDefault="001D0217" w:rsidP="001D0217">
      <w:pPr>
        <w:spacing w:after="240" w:line="360" w:lineRule="auto"/>
        <w:rPr>
          <w:rFonts w:ascii="Times New Roman" w:eastAsia="Times New Roman" w:hAnsi="Times New Roman" w:cs="Times New Roman"/>
          <w:sz w:val="24"/>
          <w:szCs w:val="24"/>
        </w:rPr>
      </w:pPr>
      <w:r w:rsidRPr="00F76136">
        <w:rPr>
          <w:rFonts w:ascii="Times New Roman" w:eastAsia="Times New Roman" w:hAnsi="Times New Roman" w:cs="Times New Roman"/>
          <w:sz w:val="24"/>
          <w:szCs w:val="24"/>
        </w:rPr>
        <w:t>Signed, dated an</w:t>
      </w:r>
      <w:r>
        <w:rPr>
          <w:rFonts w:ascii="Times New Roman" w:eastAsia="Times New Roman" w:hAnsi="Times New Roman" w:cs="Times New Roman"/>
          <w:sz w:val="24"/>
          <w:szCs w:val="24"/>
        </w:rPr>
        <w:t>d delivered at Ile du Port on 17 December 2021.</w:t>
      </w:r>
    </w:p>
    <w:sectPr w:rsidR="001D0217" w:rsidSect="00987977">
      <w:footerReference w:type="default" r:id="rId8"/>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C912D" w14:textId="77777777" w:rsidR="006F3314" w:rsidRDefault="006F3314" w:rsidP="006A68E2">
      <w:pPr>
        <w:spacing w:after="0" w:line="240" w:lineRule="auto"/>
      </w:pPr>
      <w:r>
        <w:separator/>
      </w:r>
    </w:p>
  </w:endnote>
  <w:endnote w:type="continuationSeparator" w:id="0">
    <w:p w14:paraId="0408EA9E" w14:textId="77777777" w:rsidR="006F3314" w:rsidRDefault="006F331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4CBACA5D" w14:textId="2152A502" w:rsidR="00E11829" w:rsidRDefault="00E11829">
        <w:pPr>
          <w:pStyle w:val="Footer"/>
          <w:jc w:val="center"/>
        </w:pPr>
        <w:r>
          <w:fldChar w:fldCharType="begin"/>
        </w:r>
        <w:r>
          <w:instrText xml:space="preserve"> PAGE   \* MERGEFORMAT </w:instrText>
        </w:r>
        <w:r>
          <w:fldChar w:fldCharType="separate"/>
        </w:r>
        <w:r w:rsidR="00BB0934">
          <w:rPr>
            <w:noProof/>
          </w:rPr>
          <w:t>13</w:t>
        </w:r>
        <w:r>
          <w:rPr>
            <w:noProof/>
          </w:rPr>
          <w:fldChar w:fldCharType="end"/>
        </w:r>
      </w:p>
    </w:sdtContent>
  </w:sdt>
  <w:p w14:paraId="34F22166" w14:textId="77777777" w:rsidR="00E11829" w:rsidRDefault="00E1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D5822" w14:textId="77777777" w:rsidR="006F3314" w:rsidRDefault="006F3314" w:rsidP="006A68E2">
      <w:pPr>
        <w:spacing w:after="0" w:line="240" w:lineRule="auto"/>
      </w:pPr>
      <w:r>
        <w:separator/>
      </w:r>
    </w:p>
  </w:footnote>
  <w:footnote w:type="continuationSeparator" w:id="0">
    <w:p w14:paraId="5F2F849E" w14:textId="77777777" w:rsidR="006F3314" w:rsidRDefault="006F3314" w:rsidP="006A68E2">
      <w:pPr>
        <w:spacing w:after="0" w:line="240" w:lineRule="auto"/>
      </w:pPr>
      <w:r>
        <w:continuationSeparator/>
      </w:r>
    </w:p>
  </w:footnote>
  <w:footnote w:id="1">
    <w:p w14:paraId="4AA3BD04" w14:textId="77777777" w:rsidR="001D0217" w:rsidRPr="00453308" w:rsidRDefault="001D0217" w:rsidP="001D0217">
      <w:pPr>
        <w:pStyle w:val="FootnoteText"/>
        <w:rPr>
          <w:rFonts w:ascii="Times New Roman" w:hAnsi="Times New Roman" w:cs="Times New Roman"/>
          <w:lang w:val="en-US"/>
        </w:rPr>
      </w:pPr>
      <w:r w:rsidRPr="00453308">
        <w:rPr>
          <w:rStyle w:val="FootnoteReference"/>
          <w:rFonts w:ascii="Times New Roman" w:hAnsi="Times New Roman" w:cs="Times New Roman"/>
        </w:rPr>
        <w:footnoteRef/>
      </w:r>
      <w:r w:rsidRPr="00453308">
        <w:rPr>
          <w:rFonts w:ascii="Times New Roman" w:hAnsi="Times New Roman" w:cs="Times New Roman"/>
        </w:rPr>
        <w:t xml:space="preserve"> 16 October 2020</w:t>
      </w:r>
    </w:p>
  </w:footnote>
  <w:footnote w:id="2">
    <w:p w14:paraId="0697303A" w14:textId="77777777" w:rsidR="001D0217" w:rsidRPr="00453308" w:rsidRDefault="001D0217" w:rsidP="001D0217">
      <w:pPr>
        <w:pStyle w:val="FootnoteText"/>
        <w:rPr>
          <w:rFonts w:ascii="Times New Roman" w:hAnsi="Times New Roman" w:cs="Times New Roman"/>
          <w:lang w:val="en-US"/>
        </w:rPr>
      </w:pPr>
      <w:r w:rsidRPr="00453308">
        <w:rPr>
          <w:rStyle w:val="FootnoteReference"/>
          <w:rFonts w:ascii="Times New Roman" w:hAnsi="Times New Roman" w:cs="Times New Roman"/>
        </w:rPr>
        <w:footnoteRef/>
      </w:r>
      <w:r w:rsidRPr="00453308">
        <w:rPr>
          <w:rFonts w:ascii="Times New Roman" w:hAnsi="Times New Roman" w:cs="Times New Roman"/>
        </w:rPr>
        <w:t xml:space="preserve"> 14 August 2009</w:t>
      </w:r>
      <w:r w:rsidRPr="00453308">
        <w:rPr>
          <w:rStyle w:val="FootnoteReference"/>
          <w:rFonts w:ascii="Times New Roman" w:hAnsi="Times New Roman" w:cs="Times New Roman"/>
        </w:rPr>
        <w:footnoteRef/>
      </w:r>
      <w:r w:rsidRPr="00453308">
        <w:rPr>
          <w:rFonts w:ascii="Times New Roman" w:hAnsi="Times New Roman" w:cs="Times New Roman"/>
        </w:rPr>
        <w:t xml:space="preserve"> 16 October 2020</w:t>
      </w:r>
    </w:p>
    <w:p w14:paraId="7121D884" w14:textId="77777777" w:rsidR="001D0217" w:rsidRPr="00657BA3" w:rsidRDefault="001D0217" w:rsidP="001D0217">
      <w:pPr>
        <w:pStyle w:val="FootnoteText"/>
        <w:rPr>
          <w:rFonts w:ascii="Times New Roman" w:hAnsi="Times New Roman" w:cs="Times New Roman"/>
          <w:lang w:val="en-US"/>
        </w:rPr>
      </w:pPr>
      <w:r w:rsidRPr="00453308">
        <w:rPr>
          <w:rStyle w:val="FootnoteReference"/>
          <w:rFonts w:ascii="Times New Roman" w:hAnsi="Times New Roman" w:cs="Times New Roman"/>
        </w:rPr>
        <w:footnoteRef/>
      </w:r>
      <w:r w:rsidRPr="00453308">
        <w:rPr>
          <w:rFonts w:ascii="Times New Roman" w:hAnsi="Times New Roman" w:cs="Times New Roman"/>
        </w:rPr>
        <w:t xml:space="preserve"> 14 August 2009</w:t>
      </w:r>
    </w:p>
  </w:footnote>
  <w:footnote w:id="3">
    <w:p w14:paraId="3A7C29AD" w14:textId="77777777" w:rsidR="001D0217" w:rsidRPr="00E0260B" w:rsidRDefault="001D0217" w:rsidP="001D0217">
      <w:pPr>
        <w:pStyle w:val="FootnoteText"/>
        <w:rPr>
          <w:rFonts w:ascii="Times New Roman" w:hAnsi="Times New Roman" w:cs="Times New Roman"/>
          <w:lang w:val="en-US"/>
        </w:rPr>
      </w:pPr>
      <w:r w:rsidRPr="00657BA3">
        <w:rPr>
          <w:rStyle w:val="FootnoteReference"/>
          <w:rFonts w:ascii="Times New Roman" w:hAnsi="Times New Roman" w:cs="Times New Roman"/>
        </w:rPr>
        <w:footnoteRef/>
      </w:r>
      <w:r w:rsidRPr="00657BA3">
        <w:rPr>
          <w:rFonts w:ascii="Times New Roman" w:hAnsi="Times New Roman" w:cs="Times New Roman"/>
        </w:rPr>
        <w:t xml:space="preserve"> </w:t>
      </w:r>
      <w:proofErr w:type="spellStart"/>
      <w:r w:rsidRPr="00657BA3">
        <w:rPr>
          <w:rFonts w:ascii="Times New Roman" w:hAnsi="Times New Roman" w:cs="Times New Roman"/>
        </w:rPr>
        <w:t>Dalloz</w:t>
      </w:r>
      <w:proofErr w:type="spellEnd"/>
      <w:r w:rsidRPr="00657BA3">
        <w:rPr>
          <w:rFonts w:ascii="Times New Roman" w:hAnsi="Times New Roman" w:cs="Times New Roman"/>
        </w:rPr>
        <w:t xml:space="preserve"> </w:t>
      </w:r>
      <w:proofErr w:type="spellStart"/>
      <w:r w:rsidRPr="00657BA3">
        <w:rPr>
          <w:rFonts w:ascii="Times New Roman" w:hAnsi="Times New Roman" w:cs="Times New Roman"/>
        </w:rPr>
        <w:t>Encyclopédie</w:t>
      </w:r>
      <w:proofErr w:type="spellEnd"/>
      <w:r w:rsidRPr="00E0260B">
        <w:rPr>
          <w:rFonts w:ascii="Times New Roman" w:hAnsi="Times New Roman" w:cs="Times New Roman"/>
        </w:rPr>
        <w:t xml:space="preserve"> </w:t>
      </w:r>
      <w:proofErr w:type="spellStart"/>
      <w:r w:rsidRPr="00E0260B">
        <w:rPr>
          <w:rFonts w:ascii="Times New Roman" w:hAnsi="Times New Roman" w:cs="Times New Roman"/>
        </w:rPr>
        <w:t>Juridique</w:t>
      </w:r>
      <w:proofErr w:type="spellEnd"/>
      <w:r w:rsidRPr="00E0260B">
        <w:rPr>
          <w:rFonts w:ascii="Times New Roman" w:hAnsi="Times New Roman" w:cs="Times New Roman"/>
        </w:rPr>
        <w:t xml:space="preserve"> Civil (2</w:t>
      </w:r>
      <w:r w:rsidRPr="00E0260B">
        <w:rPr>
          <w:rFonts w:ascii="Times New Roman" w:hAnsi="Times New Roman" w:cs="Times New Roman"/>
          <w:vertAlign w:val="superscript"/>
        </w:rPr>
        <w:t>e</w:t>
      </w:r>
      <w:r w:rsidRPr="00E0260B">
        <w:rPr>
          <w:rFonts w:ascii="Times New Roman" w:hAnsi="Times New Roman" w:cs="Times New Roman"/>
        </w:rPr>
        <w:t xml:space="preserve"> </w:t>
      </w:r>
      <w:proofErr w:type="spellStart"/>
      <w:r w:rsidRPr="00E0260B">
        <w:rPr>
          <w:rFonts w:ascii="Times New Roman" w:hAnsi="Times New Roman" w:cs="Times New Roman"/>
        </w:rPr>
        <w:t>édition</w:t>
      </w:r>
      <w:proofErr w:type="spellEnd"/>
      <w:r w:rsidRPr="00E0260B">
        <w:rPr>
          <w:rFonts w:ascii="Times New Roman" w:hAnsi="Times New Roman" w:cs="Times New Roman"/>
        </w:rPr>
        <w:t>) AST-CL under ″</w:t>
      </w:r>
      <w:r w:rsidRPr="00E0260B">
        <w:rPr>
          <w:rFonts w:ascii="Times New Roman" w:hAnsi="Times New Roman" w:cs="Times New Roman"/>
          <w:i/>
        </w:rPr>
        <w:t xml:space="preserve">Chose </w:t>
      </w:r>
      <w:proofErr w:type="spellStart"/>
      <w:r w:rsidRPr="00E0260B">
        <w:rPr>
          <w:rFonts w:ascii="Times New Roman" w:hAnsi="Times New Roman" w:cs="Times New Roman"/>
          <w:i/>
        </w:rPr>
        <w:t>Jugée</w:t>
      </w:r>
      <w:proofErr w:type="spellEnd"/>
      <w:r w:rsidRPr="00E0260B">
        <w:rPr>
          <w:rFonts w:ascii="Times New Roman" w:hAnsi="Times New Roman" w:cs="Times New Roman"/>
        </w:rPr>
        <w:t>″ at note 31 - [see also notes 30-33 which set out the reasons]</w:t>
      </w:r>
    </w:p>
  </w:footnote>
  <w:footnote w:id="4">
    <w:p w14:paraId="4857B713" w14:textId="77777777" w:rsidR="001D0217" w:rsidRPr="0016548D" w:rsidRDefault="001D0217" w:rsidP="001D0217">
      <w:pPr>
        <w:pStyle w:val="FootnoteText"/>
        <w:rPr>
          <w:rFonts w:ascii="Times New Roman" w:hAnsi="Times New Roman" w:cs="Times New Roman"/>
          <w:lang w:val="en-US"/>
        </w:rPr>
      </w:pPr>
      <w:r w:rsidRPr="0016548D">
        <w:rPr>
          <w:rStyle w:val="FootnoteReference"/>
          <w:rFonts w:ascii="Times New Roman" w:hAnsi="Times New Roman" w:cs="Times New Roman"/>
        </w:rPr>
        <w:footnoteRef/>
      </w:r>
      <w:r w:rsidRPr="0016548D">
        <w:rPr>
          <w:rFonts w:ascii="Times New Roman" w:hAnsi="Times New Roman" w:cs="Times New Roman"/>
        </w:rPr>
        <w:t xml:space="preserve"> </w:t>
      </w:r>
      <w:r>
        <w:rPr>
          <w:rFonts w:ascii="Times New Roman" w:hAnsi="Times New Roman" w:cs="Times New Roman"/>
        </w:rPr>
        <w:t>31 August 2018</w:t>
      </w:r>
    </w:p>
  </w:footnote>
  <w:footnote w:id="5">
    <w:p w14:paraId="68173CF3" w14:textId="77777777" w:rsidR="001D0217" w:rsidRPr="0016548D" w:rsidRDefault="001D0217" w:rsidP="001D0217">
      <w:pPr>
        <w:pStyle w:val="FootnoteText"/>
        <w:rPr>
          <w:rFonts w:ascii="Times New Roman" w:hAnsi="Times New Roman" w:cs="Times New Roman"/>
          <w:lang w:val="en-US"/>
        </w:rPr>
      </w:pPr>
      <w:r w:rsidRPr="0016548D">
        <w:rPr>
          <w:rStyle w:val="FootnoteReference"/>
          <w:rFonts w:ascii="Times New Roman" w:hAnsi="Times New Roman" w:cs="Times New Roman"/>
        </w:rPr>
        <w:footnoteRef/>
      </w:r>
      <w:r w:rsidRPr="0016548D">
        <w:rPr>
          <w:rFonts w:ascii="Times New Roman" w:hAnsi="Times New Roman" w:cs="Times New Roman"/>
        </w:rPr>
        <w:t xml:space="preserve"> 11 April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D0D"/>
    <w:multiLevelType w:val="hybridMultilevel"/>
    <w:tmpl w:val="44222348"/>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Courier New"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Courier New" w:hint="default"/>
      </w:rPr>
    </w:lvl>
    <w:lvl w:ilvl="8" w:tplc="04090005">
      <w:start w:val="1"/>
      <w:numFmt w:val="bullet"/>
      <w:lvlText w:val=""/>
      <w:lvlJc w:val="left"/>
      <w:pPr>
        <w:ind w:left="7215" w:hanging="360"/>
      </w:pPr>
      <w:rPr>
        <w:rFonts w:ascii="Wingdings" w:hAnsi="Wingdings" w:hint="default"/>
      </w:rPr>
    </w:lvl>
  </w:abstractNum>
  <w:abstractNum w:abstractNumId="1" w15:restartNumberingAfterBreak="0">
    <w:nsid w:val="04EC78D7"/>
    <w:multiLevelType w:val="hybridMultilevel"/>
    <w:tmpl w:val="80444852"/>
    <w:lvl w:ilvl="0" w:tplc="08090001">
      <w:start w:val="1"/>
      <w:numFmt w:val="bullet"/>
      <w:lvlText w:val=""/>
      <w:lvlJc w:val="left"/>
      <w:pPr>
        <w:tabs>
          <w:tab w:val="num" w:pos="1080"/>
        </w:tabs>
        <w:ind w:left="1080" w:hanging="360"/>
      </w:pPr>
      <w:rPr>
        <w:rFonts w:ascii="Symbol" w:hAnsi="Symbol" w:hint="default"/>
      </w:rPr>
    </w:lvl>
    <w:lvl w:ilvl="1" w:tplc="0409001B">
      <w:start w:val="1"/>
      <w:numFmt w:val="lowerRoman"/>
      <w:lvlText w:val="%2."/>
      <w:lvlJc w:val="right"/>
      <w:pPr>
        <w:tabs>
          <w:tab w:val="num" w:pos="1800"/>
        </w:tabs>
        <w:ind w:left="1800" w:hanging="360"/>
      </w:pPr>
    </w:lvl>
    <w:lvl w:ilvl="2" w:tplc="069C103A">
      <w:start w:val="1"/>
      <w:numFmt w:val="lowerLetter"/>
      <w:lvlText w:val="(%3)"/>
      <w:lvlJc w:val="left"/>
      <w:pPr>
        <w:ind w:left="2520" w:hanging="360"/>
      </w:pPr>
      <w:rPr>
        <w:color w:val="333333"/>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593BDA"/>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B93B1C"/>
    <w:multiLevelType w:val="multilevel"/>
    <w:tmpl w:val="CA0CD62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9016B50"/>
    <w:multiLevelType w:val="hybridMultilevel"/>
    <w:tmpl w:val="314C8F4C"/>
    <w:lvl w:ilvl="0" w:tplc="04090019">
      <w:start w:val="1"/>
      <w:numFmt w:val="lowerLetter"/>
      <w:lvlText w:val="%1."/>
      <w:lvlJc w:val="left"/>
      <w:pPr>
        <w:tabs>
          <w:tab w:val="num" w:pos="1872"/>
        </w:tabs>
        <w:ind w:left="1872" w:hanging="360"/>
      </w:pPr>
    </w:lvl>
    <w:lvl w:ilvl="1" w:tplc="08090003">
      <w:start w:val="1"/>
      <w:numFmt w:val="bullet"/>
      <w:lvlText w:val="o"/>
      <w:lvlJc w:val="left"/>
      <w:pPr>
        <w:tabs>
          <w:tab w:val="num" w:pos="2592"/>
        </w:tabs>
        <w:ind w:left="2592" w:hanging="360"/>
      </w:pPr>
      <w:rPr>
        <w:rFonts w:ascii="Courier New" w:hAnsi="Courier New" w:cs="Courier New" w:hint="default"/>
      </w:rPr>
    </w:lvl>
    <w:lvl w:ilvl="2" w:tplc="08090005">
      <w:start w:val="1"/>
      <w:numFmt w:val="bullet"/>
      <w:lvlText w:val=""/>
      <w:lvlJc w:val="left"/>
      <w:pPr>
        <w:tabs>
          <w:tab w:val="num" w:pos="3312"/>
        </w:tabs>
        <w:ind w:left="3312" w:hanging="360"/>
      </w:pPr>
      <w:rPr>
        <w:rFonts w:ascii="Wingdings" w:hAnsi="Wingdings" w:hint="default"/>
      </w:rPr>
    </w:lvl>
    <w:lvl w:ilvl="3" w:tplc="08090001">
      <w:start w:val="1"/>
      <w:numFmt w:val="bullet"/>
      <w:lvlText w:val=""/>
      <w:lvlJc w:val="left"/>
      <w:pPr>
        <w:tabs>
          <w:tab w:val="num" w:pos="4032"/>
        </w:tabs>
        <w:ind w:left="4032" w:hanging="360"/>
      </w:pPr>
      <w:rPr>
        <w:rFonts w:ascii="Symbol" w:hAnsi="Symbol" w:hint="default"/>
      </w:rPr>
    </w:lvl>
    <w:lvl w:ilvl="4" w:tplc="08090003">
      <w:start w:val="1"/>
      <w:numFmt w:val="bullet"/>
      <w:lvlText w:val="o"/>
      <w:lvlJc w:val="left"/>
      <w:pPr>
        <w:tabs>
          <w:tab w:val="num" w:pos="4752"/>
        </w:tabs>
        <w:ind w:left="4752" w:hanging="360"/>
      </w:pPr>
      <w:rPr>
        <w:rFonts w:ascii="Courier New" w:hAnsi="Courier New" w:cs="Courier New" w:hint="default"/>
      </w:rPr>
    </w:lvl>
    <w:lvl w:ilvl="5" w:tplc="08090005">
      <w:start w:val="1"/>
      <w:numFmt w:val="bullet"/>
      <w:lvlText w:val=""/>
      <w:lvlJc w:val="left"/>
      <w:pPr>
        <w:tabs>
          <w:tab w:val="num" w:pos="5472"/>
        </w:tabs>
        <w:ind w:left="5472" w:hanging="360"/>
      </w:pPr>
      <w:rPr>
        <w:rFonts w:ascii="Wingdings" w:hAnsi="Wingdings" w:hint="default"/>
      </w:rPr>
    </w:lvl>
    <w:lvl w:ilvl="6" w:tplc="08090001">
      <w:start w:val="1"/>
      <w:numFmt w:val="bullet"/>
      <w:lvlText w:val=""/>
      <w:lvlJc w:val="left"/>
      <w:pPr>
        <w:tabs>
          <w:tab w:val="num" w:pos="6192"/>
        </w:tabs>
        <w:ind w:left="6192" w:hanging="360"/>
      </w:pPr>
      <w:rPr>
        <w:rFonts w:ascii="Symbol" w:hAnsi="Symbol" w:hint="default"/>
      </w:rPr>
    </w:lvl>
    <w:lvl w:ilvl="7" w:tplc="08090003">
      <w:start w:val="1"/>
      <w:numFmt w:val="bullet"/>
      <w:lvlText w:val="o"/>
      <w:lvlJc w:val="left"/>
      <w:pPr>
        <w:tabs>
          <w:tab w:val="num" w:pos="6912"/>
        </w:tabs>
        <w:ind w:left="6912" w:hanging="360"/>
      </w:pPr>
      <w:rPr>
        <w:rFonts w:ascii="Courier New" w:hAnsi="Courier New" w:cs="Courier New" w:hint="default"/>
      </w:rPr>
    </w:lvl>
    <w:lvl w:ilvl="8" w:tplc="08090005">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19A62671"/>
    <w:multiLevelType w:val="hybridMultilevel"/>
    <w:tmpl w:val="FA485B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AED3D88"/>
    <w:multiLevelType w:val="hybridMultilevel"/>
    <w:tmpl w:val="C966D560"/>
    <w:lvl w:ilvl="0" w:tplc="38602CC4">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406C4"/>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7542D2"/>
    <w:multiLevelType w:val="multilevel"/>
    <w:tmpl w:val="1CC89892"/>
    <w:numStyleLink w:val="Judgments"/>
  </w:abstractNum>
  <w:abstractNum w:abstractNumId="1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3"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75B5B"/>
    <w:multiLevelType w:val="hybridMultilevel"/>
    <w:tmpl w:val="EFE0FAA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91173"/>
    <w:multiLevelType w:val="hybridMultilevel"/>
    <w:tmpl w:val="2E302E00"/>
    <w:lvl w:ilvl="0" w:tplc="1D4C32B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0AF29A9"/>
    <w:multiLevelType w:val="hybridMultilevel"/>
    <w:tmpl w:val="51302CA0"/>
    <w:lvl w:ilvl="0" w:tplc="DDF0C2A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44BB7752"/>
    <w:multiLevelType w:val="hybridMultilevel"/>
    <w:tmpl w:val="189E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AD5C6B"/>
    <w:multiLevelType w:val="multilevel"/>
    <w:tmpl w:val="84E6CEA2"/>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2" w15:restartNumberingAfterBreak="0">
    <w:nsid w:val="69E83183"/>
    <w:multiLevelType w:val="hybridMultilevel"/>
    <w:tmpl w:val="3CBC50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6842CE"/>
    <w:multiLevelType w:val="hybridMultilevel"/>
    <w:tmpl w:val="D9BA5558"/>
    <w:lvl w:ilvl="0" w:tplc="226C09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6" w15:restartNumberingAfterBreak="0">
    <w:nsid w:val="7A1C52CA"/>
    <w:multiLevelType w:val="multilevel"/>
    <w:tmpl w:val="F54C23E6"/>
    <w:lvl w:ilvl="0">
      <w:start w:val="10"/>
      <w:numFmt w:val="decimal"/>
      <w:lvlText w:val="%1"/>
      <w:lvlJc w:val="left"/>
      <w:pPr>
        <w:ind w:left="420" w:hanging="420"/>
      </w:pPr>
      <w:rPr>
        <w:rFonts w:hint="default"/>
        <w:b w:val="0"/>
        <w:i w:val="0"/>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7" w15:restartNumberingAfterBreak="0">
    <w:nsid w:val="7DB8468A"/>
    <w:multiLevelType w:val="hybridMultilevel"/>
    <w:tmpl w:val="D0ECAE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14"/>
  </w:num>
  <w:num w:numId="2">
    <w:abstractNumId w:val="10"/>
  </w:num>
  <w:num w:numId="3">
    <w:abstractNumId w:val="16"/>
  </w:num>
  <w:num w:numId="4">
    <w:abstractNumId w:val="12"/>
  </w:num>
  <w:num w:numId="5">
    <w:abstractNumId w:val="11"/>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3"/>
  </w:num>
  <w:num w:numId="7">
    <w:abstractNumId w:val="8"/>
  </w:num>
  <w:num w:numId="8">
    <w:abstractNumId w:val="20"/>
  </w:num>
  <w:num w:numId="9">
    <w:abstractNumId w:val="3"/>
  </w:num>
  <w:num w:numId="10">
    <w:abstractNumId w:val="20"/>
  </w:num>
  <w:num w:numId="11">
    <w:abstractNumId w:val="20"/>
  </w:num>
  <w:num w:numId="12">
    <w:abstractNumId w:val="13"/>
  </w:num>
  <w:num w:numId="13">
    <w:abstractNumId w:val="25"/>
  </w:num>
  <w:num w:numId="14">
    <w:abstractNumId w:val="20"/>
    <w:lvlOverride w:ilvl="0">
      <w:startOverride w:val="1"/>
    </w:lvlOverride>
  </w:num>
  <w:num w:numId="15">
    <w:abstractNumId w:val="20"/>
  </w:num>
  <w:num w:numId="16">
    <w:abstractNumId w:val="11"/>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5"/>
  </w:num>
  <w:num w:numId="23">
    <w:abstractNumId w:val="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7"/>
  </w:num>
  <w:num w:numId="30">
    <w:abstractNumId w:val="26"/>
  </w:num>
  <w:num w:numId="31">
    <w:abstractNumId w:val="27"/>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4"/>
  </w:num>
  <w:num w:numId="35">
    <w:abstractNumId w:val="2"/>
  </w:num>
  <w:num w:numId="36">
    <w:abstractNumId w:val="1"/>
  </w:num>
  <w:num w:numId="37">
    <w:abstractNumId w:val="11"/>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zA0NzA2Mze2NDdQ0lEKTi0uzszPAykwrAUAtu2TdiwAAAA="/>
  </w:docVars>
  <w:rsids>
    <w:rsidRoot w:val="00CC4C21"/>
    <w:rsid w:val="00015DE3"/>
    <w:rsid w:val="00025CDF"/>
    <w:rsid w:val="000301BB"/>
    <w:rsid w:val="0003054E"/>
    <w:rsid w:val="00040193"/>
    <w:rsid w:val="00050392"/>
    <w:rsid w:val="00050B7D"/>
    <w:rsid w:val="00067FCB"/>
    <w:rsid w:val="00071B84"/>
    <w:rsid w:val="00072C78"/>
    <w:rsid w:val="00072D53"/>
    <w:rsid w:val="00081862"/>
    <w:rsid w:val="0008560D"/>
    <w:rsid w:val="000873E2"/>
    <w:rsid w:val="0009242F"/>
    <w:rsid w:val="000929A9"/>
    <w:rsid w:val="00097D19"/>
    <w:rsid w:val="000A0FCF"/>
    <w:rsid w:val="000A1F6D"/>
    <w:rsid w:val="000A3825"/>
    <w:rsid w:val="000A5E8A"/>
    <w:rsid w:val="000C0D38"/>
    <w:rsid w:val="000D6415"/>
    <w:rsid w:val="000E15DC"/>
    <w:rsid w:val="00112139"/>
    <w:rsid w:val="001126AB"/>
    <w:rsid w:val="001135C2"/>
    <w:rsid w:val="00114CB7"/>
    <w:rsid w:val="00116DDC"/>
    <w:rsid w:val="001278AB"/>
    <w:rsid w:val="001428B9"/>
    <w:rsid w:val="00144C3A"/>
    <w:rsid w:val="0014564E"/>
    <w:rsid w:val="00151BF3"/>
    <w:rsid w:val="001520C4"/>
    <w:rsid w:val="00157C6B"/>
    <w:rsid w:val="00162586"/>
    <w:rsid w:val="001723B1"/>
    <w:rsid w:val="001818BC"/>
    <w:rsid w:val="00185F10"/>
    <w:rsid w:val="001930BC"/>
    <w:rsid w:val="00195F76"/>
    <w:rsid w:val="00196639"/>
    <w:rsid w:val="001A0CAF"/>
    <w:rsid w:val="001A3825"/>
    <w:rsid w:val="001A3E53"/>
    <w:rsid w:val="001B0EFE"/>
    <w:rsid w:val="001C54C3"/>
    <w:rsid w:val="001C78EC"/>
    <w:rsid w:val="001D0217"/>
    <w:rsid w:val="001D33D2"/>
    <w:rsid w:val="002015F8"/>
    <w:rsid w:val="00211C81"/>
    <w:rsid w:val="00212006"/>
    <w:rsid w:val="0021402A"/>
    <w:rsid w:val="00214DB4"/>
    <w:rsid w:val="0021702F"/>
    <w:rsid w:val="002207B6"/>
    <w:rsid w:val="00235626"/>
    <w:rsid w:val="00237F71"/>
    <w:rsid w:val="00243AE1"/>
    <w:rsid w:val="00244FEB"/>
    <w:rsid w:val="00245165"/>
    <w:rsid w:val="00271C68"/>
    <w:rsid w:val="0027707F"/>
    <w:rsid w:val="00285375"/>
    <w:rsid w:val="002978B1"/>
    <w:rsid w:val="002C2D81"/>
    <w:rsid w:val="002D0DE2"/>
    <w:rsid w:val="002D3055"/>
    <w:rsid w:val="002D4EB8"/>
    <w:rsid w:val="002E1B36"/>
    <w:rsid w:val="002E2AE3"/>
    <w:rsid w:val="002E2D44"/>
    <w:rsid w:val="00307BB3"/>
    <w:rsid w:val="003137B8"/>
    <w:rsid w:val="00315AA7"/>
    <w:rsid w:val="00344425"/>
    <w:rsid w:val="00346D7F"/>
    <w:rsid w:val="003615E7"/>
    <w:rsid w:val="00363898"/>
    <w:rsid w:val="0036708A"/>
    <w:rsid w:val="00373165"/>
    <w:rsid w:val="00380619"/>
    <w:rsid w:val="00385BB5"/>
    <w:rsid w:val="00390F88"/>
    <w:rsid w:val="00392D92"/>
    <w:rsid w:val="00394557"/>
    <w:rsid w:val="003A5477"/>
    <w:rsid w:val="003A6C9E"/>
    <w:rsid w:val="003B3E4B"/>
    <w:rsid w:val="003C11F1"/>
    <w:rsid w:val="003E2E94"/>
    <w:rsid w:val="003E5B26"/>
    <w:rsid w:val="003F2EE4"/>
    <w:rsid w:val="003F5E76"/>
    <w:rsid w:val="003F751A"/>
    <w:rsid w:val="00401AE2"/>
    <w:rsid w:val="00403F4C"/>
    <w:rsid w:val="00405958"/>
    <w:rsid w:val="00412994"/>
    <w:rsid w:val="00416353"/>
    <w:rsid w:val="004344B4"/>
    <w:rsid w:val="004362B7"/>
    <w:rsid w:val="00453AC2"/>
    <w:rsid w:val="00463B4E"/>
    <w:rsid w:val="00472219"/>
    <w:rsid w:val="004A0A8E"/>
    <w:rsid w:val="004A2599"/>
    <w:rsid w:val="004A4C0A"/>
    <w:rsid w:val="004A7784"/>
    <w:rsid w:val="004B067C"/>
    <w:rsid w:val="004B1E93"/>
    <w:rsid w:val="004B7720"/>
    <w:rsid w:val="004C16E0"/>
    <w:rsid w:val="004C58B8"/>
    <w:rsid w:val="004D7477"/>
    <w:rsid w:val="004E6279"/>
    <w:rsid w:val="004E63C8"/>
    <w:rsid w:val="004F7761"/>
    <w:rsid w:val="00505969"/>
    <w:rsid w:val="00524F8B"/>
    <w:rsid w:val="005304AC"/>
    <w:rsid w:val="00544E37"/>
    <w:rsid w:val="00570BC5"/>
    <w:rsid w:val="00572ED8"/>
    <w:rsid w:val="00574E87"/>
    <w:rsid w:val="005802AC"/>
    <w:rsid w:val="0058564A"/>
    <w:rsid w:val="005909C9"/>
    <w:rsid w:val="005A5FCB"/>
    <w:rsid w:val="005A7439"/>
    <w:rsid w:val="005B12AA"/>
    <w:rsid w:val="005D3054"/>
    <w:rsid w:val="005E6FB2"/>
    <w:rsid w:val="00601509"/>
    <w:rsid w:val="00602E59"/>
    <w:rsid w:val="0060768B"/>
    <w:rsid w:val="0060782F"/>
    <w:rsid w:val="0061354A"/>
    <w:rsid w:val="0061648D"/>
    <w:rsid w:val="00635504"/>
    <w:rsid w:val="00652326"/>
    <w:rsid w:val="00662CEA"/>
    <w:rsid w:val="00664E51"/>
    <w:rsid w:val="006720CF"/>
    <w:rsid w:val="00673D15"/>
    <w:rsid w:val="00673F34"/>
    <w:rsid w:val="00682172"/>
    <w:rsid w:val="00684570"/>
    <w:rsid w:val="00687181"/>
    <w:rsid w:val="006939DD"/>
    <w:rsid w:val="006A6465"/>
    <w:rsid w:val="006A68E2"/>
    <w:rsid w:val="006B7D2C"/>
    <w:rsid w:val="006C1880"/>
    <w:rsid w:val="006C30D7"/>
    <w:rsid w:val="006C5E78"/>
    <w:rsid w:val="006D305B"/>
    <w:rsid w:val="006D57EC"/>
    <w:rsid w:val="006F3314"/>
    <w:rsid w:val="006F5ABA"/>
    <w:rsid w:val="006F6614"/>
    <w:rsid w:val="00700ED9"/>
    <w:rsid w:val="0070371E"/>
    <w:rsid w:val="00706EB0"/>
    <w:rsid w:val="00715C55"/>
    <w:rsid w:val="00715C98"/>
    <w:rsid w:val="00716FAC"/>
    <w:rsid w:val="0072185E"/>
    <w:rsid w:val="00722761"/>
    <w:rsid w:val="00723DED"/>
    <w:rsid w:val="007248ED"/>
    <w:rsid w:val="00730A82"/>
    <w:rsid w:val="00733AD4"/>
    <w:rsid w:val="00736607"/>
    <w:rsid w:val="007371C8"/>
    <w:rsid w:val="007555E3"/>
    <w:rsid w:val="0075634D"/>
    <w:rsid w:val="00756E67"/>
    <w:rsid w:val="00762B30"/>
    <w:rsid w:val="007637B5"/>
    <w:rsid w:val="007904C2"/>
    <w:rsid w:val="007925FA"/>
    <w:rsid w:val="00796B89"/>
    <w:rsid w:val="007A5F5C"/>
    <w:rsid w:val="007A6037"/>
    <w:rsid w:val="007A6875"/>
    <w:rsid w:val="007A6931"/>
    <w:rsid w:val="007A6F06"/>
    <w:rsid w:val="007C5E28"/>
    <w:rsid w:val="007D25FE"/>
    <w:rsid w:val="007D2B64"/>
    <w:rsid w:val="007D5C18"/>
    <w:rsid w:val="007D72AE"/>
    <w:rsid w:val="008001C8"/>
    <w:rsid w:val="0081101D"/>
    <w:rsid w:val="00813B26"/>
    <w:rsid w:val="00815764"/>
    <w:rsid w:val="008208F8"/>
    <w:rsid w:val="008252B1"/>
    <w:rsid w:val="00836048"/>
    <w:rsid w:val="00837AA5"/>
    <w:rsid w:val="00841774"/>
    <w:rsid w:val="00850555"/>
    <w:rsid w:val="00856A03"/>
    <w:rsid w:val="008577B7"/>
    <w:rsid w:val="00863627"/>
    <w:rsid w:val="00877F00"/>
    <w:rsid w:val="008817F2"/>
    <w:rsid w:val="008821CA"/>
    <w:rsid w:val="00890F42"/>
    <w:rsid w:val="008A00BC"/>
    <w:rsid w:val="008B23BB"/>
    <w:rsid w:val="008D714D"/>
    <w:rsid w:val="008E4240"/>
    <w:rsid w:val="008E771B"/>
    <w:rsid w:val="008F09EA"/>
    <w:rsid w:val="00907773"/>
    <w:rsid w:val="00921C70"/>
    <w:rsid w:val="009277E6"/>
    <w:rsid w:val="00932D76"/>
    <w:rsid w:val="009501E8"/>
    <w:rsid w:val="00952714"/>
    <w:rsid w:val="009539C2"/>
    <w:rsid w:val="009755CD"/>
    <w:rsid w:val="00983AAA"/>
    <w:rsid w:val="00987977"/>
    <w:rsid w:val="009A3363"/>
    <w:rsid w:val="009A34F7"/>
    <w:rsid w:val="009A7688"/>
    <w:rsid w:val="009A769C"/>
    <w:rsid w:val="009B3EAA"/>
    <w:rsid w:val="009B495E"/>
    <w:rsid w:val="009B65F3"/>
    <w:rsid w:val="009C60B1"/>
    <w:rsid w:val="009D6B38"/>
    <w:rsid w:val="009F08EA"/>
    <w:rsid w:val="009F125D"/>
    <w:rsid w:val="009F6BE8"/>
    <w:rsid w:val="009F73C2"/>
    <w:rsid w:val="00A0256C"/>
    <w:rsid w:val="00A04F30"/>
    <w:rsid w:val="00A102D5"/>
    <w:rsid w:val="00A163BC"/>
    <w:rsid w:val="00A1750E"/>
    <w:rsid w:val="00A2058F"/>
    <w:rsid w:val="00A22E70"/>
    <w:rsid w:val="00A24F6C"/>
    <w:rsid w:val="00A25856"/>
    <w:rsid w:val="00A25BCD"/>
    <w:rsid w:val="00A266BE"/>
    <w:rsid w:val="00A34979"/>
    <w:rsid w:val="00A43E6C"/>
    <w:rsid w:val="00AB3BD4"/>
    <w:rsid w:val="00AC497D"/>
    <w:rsid w:val="00AC65DC"/>
    <w:rsid w:val="00AE439F"/>
    <w:rsid w:val="00B03209"/>
    <w:rsid w:val="00B24FDD"/>
    <w:rsid w:val="00B31DC2"/>
    <w:rsid w:val="00B4754A"/>
    <w:rsid w:val="00B5371D"/>
    <w:rsid w:val="00B53FB6"/>
    <w:rsid w:val="00B6660F"/>
    <w:rsid w:val="00B674A4"/>
    <w:rsid w:val="00B81E71"/>
    <w:rsid w:val="00B837E4"/>
    <w:rsid w:val="00B8383A"/>
    <w:rsid w:val="00B843CF"/>
    <w:rsid w:val="00B87082"/>
    <w:rsid w:val="00B921CA"/>
    <w:rsid w:val="00B950DF"/>
    <w:rsid w:val="00B96055"/>
    <w:rsid w:val="00BA5383"/>
    <w:rsid w:val="00BB0934"/>
    <w:rsid w:val="00BB1A3E"/>
    <w:rsid w:val="00BC3E1E"/>
    <w:rsid w:val="00BC73B1"/>
    <w:rsid w:val="00BE0813"/>
    <w:rsid w:val="00BE3EC0"/>
    <w:rsid w:val="00BE70A5"/>
    <w:rsid w:val="00BF06E3"/>
    <w:rsid w:val="00BF2AB7"/>
    <w:rsid w:val="00BF6167"/>
    <w:rsid w:val="00C03BF2"/>
    <w:rsid w:val="00C057B3"/>
    <w:rsid w:val="00C17BAC"/>
    <w:rsid w:val="00C243E8"/>
    <w:rsid w:val="00C2466E"/>
    <w:rsid w:val="00C3718C"/>
    <w:rsid w:val="00C603CB"/>
    <w:rsid w:val="00C645D9"/>
    <w:rsid w:val="00C65D1E"/>
    <w:rsid w:val="00C660F0"/>
    <w:rsid w:val="00C713FA"/>
    <w:rsid w:val="00C94537"/>
    <w:rsid w:val="00CA2B2E"/>
    <w:rsid w:val="00CC0848"/>
    <w:rsid w:val="00CC437E"/>
    <w:rsid w:val="00CC4C21"/>
    <w:rsid w:val="00CC7975"/>
    <w:rsid w:val="00CD09C7"/>
    <w:rsid w:val="00CD67A5"/>
    <w:rsid w:val="00CD7565"/>
    <w:rsid w:val="00D01A26"/>
    <w:rsid w:val="00D2005C"/>
    <w:rsid w:val="00D22F07"/>
    <w:rsid w:val="00D31F1B"/>
    <w:rsid w:val="00D33DBF"/>
    <w:rsid w:val="00D44341"/>
    <w:rsid w:val="00D710E7"/>
    <w:rsid w:val="00D75FFC"/>
    <w:rsid w:val="00D8338F"/>
    <w:rsid w:val="00DA28D0"/>
    <w:rsid w:val="00DB562E"/>
    <w:rsid w:val="00DC22F5"/>
    <w:rsid w:val="00DC2899"/>
    <w:rsid w:val="00DC5C7F"/>
    <w:rsid w:val="00DD0855"/>
    <w:rsid w:val="00DD1F51"/>
    <w:rsid w:val="00E11829"/>
    <w:rsid w:val="00E1659A"/>
    <w:rsid w:val="00E32520"/>
    <w:rsid w:val="00E409F3"/>
    <w:rsid w:val="00E45519"/>
    <w:rsid w:val="00E46C9F"/>
    <w:rsid w:val="00E5501F"/>
    <w:rsid w:val="00E61BB6"/>
    <w:rsid w:val="00E65F6A"/>
    <w:rsid w:val="00E82C79"/>
    <w:rsid w:val="00E868F3"/>
    <w:rsid w:val="00E9392E"/>
    <w:rsid w:val="00E9769A"/>
    <w:rsid w:val="00EA4875"/>
    <w:rsid w:val="00EA6048"/>
    <w:rsid w:val="00EB4408"/>
    <w:rsid w:val="00EC0DF2"/>
    <w:rsid w:val="00EC2665"/>
    <w:rsid w:val="00EC3641"/>
    <w:rsid w:val="00ED0BFC"/>
    <w:rsid w:val="00EE0020"/>
    <w:rsid w:val="00EE2ED6"/>
    <w:rsid w:val="00EF13E2"/>
    <w:rsid w:val="00EF6D79"/>
    <w:rsid w:val="00F10210"/>
    <w:rsid w:val="00F11205"/>
    <w:rsid w:val="00F22AD1"/>
    <w:rsid w:val="00F24182"/>
    <w:rsid w:val="00F27461"/>
    <w:rsid w:val="00F33B83"/>
    <w:rsid w:val="00F35EE5"/>
    <w:rsid w:val="00F42E6D"/>
    <w:rsid w:val="00F43258"/>
    <w:rsid w:val="00F6715B"/>
    <w:rsid w:val="00F67C42"/>
    <w:rsid w:val="00F85691"/>
    <w:rsid w:val="00F900E0"/>
    <w:rsid w:val="00F93864"/>
    <w:rsid w:val="00FA6B52"/>
    <w:rsid w:val="00FB2DA9"/>
    <w:rsid w:val="00FC174B"/>
    <w:rsid w:val="00FC7155"/>
    <w:rsid w:val="00FD1BC6"/>
    <w:rsid w:val="00FD4B0D"/>
    <w:rsid w:val="00FE2C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paragraph" w:styleId="Title">
    <w:name w:val="Title"/>
    <w:basedOn w:val="Normal"/>
    <w:next w:val="Normal"/>
    <w:link w:val="TitleChar"/>
    <w:uiPriority w:val="10"/>
    <w:qFormat/>
    <w:rsid w:val="00FE2CF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E2CFC"/>
    <w:rPr>
      <w:rFonts w:asciiTheme="majorHAnsi" w:eastAsiaTheme="majorEastAsia" w:hAnsiTheme="majorHAnsi" w:cstheme="majorBidi"/>
      <w:color w:val="323E4F" w:themeColor="text2" w:themeShade="BF"/>
      <w:spacing w:val="5"/>
      <w:kern w:val="28"/>
      <w:sz w:val="52"/>
      <w:szCs w:val="52"/>
      <w:lang w:val="en-GB"/>
    </w:rPr>
  </w:style>
  <w:style w:type="character" w:styleId="Strong">
    <w:name w:val="Strong"/>
    <w:basedOn w:val="DefaultParagraphFont"/>
    <w:uiPriority w:val="22"/>
    <w:qFormat/>
    <w:rsid w:val="00EE2ED6"/>
    <w:rPr>
      <w:b/>
      <w:bCs/>
    </w:rPr>
  </w:style>
  <w:style w:type="paragraph" w:styleId="FootnoteText">
    <w:name w:val="footnote text"/>
    <w:basedOn w:val="Normal"/>
    <w:link w:val="FootnoteTextChar"/>
    <w:uiPriority w:val="99"/>
    <w:semiHidden/>
    <w:unhideWhenUsed/>
    <w:rsid w:val="001D02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217"/>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501704526">
      <w:bodyDiv w:val="1"/>
      <w:marLeft w:val="0"/>
      <w:marRight w:val="0"/>
      <w:marTop w:val="0"/>
      <w:marBottom w:val="0"/>
      <w:divBdr>
        <w:top w:val="none" w:sz="0" w:space="0" w:color="auto"/>
        <w:left w:val="none" w:sz="0" w:space="0" w:color="auto"/>
        <w:bottom w:val="none" w:sz="0" w:space="0" w:color="auto"/>
        <w:right w:val="none" w:sz="0" w:space="0" w:color="auto"/>
      </w:divBdr>
    </w:div>
    <w:div w:id="684401830">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22660386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33092441">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8</cp:revision>
  <cp:lastPrinted>2021-12-17T03:37:00Z</cp:lastPrinted>
  <dcterms:created xsi:type="dcterms:W3CDTF">2021-12-16T11:29:00Z</dcterms:created>
  <dcterms:modified xsi:type="dcterms:W3CDTF">2021-12-17T04:12:00Z</dcterms:modified>
</cp:coreProperties>
</file>