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3462B353" w:rsidR="001D33D2" w:rsidRPr="004A2599" w:rsidRDefault="00434E98"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 v </w:t>
      </w:r>
      <w:r w:rsidR="003B3E4B">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D42744">
      <w:pPr>
        <w:spacing w:after="0" w:line="240" w:lineRule="auto"/>
        <w:ind w:left="558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4AA71A8F" w14:textId="4EA4BF5B" w:rsidR="00D42744" w:rsidRDefault="00BC73B1" w:rsidP="00D42744">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8B14BB">
        <w:rPr>
          <w:rFonts w:ascii="Times New Roman" w:hAnsi="Times New Roman" w:cs="Times New Roman"/>
          <w:sz w:val="24"/>
          <w:szCs w:val="24"/>
        </w:rPr>
        <w:t>80</w:t>
      </w:r>
      <w:r w:rsidR="00BC3B11">
        <w:rPr>
          <w:rFonts w:ascii="Times New Roman" w:hAnsi="Times New Roman" w:cs="Times New Roman"/>
          <w:sz w:val="24"/>
          <w:szCs w:val="24"/>
        </w:rPr>
        <w:t xml:space="preserve">  </w:t>
      </w:r>
    </w:p>
    <w:p w14:paraId="5D8B0A69" w14:textId="07B2C1F6" w:rsidR="007637B5" w:rsidRDefault="00BC3B11" w:rsidP="00D42744">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17 December</w:t>
      </w:r>
      <w:r w:rsidR="00DC22F5">
        <w:rPr>
          <w:rFonts w:ascii="Times New Roman" w:hAnsi="Times New Roman" w:cs="Times New Roman"/>
          <w:sz w:val="24"/>
          <w:szCs w:val="24"/>
        </w:rPr>
        <w:t xml:space="preserve"> 2021</w:t>
      </w:r>
    </w:p>
    <w:p w14:paraId="39C68942" w14:textId="7FD7A6CB" w:rsidR="002E2AE3" w:rsidRDefault="006F5ABA" w:rsidP="00D42744">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4C491B">
        <w:rPr>
          <w:rFonts w:ascii="Times New Roman" w:hAnsi="Times New Roman" w:cs="Times New Roman"/>
          <w:sz w:val="24"/>
          <w:szCs w:val="24"/>
        </w:rPr>
        <w:t>19</w:t>
      </w:r>
      <w:r w:rsidR="00BC3B11">
        <w:rPr>
          <w:rFonts w:ascii="Times New Roman" w:hAnsi="Times New Roman" w:cs="Times New Roman"/>
          <w:sz w:val="24"/>
          <w:szCs w:val="24"/>
        </w:rPr>
        <w:t>/2019</w:t>
      </w:r>
      <w:r>
        <w:rPr>
          <w:rFonts w:ascii="Times New Roman" w:hAnsi="Times New Roman" w:cs="Times New Roman"/>
          <w:sz w:val="24"/>
          <w:szCs w:val="24"/>
        </w:rPr>
        <w:t xml:space="preserve"> </w:t>
      </w:r>
    </w:p>
    <w:p w14:paraId="0AD6B0FD" w14:textId="333DE1C7" w:rsidR="00245165" w:rsidRDefault="00245165" w:rsidP="00D42744">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(Appeal from</w:t>
      </w:r>
      <w:r w:rsidR="00E5348B">
        <w:rPr>
          <w:rFonts w:ascii="Times New Roman" w:hAnsi="Times New Roman" w:cs="Times New Roman"/>
          <w:sz w:val="24"/>
          <w:szCs w:val="24"/>
        </w:rPr>
        <w:t xml:space="preserve"> CS </w:t>
      </w:r>
      <w:r w:rsidR="00703C40">
        <w:rPr>
          <w:rFonts w:ascii="Times New Roman" w:hAnsi="Times New Roman" w:cs="Times New Roman"/>
          <w:sz w:val="24"/>
          <w:szCs w:val="24"/>
        </w:rPr>
        <w:t>54/2016</w:t>
      </w:r>
      <w:r w:rsidR="00FE2CFC">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7D656BF3" w14:textId="77777777" w:rsidR="00BC3B11" w:rsidRDefault="00BC3B11" w:rsidP="00F2418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the Matter Between</w:t>
      </w:r>
    </w:p>
    <w:p w14:paraId="799E9E9B" w14:textId="77777777" w:rsidR="00BC3B11" w:rsidRPr="00BC3B11" w:rsidRDefault="00BC3B11" w:rsidP="00F24182">
      <w:pPr>
        <w:pStyle w:val="NoSpacing"/>
        <w:spacing w:line="360" w:lineRule="auto"/>
        <w:rPr>
          <w:rFonts w:ascii="Times New Roman" w:hAnsi="Times New Roman" w:cs="Times New Roman"/>
          <w:sz w:val="10"/>
          <w:szCs w:val="10"/>
        </w:rPr>
      </w:pPr>
    </w:p>
    <w:p w14:paraId="0C4FB606" w14:textId="77777777" w:rsidR="004C491B" w:rsidRDefault="004C491B" w:rsidP="00BC3B11">
      <w:pPr>
        <w:pStyle w:val="NoSpacing"/>
        <w:rPr>
          <w:rFonts w:ascii="Times New Roman" w:hAnsi="Times New Roman" w:cs="Times New Roman"/>
          <w:sz w:val="24"/>
          <w:szCs w:val="24"/>
        </w:rPr>
      </w:pPr>
      <w:proofErr w:type="spellStart"/>
      <w:r>
        <w:rPr>
          <w:rFonts w:ascii="Times New Roman" w:hAnsi="Times New Roman" w:cs="Times New Roman"/>
          <w:sz w:val="24"/>
          <w:szCs w:val="24"/>
        </w:rPr>
        <w:t>Mersia</w:t>
      </w:r>
      <w:proofErr w:type="spellEnd"/>
      <w:r>
        <w:rPr>
          <w:rFonts w:ascii="Times New Roman" w:hAnsi="Times New Roman" w:cs="Times New Roman"/>
          <w:sz w:val="24"/>
          <w:szCs w:val="24"/>
        </w:rPr>
        <w:t xml:space="preserve"> Chetty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348B">
        <w:rPr>
          <w:rFonts w:ascii="Times New Roman" w:hAnsi="Times New Roman" w:cs="Times New Roman"/>
          <w:b/>
          <w:sz w:val="24"/>
          <w:szCs w:val="24"/>
        </w:rPr>
        <w:tab/>
      </w:r>
      <w:r w:rsidR="003F751A">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r w:rsidR="00F24182">
        <w:rPr>
          <w:rFonts w:ascii="Times New Roman" w:hAnsi="Times New Roman" w:cs="Times New Roman"/>
          <w:b/>
          <w:sz w:val="24"/>
          <w:szCs w:val="24"/>
        </w:rPr>
        <w:tab/>
      </w:r>
      <w:r w:rsidR="00F24182">
        <w:rPr>
          <w:rFonts w:ascii="Times New Roman" w:hAnsi="Times New Roman" w:cs="Times New Roman"/>
          <w:b/>
          <w:sz w:val="24"/>
          <w:szCs w:val="24"/>
        </w:rPr>
        <w:tab/>
      </w:r>
      <w:r>
        <w:rPr>
          <w:rFonts w:ascii="Times New Roman" w:hAnsi="Times New Roman" w:cs="Times New Roman"/>
          <w:b/>
          <w:sz w:val="24"/>
          <w:szCs w:val="24"/>
        </w:rPr>
        <w:t>1</w:t>
      </w:r>
      <w:r w:rsidRPr="004C491B">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00BC3B11">
        <w:rPr>
          <w:rFonts w:ascii="Times New Roman" w:hAnsi="Times New Roman" w:cs="Times New Roman"/>
          <w:b/>
          <w:sz w:val="24"/>
          <w:szCs w:val="24"/>
        </w:rPr>
        <w:t>A</w:t>
      </w:r>
      <w:r w:rsidR="00BC3B11" w:rsidRPr="005D3054">
        <w:rPr>
          <w:rFonts w:ascii="Times New Roman" w:hAnsi="Times New Roman" w:cs="Times New Roman"/>
          <w:b/>
          <w:sz w:val="24"/>
          <w:szCs w:val="24"/>
        </w:rPr>
        <w:t>ppellant</w:t>
      </w:r>
      <w:r w:rsidR="00F24182" w:rsidRPr="005D3054">
        <w:rPr>
          <w:rFonts w:ascii="Times New Roman" w:hAnsi="Times New Roman" w:cs="Times New Roman"/>
          <w:sz w:val="24"/>
          <w:szCs w:val="24"/>
        </w:rPr>
        <w:tab/>
      </w:r>
    </w:p>
    <w:p w14:paraId="156A6D98" w14:textId="2DCD1F38" w:rsidR="004C491B" w:rsidRPr="00703C40" w:rsidRDefault="00703C40" w:rsidP="00BC3B11">
      <w:pPr>
        <w:pStyle w:val="NoSpacing"/>
        <w:rPr>
          <w:rFonts w:ascii="Times New Roman" w:hAnsi="Times New Roman" w:cs="Times New Roman"/>
          <w:b/>
          <w:sz w:val="24"/>
          <w:szCs w:val="24"/>
        </w:rPr>
      </w:pPr>
      <w:r>
        <w:rPr>
          <w:rFonts w:ascii="Times New Roman" w:hAnsi="Times New Roman" w:cs="Times New Roman"/>
          <w:sz w:val="24"/>
          <w:szCs w:val="24"/>
        </w:rPr>
        <w:t>Emilie Chetty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b/>
          <w:sz w:val="24"/>
          <w:szCs w:val="24"/>
          <w:vertAlign w:val="superscript"/>
        </w:rPr>
        <w:t xml:space="preserve">nd </w:t>
      </w:r>
      <w:r>
        <w:rPr>
          <w:rFonts w:ascii="Times New Roman" w:hAnsi="Times New Roman" w:cs="Times New Roman"/>
          <w:b/>
          <w:sz w:val="24"/>
          <w:szCs w:val="24"/>
        </w:rPr>
        <w:t>Appellant</w:t>
      </w:r>
    </w:p>
    <w:p w14:paraId="398C6A6D" w14:textId="687D7AB0" w:rsidR="005D3054" w:rsidRPr="005D3054" w:rsidRDefault="005D3054" w:rsidP="00BC3B11">
      <w:pPr>
        <w:pStyle w:val="NoSpacing"/>
        <w:rPr>
          <w:rFonts w:ascii="Times New Roman" w:hAnsi="Times New Roman" w:cs="Times New Roman"/>
          <w:sz w:val="24"/>
          <w:szCs w:val="24"/>
        </w:rPr>
      </w:pPr>
      <w:r w:rsidRPr="005D3054">
        <w:rPr>
          <w:rFonts w:ascii="Times New Roman" w:hAnsi="Times New Roman" w:cs="Times New Roman"/>
          <w:i/>
          <w:sz w:val="24"/>
          <w:szCs w:val="24"/>
        </w:rPr>
        <w:t>(</w:t>
      </w:r>
      <w:proofErr w:type="gramStart"/>
      <w:r w:rsidRPr="005D3054">
        <w:rPr>
          <w:rFonts w:ascii="Times New Roman" w:hAnsi="Times New Roman" w:cs="Times New Roman"/>
          <w:i/>
          <w:sz w:val="24"/>
          <w:szCs w:val="24"/>
        </w:rPr>
        <w:t>rep</w:t>
      </w:r>
      <w:proofErr w:type="gramEnd"/>
      <w:r w:rsidRPr="005D3054">
        <w:rPr>
          <w:rFonts w:ascii="Times New Roman" w:hAnsi="Times New Roman" w:cs="Times New Roman"/>
          <w:i/>
          <w:sz w:val="24"/>
          <w:szCs w:val="24"/>
        </w:rPr>
        <w:t xml:space="preserve">. by </w:t>
      </w:r>
      <w:r w:rsidR="00703C40">
        <w:rPr>
          <w:rFonts w:ascii="Times New Roman" w:hAnsi="Times New Roman" w:cs="Times New Roman"/>
          <w:i/>
          <w:sz w:val="24"/>
          <w:szCs w:val="24"/>
        </w:rPr>
        <w:t>Ms. Kelly Louise</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BC3B11">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5416DAFC" w:rsidR="00F24182" w:rsidRPr="006F5ABA" w:rsidRDefault="004C491B" w:rsidP="00FE2CFC">
      <w:pPr>
        <w:pStyle w:val="Partynames"/>
        <w:tabs>
          <w:tab w:val="clear" w:pos="5580"/>
          <w:tab w:val="left" w:pos="5730"/>
          <w:tab w:val="left" w:pos="5760"/>
        </w:tabs>
      </w:pPr>
      <w:r>
        <w:rPr>
          <w:b w:val="0"/>
        </w:rPr>
        <w:t xml:space="preserve">Gina </w:t>
      </w:r>
      <w:proofErr w:type="spellStart"/>
      <w:r>
        <w:rPr>
          <w:b w:val="0"/>
        </w:rPr>
        <w:t>Laporte</w:t>
      </w:r>
      <w:proofErr w:type="spellEnd"/>
      <w:r w:rsidR="00F24182">
        <w:tab/>
      </w:r>
      <w:r w:rsidR="00DC22F5">
        <w:t>Respondent</w:t>
      </w:r>
    </w:p>
    <w:p w14:paraId="35F33580" w14:textId="0152FEC6"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by</w:t>
      </w:r>
      <w:r w:rsidR="00841555">
        <w:rPr>
          <w:rFonts w:ascii="Times New Roman" w:hAnsi="Times New Roman" w:cs="Times New Roman"/>
          <w:i/>
          <w:sz w:val="24"/>
          <w:szCs w:val="24"/>
        </w:rPr>
        <w:t xml:space="preserve"> </w:t>
      </w:r>
      <w:r w:rsidR="00703C40">
        <w:rPr>
          <w:rFonts w:ascii="Times New Roman" w:hAnsi="Times New Roman" w:cs="Times New Roman"/>
          <w:i/>
          <w:sz w:val="24"/>
          <w:szCs w:val="24"/>
        </w:rPr>
        <w:t xml:space="preserve">Mr. Rene </w:t>
      </w:r>
      <w:proofErr w:type="spellStart"/>
      <w:r w:rsidR="00703C40">
        <w:rPr>
          <w:rFonts w:ascii="Times New Roman" w:hAnsi="Times New Roman" w:cs="Times New Roman"/>
          <w:i/>
          <w:sz w:val="24"/>
          <w:szCs w:val="24"/>
        </w:rPr>
        <w:t>Durup</w:t>
      </w:r>
      <w:proofErr w:type="spellEnd"/>
      <w:r w:rsidRPr="004A2599">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6FA1FDAB" w14:textId="6157ED59" w:rsidR="000A0FCF" w:rsidRPr="00112966" w:rsidRDefault="00405958" w:rsidP="00B367AC">
      <w:pPr>
        <w:pStyle w:val="NoSpacing"/>
        <w:tabs>
          <w:tab w:val="left" w:pos="1890"/>
        </w:tabs>
        <w:spacing w:before="240"/>
        <w:ind w:left="1890" w:right="-180" w:hanging="1890"/>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C491B">
        <w:rPr>
          <w:rFonts w:ascii="Times New Roman" w:hAnsi="Times New Roman" w:cs="Times New Roman"/>
          <w:i/>
          <w:sz w:val="24"/>
          <w:szCs w:val="24"/>
        </w:rPr>
        <w:t xml:space="preserve">Chetty &amp; </w:t>
      </w:r>
      <w:r w:rsidR="00D3160C">
        <w:rPr>
          <w:rFonts w:ascii="Times New Roman" w:hAnsi="Times New Roman" w:cs="Times New Roman"/>
          <w:i/>
          <w:sz w:val="24"/>
          <w:szCs w:val="24"/>
        </w:rPr>
        <w:t xml:space="preserve">Anor </w:t>
      </w:r>
      <w:r w:rsidR="004C491B">
        <w:rPr>
          <w:rFonts w:ascii="Times New Roman" w:hAnsi="Times New Roman" w:cs="Times New Roman"/>
          <w:i/>
          <w:sz w:val="24"/>
          <w:szCs w:val="24"/>
        </w:rPr>
        <w:t xml:space="preserve">v </w:t>
      </w:r>
      <w:proofErr w:type="spellStart"/>
      <w:r w:rsidR="004C491B">
        <w:rPr>
          <w:rFonts w:ascii="Times New Roman" w:hAnsi="Times New Roman" w:cs="Times New Roman"/>
          <w:i/>
          <w:sz w:val="24"/>
          <w:szCs w:val="24"/>
        </w:rPr>
        <w:t>Laporte</w:t>
      </w:r>
      <w:proofErr w:type="spellEnd"/>
      <w:r w:rsidR="00E5348B">
        <w:rPr>
          <w:rFonts w:ascii="Times New Roman" w:hAnsi="Times New Roman" w:cs="Times New Roman"/>
          <w:i/>
          <w:sz w:val="24"/>
          <w:szCs w:val="24"/>
        </w:rPr>
        <w:t xml:space="preserve"> </w:t>
      </w:r>
      <w:r w:rsidR="00DC22F5">
        <w:rPr>
          <w:rFonts w:ascii="Times New Roman" w:hAnsi="Times New Roman" w:cs="Times New Roman"/>
          <w:sz w:val="24"/>
          <w:szCs w:val="24"/>
        </w:rPr>
        <w:t xml:space="preserve">(SCA </w:t>
      </w:r>
      <w:r w:rsidR="004C491B">
        <w:rPr>
          <w:rFonts w:ascii="Times New Roman" w:hAnsi="Times New Roman" w:cs="Times New Roman"/>
          <w:sz w:val="24"/>
          <w:szCs w:val="24"/>
        </w:rPr>
        <w:t>19/</w:t>
      </w:r>
      <w:r w:rsidR="00DC22F5">
        <w:rPr>
          <w:rFonts w:ascii="Times New Roman" w:hAnsi="Times New Roman" w:cs="Times New Roman"/>
          <w:sz w:val="24"/>
          <w:szCs w:val="24"/>
        </w:rPr>
        <w:t>201</w:t>
      </w:r>
      <w:r w:rsidR="00E5348B">
        <w:rPr>
          <w:rFonts w:ascii="Times New Roman" w:hAnsi="Times New Roman" w:cs="Times New Roman"/>
          <w:sz w:val="24"/>
          <w:szCs w:val="24"/>
        </w:rPr>
        <w:t>9</w:t>
      </w:r>
      <w:r w:rsidR="00DC22F5">
        <w:rPr>
          <w:rFonts w:ascii="Times New Roman" w:hAnsi="Times New Roman" w:cs="Times New Roman"/>
          <w:sz w:val="24"/>
          <w:szCs w:val="24"/>
        </w:rPr>
        <w:t>)</w:t>
      </w:r>
      <w:r w:rsidR="003F751A">
        <w:rPr>
          <w:rFonts w:ascii="Times New Roman" w:hAnsi="Times New Roman" w:cs="Times New Roman"/>
        </w:rPr>
        <w:t xml:space="preserve"> </w:t>
      </w:r>
      <w:r w:rsidR="000A0FCF" w:rsidRPr="00112966">
        <w:rPr>
          <w:rFonts w:ascii="Times New Roman" w:hAnsi="Times New Roman" w:cs="Times New Roman"/>
        </w:rPr>
        <w:t xml:space="preserve">[2021] SCCA </w:t>
      </w:r>
      <w:r w:rsidR="008B14BB">
        <w:rPr>
          <w:rFonts w:ascii="Times New Roman" w:hAnsi="Times New Roman" w:cs="Times New Roman"/>
        </w:rPr>
        <w:t>80</w:t>
      </w:r>
      <w:r w:rsidR="00F46520">
        <w:rPr>
          <w:rFonts w:ascii="Times New Roman" w:hAnsi="Times New Roman" w:cs="Times New Roman"/>
        </w:rPr>
        <w:t xml:space="preserve"> </w:t>
      </w:r>
      <w:r w:rsidR="00DC22F5">
        <w:rPr>
          <w:rFonts w:ascii="Times New Roman" w:hAnsi="Times New Roman" w:cs="Times New Roman"/>
        </w:rPr>
        <w:t>(Arising in C</w:t>
      </w:r>
      <w:r w:rsidR="00E5348B">
        <w:rPr>
          <w:rFonts w:ascii="Times New Roman" w:hAnsi="Times New Roman" w:cs="Times New Roman"/>
        </w:rPr>
        <w:t xml:space="preserve">S </w:t>
      </w:r>
      <w:r w:rsidR="00703C40">
        <w:rPr>
          <w:rFonts w:ascii="Times New Roman" w:hAnsi="Times New Roman" w:cs="Times New Roman"/>
        </w:rPr>
        <w:t>54/2016</w:t>
      </w:r>
      <w:r w:rsidR="00E5348B">
        <w:rPr>
          <w:rFonts w:ascii="Times New Roman" w:hAnsi="Times New Roman" w:cs="Times New Roman"/>
        </w:rPr>
        <w:t>)</w:t>
      </w:r>
      <w:r w:rsidR="00B367AC">
        <w:rPr>
          <w:rFonts w:ascii="Times New Roman" w:hAnsi="Times New Roman" w:cs="Times New Roman"/>
        </w:rPr>
        <w:t xml:space="preserve"> </w:t>
      </w:r>
      <w:r w:rsidR="00DC22F5">
        <w:rPr>
          <w:rFonts w:ascii="Times New Roman" w:hAnsi="Times New Roman" w:cs="Times New Roman"/>
        </w:rPr>
        <w:t>1</w:t>
      </w:r>
      <w:r w:rsidR="00BC3B11">
        <w:rPr>
          <w:rFonts w:ascii="Times New Roman" w:hAnsi="Times New Roman" w:cs="Times New Roman"/>
        </w:rPr>
        <w:t>7 December</w:t>
      </w:r>
      <w:r w:rsidR="000A0FCF" w:rsidRPr="00112966">
        <w:rPr>
          <w:rFonts w:ascii="Times New Roman" w:hAnsi="Times New Roman" w:cs="Times New Roman"/>
        </w:rPr>
        <w:t xml:space="preserve"> 2021</w:t>
      </w:r>
    </w:p>
    <w:p w14:paraId="2CBC2A12" w14:textId="2FBDCA7F"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5348B">
        <w:rPr>
          <w:rFonts w:ascii="Times New Roman" w:hAnsi="Times New Roman" w:cs="Times New Roman"/>
          <w:sz w:val="24"/>
          <w:szCs w:val="24"/>
        </w:rPr>
        <w:t xml:space="preserve">Twomey JA, Robinson JA, </w:t>
      </w:r>
      <w:r w:rsidR="00BC3B11">
        <w:rPr>
          <w:rFonts w:ascii="Times New Roman" w:hAnsi="Times New Roman" w:cs="Times New Roman"/>
          <w:sz w:val="24"/>
          <w:szCs w:val="24"/>
        </w:rPr>
        <w:t>Tibatemwa-</w:t>
      </w:r>
      <w:proofErr w:type="spellStart"/>
      <w:r w:rsidR="00BC3B11">
        <w:rPr>
          <w:rFonts w:ascii="Times New Roman" w:hAnsi="Times New Roman" w:cs="Times New Roman"/>
          <w:sz w:val="24"/>
          <w:szCs w:val="24"/>
        </w:rPr>
        <w:t>Ekirikubinza</w:t>
      </w:r>
      <w:proofErr w:type="spellEnd"/>
      <w:r w:rsidR="00DC22F5">
        <w:rPr>
          <w:rFonts w:ascii="Times New Roman" w:hAnsi="Times New Roman" w:cs="Times New Roman"/>
          <w:sz w:val="24"/>
          <w:szCs w:val="24"/>
        </w:rPr>
        <w:t xml:space="preserve"> JA</w:t>
      </w:r>
    </w:p>
    <w:p w14:paraId="6F931E87" w14:textId="25FB2D46" w:rsidR="00E661F0" w:rsidRPr="00D77690" w:rsidRDefault="00346D7F" w:rsidP="007D5C18">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Summary:</w:t>
      </w:r>
      <w:r w:rsidR="00D77690">
        <w:rPr>
          <w:rFonts w:ascii="Times New Roman" w:hAnsi="Times New Roman" w:cs="Times New Roman"/>
          <w:b/>
          <w:sz w:val="24"/>
          <w:szCs w:val="24"/>
        </w:rPr>
        <w:t xml:space="preserve"> </w:t>
      </w:r>
      <w:r w:rsidR="00D77690">
        <w:rPr>
          <w:rFonts w:ascii="Times New Roman" w:hAnsi="Times New Roman" w:cs="Times New Roman"/>
          <w:b/>
          <w:sz w:val="24"/>
          <w:szCs w:val="24"/>
        </w:rPr>
        <w:tab/>
      </w:r>
      <w:r w:rsidR="00D77690" w:rsidRPr="00D77690">
        <w:rPr>
          <w:rFonts w:ascii="Times New Roman" w:hAnsi="Times New Roman" w:cs="Times New Roman"/>
          <w:sz w:val="24"/>
          <w:szCs w:val="24"/>
        </w:rPr>
        <w:t>Encroachment</w:t>
      </w:r>
      <w:r w:rsidR="00D77690">
        <w:rPr>
          <w:rFonts w:ascii="Times New Roman" w:hAnsi="Times New Roman" w:cs="Times New Roman"/>
          <w:sz w:val="24"/>
          <w:szCs w:val="24"/>
        </w:rPr>
        <w:t xml:space="preserve"> and illegal constructions</w:t>
      </w:r>
      <w:r w:rsidR="00B71799">
        <w:rPr>
          <w:rFonts w:ascii="Times New Roman" w:hAnsi="Times New Roman" w:cs="Times New Roman"/>
          <w:sz w:val="24"/>
          <w:szCs w:val="24"/>
        </w:rPr>
        <w:t xml:space="preserve"> - </w:t>
      </w:r>
      <w:r w:rsidR="001347F5">
        <w:rPr>
          <w:rFonts w:ascii="Times New Roman" w:hAnsi="Times New Roman" w:cs="Times New Roman"/>
          <w:sz w:val="24"/>
          <w:szCs w:val="24"/>
        </w:rPr>
        <w:t>A</w:t>
      </w:r>
      <w:r w:rsidR="00B71799">
        <w:rPr>
          <w:rFonts w:ascii="Times New Roman" w:hAnsi="Times New Roman" w:cs="Times New Roman"/>
          <w:sz w:val="24"/>
          <w:szCs w:val="24"/>
        </w:rPr>
        <w:t>cquisitive prescription</w:t>
      </w:r>
      <w:r w:rsidR="002A2B66">
        <w:rPr>
          <w:rFonts w:ascii="Times New Roman" w:hAnsi="Times New Roman" w:cs="Times New Roman"/>
          <w:sz w:val="24"/>
          <w:szCs w:val="24"/>
        </w:rPr>
        <w:t xml:space="preserve"> -</w:t>
      </w:r>
      <w:r w:rsidR="008279F9">
        <w:rPr>
          <w:rFonts w:ascii="Times New Roman" w:hAnsi="Times New Roman" w:cs="Times New Roman"/>
          <w:sz w:val="24"/>
          <w:szCs w:val="24"/>
        </w:rPr>
        <w:t xml:space="preserve"> </w:t>
      </w:r>
      <w:r w:rsidR="00B71799">
        <w:rPr>
          <w:rFonts w:ascii="Times New Roman" w:hAnsi="Times New Roman" w:cs="Times New Roman"/>
          <w:sz w:val="24"/>
          <w:szCs w:val="24"/>
        </w:rPr>
        <w:t>C</w:t>
      </w:r>
      <w:r w:rsidR="00DE0F59">
        <w:rPr>
          <w:rFonts w:ascii="Times New Roman" w:hAnsi="Times New Roman" w:cs="Times New Roman"/>
          <w:sz w:val="24"/>
          <w:szCs w:val="24"/>
        </w:rPr>
        <w:t>ounterclaim</w:t>
      </w:r>
      <w:r w:rsidR="002A2B66">
        <w:rPr>
          <w:rFonts w:ascii="Times New Roman" w:hAnsi="Times New Roman" w:cs="Times New Roman"/>
          <w:sz w:val="24"/>
          <w:szCs w:val="24"/>
        </w:rPr>
        <w:t xml:space="preserve"> -</w:t>
      </w:r>
      <w:r w:rsidR="008279F9">
        <w:rPr>
          <w:rFonts w:ascii="Times New Roman" w:hAnsi="Times New Roman" w:cs="Times New Roman"/>
          <w:sz w:val="24"/>
          <w:szCs w:val="24"/>
        </w:rPr>
        <w:t xml:space="preserve"> </w:t>
      </w:r>
      <w:r w:rsidR="00EE047F">
        <w:rPr>
          <w:rFonts w:ascii="Times New Roman" w:hAnsi="Times New Roman" w:cs="Times New Roman"/>
          <w:sz w:val="24"/>
          <w:szCs w:val="24"/>
        </w:rPr>
        <w:t>Section</w:t>
      </w:r>
      <w:r w:rsidR="008279F9">
        <w:rPr>
          <w:rFonts w:ascii="Times New Roman" w:hAnsi="Times New Roman" w:cs="Times New Roman"/>
          <w:sz w:val="24"/>
          <w:szCs w:val="24"/>
        </w:rPr>
        <w:t xml:space="preserve"> </w:t>
      </w:r>
      <w:r w:rsidR="00CA4C7B">
        <w:rPr>
          <w:rFonts w:ascii="Times New Roman" w:hAnsi="Times New Roman" w:cs="Times New Roman"/>
          <w:sz w:val="24"/>
          <w:szCs w:val="24"/>
        </w:rPr>
        <w:t xml:space="preserve">80 </w:t>
      </w:r>
      <w:r w:rsidR="008279F9">
        <w:rPr>
          <w:rFonts w:ascii="Times New Roman" w:hAnsi="Times New Roman" w:cs="Times New Roman"/>
          <w:sz w:val="24"/>
          <w:szCs w:val="24"/>
        </w:rPr>
        <w:t>Seychelles Code of Civil Procedure</w:t>
      </w:r>
      <w:r w:rsidR="00B058FD">
        <w:rPr>
          <w:rFonts w:ascii="Times New Roman" w:hAnsi="Times New Roman" w:cs="Times New Roman"/>
          <w:sz w:val="24"/>
          <w:szCs w:val="24"/>
        </w:rPr>
        <w:t xml:space="preserve">. Appeal dismissed. </w:t>
      </w:r>
      <w:r w:rsidR="00CB652F">
        <w:rPr>
          <w:rFonts w:ascii="Times New Roman" w:hAnsi="Times New Roman" w:cs="Times New Roman"/>
          <w:sz w:val="24"/>
          <w:szCs w:val="24"/>
        </w:rPr>
        <w:t>Second</w:t>
      </w:r>
      <w:r w:rsidR="00E52A3C">
        <w:rPr>
          <w:rFonts w:ascii="Times New Roman" w:hAnsi="Times New Roman" w:cs="Times New Roman"/>
          <w:sz w:val="24"/>
          <w:szCs w:val="24"/>
        </w:rPr>
        <w:t xml:space="preserve"> </w:t>
      </w:r>
      <w:r w:rsidR="002A0189">
        <w:rPr>
          <w:rFonts w:ascii="Times New Roman" w:hAnsi="Times New Roman" w:cs="Times New Roman"/>
          <w:sz w:val="24"/>
          <w:szCs w:val="24"/>
        </w:rPr>
        <w:t>Appellant</w:t>
      </w:r>
      <w:r w:rsidR="00E52A3C">
        <w:rPr>
          <w:rFonts w:ascii="Times New Roman" w:hAnsi="Times New Roman" w:cs="Times New Roman"/>
          <w:sz w:val="24"/>
          <w:szCs w:val="24"/>
        </w:rPr>
        <w:t xml:space="preserve"> to bear the costs of the appeal</w:t>
      </w:r>
    </w:p>
    <w:p w14:paraId="1A9C66B6" w14:textId="336C53BB" w:rsidR="00344425" w:rsidRPr="00D77690" w:rsidRDefault="00344425" w:rsidP="006A2AFA">
      <w:pPr>
        <w:tabs>
          <w:tab w:val="left" w:pos="720"/>
          <w:tab w:val="left" w:pos="1440"/>
          <w:tab w:val="left" w:pos="1860"/>
          <w:tab w:val="left" w:pos="2160"/>
        </w:tabs>
        <w:spacing w:after="0" w:line="240" w:lineRule="auto"/>
        <w:ind w:left="1890" w:hanging="1890"/>
        <w:rPr>
          <w:rFonts w:ascii="Times New Roman" w:hAnsi="Times New Roman" w:cs="Times New Roman"/>
          <w:sz w:val="24"/>
          <w:szCs w:val="24"/>
        </w:rPr>
      </w:pPr>
      <w:r w:rsidRPr="003C588F">
        <w:rPr>
          <w:rFonts w:ascii="Times New Roman" w:hAnsi="Times New Roman" w:cs="Times New Roman"/>
          <w:b/>
          <w:sz w:val="24"/>
          <w:szCs w:val="24"/>
        </w:rPr>
        <w:t xml:space="preserve">Heard: </w:t>
      </w:r>
      <w:r w:rsidR="005B12AA" w:rsidRPr="003C588F">
        <w:rPr>
          <w:rFonts w:ascii="Times New Roman" w:hAnsi="Times New Roman" w:cs="Times New Roman"/>
          <w:b/>
          <w:sz w:val="24"/>
          <w:szCs w:val="24"/>
        </w:rPr>
        <w:tab/>
      </w:r>
      <w:r w:rsidR="005B12AA" w:rsidRPr="003C588F">
        <w:rPr>
          <w:rFonts w:ascii="Times New Roman" w:hAnsi="Times New Roman" w:cs="Times New Roman"/>
          <w:b/>
          <w:sz w:val="24"/>
          <w:szCs w:val="24"/>
        </w:rPr>
        <w:tab/>
      </w:r>
      <w:r w:rsidR="00135DFB">
        <w:rPr>
          <w:rFonts w:ascii="Times New Roman" w:hAnsi="Times New Roman" w:cs="Times New Roman"/>
          <w:sz w:val="24"/>
          <w:szCs w:val="24"/>
        </w:rPr>
        <w:tab/>
      </w:r>
      <w:r w:rsidR="00BC3B11" w:rsidRPr="00D77690">
        <w:rPr>
          <w:rFonts w:ascii="Times New Roman" w:hAnsi="Times New Roman" w:cs="Times New Roman"/>
          <w:sz w:val="24"/>
          <w:szCs w:val="24"/>
        </w:rPr>
        <w:t>2 December</w:t>
      </w:r>
      <w:r w:rsidR="000A0FCF" w:rsidRPr="00D77690">
        <w:rPr>
          <w:rFonts w:ascii="Times New Roman" w:hAnsi="Times New Roman" w:cs="Times New Roman"/>
          <w:sz w:val="24"/>
          <w:szCs w:val="24"/>
        </w:rPr>
        <w:t xml:space="preserve"> </w:t>
      </w:r>
      <w:r w:rsidR="009F73C2" w:rsidRPr="00D77690">
        <w:rPr>
          <w:rFonts w:ascii="Times New Roman" w:hAnsi="Times New Roman" w:cs="Times New Roman"/>
          <w:sz w:val="24"/>
          <w:szCs w:val="24"/>
        </w:rPr>
        <w:t>2021</w:t>
      </w:r>
    </w:p>
    <w:p w14:paraId="7A75A069" w14:textId="50DDC79C" w:rsidR="00E661F0" w:rsidRPr="00B367AC" w:rsidRDefault="00344425" w:rsidP="00B367AC">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C3B11">
        <w:rPr>
          <w:rFonts w:ascii="Times New Roman" w:hAnsi="Times New Roman" w:cs="Times New Roman"/>
          <w:sz w:val="24"/>
          <w:szCs w:val="24"/>
        </w:rPr>
        <w:t>17 December</w:t>
      </w:r>
      <w:r w:rsidR="000A0FCF">
        <w:rPr>
          <w:rFonts w:ascii="Times New Roman" w:hAnsi="Times New Roman" w:cs="Times New Roman"/>
          <w:sz w:val="24"/>
          <w:szCs w:val="24"/>
        </w:rPr>
        <w:t xml:space="preserve"> 2021</w:t>
      </w:r>
    </w:p>
    <w:p w14:paraId="01F2A8CD" w14:textId="4B278929" w:rsidR="00D1158D" w:rsidRDefault="00E661F0" w:rsidP="00D1158D">
      <w:pPr>
        <w:tabs>
          <w:tab w:val="left" w:pos="2892"/>
          <w:tab w:val="center" w:pos="4680"/>
        </w:tabs>
        <w:spacing w:after="0" w:line="276" w:lineRule="auto"/>
        <w:ind w:left="4050" w:hanging="4050"/>
        <w:rPr>
          <w:rFonts w:ascii="Times New Roman" w:hAnsi="Times New Roman" w:cs="Times New Roman"/>
          <w:b/>
          <w:sz w:val="24"/>
          <w:szCs w:val="24"/>
        </w:rPr>
      </w:pPr>
      <w:r>
        <w:rPr>
          <w:rFonts w:ascii="Times New Roman" w:hAnsi="Times New Roman" w:cs="Times New Roman"/>
          <w:b/>
          <w:sz w:val="24"/>
          <w:szCs w:val="24"/>
        </w:rPr>
        <w:t>_____________________________________________</w:t>
      </w:r>
      <w:r w:rsidR="00D1158D">
        <w:rPr>
          <w:rFonts w:ascii="Times New Roman" w:hAnsi="Times New Roman" w:cs="Times New Roman"/>
          <w:b/>
          <w:sz w:val="24"/>
          <w:szCs w:val="24"/>
        </w:rPr>
        <w:t>____</w:t>
      </w:r>
      <w:r>
        <w:rPr>
          <w:rFonts w:ascii="Times New Roman" w:hAnsi="Times New Roman" w:cs="Times New Roman"/>
          <w:b/>
          <w:sz w:val="24"/>
          <w:szCs w:val="24"/>
        </w:rPr>
        <w:t>_</w:t>
      </w:r>
      <w:r w:rsidR="00D1158D">
        <w:rPr>
          <w:rFonts w:ascii="Times New Roman" w:hAnsi="Times New Roman" w:cs="Times New Roman"/>
          <w:b/>
          <w:sz w:val="24"/>
          <w:szCs w:val="24"/>
        </w:rPr>
        <w:t xml:space="preserve">__________________________                                       </w:t>
      </w:r>
      <w:r w:rsidR="006F5ABA">
        <w:rPr>
          <w:rFonts w:ascii="Times New Roman" w:hAnsi="Times New Roman" w:cs="Times New Roman"/>
          <w:b/>
          <w:sz w:val="24"/>
          <w:szCs w:val="24"/>
        </w:rPr>
        <w:t>ORDER</w:t>
      </w:r>
    </w:p>
    <w:p w14:paraId="19B745F7" w14:textId="77777777" w:rsidR="00D1158D" w:rsidRPr="00D1158D" w:rsidRDefault="00D1158D" w:rsidP="00D1158D">
      <w:pPr>
        <w:tabs>
          <w:tab w:val="left" w:pos="2892"/>
          <w:tab w:val="center" w:pos="4680"/>
        </w:tabs>
        <w:spacing w:after="0" w:line="276" w:lineRule="auto"/>
        <w:ind w:left="-360" w:firstLine="360"/>
        <w:jc w:val="center"/>
        <w:rPr>
          <w:rFonts w:ascii="Times New Roman" w:hAnsi="Times New Roman" w:cs="Times New Roman"/>
          <w:b/>
          <w:sz w:val="10"/>
          <w:szCs w:val="10"/>
        </w:rPr>
      </w:pPr>
    </w:p>
    <w:p w14:paraId="65D44804" w14:textId="701DC2BA" w:rsidR="00D52FCA" w:rsidRPr="00135DFB" w:rsidRDefault="00F46520" w:rsidP="00D3160C">
      <w:pPr>
        <w:pStyle w:val="ListParagraph"/>
        <w:numPr>
          <w:ilvl w:val="0"/>
          <w:numId w:val="11"/>
        </w:numPr>
        <w:tabs>
          <w:tab w:val="num" w:pos="360"/>
          <w:tab w:val="left" w:pos="2892"/>
          <w:tab w:val="center" w:pos="4680"/>
        </w:tabs>
        <w:spacing w:after="0" w:line="276" w:lineRule="auto"/>
        <w:rPr>
          <w:rFonts w:ascii="Times New Roman" w:hAnsi="Times New Roman" w:cs="Times New Roman"/>
          <w:sz w:val="24"/>
          <w:szCs w:val="24"/>
        </w:rPr>
      </w:pPr>
      <w:r>
        <w:rPr>
          <w:rFonts w:ascii="Times New Roman" w:hAnsi="Times New Roman" w:cs="Times New Roman"/>
          <w:sz w:val="24"/>
          <w:szCs w:val="24"/>
        </w:rPr>
        <w:t>The a</w:t>
      </w:r>
      <w:r w:rsidRPr="00135DFB">
        <w:rPr>
          <w:rFonts w:ascii="Times New Roman" w:hAnsi="Times New Roman" w:cs="Times New Roman"/>
          <w:sz w:val="24"/>
          <w:szCs w:val="24"/>
        </w:rPr>
        <w:t xml:space="preserve">ppeal </w:t>
      </w:r>
      <w:r w:rsidR="00135DFB" w:rsidRPr="00135DFB">
        <w:rPr>
          <w:rFonts w:ascii="Times New Roman" w:hAnsi="Times New Roman" w:cs="Times New Roman"/>
          <w:sz w:val="24"/>
          <w:szCs w:val="24"/>
        </w:rPr>
        <w:t>is dismissed in its entirety</w:t>
      </w:r>
    </w:p>
    <w:p w14:paraId="303D9ED7" w14:textId="6054F4E3" w:rsidR="007D477F" w:rsidRDefault="00E52A3C" w:rsidP="00B23257">
      <w:pPr>
        <w:pStyle w:val="ListParagraph"/>
        <w:numPr>
          <w:ilvl w:val="0"/>
          <w:numId w:val="11"/>
        </w:numPr>
        <w:tabs>
          <w:tab w:val="num" w:pos="360"/>
          <w:tab w:val="left" w:pos="2892"/>
          <w:tab w:val="center" w:pos="4680"/>
        </w:tabs>
        <w:spacing w:after="0" w:line="276" w:lineRule="auto"/>
        <w:rPr>
          <w:rFonts w:ascii="Times New Roman" w:hAnsi="Times New Roman" w:cs="Times New Roman"/>
          <w:sz w:val="24"/>
          <w:szCs w:val="24"/>
        </w:rPr>
      </w:pPr>
      <w:r>
        <w:rPr>
          <w:rFonts w:ascii="Times New Roman" w:hAnsi="Times New Roman" w:cs="Times New Roman"/>
          <w:sz w:val="24"/>
          <w:szCs w:val="24"/>
        </w:rPr>
        <w:t>The</w:t>
      </w:r>
      <w:r w:rsidR="00EA30D2">
        <w:rPr>
          <w:rFonts w:ascii="Times New Roman" w:hAnsi="Times New Roman" w:cs="Times New Roman"/>
          <w:sz w:val="24"/>
          <w:szCs w:val="24"/>
        </w:rPr>
        <w:t xml:space="preserve"> Second</w:t>
      </w:r>
      <w:r>
        <w:rPr>
          <w:rFonts w:ascii="Times New Roman" w:hAnsi="Times New Roman" w:cs="Times New Roman"/>
          <w:sz w:val="24"/>
          <w:szCs w:val="24"/>
        </w:rPr>
        <w:t xml:space="preserve"> Appellant to bear the costs of the appeal</w:t>
      </w:r>
    </w:p>
    <w:p w14:paraId="22A51A47" w14:textId="28252666" w:rsidR="007D477F" w:rsidRPr="00B23257" w:rsidRDefault="007D477F" w:rsidP="00B23257">
      <w:pPr>
        <w:pStyle w:val="ListParagraph"/>
        <w:numPr>
          <w:ilvl w:val="0"/>
          <w:numId w:val="11"/>
        </w:numPr>
        <w:tabs>
          <w:tab w:val="num" w:pos="360"/>
          <w:tab w:val="left" w:pos="2892"/>
          <w:tab w:val="center" w:pos="4680"/>
        </w:tabs>
        <w:spacing w:after="0" w:line="276" w:lineRule="auto"/>
        <w:rPr>
          <w:rFonts w:ascii="Times New Roman" w:hAnsi="Times New Roman" w:cs="Times New Roman"/>
          <w:sz w:val="24"/>
          <w:szCs w:val="24"/>
        </w:rPr>
      </w:pPr>
      <w:r w:rsidRPr="00B23257">
        <w:rPr>
          <w:rFonts w:ascii="Times New Roman" w:hAnsi="Times New Roman" w:cs="Times New Roman"/>
          <w:sz w:val="24"/>
          <w:szCs w:val="24"/>
        </w:rPr>
        <w:t>The orders of the learned Trial Judge</w:t>
      </w:r>
      <w:r>
        <w:rPr>
          <w:rFonts w:ascii="Times New Roman" w:hAnsi="Times New Roman" w:cs="Times New Roman"/>
          <w:sz w:val="24"/>
          <w:szCs w:val="24"/>
        </w:rPr>
        <w:t xml:space="preserve"> are</w:t>
      </w:r>
      <w:r w:rsidRPr="00B23257">
        <w:rPr>
          <w:rFonts w:ascii="Times New Roman" w:hAnsi="Times New Roman" w:cs="Times New Roman"/>
          <w:sz w:val="24"/>
          <w:szCs w:val="24"/>
        </w:rPr>
        <w:t xml:space="preserve"> upheld, save for the following amendments- </w:t>
      </w:r>
    </w:p>
    <w:p w14:paraId="0ADA4441" w14:textId="77777777" w:rsidR="00EA30D2" w:rsidRDefault="007D477F" w:rsidP="007D477F">
      <w:pPr>
        <w:pStyle w:val="ListParagraph"/>
        <w:numPr>
          <w:ilvl w:val="0"/>
          <w:numId w:val="19"/>
        </w:numPr>
        <w:spacing w:after="0" w:line="360" w:lineRule="auto"/>
        <w:jc w:val="both"/>
        <w:rPr>
          <w:rFonts w:ascii="Times New Roman" w:hAnsi="Times New Roman" w:cs="Times New Roman"/>
          <w:sz w:val="24"/>
          <w:szCs w:val="24"/>
        </w:rPr>
      </w:pPr>
      <w:r w:rsidRPr="00B23257">
        <w:rPr>
          <w:rFonts w:ascii="Times New Roman" w:hAnsi="Times New Roman" w:cs="Times New Roman"/>
          <w:sz w:val="24"/>
          <w:szCs w:val="24"/>
        </w:rPr>
        <w:t xml:space="preserve">Concerning order </w:t>
      </w:r>
      <w:r w:rsidRPr="00B23257">
        <w:rPr>
          <w:rFonts w:ascii="Times New Roman" w:hAnsi="Times New Roman" w:cs="Times New Roman"/>
          <w:i/>
          <w:iCs/>
          <w:sz w:val="24"/>
          <w:szCs w:val="24"/>
        </w:rPr>
        <w:t>″a)″</w:t>
      </w:r>
      <w:r w:rsidRPr="00B23257">
        <w:rPr>
          <w:rFonts w:ascii="Times New Roman" w:hAnsi="Times New Roman" w:cs="Times New Roman"/>
          <w:sz w:val="24"/>
          <w:szCs w:val="24"/>
        </w:rPr>
        <w:t xml:space="preserve">, </w:t>
      </w:r>
    </w:p>
    <w:p w14:paraId="32EDCFCA" w14:textId="391241D4" w:rsidR="007D477F" w:rsidRPr="00B23257" w:rsidRDefault="00EA30D2" w:rsidP="007D477F">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w:t>
      </w:r>
      <w:r w:rsidR="007D477F" w:rsidRPr="00B23257">
        <w:rPr>
          <w:rFonts w:ascii="Times New Roman" w:hAnsi="Times New Roman" w:cs="Times New Roman"/>
          <w:sz w:val="24"/>
          <w:szCs w:val="24"/>
        </w:rPr>
        <w:t xml:space="preserve"> delete thereof the figure and words </w:t>
      </w:r>
      <w:r w:rsidR="007D477F" w:rsidRPr="00B23257">
        <w:rPr>
          <w:rFonts w:ascii="Times New Roman" w:hAnsi="Times New Roman" w:cs="Times New Roman"/>
          <w:i/>
          <w:iCs/>
          <w:sz w:val="24"/>
          <w:szCs w:val="24"/>
        </w:rPr>
        <w:t>″three months as from the date of this judgment″</w:t>
      </w:r>
      <w:r w:rsidR="007D477F" w:rsidRPr="00B23257">
        <w:rPr>
          <w:rFonts w:ascii="Times New Roman" w:hAnsi="Times New Roman" w:cs="Times New Roman"/>
          <w:sz w:val="24"/>
          <w:szCs w:val="24"/>
        </w:rPr>
        <w:t xml:space="preserve"> after the word </w:t>
      </w:r>
      <w:r w:rsidR="007D477F" w:rsidRPr="00B23257">
        <w:rPr>
          <w:rFonts w:ascii="Times New Roman" w:hAnsi="Times New Roman" w:cs="Times New Roman"/>
          <w:i/>
          <w:iCs/>
          <w:sz w:val="24"/>
          <w:szCs w:val="24"/>
        </w:rPr>
        <w:t>″within″</w:t>
      </w:r>
      <w:r w:rsidR="007D477F" w:rsidRPr="00B23257">
        <w:rPr>
          <w:rFonts w:ascii="Times New Roman" w:hAnsi="Times New Roman" w:cs="Times New Roman"/>
          <w:sz w:val="24"/>
          <w:szCs w:val="24"/>
        </w:rPr>
        <w:t xml:space="preserve"> and substitute therefor the figure and words </w:t>
      </w:r>
      <w:r w:rsidR="007D477F" w:rsidRPr="00B23257">
        <w:rPr>
          <w:rFonts w:ascii="Times New Roman" w:hAnsi="Times New Roman" w:cs="Times New Roman"/>
          <w:i/>
          <w:iCs/>
          <w:sz w:val="24"/>
          <w:szCs w:val="24"/>
        </w:rPr>
        <w:t>″within six months of the date of the Court of Appeal judgment″</w:t>
      </w:r>
      <w:r w:rsidR="007D477F" w:rsidRPr="00B23257">
        <w:rPr>
          <w:rFonts w:ascii="Times New Roman" w:hAnsi="Times New Roman" w:cs="Times New Roman"/>
          <w:sz w:val="24"/>
          <w:szCs w:val="24"/>
        </w:rPr>
        <w:t>;</w:t>
      </w:r>
    </w:p>
    <w:p w14:paraId="6849427C" w14:textId="77777777" w:rsidR="007D477F" w:rsidRPr="00B23257" w:rsidRDefault="007D477F" w:rsidP="007D477F">
      <w:pPr>
        <w:pStyle w:val="ListParagraph"/>
        <w:spacing w:after="0" w:line="360" w:lineRule="auto"/>
        <w:ind w:left="1350"/>
        <w:jc w:val="both"/>
        <w:rPr>
          <w:rFonts w:ascii="Times New Roman" w:hAnsi="Times New Roman" w:cs="Times New Roman"/>
          <w:sz w:val="24"/>
          <w:szCs w:val="24"/>
        </w:rPr>
      </w:pPr>
    </w:p>
    <w:p w14:paraId="5D888189" w14:textId="7635200D" w:rsidR="007D477F" w:rsidRPr="00B23257" w:rsidRDefault="007D477F" w:rsidP="007D477F">
      <w:pPr>
        <w:pStyle w:val="ListParagraph"/>
        <w:numPr>
          <w:ilvl w:val="0"/>
          <w:numId w:val="19"/>
        </w:numPr>
        <w:spacing w:after="0" w:line="360" w:lineRule="auto"/>
        <w:jc w:val="both"/>
        <w:rPr>
          <w:rFonts w:ascii="Times New Roman" w:hAnsi="Times New Roman" w:cs="Times New Roman"/>
          <w:sz w:val="24"/>
          <w:szCs w:val="24"/>
        </w:rPr>
      </w:pPr>
      <w:r w:rsidRPr="00B23257">
        <w:rPr>
          <w:rFonts w:ascii="Times New Roman" w:hAnsi="Times New Roman" w:cs="Times New Roman"/>
          <w:sz w:val="24"/>
          <w:szCs w:val="24"/>
        </w:rPr>
        <w:lastRenderedPageBreak/>
        <w:t xml:space="preserve">Concerning order </w:t>
      </w:r>
      <w:r w:rsidRPr="00B23257">
        <w:rPr>
          <w:rFonts w:ascii="Times New Roman" w:hAnsi="Times New Roman" w:cs="Times New Roman"/>
          <w:i/>
          <w:iCs/>
          <w:sz w:val="24"/>
          <w:szCs w:val="24"/>
        </w:rPr>
        <w:t>″d</w:t>
      </w:r>
      <w:proofErr w:type="gramStart"/>
      <w:r w:rsidRPr="00B23257">
        <w:rPr>
          <w:rFonts w:ascii="Times New Roman" w:hAnsi="Times New Roman" w:cs="Times New Roman"/>
          <w:i/>
          <w:iCs/>
          <w:sz w:val="24"/>
          <w:szCs w:val="24"/>
        </w:rPr>
        <w:t>)″</w:t>
      </w:r>
      <w:proofErr w:type="gramEnd"/>
      <w:r w:rsidRPr="00B23257">
        <w:rPr>
          <w:rFonts w:ascii="Times New Roman" w:hAnsi="Times New Roman" w:cs="Times New Roman"/>
          <w:sz w:val="24"/>
          <w:szCs w:val="24"/>
        </w:rPr>
        <w:t xml:space="preserve">, </w:t>
      </w:r>
      <w:r w:rsidR="0075657E">
        <w:rPr>
          <w:rFonts w:ascii="Times New Roman" w:hAnsi="Times New Roman" w:cs="Times New Roman"/>
          <w:sz w:val="24"/>
          <w:szCs w:val="24"/>
        </w:rPr>
        <w:t>w</w:t>
      </w:r>
      <w:r w:rsidR="00EA30D2">
        <w:rPr>
          <w:rFonts w:ascii="Times New Roman" w:hAnsi="Times New Roman" w:cs="Times New Roman"/>
          <w:sz w:val="24"/>
          <w:szCs w:val="24"/>
        </w:rPr>
        <w:t>e</w:t>
      </w:r>
      <w:r w:rsidRPr="00B23257">
        <w:rPr>
          <w:rFonts w:ascii="Times New Roman" w:hAnsi="Times New Roman" w:cs="Times New Roman"/>
          <w:sz w:val="24"/>
          <w:szCs w:val="24"/>
        </w:rPr>
        <w:t xml:space="preserve"> delete thereof the figure </w:t>
      </w:r>
      <w:r w:rsidRPr="00B23257">
        <w:rPr>
          <w:rFonts w:ascii="Times New Roman" w:hAnsi="Times New Roman" w:cs="Times New Roman"/>
          <w:i/>
          <w:iCs/>
          <w:sz w:val="24"/>
          <w:szCs w:val="24"/>
        </w:rPr>
        <w:t xml:space="preserve">″three″ </w:t>
      </w:r>
      <w:r w:rsidRPr="00B23257">
        <w:rPr>
          <w:rFonts w:ascii="Times New Roman" w:hAnsi="Times New Roman" w:cs="Times New Roman"/>
          <w:sz w:val="24"/>
          <w:szCs w:val="24"/>
        </w:rPr>
        <w:t>after the word</w:t>
      </w:r>
      <w:r w:rsidRPr="00B23257">
        <w:rPr>
          <w:rFonts w:ascii="Times New Roman" w:hAnsi="Times New Roman" w:cs="Times New Roman"/>
          <w:i/>
          <w:iCs/>
          <w:sz w:val="24"/>
          <w:szCs w:val="24"/>
        </w:rPr>
        <w:t xml:space="preserve"> ″within″</w:t>
      </w:r>
      <w:r w:rsidRPr="00B23257">
        <w:rPr>
          <w:rFonts w:ascii="Times New Roman" w:hAnsi="Times New Roman" w:cs="Times New Roman"/>
          <w:sz w:val="24"/>
          <w:szCs w:val="24"/>
        </w:rPr>
        <w:t xml:space="preserve"> and substitute therefor the figure ″</w:t>
      </w:r>
      <w:r w:rsidRPr="00B23257">
        <w:rPr>
          <w:rFonts w:ascii="Times New Roman" w:hAnsi="Times New Roman" w:cs="Times New Roman"/>
          <w:i/>
          <w:iCs/>
          <w:sz w:val="24"/>
          <w:szCs w:val="24"/>
        </w:rPr>
        <w:t>six</w:t>
      </w:r>
      <w:r w:rsidRPr="00B23257">
        <w:rPr>
          <w:rFonts w:ascii="Times New Roman" w:hAnsi="Times New Roman" w:cs="Times New Roman"/>
          <w:sz w:val="24"/>
          <w:szCs w:val="24"/>
        </w:rPr>
        <w:t xml:space="preserve">″. </w:t>
      </w:r>
      <w:r w:rsidR="00EA30D2">
        <w:rPr>
          <w:rFonts w:ascii="Times New Roman" w:hAnsi="Times New Roman" w:cs="Times New Roman"/>
          <w:sz w:val="24"/>
          <w:szCs w:val="24"/>
        </w:rPr>
        <w:t>We</w:t>
      </w:r>
      <w:r w:rsidRPr="00B23257">
        <w:rPr>
          <w:rFonts w:ascii="Times New Roman" w:hAnsi="Times New Roman" w:cs="Times New Roman"/>
          <w:sz w:val="24"/>
          <w:szCs w:val="24"/>
        </w:rPr>
        <w:t xml:space="preserve"> also delete thereof the figure </w:t>
      </w:r>
      <w:r w:rsidRPr="00B23257">
        <w:rPr>
          <w:rFonts w:ascii="Times New Roman" w:hAnsi="Times New Roman" w:cs="Times New Roman"/>
          <w:i/>
          <w:iCs/>
          <w:sz w:val="24"/>
          <w:szCs w:val="24"/>
        </w:rPr>
        <w:t xml:space="preserve">″one″ </w:t>
      </w:r>
      <w:r w:rsidRPr="00B23257">
        <w:rPr>
          <w:rFonts w:ascii="Times New Roman" w:hAnsi="Times New Roman" w:cs="Times New Roman"/>
          <w:sz w:val="24"/>
          <w:szCs w:val="24"/>
        </w:rPr>
        <w:t>after the word</w:t>
      </w:r>
      <w:r w:rsidRPr="00B23257">
        <w:rPr>
          <w:rFonts w:ascii="Times New Roman" w:hAnsi="Times New Roman" w:cs="Times New Roman"/>
          <w:i/>
          <w:iCs/>
          <w:sz w:val="24"/>
          <w:szCs w:val="24"/>
        </w:rPr>
        <w:t xml:space="preserve"> ″within" </w:t>
      </w:r>
      <w:r w:rsidRPr="00B23257">
        <w:rPr>
          <w:rFonts w:ascii="Times New Roman" w:hAnsi="Times New Roman" w:cs="Times New Roman"/>
          <w:sz w:val="24"/>
          <w:szCs w:val="24"/>
        </w:rPr>
        <w:t xml:space="preserve">and substitute therefor the figure </w:t>
      </w:r>
      <w:r w:rsidRPr="00B23257">
        <w:rPr>
          <w:rFonts w:ascii="Times New Roman" w:hAnsi="Times New Roman" w:cs="Times New Roman"/>
          <w:i/>
          <w:iCs/>
          <w:sz w:val="24"/>
          <w:szCs w:val="24"/>
        </w:rPr>
        <w:t>″three″</w:t>
      </w:r>
      <w:r w:rsidRPr="00B23257">
        <w:rPr>
          <w:rFonts w:ascii="Times New Roman" w:hAnsi="Times New Roman" w:cs="Times New Roman"/>
          <w:sz w:val="24"/>
          <w:szCs w:val="24"/>
        </w:rPr>
        <w:t>.</w:t>
      </w:r>
    </w:p>
    <w:p w14:paraId="64399421" w14:textId="20C863AF" w:rsidR="007D477F" w:rsidRPr="00B23257" w:rsidRDefault="007D477F" w:rsidP="00B23257">
      <w:pPr>
        <w:pStyle w:val="JudgmentText"/>
        <w:numPr>
          <w:ilvl w:val="0"/>
          <w:numId w:val="11"/>
        </w:numPr>
      </w:pPr>
      <w:r w:rsidRPr="00B23257">
        <w:t xml:space="preserve">The orders of the learned trial Judge apply to the Second Appellant, the bare owner of parcel H802, who must fulfil the orders herein stated. </w:t>
      </w:r>
    </w:p>
    <w:p w14:paraId="22F0A3A1" w14:textId="3A7E4EB1" w:rsidR="00E661F0" w:rsidRDefault="00D52FCA" w:rsidP="00D52FCA">
      <w:pPr>
        <w:pStyle w:val="ListParagraph"/>
        <w:ind w:left="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14:paraId="468F7912" w14:textId="77777777" w:rsidR="00D1158D" w:rsidRDefault="00D1158D" w:rsidP="00D1158D">
      <w:pPr>
        <w:pStyle w:val="ListParagraph"/>
        <w:tabs>
          <w:tab w:val="left" w:pos="3750"/>
          <w:tab w:val="left" w:pos="3780"/>
          <w:tab w:val="center" w:pos="4635"/>
        </w:tabs>
        <w:ind w:left="0"/>
        <w:rPr>
          <w:rFonts w:ascii="Times New Roman" w:hAnsi="Times New Roman" w:cs="Times New Roman"/>
          <w:b/>
          <w:sz w:val="24"/>
          <w:szCs w:val="24"/>
        </w:rPr>
      </w:pPr>
      <w:r>
        <w:rPr>
          <w:rFonts w:ascii="Times New Roman" w:hAnsi="Times New Roman" w:cs="Times New Roman"/>
          <w:b/>
          <w:sz w:val="24"/>
          <w:szCs w:val="24"/>
        </w:rPr>
        <w:tab/>
      </w:r>
    </w:p>
    <w:p w14:paraId="773C558A" w14:textId="16153498" w:rsidR="00E661F0" w:rsidRPr="00E661F0" w:rsidRDefault="00D1158D" w:rsidP="00D1158D">
      <w:pPr>
        <w:pStyle w:val="ListParagraph"/>
        <w:tabs>
          <w:tab w:val="left" w:pos="3750"/>
          <w:tab w:val="left" w:pos="3780"/>
          <w:tab w:val="center" w:pos="4635"/>
        </w:tabs>
        <w:ind w:left="0"/>
        <w:rPr>
          <w:rFonts w:ascii="Times New Roman" w:hAnsi="Times New Roman" w:cs="Times New Roman"/>
          <w:b/>
          <w:sz w:val="24"/>
          <w:szCs w:val="24"/>
        </w:rPr>
      </w:pPr>
      <w:r>
        <w:rPr>
          <w:rFonts w:ascii="Times New Roman" w:hAnsi="Times New Roman" w:cs="Times New Roman"/>
          <w:b/>
          <w:sz w:val="24"/>
          <w:szCs w:val="24"/>
        </w:rPr>
        <w:tab/>
      </w:r>
      <w:r w:rsidR="00E661F0" w:rsidRPr="00E661F0">
        <w:rPr>
          <w:rFonts w:ascii="Times New Roman" w:hAnsi="Times New Roman" w:cs="Times New Roman"/>
          <w:b/>
          <w:sz w:val="24"/>
          <w:szCs w:val="24"/>
        </w:rPr>
        <w:t>JUDGMENT</w:t>
      </w:r>
    </w:p>
    <w:p w14:paraId="40B06CE4" w14:textId="0662687B" w:rsidR="00555365" w:rsidRPr="00B367AC" w:rsidRDefault="00B367AC" w:rsidP="00B367AC">
      <w:pPr>
        <w:pStyle w:val="ListParagraph"/>
        <w:spacing w:before="240"/>
        <w:ind w:left="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14:paraId="094D3670" w14:textId="52DAA2E9" w:rsidR="00B743B0" w:rsidRDefault="00BC3B11" w:rsidP="00B058FD">
      <w:pPr>
        <w:jc w:val="both"/>
        <w:rPr>
          <w:rFonts w:ascii="Times New Roman" w:hAnsi="Times New Roman" w:cs="Times New Roman"/>
          <w:b/>
          <w:sz w:val="24"/>
          <w:szCs w:val="24"/>
        </w:rPr>
      </w:pPr>
      <w:r>
        <w:rPr>
          <w:rFonts w:ascii="Times New Roman" w:hAnsi="Times New Roman" w:cs="Times New Roman"/>
          <w:b/>
          <w:sz w:val="24"/>
          <w:szCs w:val="24"/>
        </w:rPr>
        <w:t>ROBINSON,</w:t>
      </w:r>
      <w:r w:rsidR="003F751A" w:rsidRPr="00555365">
        <w:rPr>
          <w:rFonts w:ascii="Times New Roman" w:hAnsi="Times New Roman" w:cs="Times New Roman"/>
          <w:b/>
          <w:sz w:val="24"/>
          <w:szCs w:val="24"/>
        </w:rPr>
        <w:t xml:space="preserve"> JA </w:t>
      </w:r>
      <w:r w:rsidR="00153444" w:rsidRPr="00921E0F">
        <w:rPr>
          <w:rFonts w:ascii="Times New Roman" w:hAnsi="Times New Roman" w:cs="Times New Roman"/>
          <w:b/>
          <w:sz w:val="24"/>
          <w:szCs w:val="24"/>
        </w:rPr>
        <w:t>(TWOMEY TIBATEMWA-EKIRIKUBINZA concurring</w:t>
      </w:r>
      <w:r w:rsidR="00153444" w:rsidRPr="00921E0F">
        <w:rPr>
          <w:rFonts w:ascii="Times New Roman" w:hAnsi="Times New Roman" w:cs="Times New Roman"/>
          <w:sz w:val="24"/>
          <w:szCs w:val="24"/>
        </w:rPr>
        <w:t>)</w:t>
      </w:r>
    </w:p>
    <w:p w14:paraId="1D7D939B" w14:textId="77777777" w:rsidR="00B058FD" w:rsidRDefault="00B058FD" w:rsidP="00B058FD">
      <w:pPr>
        <w:jc w:val="both"/>
        <w:rPr>
          <w:rFonts w:ascii="Times New Roman" w:hAnsi="Times New Roman" w:cs="Times New Roman"/>
          <w:b/>
          <w:sz w:val="24"/>
          <w:szCs w:val="24"/>
        </w:rPr>
      </w:pPr>
    </w:p>
    <w:p w14:paraId="68134BF3" w14:textId="37DA64F1" w:rsidR="00292245" w:rsidRDefault="002641B2" w:rsidP="00D3160C">
      <w:pPr>
        <w:pStyle w:val="JudgmentText"/>
        <w:numPr>
          <w:ilvl w:val="0"/>
          <w:numId w:val="10"/>
        </w:numPr>
        <w:ind w:left="720" w:hanging="720"/>
      </w:pPr>
      <w:r>
        <w:t>This appeal is against</w:t>
      </w:r>
      <w:r w:rsidR="008331E6">
        <w:t xml:space="preserve"> a decision of a learned Judge of the Supreme Court</w:t>
      </w:r>
      <w:r w:rsidR="00921765">
        <w:t xml:space="preserve"> who, </w:t>
      </w:r>
      <w:r>
        <w:t>in an action where the Respondent (the Plaintiff then) brought proceedings against the Appellants (the Defendants then) for encroachment and illegal constructions on her parcel H801, gave judgment in favour of the Respondent.</w:t>
      </w:r>
      <w:r w:rsidR="00292245">
        <w:t xml:space="preserve"> </w:t>
      </w:r>
    </w:p>
    <w:p w14:paraId="7D799084" w14:textId="24FEC19F" w:rsidR="00292245" w:rsidRPr="00B87447" w:rsidRDefault="00292245" w:rsidP="00D3160C">
      <w:pPr>
        <w:pStyle w:val="JudgmentText"/>
        <w:numPr>
          <w:ilvl w:val="0"/>
          <w:numId w:val="10"/>
        </w:numPr>
        <w:ind w:left="720" w:hanging="720"/>
      </w:pPr>
      <w:r w:rsidRPr="004D0059">
        <w:t xml:space="preserve">The learned trial Judge </w:t>
      </w:r>
      <w:r w:rsidR="00233F0C" w:rsidRPr="004D0059">
        <w:t>made the following orders in favour of</w:t>
      </w:r>
      <w:r w:rsidR="00135DFB" w:rsidRPr="004D0059">
        <w:t xml:space="preserve"> the Respondent</w:t>
      </w:r>
      <w:r w:rsidRPr="004D0059">
        <w:t xml:space="preserve"> ―</w:t>
      </w:r>
    </w:p>
    <w:p w14:paraId="606C2A69" w14:textId="0E3C2FE6" w:rsidR="00292245" w:rsidRDefault="00292245" w:rsidP="00997EE1">
      <w:pPr>
        <w:spacing w:after="0" w:line="240" w:lineRule="auto"/>
        <w:ind w:left="1440"/>
        <w:jc w:val="both"/>
        <w:rPr>
          <w:rFonts w:ascii="Times New Roman" w:hAnsi="Times New Roman" w:cs="Times New Roman"/>
          <w:i/>
          <w:sz w:val="24"/>
          <w:szCs w:val="24"/>
        </w:rPr>
      </w:pPr>
      <w:r w:rsidRPr="00233F0C">
        <w:rPr>
          <w:rFonts w:ascii="Times New Roman" w:hAnsi="Times New Roman" w:cs="Times New Roman"/>
          <w:i/>
          <w:sz w:val="24"/>
          <w:szCs w:val="24"/>
        </w:rPr>
        <w:t>″a) The Defendant to remove all the encroachment that is the boundary wall and the swimming pool within three months as from the date of this judgment.</w:t>
      </w:r>
    </w:p>
    <w:p w14:paraId="4FAF319A" w14:textId="77777777" w:rsidR="00233F0C" w:rsidRPr="00233F0C" w:rsidRDefault="00233F0C" w:rsidP="00997EE1">
      <w:pPr>
        <w:spacing w:after="0" w:line="240" w:lineRule="auto"/>
        <w:ind w:left="1440"/>
        <w:jc w:val="both"/>
        <w:rPr>
          <w:rFonts w:ascii="Times New Roman" w:hAnsi="Times New Roman" w:cs="Times New Roman"/>
          <w:i/>
          <w:sz w:val="24"/>
          <w:szCs w:val="24"/>
        </w:rPr>
      </w:pPr>
    </w:p>
    <w:p w14:paraId="0C0A9D2B" w14:textId="5F1EC758" w:rsidR="00292245" w:rsidRDefault="00292245" w:rsidP="00997EE1">
      <w:pPr>
        <w:spacing w:after="0" w:line="240" w:lineRule="auto"/>
        <w:ind w:left="1440"/>
        <w:jc w:val="both"/>
        <w:rPr>
          <w:rFonts w:ascii="Times New Roman" w:hAnsi="Times New Roman" w:cs="Times New Roman"/>
          <w:i/>
          <w:sz w:val="24"/>
          <w:szCs w:val="24"/>
        </w:rPr>
      </w:pPr>
      <w:r w:rsidRPr="00233F0C">
        <w:rPr>
          <w:rFonts w:ascii="Times New Roman" w:hAnsi="Times New Roman" w:cs="Times New Roman"/>
          <w:i/>
          <w:sz w:val="24"/>
          <w:szCs w:val="24"/>
        </w:rPr>
        <w:t>b) To restore the Plaintiff</w:t>
      </w:r>
      <w:r w:rsidR="0038112E">
        <w:rPr>
          <w:rFonts w:ascii="Times New Roman" w:hAnsi="Times New Roman" w:cs="Times New Roman"/>
          <w:i/>
          <w:sz w:val="24"/>
          <w:szCs w:val="24"/>
        </w:rPr>
        <w:t>'</w:t>
      </w:r>
      <w:r w:rsidRPr="00233F0C">
        <w:rPr>
          <w:rFonts w:ascii="Times New Roman" w:hAnsi="Times New Roman" w:cs="Times New Roman"/>
          <w:i/>
          <w:sz w:val="24"/>
          <w:szCs w:val="24"/>
        </w:rPr>
        <w:t>s land in good state by rem</w:t>
      </w:r>
      <w:r w:rsidR="00153444">
        <w:rPr>
          <w:rFonts w:ascii="Times New Roman" w:hAnsi="Times New Roman" w:cs="Times New Roman"/>
          <w:i/>
          <w:sz w:val="24"/>
          <w:szCs w:val="24"/>
        </w:rPr>
        <w:t>oving all debris after removing</w:t>
      </w:r>
      <w:r w:rsidR="00233F0C" w:rsidRPr="00233F0C">
        <w:rPr>
          <w:rFonts w:ascii="Times New Roman" w:hAnsi="Times New Roman" w:cs="Times New Roman"/>
          <w:i/>
          <w:sz w:val="24"/>
          <w:szCs w:val="24"/>
        </w:rPr>
        <w:t xml:space="preserve"> the encroachments.</w:t>
      </w:r>
    </w:p>
    <w:p w14:paraId="0F0EC547" w14:textId="77777777" w:rsidR="00233F0C" w:rsidRPr="00233F0C" w:rsidRDefault="00233F0C" w:rsidP="00997EE1">
      <w:pPr>
        <w:spacing w:after="0" w:line="240" w:lineRule="auto"/>
        <w:ind w:left="1440"/>
        <w:jc w:val="both"/>
        <w:rPr>
          <w:rFonts w:ascii="Times New Roman" w:hAnsi="Times New Roman" w:cs="Times New Roman"/>
          <w:i/>
          <w:sz w:val="24"/>
          <w:szCs w:val="24"/>
        </w:rPr>
      </w:pPr>
    </w:p>
    <w:p w14:paraId="74F46FE4" w14:textId="5CCF9124" w:rsidR="00233F0C" w:rsidRDefault="00233F0C" w:rsidP="00997EE1">
      <w:pPr>
        <w:spacing w:after="0" w:line="240" w:lineRule="auto"/>
        <w:ind w:left="1440"/>
        <w:jc w:val="both"/>
        <w:rPr>
          <w:rFonts w:ascii="Times New Roman" w:hAnsi="Times New Roman" w:cs="Times New Roman"/>
          <w:i/>
          <w:sz w:val="24"/>
          <w:szCs w:val="24"/>
        </w:rPr>
      </w:pPr>
      <w:r w:rsidRPr="00233F0C">
        <w:rPr>
          <w:rFonts w:ascii="Times New Roman" w:hAnsi="Times New Roman" w:cs="Times New Roman"/>
          <w:i/>
          <w:sz w:val="24"/>
          <w:szCs w:val="24"/>
        </w:rPr>
        <w:t>c) To build a retaining wall along the boundary between her plot and the Plaintiff</w:t>
      </w:r>
      <w:r w:rsidR="0038112E">
        <w:rPr>
          <w:rFonts w:ascii="Times New Roman" w:hAnsi="Times New Roman" w:cs="Times New Roman"/>
          <w:i/>
          <w:sz w:val="24"/>
          <w:szCs w:val="24"/>
        </w:rPr>
        <w:t>'</w:t>
      </w:r>
      <w:r w:rsidRPr="00233F0C">
        <w:rPr>
          <w:rFonts w:ascii="Times New Roman" w:hAnsi="Times New Roman" w:cs="Times New Roman"/>
          <w:i/>
          <w:sz w:val="24"/>
          <w:szCs w:val="24"/>
        </w:rPr>
        <w:t>s plot.</w:t>
      </w:r>
    </w:p>
    <w:p w14:paraId="44B2F096" w14:textId="77777777" w:rsidR="00233F0C" w:rsidRPr="00233F0C" w:rsidRDefault="00233F0C" w:rsidP="00997EE1">
      <w:pPr>
        <w:spacing w:after="0" w:line="240" w:lineRule="auto"/>
        <w:ind w:left="1440"/>
        <w:jc w:val="both"/>
        <w:rPr>
          <w:rFonts w:ascii="Times New Roman" w:hAnsi="Times New Roman" w:cs="Times New Roman"/>
          <w:i/>
          <w:sz w:val="24"/>
          <w:szCs w:val="24"/>
        </w:rPr>
      </w:pPr>
    </w:p>
    <w:p w14:paraId="27EDBA86" w14:textId="7F9A2DFE" w:rsidR="00233F0C" w:rsidRDefault="00233F0C" w:rsidP="00997EE1">
      <w:pPr>
        <w:spacing w:after="0" w:line="240" w:lineRule="auto"/>
        <w:ind w:left="1440"/>
        <w:jc w:val="both"/>
        <w:rPr>
          <w:rFonts w:ascii="Times New Roman" w:hAnsi="Times New Roman" w:cs="Times New Roman"/>
          <w:i/>
          <w:sz w:val="24"/>
          <w:szCs w:val="24"/>
        </w:rPr>
      </w:pPr>
      <w:proofErr w:type="gramStart"/>
      <w:r w:rsidRPr="00233F0C">
        <w:rPr>
          <w:rFonts w:ascii="Times New Roman" w:hAnsi="Times New Roman" w:cs="Times New Roman"/>
          <w:i/>
          <w:sz w:val="24"/>
          <w:szCs w:val="24"/>
        </w:rPr>
        <w:t>d) In case the Defendant fails to take the above steps within three months the Plaintiff is hereby authorised to carry out all the above works, that is removal of the encroachments and all incidental works mentioned above and the Plaintiff shall claim the costs duly certified by a quantity surveyor and the Defendant shall within one month settle the claim.</w:t>
      </w:r>
      <w:proofErr w:type="gramEnd"/>
    </w:p>
    <w:p w14:paraId="1FC48263" w14:textId="77777777" w:rsidR="00233F0C" w:rsidRPr="00233F0C" w:rsidRDefault="00233F0C" w:rsidP="00997EE1">
      <w:pPr>
        <w:spacing w:after="0" w:line="240" w:lineRule="auto"/>
        <w:ind w:left="1440"/>
        <w:jc w:val="both"/>
        <w:rPr>
          <w:rFonts w:ascii="Times New Roman" w:hAnsi="Times New Roman" w:cs="Times New Roman"/>
          <w:i/>
          <w:sz w:val="24"/>
          <w:szCs w:val="24"/>
        </w:rPr>
      </w:pPr>
    </w:p>
    <w:p w14:paraId="600A20D3" w14:textId="3E1C5058" w:rsidR="00233F0C" w:rsidRDefault="00233F0C" w:rsidP="00997EE1">
      <w:pPr>
        <w:spacing w:after="0" w:line="240" w:lineRule="auto"/>
        <w:ind w:left="1440"/>
        <w:jc w:val="both"/>
        <w:rPr>
          <w:rFonts w:ascii="Times New Roman" w:hAnsi="Times New Roman" w:cs="Times New Roman"/>
          <w:i/>
          <w:sz w:val="24"/>
          <w:szCs w:val="24"/>
        </w:rPr>
      </w:pPr>
      <w:r w:rsidRPr="00233F0C">
        <w:rPr>
          <w:rFonts w:ascii="Times New Roman" w:hAnsi="Times New Roman" w:cs="Times New Roman"/>
          <w:i/>
          <w:sz w:val="24"/>
          <w:szCs w:val="24"/>
        </w:rPr>
        <w:t xml:space="preserve">e) </w:t>
      </w:r>
      <w:r w:rsidRPr="00F46520">
        <w:rPr>
          <w:rFonts w:ascii="Times New Roman" w:hAnsi="Times New Roman" w:cs="Times New Roman"/>
          <w:sz w:val="24"/>
          <w:szCs w:val="24"/>
        </w:rPr>
        <w:t>[…]</w:t>
      </w:r>
      <w:r w:rsidR="00153444">
        <w:rPr>
          <w:rFonts w:ascii="Times New Roman" w:hAnsi="Times New Roman" w:cs="Times New Roman"/>
          <w:i/>
          <w:sz w:val="24"/>
          <w:szCs w:val="24"/>
        </w:rPr>
        <w:t xml:space="preserve"> Defendant to</w:t>
      </w:r>
      <w:r w:rsidRPr="00233F0C">
        <w:rPr>
          <w:rFonts w:ascii="Times New Roman" w:hAnsi="Times New Roman" w:cs="Times New Roman"/>
          <w:i/>
          <w:sz w:val="24"/>
          <w:szCs w:val="24"/>
        </w:rPr>
        <w:t xml:space="preserve"> pay SR50</w:t>
      </w:r>
      <w:proofErr w:type="gramStart"/>
      <w:r w:rsidR="00D77690">
        <w:rPr>
          <w:rFonts w:ascii="Times New Roman" w:hAnsi="Times New Roman" w:cs="Times New Roman"/>
          <w:i/>
          <w:sz w:val="24"/>
          <w:szCs w:val="24"/>
        </w:rPr>
        <w:t>,</w:t>
      </w:r>
      <w:r w:rsidR="00D77690" w:rsidRPr="00233F0C">
        <w:rPr>
          <w:rFonts w:ascii="Times New Roman" w:hAnsi="Times New Roman" w:cs="Times New Roman"/>
          <w:i/>
          <w:sz w:val="24"/>
          <w:szCs w:val="24"/>
        </w:rPr>
        <w:t>000.00</w:t>
      </w:r>
      <w:proofErr w:type="gramEnd"/>
      <w:r w:rsidRPr="00233F0C">
        <w:rPr>
          <w:rFonts w:ascii="Times New Roman" w:hAnsi="Times New Roman" w:cs="Times New Roman"/>
          <w:i/>
          <w:sz w:val="24"/>
          <w:szCs w:val="24"/>
        </w:rPr>
        <w:t xml:space="preserve"> as damages.</w:t>
      </w:r>
    </w:p>
    <w:p w14:paraId="50CAC5EA" w14:textId="77777777" w:rsidR="00233F0C" w:rsidRPr="00233F0C" w:rsidRDefault="00233F0C" w:rsidP="00997EE1">
      <w:pPr>
        <w:spacing w:after="0" w:line="240" w:lineRule="auto"/>
        <w:ind w:left="1440"/>
        <w:jc w:val="both"/>
        <w:rPr>
          <w:rFonts w:ascii="Times New Roman" w:hAnsi="Times New Roman" w:cs="Times New Roman"/>
          <w:i/>
          <w:sz w:val="24"/>
          <w:szCs w:val="24"/>
        </w:rPr>
      </w:pPr>
    </w:p>
    <w:p w14:paraId="739DE5B3" w14:textId="5BC7113D" w:rsidR="00F46520" w:rsidRPr="00233F0C" w:rsidRDefault="00233F0C" w:rsidP="00997EE1">
      <w:pPr>
        <w:spacing w:after="0" w:line="240" w:lineRule="auto"/>
        <w:ind w:left="1440"/>
        <w:jc w:val="both"/>
        <w:rPr>
          <w:rFonts w:ascii="Times New Roman" w:hAnsi="Times New Roman" w:cs="Times New Roman"/>
          <w:i/>
          <w:sz w:val="24"/>
          <w:szCs w:val="24"/>
        </w:rPr>
      </w:pPr>
      <w:r w:rsidRPr="00233F0C">
        <w:rPr>
          <w:rFonts w:ascii="Times New Roman" w:hAnsi="Times New Roman" w:cs="Times New Roman"/>
          <w:i/>
          <w:sz w:val="24"/>
          <w:szCs w:val="24"/>
        </w:rPr>
        <w:t>f) With costs.″.</w:t>
      </w:r>
      <w:r w:rsidR="009D5F27">
        <w:rPr>
          <w:rFonts w:ascii="Times New Roman" w:hAnsi="Times New Roman" w:cs="Times New Roman"/>
          <w:i/>
          <w:sz w:val="24"/>
          <w:szCs w:val="24"/>
        </w:rPr>
        <w:t xml:space="preserve"> </w:t>
      </w:r>
      <w:r w:rsidR="009D5F27" w:rsidRPr="009D5F27">
        <w:rPr>
          <w:rFonts w:ascii="Times New Roman" w:hAnsi="Times New Roman" w:cs="Times New Roman"/>
          <w:sz w:val="24"/>
          <w:szCs w:val="24"/>
        </w:rPr>
        <w:t>Verbatim</w:t>
      </w:r>
    </w:p>
    <w:p w14:paraId="7A3308FB" w14:textId="7EED33FD" w:rsidR="004D0059" w:rsidRDefault="004D0059" w:rsidP="00086B33">
      <w:pPr>
        <w:spacing w:after="0" w:line="240" w:lineRule="auto"/>
        <w:ind w:left="1440"/>
        <w:jc w:val="both"/>
      </w:pPr>
    </w:p>
    <w:p w14:paraId="75FEF503" w14:textId="00D39AF7" w:rsidR="00B157ED" w:rsidRPr="00B87447" w:rsidRDefault="000950CC" w:rsidP="00D3160C">
      <w:pPr>
        <w:pStyle w:val="JudgmentText"/>
        <w:numPr>
          <w:ilvl w:val="0"/>
          <w:numId w:val="10"/>
        </w:numPr>
        <w:ind w:left="720" w:hanging="720"/>
      </w:pPr>
      <w:r w:rsidRPr="004D0059">
        <w:t>The Appellants have appealed against the judgment on the following grounds ―</w:t>
      </w:r>
    </w:p>
    <w:p w14:paraId="23348FDC" w14:textId="12DBB54F" w:rsidR="00B157ED" w:rsidRPr="00B157ED" w:rsidRDefault="00B157ED" w:rsidP="00B157ED">
      <w:pPr>
        <w:tabs>
          <w:tab w:val="left" w:pos="2160"/>
        </w:tabs>
        <w:spacing w:after="0" w:line="240" w:lineRule="auto"/>
        <w:ind w:left="2160" w:hanging="720"/>
        <w:jc w:val="both"/>
        <w:rPr>
          <w:rFonts w:ascii="Times New Roman" w:hAnsi="Times New Roman" w:cs="Times New Roman"/>
          <w:i/>
          <w:sz w:val="24"/>
          <w:szCs w:val="24"/>
        </w:rPr>
      </w:pPr>
      <w:r w:rsidRPr="00B157ED">
        <w:rPr>
          <w:rFonts w:ascii="Times New Roman" w:hAnsi="Times New Roman" w:cs="Times New Roman"/>
          <w:i/>
          <w:sz w:val="24"/>
          <w:szCs w:val="24"/>
        </w:rPr>
        <w:lastRenderedPageBreak/>
        <w:t xml:space="preserve">″1. </w:t>
      </w:r>
      <w:r>
        <w:rPr>
          <w:rFonts w:ascii="Times New Roman" w:hAnsi="Times New Roman" w:cs="Times New Roman"/>
          <w:i/>
          <w:sz w:val="24"/>
          <w:szCs w:val="24"/>
        </w:rPr>
        <w:tab/>
      </w:r>
      <w:proofErr w:type="gramStart"/>
      <w:r w:rsidRPr="00B157ED">
        <w:rPr>
          <w:rFonts w:ascii="Times New Roman" w:hAnsi="Times New Roman" w:cs="Times New Roman"/>
          <w:i/>
          <w:sz w:val="24"/>
          <w:szCs w:val="24"/>
        </w:rPr>
        <w:t xml:space="preserve">The Learned Judge erred in finding that the appellants had not acquired the 140 </w:t>
      </w:r>
      <w:proofErr w:type="spellStart"/>
      <w:r w:rsidRPr="00B157ED">
        <w:rPr>
          <w:rFonts w:ascii="Times New Roman" w:hAnsi="Times New Roman" w:cs="Times New Roman"/>
          <w:i/>
          <w:sz w:val="24"/>
          <w:szCs w:val="24"/>
        </w:rPr>
        <w:t>sqm</w:t>
      </w:r>
      <w:proofErr w:type="spellEnd"/>
      <w:r w:rsidRPr="00B157ED">
        <w:rPr>
          <w:rFonts w:ascii="Times New Roman" w:hAnsi="Times New Roman" w:cs="Times New Roman"/>
          <w:i/>
          <w:sz w:val="24"/>
          <w:szCs w:val="24"/>
        </w:rPr>
        <w:t xml:space="preserve"> currently being occupied by the Appellants by virtue of having been in occupation of the same for over 20 years in a clear and unambiguous manner by constructing thereon, without permission and had treated the property as if it were her own because the appellants in fact thought this portion fell within their boundary lines.</w:t>
      </w:r>
      <w:proofErr w:type="gramEnd"/>
      <w:r w:rsidRPr="00B157ED">
        <w:rPr>
          <w:rFonts w:ascii="Times New Roman" w:hAnsi="Times New Roman" w:cs="Times New Roman"/>
          <w:i/>
          <w:sz w:val="24"/>
          <w:szCs w:val="24"/>
        </w:rPr>
        <w:t xml:space="preserve"> </w:t>
      </w:r>
    </w:p>
    <w:p w14:paraId="327FBC25" w14:textId="77777777" w:rsidR="00B157ED" w:rsidRPr="00B157ED" w:rsidRDefault="00B157ED" w:rsidP="00B157ED">
      <w:pPr>
        <w:pStyle w:val="ListParagraph"/>
        <w:tabs>
          <w:tab w:val="left" w:pos="2160"/>
        </w:tabs>
        <w:spacing w:after="0" w:line="240" w:lineRule="auto"/>
        <w:ind w:left="2160"/>
        <w:jc w:val="both"/>
        <w:rPr>
          <w:rFonts w:ascii="Times New Roman" w:hAnsi="Times New Roman" w:cs="Times New Roman"/>
          <w:i/>
          <w:sz w:val="24"/>
          <w:szCs w:val="24"/>
        </w:rPr>
      </w:pPr>
    </w:p>
    <w:p w14:paraId="6961AD62" w14:textId="1525E542" w:rsidR="00B157ED" w:rsidRPr="00997EE1" w:rsidRDefault="00B157ED" w:rsidP="00D3160C">
      <w:pPr>
        <w:pStyle w:val="ListParagraph"/>
        <w:numPr>
          <w:ilvl w:val="0"/>
          <w:numId w:val="5"/>
        </w:numPr>
        <w:tabs>
          <w:tab w:val="left" w:pos="1440"/>
          <w:tab w:val="left" w:pos="2160"/>
        </w:tabs>
        <w:spacing w:after="0" w:line="240" w:lineRule="auto"/>
        <w:ind w:left="2160" w:hanging="720"/>
        <w:jc w:val="both"/>
        <w:rPr>
          <w:rFonts w:ascii="Times New Roman" w:hAnsi="Times New Roman" w:cs="Times New Roman"/>
          <w:i/>
          <w:sz w:val="24"/>
          <w:szCs w:val="24"/>
        </w:rPr>
      </w:pPr>
      <w:r w:rsidRPr="00997EE1">
        <w:rPr>
          <w:rFonts w:ascii="Times New Roman" w:hAnsi="Times New Roman" w:cs="Times New Roman"/>
          <w:i/>
          <w:sz w:val="24"/>
          <w:szCs w:val="24"/>
        </w:rPr>
        <w:t xml:space="preserve">The learned </w:t>
      </w:r>
      <w:r w:rsidR="00E84F0A">
        <w:rPr>
          <w:rFonts w:ascii="Times New Roman" w:hAnsi="Times New Roman" w:cs="Times New Roman"/>
          <w:i/>
          <w:sz w:val="24"/>
          <w:szCs w:val="24"/>
        </w:rPr>
        <w:t>J</w:t>
      </w:r>
      <w:r w:rsidRPr="00997EE1">
        <w:rPr>
          <w:rFonts w:ascii="Times New Roman" w:hAnsi="Times New Roman" w:cs="Times New Roman"/>
          <w:i/>
          <w:sz w:val="24"/>
          <w:szCs w:val="24"/>
        </w:rPr>
        <w:t>udge erred in finding that there was no evidence that suggested the occupation of the Appellants over the encroachment was without permission of the then owner, the Respondent</w:t>
      </w:r>
      <w:r w:rsidR="0038112E">
        <w:rPr>
          <w:rFonts w:ascii="Times New Roman" w:hAnsi="Times New Roman" w:cs="Times New Roman"/>
          <w:i/>
          <w:sz w:val="24"/>
          <w:szCs w:val="24"/>
        </w:rPr>
        <w:t>'</w:t>
      </w:r>
      <w:r w:rsidRPr="00997EE1">
        <w:rPr>
          <w:rFonts w:ascii="Times New Roman" w:hAnsi="Times New Roman" w:cs="Times New Roman"/>
          <w:i/>
          <w:sz w:val="24"/>
          <w:szCs w:val="24"/>
        </w:rPr>
        <w:t>s late father″.</w:t>
      </w:r>
    </w:p>
    <w:p w14:paraId="5C8CDE2F" w14:textId="77777777" w:rsidR="00B157ED" w:rsidRPr="00B157ED" w:rsidRDefault="00B157ED" w:rsidP="00B157ED">
      <w:pPr>
        <w:spacing w:after="0" w:line="360" w:lineRule="auto"/>
        <w:jc w:val="both"/>
        <w:rPr>
          <w:rFonts w:ascii="Times New Roman" w:hAnsi="Times New Roman" w:cs="Times New Roman"/>
          <w:sz w:val="24"/>
          <w:szCs w:val="24"/>
        </w:rPr>
      </w:pPr>
    </w:p>
    <w:p w14:paraId="4362186D" w14:textId="28A59089" w:rsidR="004D0059" w:rsidRDefault="000B111E" w:rsidP="00D3160C">
      <w:pPr>
        <w:pStyle w:val="JudgmentText"/>
        <w:numPr>
          <w:ilvl w:val="0"/>
          <w:numId w:val="10"/>
        </w:numPr>
        <w:ind w:left="720" w:hanging="720"/>
      </w:pPr>
      <w:r w:rsidRPr="004D0059">
        <w:t xml:space="preserve">The </w:t>
      </w:r>
      <w:r w:rsidR="0038112E" w:rsidRPr="004D0059">
        <w:t xml:space="preserve">Appellants' </w:t>
      </w:r>
      <w:r w:rsidR="00336DBE">
        <w:t>skeleton heads of argument</w:t>
      </w:r>
      <w:r w:rsidR="000B1F25" w:rsidRPr="004D0059">
        <w:t xml:space="preserve"> </w:t>
      </w:r>
      <w:r w:rsidR="0038112E" w:rsidRPr="004D0059">
        <w:t>dealt only</w:t>
      </w:r>
      <w:r w:rsidR="000B1F25" w:rsidRPr="004D0059">
        <w:t xml:space="preserve"> </w:t>
      </w:r>
      <w:r w:rsidR="0038112E" w:rsidRPr="004D0059">
        <w:t xml:space="preserve">with </w:t>
      </w:r>
      <w:r w:rsidR="000B1F25" w:rsidRPr="004D0059">
        <w:t>ground one of the grounds of appeal. The</w:t>
      </w:r>
      <w:r w:rsidR="002A2B66" w:rsidRPr="004D0059">
        <w:t xml:space="preserve"> Appellants</w:t>
      </w:r>
      <w:r w:rsidR="0038112E" w:rsidRPr="004D0059">
        <w:t>'</w:t>
      </w:r>
      <w:r w:rsidR="000B1F25" w:rsidRPr="004D0059">
        <w:t xml:space="preserve"> defence claimed</w:t>
      </w:r>
      <w:r w:rsidR="00EB3413" w:rsidRPr="004D0059">
        <w:t xml:space="preserve">, </w:t>
      </w:r>
      <w:r w:rsidR="00EB3413" w:rsidRPr="004D0059">
        <w:rPr>
          <w:i/>
        </w:rPr>
        <w:t>inter alia,</w:t>
      </w:r>
      <w:r w:rsidR="000B1F25" w:rsidRPr="004D0059">
        <w:t xml:space="preserve"> that </w:t>
      </w:r>
      <w:r w:rsidR="00225932" w:rsidRPr="004D0059">
        <w:t>they</w:t>
      </w:r>
      <w:r w:rsidR="000B1F25" w:rsidRPr="004D0059">
        <w:t xml:space="preserve"> were the owner</w:t>
      </w:r>
      <w:r w:rsidR="00C5437D" w:rsidRPr="004D0059">
        <w:t>s</w:t>
      </w:r>
      <w:r w:rsidR="000B1F25" w:rsidRPr="004D0059">
        <w:t xml:space="preserve"> of the encroached portion of land for </w:t>
      </w:r>
      <w:r w:rsidR="00083F35" w:rsidRPr="004D0059">
        <w:t>acquiring</w:t>
      </w:r>
      <w:r w:rsidR="000B1F25" w:rsidRPr="004D0059">
        <w:t xml:space="preserve"> it by acquisitive </w:t>
      </w:r>
      <w:r w:rsidR="003C04BB" w:rsidRPr="004D0059">
        <w:t xml:space="preserve">prescription </w:t>
      </w:r>
      <w:r w:rsidR="000B1F25" w:rsidRPr="004D0059">
        <w:t>for more than</w:t>
      </w:r>
      <w:r w:rsidR="00A10AE7" w:rsidRPr="004D0059">
        <w:t xml:space="preserve"> twenty</w:t>
      </w:r>
      <w:r w:rsidR="005E5CA0" w:rsidRPr="004D0059">
        <w:t xml:space="preserve"> years. </w:t>
      </w:r>
      <w:r w:rsidR="00E31F50">
        <w:t>The statements of defence had not s</w:t>
      </w:r>
      <w:r w:rsidR="00E31F50" w:rsidRPr="00C61202">
        <w:t>ought</w:t>
      </w:r>
      <w:r w:rsidR="00E31F50" w:rsidRPr="004D0059">
        <w:t xml:space="preserve"> any relief </w:t>
      </w:r>
      <w:r w:rsidR="00E31F50">
        <w:t xml:space="preserve">that the </w:t>
      </w:r>
      <w:r w:rsidR="00E31F50" w:rsidRPr="004D0059">
        <w:t xml:space="preserve">Appellants </w:t>
      </w:r>
      <w:proofErr w:type="gramStart"/>
      <w:r w:rsidR="00E31F50" w:rsidRPr="004D0059">
        <w:t>be declared</w:t>
      </w:r>
      <w:proofErr w:type="gramEnd"/>
      <w:r w:rsidR="00E31F50" w:rsidRPr="004D0059">
        <w:t xml:space="preserve"> the owner of the encroached portion.</w:t>
      </w:r>
      <w:r w:rsidR="00E31F50">
        <w:t xml:space="preserve"> T</w:t>
      </w:r>
      <w:r w:rsidR="00E31F50" w:rsidRPr="004D0059">
        <w:t xml:space="preserve">he Appellants' Notice of Appeal asked this Court to make an order declaring that they had acquired the encroached portion of land </w:t>
      </w:r>
      <w:r w:rsidR="00DB3AF9">
        <w:t>through</w:t>
      </w:r>
      <w:r w:rsidR="00E31F50" w:rsidRPr="004D0059">
        <w:t xml:space="preserve"> acquisitive prescription. </w:t>
      </w:r>
      <w:r w:rsidR="00083F35" w:rsidRPr="004D0059">
        <w:t xml:space="preserve">In </w:t>
      </w:r>
      <w:r w:rsidR="00153444" w:rsidRPr="004D0059">
        <w:t>exhibit D3,</w:t>
      </w:r>
      <w:r w:rsidR="00C460B3">
        <w:t xml:space="preserve"> which is a transfer of land done under the</w:t>
      </w:r>
      <w:r w:rsidR="00C460B3" w:rsidRPr="004D0059">
        <w:t xml:space="preserve"> </w:t>
      </w:r>
      <w:r w:rsidR="00F5530C" w:rsidRPr="00C61202">
        <w:t>Land Registration Act,</w:t>
      </w:r>
      <w:r w:rsidR="00F5530C" w:rsidRPr="004D0059">
        <w:t xml:space="preserve"> dated 30 August 2016 and registered on the 3 October 2016,</w:t>
      </w:r>
      <w:r w:rsidR="00153444" w:rsidRPr="004D0059">
        <w:t xml:space="preserve"> the </w:t>
      </w:r>
      <w:r w:rsidR="00F33939" w:rsidRPr="004D0059">
        <w:t>Second</w:t>
      </w:r>
      <w:r w:rsidR="00153444" w:rsidRPr="004D0059">
        <w:t xml:space="preserve"> Appellant is</w:t>
      </w:r>
      <w:r w:rsidR="00083F35" w:rsidRPr="004D0059">
        <w:t xml:space="preserve"> the bare owner of parcel </w:t>
      </w:r>
      <w:r w:rsidR="00E31F50">
        <w:t>H802</w:t>
      </w:r>
      <w:r w:rsidR="00DB3AF9">
        <w:t>,</w:t>
      </w:r>
      <w:r w:rsidR="00083F35" w:rsidRPr="004D0059">
        <w:t xml:space="preserve"> and the</w:t>
      </w:r>
      <w:r w:rsidR="00153444" w:rsidRPr="004D0059">
        <w:t xml:space="preserve"> </w:t>
      </w:r>
      <w:r w:rsidR="00F33939" w:rsidRPr="004D0059">
        <w:t>First</w:t>
      </w:r>
      <w:r w:rsidR="00A062C2" w:rsidRPr="004D0059">
        <w:t xml:space="preserve"> Appellant</w:t>
      </w:r>
      <w:r w:rsidR="00153444" w:rsidRPr="004D0059">
        <w:t xml:space="preserve"> is the holder of a lifetime usufruct.</w:t>
      </w:r>
    </w:p>
    <w:p w14:paraId="7BEC9F12" w14:textId="77777777" w:rsidR="00D3160C" w:rsidRDefault="00A462F6" w:rsidP="00D3160C">
      <w:pPr>
        <w:pStyle w:val="JudgmentText"/>
        <w:numPr>
          <w:ilvl w:val="0"/>
          <w:numId w:val="10"/>
        </w:numPr>
        <w:ind w:left="720" w:hanging="720"/>
      </w:pPr>
      <w:r w:rsidRPr="004D0059">
        <w:t>After considering the pleadings prudently, this Court a</w:t>
      </w:r>
      <w:r w:rsidR="00AF52A2" w:rsidRPr="004D0059">
        <w:t xml:space="preserve">t the </w:t>
      </w:r>
      <w:r w:rsidR="0038112E" w:rsidRPr="004D0059">
        <w:t>appeal hearing</w:t>
      </w:r>
      <w:r w:rsidR="005D3F6C" w:rsidRPr="004D0059">
        <w:t xml:space="preserve"> informed </w:t>
      </w:r>
      <w:r w:rsidR="00AF52A2" w:rsidRPr="004D0059">
        <w:t xml:space="preserve">Counsel for the Appellants </w:t>
      </w:r>
      <w:r w:rsidR="00314459" w:rsidRPr="004D0059">
        <w:t xml:space="preserve">that as the Appellants have an alleged claim against the Respondent, </w:t>
      </w:r>
      <w:r w:rsidR="0038112E" w:rsidRPr="004D0059">
        <w:t>the</w:t>
      </w:r>
      <w:r w:rsidR="00314459" w:rsidRPr="004D0059">
        <w:t>y</w:t>
      </w:r>
      <w:r w:rsidR="005E26A8" w:rsidRPr="004D0059">
        <w:t xml:space="preserve"> should have</w:t>
      </w:r>
      <w:r w:rsidR="0038112E" w:rsidRPr="004D0059">
        <w:t xml:space="preserve"> set up their claim in the Respondent's action. </w:t>
      </w:r>
      <w:r w:rsidR="00D57FAF" w:rsidRPr="004D0059">
        <w:t xml:space="preserve">In other words, the defence should have pleaded a counterclaim asking for a declaration of their alleged right. </w:t>
      </w:r>
      <w:r w:rsidR="00FA6A13" w:rsidRPr="004D0059">
        <w:t>C</w:t>
      </w:r>
      <w:r w:rsidR="00852751" w:rsidRPr="004D0059">
        <w:t>ounsel for the Appellants</w:t>
      </w:r>
      <w:r w:rsidR="00E15E80" w:rsidRPr="004D0059">
        <w:t xml:space="preserve"> </w:t>
      </w:r>
      <w:proofErr w:type="spellStart"/>
      <w:r w:rsidR="00921765" w:rsidRPr="004D0059">
        <w:t>outrightly</w:t>
      </w:r>
      <w:proofErr w:type="spellEnd"/>
      <w:r w:rsidR="00852751" w:rsidRPr="004D0059">
        <w:t xml:space="preserve"> accepted</w:t>
      </w:r>
      <w:r w:rsidR="00FA6A13" w:rsidRPr="004D0059">
        <w:t xml:space="preserve"> the view of this Court. </w:t>
      </w:r>
    </w:p>
    <w:p w14:paraId="59A3BBD7" w14:textId="3B7A89A8" w:rsidR="00D3160C" w:rsidRDefault="002B71BD" w:rsidP="00D3160C">
      <w:pPr>
        <w:pStyle w:val="JudgmentText"/>
        <w:numPr>
          <w:ilvl w:val="0"/>
          <w:numId w:val="10"/>
        </w:numPr>
        <w:ind w:left="720" w:hanging="720"/>
      </w:pPr>
      <w:r>
        <w:t>We</w:t>
      </w:r>
      <w:r w:rsidR="00A277DA" w:rsidRPr="004D0059">
        <w:t xml:space="preserve"> give the</w:t>
      </w:r>
      <w:r w:rsidR="004522CA" w:rsidRPr="004D0059">
        <w:t xml:space="preserve"> reasons for </w:t>
      </w:r>
      <w:r>
        <w:t>our</w:t>
      </w:r>
      <w:r w:rsidR="004522CA" w:rsidRPr="004D0059">
        <w:t xml:space="preserve"> view. </w:t>
      </w:r>
    </w:p>
    <w:p w14:paraId="0801BC95" w14:textId="796A16BF" w:rsidR="00B669BB" w:rsidRPr="00B87447" w:rsidRDefault="006A34E3" w:rsidP="00D3160C">
      <w:pPr>
        <w:pStyle w:val="JudgmentText"/>
        <w:numPr>
          <w:ilvl w:val="0"/>
          <w:numId w:val="10"/>
        </w:numPr>
        <w:ind w:left="720" w:hanging="720"/>
      </w:pPr>
      <w:r w:rsidRPr="004D0059">
        <w:t>The right to set up a counterclaim is given by s</w:t>
      </w:r>
      <w:r w:rsidR="007D4077" w:rsidRPr="004D0059">
        <w:t>ection 80 of the Sey</w:t>
      </w:r>
      <w:r w:rsidRPr="004D0059">
        <w:t xml:space="preserve">chelles Code of Civil Procedure, which </w:t>
      </w:r>
      <w:r w:rsidR="007D4077" w:rsidRPr="004D0059">
        <w:t>provides ―</w:t>
      </w:r>
    </w:p>
    <w:p w14:paraId="52F7D089" w14:textId="47B64353" w:rsidR="00B669BB" w:rsidRPr="00857B64" w:rsidRDefault="00B669BB" w:rsidP="00764974">
      <w:pPr>
        <w:pStyle w:val="JudgmentText"/>
        <w:numPr>
          <w:ilvl w:val="0"/>
          <w:numId w:val="0"/>
        </w:numPr>
        <w:spacing w:after="0" w:line="240" w:lineRule="auto"/>
        <w:ind w:left="2160" w:right="630" w:hanging="720"/>
        <w:rPr>
          <w:i/>
        </w:rPr>
      </w:pPr>
      <w:proofErr w:type="gramStart"/>
      <w:r w:rsidRPr="00A10AE7">
        <w:rPr>
          <w:i/>
        </w:rPr>
        <w:t>″(1)</w:t>
      </w:r>
      <w:r w:rsidRPr="00A10AE7">
        <w:rPr>
          <w:i/>
        </w:rPr>
        <w:tab/>
      </w:r>
      <w:r w:rsidRPr="00857B64">
        <w:rPr>
          <w:i/>
        </w:rPr>
        <w:t xml:space="preserve">Subject to subsection (2), where a defendant in any action wishes to make any claim or seek any remedy or relief against a plaintiff in respect of anything arising out of the subject matter of the action, he may, instead of raising a separate action make the claim or seek the </w:t>
      </w:r>
      <w:r w:rsidRPr="00857B64">
        <w:rPr>
          <w:i/>
        </w:rPr>
        <w:lastRenderedPageBreak/>
        <w:t>remedy or relief by way of a counterclaim in the action; and where he does so the counterclaim shall be added to his defence to the action.</w:t>
      </w:r>
      <w:proofErr w:type="gramEnd"/>
    </w:p>
    <w:p w14:paraId="0808094A" w14:textId="77777777" w:rsidR="00B669BB" w:rsidRPr="00A10AE7" w:rsidRDefault="00B669BB" w:rsidP="00764974">
      <w:pPr>
        <w:pStyle w:val="JudgmentText"/>
        <w:numPr>
          <w:ilvl w:val="0"/>
          <w:numId w:val="0"/>
        </w:numPr>
        <w:spacing w:after="0" w:line="240" w:lineRule="auto"/>
        <w:ind w:left="1440" w:right="630"/>
        <w:rPr>
          <w:i/>
          <w:lang w:val="en-US"/>
        </w:rPr>
      </w:pPr>
    </w:p>
    <w:p w14:paraId="3759167A" w14:textId="779CA924" w:rsidR="00B669BB" w:rsidRPr="00A10AE7" w:rsidRDefault="00B669BB" w:rsidP="00764974">
      <w:pPr>
        <w:pStyle w:val="JudgmentText"/>
        <w:numPr>
          <w:ilvl w:val="0"/>
          <w:numId w:val="0"/>
        </w:numPr>
        <w:spacing w:after="0" w:line="240" w:lineRule="auto"/>
        <w:ind w:left="2160" w:right="630" w:hanging="720"/>
        <w:rPr>
          <w:i/>
        </w:rPr>
      </w:pPr>
      <w:r w:rsidRPr="00A10AE7">
        <w:rPr>
          <w:i/>
        </w:rPr>
        <w:t>(2)</w:t>
      </w:r>
      <w:r w:rsidRPr="00A10AE7">
        <w:rPr>
          <w:i/>
        </w:rPr>
        <w:tab/>
        <w:t xml:space="preserve">If, on the application of any party against whom a counterclaim </w:t>
      </w:r>
      <w:proofErr w:type="gramStart"/>
      <w:r w:rsidRPr="00A10AE7">
        <w:rPr>
          <w:i/>
        </w:rPr>
        <w:t>is made</w:t>
      </w:r>
      <w:proofErr w:type="gramEnd"/>
      <w:r w:rsidRPr="00A10AE7">
        <w:rPr>
          <w:i/>
        </w:rPr>
        <w:t xml:space="preserve">, it appears to the </w:t>
      </w:r>
      <w:r w:rsidR="0038112E">
        <w:rPr>
          <w:i/>
        </w:rPr>
        <w:t>C</w:t>
      </w:r>
      <w:r w:rsidRPr="00A10AE7">
        <w:rPr>
          <w:i/>
        </w:rPr>
        <w:t>ourt that it is in the interests of justice that the subject matter of the counterclaim be dealt with as a separate action, the Court may </w:t>
      </w:r>
    </w:p>
    <w:p w14:paraId="6FC021CE" w14:textId="77777777" w:rsidR="00B669BB" w:rsidRPr="00A10AE7" w:rsidRDefault="00B669BB" w:rsidP="00764974">
      <w:pPr>
        <w:pStyle w:val="JudgmentText"/>
        <w:numPr>
          <w:ilvl w:val="0"/>
          <w:numId w:val="0"/>
        </w:numPr>
        <w:spacing w:after="0" w:line="240" w:lineRule="auto"/>
        <w:ind w:left="1440" w:right="630"/>
        <w:rPr>
          <w:i/>
          <w:lang w:val="en-US"/>
        </w:rPr>
      </w:pPr>
    </w:p>
    <w:p w14:paraId="38DDD3B9" w14:textId="77777777" w:rsidR="00B669BB" w:rsidRPr="00A10AE7" w:rsidRDefault="00B669BB" w:rsidP="00D3160C">
      <w:pPr>
        <w:pStyle w:val="JudgmentText"/>
        <w:numPr>
          <w:ilvl w:val="0"/>
          <w:numId w:val="7"/>
        </w:numPr>
        <w:spacing w:after="0" w:line="240" w:lineRule="auto"/>
        <w:ind w:left="2880" w:right="630" w:hanging="720"/>
        <w:rPr>
          <w:i/>
        </w:rPr>
      </w:pPr>
      <w:r w:rsidRPr="00A10AE7">
        <w:rPr>
          <w:i/>
        </w:rPr>
        <w:t>order that the counterclaim be struck out;</w:t>
      </w:r>
    </w:p>
    <w:p w14:paraId="31102BA9" w14:textId="77777777" w:rsidR="00B669BB" w:rsidRPr="00A10AE7" w:rsidRDefault="00B669BB" w:rsidP="00764974">
      <w:pPr>
        <w:pStyle w:val="JudgmentText"/>
        <w:numPr>
          <w:ilvl w:val="0"/>
          <w:numId w:val="0"/>
        </w:numPr>
        <w:spacing w:after="0" w:line="240" w:lineRule="auto"/>
        <w:ind w:left="2880" w:right="630" w:hanging="720"/>
        <w:rPr>
          <w:i/>
          <w:lang w:val="en-US"/>
        </w:rPr>
      </w:pPr>
    </w:p>
    <w:p w14:paraId="5467C8DC" w14:textId="77777777" w:rsidR="00B669BB" w:rsidRPr="00A10AE7" w:rsidRDefault="00B669BB" w:rsidP="00D3160C">
      <w:pPr>
        <w:pStyle w:val="JudgmentText"/>
        <w:numPr>
          <w:ilvl w:val="0"/>
          <w:numId w:val="7"/>
        </w:numPr>
        <w:spacing w:after="0" w:line="240" w:lineRule="auto"/>
        <w:ind w:left="2880" w:right="630" w:hanging="720"/>
        <w:rPr>
          <w:i/>
        </w:rPr>
      </w:pPr>
      <w:r w:rsidRPr="00A10AE7">
        <w:rPr>
          <w:i/>
        </w:rPr>
        <w:t>order that it be tried separately; or</w:t>
      </w:r>
    </w:p>
    <w:p w14:paraId="2C91914A" w14:textId="77777777" w:rsidR="00B669BB" w:rsidRPr="00A10AE7" w:rsidRDefault="00B669BB" w:rsidP="00764974">
      <w:pPr>
        <w:pStyle w:val="JudgmentText"/>
        <w:numPr>
          <w:ilvl w:val="0"/>
          <w:numId w:val="0"/>
        </w:numPr>
        <w:spacing w:after="0" w:line="240" w:lineRule="auto"/>
        <w:ind w:left="2880" w:right="630" w:hanging="720"/>
        <w:rPr>
          <w:i/>
          <w:lang w:val="en-US"/>
        </w:rPr>
      </w:pPr>
    </w:p>
    <w:p w14:paraId="1A1E0365" w14:textId="7156CB2E" w:rsidR="008B3FF1" w:rsidRPr="00107DEC" w:rsidRDefault="00B669BB" w:rsidP="00D3160C">
      <w:pPr>
        <w:pStyle w:val="JudgmentText"/>
        <w:numPr>
          <w:ilvl w:val="0"/>
          <w:numId w:val="7"/>
        </w:numPr>
        <w:spacing w:after="0" w:line="240" w:lineRule="auto"/>
        <w:ind w:left="2880" w:right="630" w:hanging="720"/>
        <w:rPr>
          <w:i/>
          <w:lang w:val="en-US"/>
        </w:rPr>
      </w:pPr>
      <w:proofErr w:type="gramStart"/>
      <w:r w:rsidRPr="00A10AE7">
        <w:rPr>
          <w:i/>
        </w:rPr>
        <w:t>make</w:t>
      </w:r>
      <w:proofErr w:type="gramEnd"/>
      <w:r w:rsidRPr="00A10AE7">
        <w:rPr>
          <w:i/>
        </w:rPr>
        <w:t xml:space="preserve"> such order as it considers appropriate.″</w:t>
      </w:r>
      <w:r w:rsidR="00107DEC">
        <w:rPr>
          <w:i/>
          <w:lang w:val="en-US"/>
        </w:rPr>
        <w:t xml:space="preserve"> </w:t>
      </w:r>
    </w:p>
    <w:p w14:paraId="1A22A823" w14:textId="77777777" w:rsidR="00B669BB" w:rsidRPr="00B669BB" w:rsidRDefault="00B669BB" w:rsidP="00764974">
      <w:pPr>
        <w:pStyle w:val="ListParagraph"/>
        <w:ind w:right="630"/>
        <w:rPr>
          <w:rFonts w:ascii="Times New Roman" w:hAnsi="Times New Roman" w:cs="Times New Roman"/>
          <w:sz w:val="24"/>
          <w:szCs w:val="24"/>
        </w:rPr>
      </w:pPr>
    </w:p>
    <w:p w14:paraId="1AEABE88" w14:textId="7F878CCF" w:rsidR="004D0059" w:rsidRDefault="002B71BD" w:rsidP="00D3160C">
      <w:pPr>
        <w:pStyle w:val="JudgmentText"/>
        <w:numPr>
          <w:ilvl w:val="0"/>
          <w:numId w:val="10"/>
        </w:numPr>
        <w:ind w:left="720" w:hanging="720"/>
      </w:pPr>
      <w:r>
        <w:t>[In parenthesis, we</w:t>
      </w:r>
      <w:r w:rsidR="00622165">
        <w:t xml:space="preserve"> state that the question as to whether or not the Appellants must raise a separate action</w:t>
      </w:r>
      <w:r w:rsidR="000D49A0">
        <w:t xml:space="preserve"> under section 80</w:t>
      </w:r>
      <w:r w:rsidR="00E56016">
        <w:t xml:space="preserve"> of the Seychelles Code of Civil Procedure</w:t>
      </w:r>
      <w:r w:rsidR="00622165">
        <w:t xml:space="preserve"> does not arise in this case]. </w:t>
      </w:r>
      <w:r w:rsidR="00E56016">
        <w:t xml:space="preserve">Section 80 of the Seychelles Code of Civil Procedure </w:t>
      </w:r>
      <w:r w:rsidR="00F4122B">
        <w:t>emphasises</w:t>
      </w:r>
      <w:r w:rsidR="00E56016">
        <w:t xml:space="preserve"> that a counterclaim</w:t>
      </w:r>
      <w:r w:rsidR="00155F56">
        <w:t xml:space="preserve">, although it </w:t>
      </w:r>
      <w:proofErr w:type="gramStart"/>
      <w:r w:rsidR="00155F56">
        <w:t>is spoken</w:t>
      </w:r>
      <w:proofErr w:type="gramEnd"/>
      <w:r w:rsidR="00155F56">
        <w:t xml:space="preserve"> of as though it </w:t>
      </w:r>
      <w:r w:rsidR="00B87447">
        <w:t xml:space="preserve">was </w:t>
      </w:r>
      <w:r w:rsidR="00155F56">
        <w:t>part of the procedure in the claimant's action,</w:t>
      </w:r>
      <w:r w:rsidR="00E56016">
        <w:t xml:space="preserve"> is more than a defence; it is in the nature of a proceeding in a cross-action. </w:t>
      </w:r>
      <w:r w:rsidR="005F646C">
        <w:t xml:space="preserve">In terms of section 80 of the Seychelles Code of Civil Procedure, if a counterclaim </w:t>
      </w:r>
      <w:r w:rsidR="007511AC">
        <w:t>w</w:t>
      </w:r>
      <w:r w:rsidR="00940C06">
        <w:t>ere</w:t>
      </w:r>
      <w:r w:rsidR="007511AC">
        <w:t xml:space="preserve"> </w:t>
      </w:r>
      <w:r w:rsidR="005F646C">
        <w:t xml:space="preserve">to </w:t>
      </w:r>
      <w:proofErr w:type="gramStart"/>
      <w:r w:rsidR="005F646C">
        <w:t>be treated</w:t>
      </w:r>
      <w:proofErr w:type="gramEnd"/>
      <w:r w:rsidR="005F646C">
        <w:t xml:space="preserve"> as having no energy except as a bar to the action, it becomes a defence and not a counterclaim.</w:t>
      </w:r>
    </w:p>
    <w:p w14:paraId="11F077CE" w14:textId="79A072DB" w:rsidR="00D3160C" w:rsidRDefault="002B71BD" w:rsidP="00D3160C">
      <w:pPr>
        <w:pStyle w:val="JudgmentText"/>
        <w:numPr>
          <w:ilvl w:val="0"/>
          <w:numId w:val="10"/>
        </w:numPr>
        <w:ind w:left="720" w:hanging="720"/>
      </w:pPr>
      <w:r>
        <w:t>We</w:t>
      </w:r>
      <w:r w:rsidR="0014485B">
        <w:t xml:space="preserve"> have referred to</w:t>
      </w:r>
      <w:r w:rsidR="00A062C2" w:rsidRPr="004D0059">
        <w:t xml:space="preserve"> English cases of persuasive authority on the subject to strengthen </w:t>
      </w:r>
      <w:r>
        <w:t>our</w:t>
      </w:r>
      <w:r w:rsidR="00A062C2" w:rsidRPr="004D0059">
        <w:t xml:space="preserve"> view</w:t>
      </w:r>
      <w:r w:rsidR="00F4122B" w:rsidRPr="004D0059">
        <w:t>.</w:t>
      </w:r>
    </w:p>
    <w:p w14:paraId="355716B5" w14:textId="77777777" w:rsidR="00D3160C" w:rsidRPr="00D3160C" w:rsidRDefault="00374F80" w:rsidP="00D3160C">
      <w:pPr>
        <w:pStyle w:val="JudgmentText"/>
        <w:numPr>
          <w:ilvl w:val="0"/>
          <w:numId w:val="10"/>
        </w:numPr>
        <w:ind w:left="720" w:hanging="720"/>
      </w:pPr>
      <w:r w:rsidRPr="004D0059">
        <w:t xml:space="preserve">In </w:t>
      </w:r>
      <w:proofErr w:type="spellStart"/>
      <w:r w:rsidRPr="00D3160C">
        <w:rPr>
          <w:i/>
        </w:rPr>
        <w:t>Stooke</w:t>
      </w:r>
      <w:proofErr w:type="spellEnd"/>
      <w:r w:rsidRPr="00D3160C">
        <w:rPr>
          <w:i/>
        </w:rPr>
        <w:t xml:space="preserve"> v Taylor </w:t>
      </w:r>
      <w:r w:rsidRPr="00086B33">
        <w:t>(1880) 5 Q.B.D. 569</w:t>
      </w:r>
      <w:r w:rsidR="004D4474" w:rsidRPr="00086B33">
        <w:t xml:space="preserve"> p 577</w:t>
      </w:r>
      <w:r w:rsidR="004D4474" w:rsidRPr="00D3160C">
        <w:rPr>
          <w:i/>
        </w:rPr>
        <w:t xml:space="preserve"> </w:t>
      </w:r>
      <w:r w:rsidR="004D4474" w:rsidRPr="004D0059">
        <w:t>Cockburn, C.J.</w:t>
      </w:r>
      <w:r w:rsidR="004D4474" w:rsidRPr="00D3160C">
        <w:rPr>
          <w:i/>
        </w:rPr>
        <w:t xml:space="preserve"> </w:t>
      </w:r>
      <w:r w:rsidR="004D4474" w:rsidRPr="004D0059">
        <w:t xml:space="preserve">stated: </w:t>
      </w:r>
      <w:r w:rsidR="004D4474" w:rsidRPr="00D3160C">
        <w:rPr>
          <w:i/>
        </w:rPr>
        <w:t>″I think the true mode of considering the claim and counterclaim is, that they are wholly independent suits, which for convenience of procedu</w:t>
      </w:r>
      <w:r w:rsidR="00D3160C">
        <w:rPr>
          <w:i/>
        </w:rPr>
        <w:t>re are combined in one action″.</w:t>
      </w:r>
    </w:p>
    <w:p w14:paraId="2A912A8B" w14:textId="369806B9" w:rsidR="00874D77" w:rsidRPr="007511AC" w:rsidRDefault="00A30A08" w:rsidP="00D3160C">
      <w:pPr>
        <w:pStyle w:val="JudgmentText"/>
        <w:numPr>
          <w:ilvl w:val="0"/>
          <w:numId w:val="10"/>
        </w:numPr>
        <w:ind w:left="720" w:hanging="720"/>
      </w:pPr>
      <w:r w:rsidRPr="004D0059">
        <w:t>In the same vein,</w:t>
      </w:r>
      <w:r w:rsidRPr="00D3160C">
        <w:rPr>
          <w:i/>
        </w:rPr>
        <w:t xml:space="preserve"> </w:t>
      </w:r>
      <w:proofErr w:type="spellStart"/>
      <w:r w:rsidR="00874D77" w:rsidRPr="00D3160C">
        <w:rPr>
          <w:i/>
        </w:rPr>
        <w:t>Odgers</w:t>
      </w:r>
      <w:proofErr w:type="spellEnd"/>
      <w:r w:rsidR="0038112E" w:rsidRPr="00D3160C">
        <w:rPr>
          <w:i/>
        </w:rPr>
        <w:t>'</w:t>
      </w:r>
      <w:r w:rsidR="00874D77" w:rsidRPr="00D3160C">
        <w:rPr>
          <w:i/>
        </w:rPr>
        <w:t xml:space="preserve"> Principles of Pleadings </w:t>
      </w:r>
      <w:r w:rsidR="007511AC" w:rsidRPr="00D3160C">
        <w:rPr>
          <w:i/>
        </w:rPr>
        <w:t xml:space="preserve">and </w:t>
      </w:r>
      <w:r w:rsidR="00874D77" w:rsidRPr="00D3160C">
        <w:rPr>
          <w:i/>
        </w:rPr>
        <w:t xml:space="preserve">Practice in Civil Actions </w:t>
      </w:r>
      <w:r w:rsidR="007511AC" w:rsidRPr="00D3160C">
        <w:rPr>
          <w:i/>
        </w:rPr>
        <w:t xml:space="preserve">in the </w:t>
      </w:r>
      <w:r w:rsidR="00874D77" w:rsidRPr="00D3160C">
        <w:rPr>
          <w:i/>
        </w:rPr>
        <w:t xml:space="preserve">High Court of Justice </w:t>
      </w:r>
      <w:r w:rsidR="00874D77" w:rsidRPr="00086B33">
        <w:t>19</w:t>
      </w:r>
      <w:r w:rsidR="00874D77" w:rsidRPr="00086B33">
        <w:rPr>
          <w:vertAlign w:val="superscript"/>
        </w:rPr>
        <w:t>th</w:t>
      </w:r>
      <w:r w:rsidR="00874D77" w:rsidRPr="00086B33">
        <w:t xml:space="preserve"> Edition</w:t>
      </w:r>
      <w:r w:rsidR="00057858">
        <w:t>,</w:t>
      </w:r>
      <w:r w:rsidR="00874D77" w:rsidRPr="00D3160C">
        <w:rPr>
          <w:i/>
        </w:rPr>
        <w:t xml:space="preserve"> </w:t>
      </w:r>
      <w:r w:rsidR="0010730B" w:rsidRPr="004D0059">
        <w:t>p. 220</w:t>
      </w:r>
      <w:r w:rsidR="0006159F" w:rsidRPr="004D0059">
        <w:t>,</w:t>
      </w:r>
      <w:r w:rsidR="0010730B" w:rsidRPr="004D0059">
        <w:t xml:space="preserve"> states ―</w:t>
      </w:r>
    </w:p>
    <w:p w14:paraId="10E8CEC8" w14:textId="77777777" w:rsidR="00F4122B" w:rsidRDefault="00874D77" w:rsidP="00A062C2">
      <w:pPr>
        <w:pStyle w:val="ListParagraph"/>
        <w:spacing w:after="0" w:line="240" w:lineRule="auto"/>
        <w:ind w:left="1440"/>
        <w:jc w:val="both"/>
        <w:rPr>
          <w:rFonts w:ascii="Times New Roman" w:hAnsi="Times New Roman" w:cs="Times New Roman"/>
          <w:i/>
          <w:sz w:val="24"/>
          <w:szCs w:val="24"/>
        </w:rPr>
      </w:pPr>
      <w:r w:rsidRPr="00874D77">
        <w:rPr>
          <w:rFonts w:ascii="Times New Roman" w:hAnsi="Times New Roman" w:cs="Times New Roman"/>
          <w:i/>
          <w:sz w:val="24"/>
          <w:szCs w:val="24"/>
        </w:rPr>
        <w:t>″For many purposes a counterclaim is substantially a cross-action.</w:t>
      </w:r>
      <w:r>
        <w:rPr>
          <w:rFonts w:ascii="Times New Roman" w:hAnsi="Times New Roman" w:cs="Times New Roman"/>
          <w:i/>
          <w:sz w:val="24"/>
          <w:szCs w:val="24"/>
        </w:rPr>
        <w:t xml:space="preserve"> </w:t>
      </w:r>
      <w:r w:rsidR="007D4077" w:rsidRPr="00874D77">
        <w:rPr>
          <w:rFonts w:ascii="Times New Roman" w:hAnsi="Times New Roman" w:cs="Times New Roman"/>
          <w:i/>
          <w:sz w:val="24"/>
          <w:szCs w:val="24"/>
        </w:rPr>
        <w:t xml:space="preserve">″A counterclaim is to be treated for all purposes for which justice requires it to be so treated, as an independent action″ (per Bowen, L.J. in Amon v. </w:t>
      </w:r>
      <w:proofErr w:type="spellStart"/>
      <w:r w:rsidR="007D4077" w:rsidRPr="00874D77">
        <w:rPr>
          <w:rFonts w:ascii="Times New Roman" w:hAnsi="Times New Roman" w:cs="Times New Roman"/>
          <w:i/>
          <w:sz w:val="24"/>
          <w:szCs w:val="24"/>
        </w:rPr>
        <w:t>Bobett</w:t>
      </w:r>
      <w:proofErr w:type="spellEnd"/>
      <w:r w:rsidR="007D4077" w:rsidRPr="00874D77">
        <w:rPr>
          <w:rFonts w:ascii="Times New Roman" w:hAnsi="Times New Roman" w:cs="Times New Roman"/>
          <w:i/>
          <w:sz w:val="24"/>
          <w:szCs w:val="24"/>
        </w:rPr>
        <w:t xml:space="preserve">, </w:t>
      </w:r>
      <w:proofErr w:type="gramStart"/>
      <w:r w:rsidR="007D4077" w:rsidRPr="00874D77">
        <w:rPr>
          <w:rFonts w:ascii="Times New Roman" w:hAnsi="Times New Roman" w:cs="Times New Roman"/>
          <w:i/>
          <w:sz w:val="24"/>
          <w:szCs w:val="24"/>
        </w:rPr>
        <w:t>22</w:t>
      </w:r>
      <w:proofErr w:type="gramEnd"/>
      <w:r w:rsidR="007D4077" w:rsidRPr="00874D77">
        <w:rPr>
          <w:rFonts w:ascii="Times New Roman" w:hAnsi="Times New Roman" w:cs="Times New Roman"/>
          <w:i/>
          <w:sz w:val="24"/>
          <w:szCs w:val="24"/>
        </w:rPr>
        <w:t xml:space="preserve"> Q. B. D</w:t>
      </w:r>
      <w:r w:rsidR="007D4077" w:rsidRPr="00A062C2">
        <w:rPr>
          <w:rFonts w:ascii="Times New Roman" w:hAnsi="Times New Roman" w:cs="Times New Roman"/>
          <w:i/>
          <w:sz w:val="24"/>
          <w:szCs w:val="24"/>
        </w:rPr>
        <w:t xml:space="preserve">. p. 548). </w:t>
      </w:r>
      <w:r w:rsidRPr="00A062C2">
        <w:rPr>
          <w:rFonts w:ascii="Times New Roman" w:hAnsi="Times New Roman" w:cs="Times New Roman"/>
          <w:i/>
          <w:sz w:val="24"/>
          <w:szCs w:val="24"/>
        </w:rPr>
        <w:t>If, after the defendant has pleaded a counterclaim, the plaintiff</w:t>
      </w:r>
      <w:r w:rsidR="0038112E" w:rsidRPr="00A062C2">
        <w:rPr>
          <w:rFonts w:ascii="Times New Roman" w:hAnsi="Times New Roman" w:cs="Times New Roman"/>
          <w:i/>
          <w:sz w:val="24"/>
          <w:szCs w:val="24"/>
        </w:rPr>
        <w:t>'</w:t>
      </w:r>
      <w:r w:rsidRPr="00A062C2">
        <w:rPr>
          <w:rFonts w:ascii="Times New Roman" w:hAnsi="Times New Roman" w:cs="Times New Roman"/>
          <w:i/>
          <w:sz w:val="24"/>
          <w:szCs w:val="24"/>
        </w:rPr>
        <w:t xml:space="preserve">s action </w:t>
      </w:r>
      <w:r w:rsidRPr="00A062C2">
        <w:rPr>
          <w:rFonts w:ascii="Times New Roman" w:hAnsi="Times New Roman" w:cs="Times New Roman"/>
          <w:i/>
          <w:sz w:val="24"/>
          <w:szCs w:val="24"/>
        </w:rPr>
        <w:lastRenderedPageBreak/>
        <w:t xml:space="preserve">is for any reason stayed, discontinued or dismissed, the counterclaim </w:t>
      </w:r>
      <w:proofErr w:type="gramStart"/>
      <w:r w:rsidRPr="00A062C2">
        <w:rPr>
          <w:rFonts w:ascii="Times New Roman" w:hAnsi="Times New Roman" w:cs="Times New Roman"/>
          <w:i/>
          <w:sz w:val="24"/>
          <w:szCs w:val="24"/>
        </w:rPr>
        <w:t>may nevertheless be proceeded</w:t>
      </w:r>
      <w:proofErr w:type="gramEnd"/>
      <w:r w:rsidRPr="00A062C2">
        <w:rPr>
          <w:rFonts w:ascii="Times New Roman" w:hAnsi="Times New Roman" w:cs="Times New Roman"/>
          <w:i/>
          <w:sz w:val="24"/>
          <w:szCs w:val="24"/>
        </w:rPr>
        <w:t xml:space="preserve"> with </w:t>
      </w:r>
      <w:r w:rsidRPr="00A062C2">
        <w:rPr>
          <w:rFonts w:ascii="Times New Roman" w:hAnsi="Times New Roman" w:cs="Times New Roman"/>
          <w:sz w:val="24"/>
          <w:szCs w:val="24"/>
        </w:rPr>
        <w:t>[…]</w:t>
      </w:r>
      <w:r w:rsidRPr="00A062C2">
        <w:rPr>
          <w:rFonts w:ascii="Times New Roman" w:hAnsi="Times New Roman" w:cs="Times New Roman"/>
          <w:i/>
          <w:sz w:val="24"/>
          <w:szCs w:val="24"/>
        </w:rPr>
        <w:t xml:space="preserve">. The </w:t>
      </w:r>
      <w:r w:rsidR="0038112E" w:rsidRPr="00A062C2">
        <w:rPr>
          <w:rFonts w:ascii="Times New Roman" w:hAnsi="Times New Roman" w:cs="Times New Roman"/>
          <w:i/>
          <w:sz w:val="24"/>
          <w:szCs w:val="24"/>
        </w:rPr>
        <w:t>C</w:t>
      </w:r>
      <w:r w:rsidRPr="00A062C2">
        <w:rPr>
          <w:rFonts w:ascii="Times New Roman" w:hAnsi="Times New Roman" w:cs="Times New Roman"/>
          <w:i/>
          <w:sz w:val="24"/>
          <w:szCs w:val="24"/>
        </w:rPr>
        <w:t>ourt may order a counterclaiming defendant to give security for costs</w:t>
      </w:r>
      <w:proofErr w:type="gramStart"/>
      <w:r w:rsidRPr="00A062C2">
        <w:rPr>
          <w:rFonts w:ascii="Times New Roman" w:hAnsi="Times New Roman" w:cs="Times New Roman"/>
          <w:i/>
          <w:sz w:val="24"/>
          <w:szCs w:val="24"/>
        </w:rPr>
        <w:t>;</w:t>
      </w:r>
      <w:proofErr w:type="gramEnd"/>
      <w:r w:rsidRPr="00A062C2">
        <w:rPr>
          <w:rFonts w:ascii="Times New Roman" w:hAnsi="Times New Roman" w:cs="Times New Roman"/>
          <w:i/>
          <w:sz w:val="24"/>
          <w:szCs w:val="24"/>
        </w:rPr>
        <w:t xml:space="preserve"> but</w:t>
      </w:r>
      <w:r>
        <w:rPr>
          <w:rFonts w:ascii="Times New Roman" w:hAnsi="Times New Roman" w:cs="Times New Roman"/>
          <w:i/>
          <w:sz w:val="24"/>
          <w:szCs w:val="24"/>
        </w:rPr>
        <w:t xml:space="preserve"> not where the counterclaim is in substance a defence to the action″.</w:t>
      </w:r>
      <w:r w:rsidR="00F4122B">
        <w:rPr>
          <w:rFonts w:ascii="Times New Roman" w:hAnsi="Times New Roman" w:cs="Times New Roman"/>
          <w:i/>
          <w:sz w:val="24"/>
          <w:szCs w:val="24"/>
        </w:rPr>
        <w:t xml:space="preserve"> </w:t>
      </w:r>
    </w:p>
    <w:p w14:paraId="71D9E499" w14:textId="77777777" w:rsidR="0080404C" w:rsidRPr="0080404C" w:rsidRDefault="0080404C" w:rsidP="00A062C2">
      <w:pPr>
        <w:pStyle w:val="ListParagraph"/>
        <w:spacing w:after="0" w:line="240" w:lineRule="auto"/>
        <w:ind w:left="1440"/>
        <w:jc w:val="both"/>
        <w:rPr>
          <w:rFonts w:ascii="Times New Roman" w:hAnsi="Times New Roman" w:cs="Times New Roman"/>
          <w:sz w:val="24"/>
          <w:szCs w:val="24"/>
        </w:rPr>
      </w:pPr>
    </w:p>
    <w:p w14:paraId="1D92188B" w14:textId="133A9198" w:rsidR="006019B0" w:rsidRDefault="0080404C" w:rsidP="00D3160C">
      <w:pPr>
        <w:pStyle w:val="JudgmentText"/>
        <w:numPr>
          <w:ilvl w:val="0"/>
          <w:numId w:val="10"/>
        </w:numPr>
        <w:ind w:left="720" w:hanging="720"/>
      </w:pPr>
      <w:r w:rsidRPr="00A30A08">
        <w:t xml:space="preserve">See also </w:t>
      </w:r>
      <w:r w:rsidRPr="004D0059">
        <w:rPr>
          <w:i/>
        </w:rPr>
        <w:t xml:space="preserve">Bow </w:t>
      </w:r>
      <w:proofErr w:type="spellStart"/>
      <w:r w:rsidRPr="004D0059">
        <w:rPr>
          <w:i/>
        </w:rPr>
        <w:t>Maclachan</w:t>
      </w:r>
      <w:proofErr w:type="spellEnd"/>
      <w:r w:rsidRPr="004D0059">
        <w:rPr>
          <w:i/>
        </w:rPr>
        <w:t xml:space="preserve"> &amp; Co. v. The </w:t>
      </w:r>
      <w:proofErr w:type="spellStart"/>
      <w:r w:rsidRPr="004D0059">
        <w:rPr>
          <w:i/>
        </w:rPr>
        <w:t>The</w:t>
      </w:r>
      <w:proofErr w:type="spellEnd"/>
      <w:r w:rsidRPr="004D0059">
        <w:rPr>
          <w:i/>
        </w:rPr>
        <w:t xml:space="preserve"> </w:t>
      </w:r>
      <w:proofErr w:type="spellStart"/>
      <w:r w:rsidRPr="004D0059">
        <w:rPr>
          <w:i/>
        </w:rPr>
        <w:t>Camosun</w:t>
      </w:r>
      <w:proofErr w:type="spellEnd"/>
      <w:r w:rsidRPr="004D0059">
        <w:rPr>
          <w:i/>
        </w:rPr>
        <w:t xml:space="preserve">, </w:t>
      </w:r>
      <w:r w:rsidRPr="00086B33">
        <w:t>[1909] A.C. 597;</w:t>
      </w:r>
      <w:r w:rsidRPr="004D0059">
        <w:rPr>
          <w:i/>
        </w:rPr>
        <w:t xml:space="preserve"> Williams v. </w:t>
      </w:r>
      <w:proofErr w:type="spellStart"/>
      <w:r w:rsidRPr="004D0059">
        <w:rPr>
          <w:i/>
        </w:rPr>
        <w:t>Agius</w:t>
      </w:r>
      <w:proofErr w:type="spellEnd"/>
      <w:r w:rsidRPr="004D0059">
        <w:rPr>
          <w:i/>
        </w:rPr>
        <w:t xml:space="preserve">, </w:t>
      </w:r>
      <w:r w:rsidRPr="00086B33">
        <w:t>[1914] A. C. 522</w:t>
      </w:r>
      <w:r w:rsidRPr="00A30A08">
        <w:t>, in which it was stated that t</w:t>
      </w:r>
      <w:r w:rsidR="007D4077" w:rsidRPr="00A30A08">
        <w:t>he counterclaim mu</w:t>
      </w:r>
      <w:r w:rsidR="005F646C">
        <w:t>st be of such a nature that the</w:t>
      </w:r>
      <w:r w:rsidR="007D4077" w:rsidRPr="00A30A08">
        <w:t xml:space="preserve"> </w:t>
      </w:r>
      <w:r w:rsidR="0006159F">
        <w:t>c</w:t>
      </w:r>
      <w:r w:rsidR="007D4077" w:rsidRPr="00A30A08">
        <w:t>ourt will have jurisdiction to entertain it as a s</w:t>
      </w:r>
      <w:r w:rsidRPr="00A30A08">
        <w:t>eparate action.</w:t>
      </w:r>
      <w:r w:rsidR="00A30A08" w:rsidRPr="00A30A08">
        <w:t xml:space="preserve"> </w:t>
      </w:r>
    </w:p>
    <w:p w14:paraId="2A9FF8AB" w14:textId="61852E2D" w:rsidR="00B13DBD" w:rsidRPr="007511AC" w:rsidRDefault="00672C6C" w:rsidP="00D3160C">
      <w:pPr>
        <w:pStyle w:val="JudgmentText"/>
        <w:numPr>
          <w:ilvl w:val="0"/>
          <w:numId w:val="10"/>
        </w:numPr>
        <w:ind w:left="720" w:hanging="720"/>
      </w:pPr>
      <w:r>
        <w:t>Fundamentally, th</w:t>
      </w:r>
      <w:r w:rsidR="00B6484E">
        <w:t>e case is</w:t>
      </w:r>
      <w:r w:rsidR="00CF7570" w:rsidRPr="00764974">
        <w:t xml:space="preserve"> that </w:t>
      </w:r>
      <w:r w:rsidR="00A30A08" w:rsidRPr="00764974">
        <w:t>the rules of pleading</w:t>
      </w:r>
      <w:r w:rsidR="002B71BD">
        <w:t>s</w:t>
      </w:r>
      <w:r w:rsidR="00A30A08" w:rsidRPr="00764974">
        <w:t xml:space="preserve"> apply to counterclaim and defence to counterclaim as though they are respectively a statement of claim and a defence</w:t>
      </w:r>
      <w:r w:rsidR="00E71CFC" w:rsidRPr="00E71CFC">
        <w:t>.</w:t>
      </w:r>
      <w:r w:rsidR="00B6484E">
        <w:t xml:space="preserve"> </w:t>
      </w:r>
      <w:r w:rsidR="00AF116C">
        <w:t>We</w:t>
      </w:r>
      <w:r w:rsidR="00C70574">
        <w:t xml:space="preserve"> read from </w:t>
      </w:r>
      <w:proofErr w:type="spellStart"/>
      <w:r w:rsidR="00E71CFC" w:rsidRPr="00086B33">
        <w:rPr>
          <w:i/>
        </w:rPr>
        <w:t>Odgers</w:t>
      </w:r>
      <w:proofErr w:type="spellEnd"/>
      <w:r w:rsidR="00F46520">
        <w:rPr>
          <w:i/>
        </w:rPr>
        <w:t>'</w:t>
      </w:r>
      <w:r w:rsidR="007511AC">
        <w:rPr>
          <w:rStyle w:val="FootnoteReference"/>
        </w:rPr>
        <w:footnoteReference w:id="1"/>
      </w:r>
      <w:r w:rsidR="00A43C8F" w:rsidRPr="00764974">
        <w:t xml:space="preserve"> </w:t>
      </w:r>
      <w:r w:rsidR="00A30A08" w:rsidRPr="00764974">
        <w:t xml:space="preserve"> ―</w:t>
      </w:r>
    </w:p>
    <w:p w14:paraId="70023125" w14:textId="77777777" w:rsidR="00E71CFC" w:rsidRDefault="00A30A08" w:rsidP="00CF7570">
      <w:pPr>
        <w:pStyle w:val="ListParagraph"/>
        <w:spacing w:after="0" w:line="240" w:lineRule="auto"/>
        <w:ind w:left="1440"/>
        <w:jc w:val="both"/>
        <w:rPr>
          <w:rFonts w:ascii="Times New Roman" w:hAnsi="Times New Roman" w:cs="Times New Roman"/>
          <w:i/>
          <w:sz w:val="24"/>
          <w:szCs w:val="24"/>
        </w:rPr>
      </w:pPr>
      <w:r w:rsidRPr="00CF7570">
        <w:rPr>
          <w:rFonts w:ascii="Times New Roman" w:hAnsi="Times New Roman" w:cs="Times New Roman"/>
          <w:i/>
          <w:sz w:val="24"/>
          <w:szCs w:val="24"/>
        </w:rPr>
        <w:t>″</w:t>
      </w:r>
      <w:r w:rsidR="00F05815">
        <w:rPr>
          <w:rFonts w:ascii="Times New Roman" w:hAnsi="Times New Roman" w:cs="Times New Roman"/>
          <w:i/>
          <w:sz w:val="24"/>
          <w:szCs w:val="24"/>
        </w:rPr>
        <w:t xml:space="preserve"> </w:t>
      </w:r>
      <w:proofErr w:type="gramStart"/>
      <w:r w:rsidR="00F05815">
        <w:rPr>
          <w:rFonts w:ascii="Times New Roman" w:hAnsi="Times New Roman" w:cs="Times New Roman"/>
          <w:i/>
          <w:sz w:val="24"/>
          <w:szCs w:val="24"/>
        </w:rPr>
        <w:t>A</w:t>
      </w:r>
      <w:proofErr w:type="gramEnd"/>
      <w:r w:rsidR="00F05815">
        <w:rPr>
          <w:rFonts w:ascii="Times New Roman" w:hAnsi="Times New Roman" w:cs="Times New Roman"/>
          <w:i/>
          <w:sz w:val="24"/>
          <w:szCs w:val="24"/>
        </w:rPr>
        <w:t xml:space="preserve"> counterclaim must always claim relief against the plaintiff. ″A pleading which asks no cross-relief against a plaintiff either alone or with some other person is not a counterclaim.″ (Per </w:t>
      </w:r>
      <w:proofErr w:type="spellStart"/>
      <w:r w:rsidR="00F05815">
        <w:rPr>
          <w:rFonts w:ascii="Times New Roman" w:hAnsi="Times New Roman" w:cs="Times New Roman"/>
          <w:i/>
          <w:sz w:val="24"/>
          <w:szCs w:val="24"/>
        </w:rPr>
        <w:t>Jessel</w:t>
      </w:r>
      <w:proofErr w:type="spellEnd"/>
      <w:r w:rsidR="00F05815">
        <w:rPr>
          <w:rFonts w:ascii="Times New Roman" w:hAnsi="Times New Roman" w:cs="Times New Roman"/>
          <w:i/>
          <w:sz w:val="24"/>
          <w:szCs w:val="24"/>
        </w:rPr>
        <w:t xml:space="preserve"> M.R. in Fur</w:t>
      </w:r>
      <w:r w:rsidR="00B13DBD">
        <w:rPr>
          <w:rFonts w:ascii="Times New Roman" w:hAnsi="Times New Roman" w:cs="Times New Roman"/>
          <w:i/>
          <w:sz w:val="24"/>
          <w:szCs w:val="24"/>
        </w:rPr>
        <w:t xml:space="preserve">ness v. Booth (1876) </w:t>
      </w:r>
      <w:proofErr w:type="gramStart"/>
      <w:r w:rsidR="00B13DBD">
        <w:rPr>
          <w:rFonts w:ascii="Times New Roman" w:hAnsi="Times New Roman" w:cs="Times New Roman"/>
          <w:i/>
          <w:sz w:val="24"/>
          <w:szCs w:val="24"/>
        </w:rPr>
        <w:t>4</w:t>
      </w:r>
      <w:proofErr w:type="gramEnd"/>
      <w:r w:rsidR="00B13DBD">
        <w:rPr>
          <w:rFonts w:ascii="Times New Roman" w:hAnsi="Times New Roman" w:cs="Times New Roman"/>
          <w:i/>
          <w:sz w:val="24"/>
          <w:szCs w:val="24"/>
        </w:rPr>
        <w:t xml:space="preserve"> CH. D. at</w:t>
      </w:r>
      <w:r w:rsidR="00F05815">
        <w:rPr>
          <w:rFonts w:ascii="Times New Roman" w:hAnsi="Times New Roman" w:cs="Times New Roman"/>
          <w:i/>
          <w:sz w:val="24"/>
          <w:szCs w:val="24"/>
        </w:rPr>
        <w:t xml:space="preserve"> P. 587.″.</w:t>
      </w:r>
      <w:r w:rsidR="00E71CFC">
        <w:rPr>
          <w:rFonts w:ascii="Times New Roman" w:hAnsi="Times New Roman" w:cs="Times New Roman"/>
          <w:i/>
          <w:sz w:val="24"/>
          <w:szCs w:val="24"/>
        </w:rPr>
        <w:t xml:space="preserve"> </w:t>
      </w:r>
    </w:p>
    <w:p w14:paraId="1EE03EFB" w14:textId="1F244E62" w:rsidR="00A30A08" w:rsidRPr="00086B33" w:rsidRDefault="00E71CFC" w:rsidP="00E71CFC">
      <w:pPr>
        <w:pStyle w:val="ListParagraph"/>
        <w:spacing w:after="0" w:line="240" w:lineRule="auto"/>
        <w:ind w:left="1440" w:hanging="720"/>
        <w:jc w:val="both"/>
        <w:rPr>
          <w:rFonts w:ascii="Times New Roman" w:hAnsi="Times New Roman" w:cs="Times New Roman"/>
          <w:sz w:val="24"/>
          <w:szCs w:val="24"/>
        </w:rPr>
      </w:pPr>
      <w:r w:rsidRPr="00E71CFC">
        <w:rPr>
          <w:rFonts w:ascii="Times New Roman" w:hAnsi="Times New Roman" w:cs="Times New Roman"/>
          <w:sz w:val="24"/>
          <w:szCs w:val="24"/>
        </w:rPr>
        <w:t>See also</w:t>
      </w:r>
      <w:r>
        <w:rPr>
          <w:rFonts w:ascii="Times New Roman" w:hAnsi="Times New Roman" w:cs="Times New Roman"/>
          <w:i/>
          <w:sz w:val="24"/>
          <w:szCs w:val="24"/>
        </w:rPr>
        <w:t xml:space="preserve"> Harris v Gamble </w:t>
      </w:r>
      <w:r w:rsidRPr="00086B33">
        <w:rPr>
          <w:rFonts w:ascii="Times New Roman" w:hAnsi="Times New Roman" w:cs="Times New Roman"/>
          <w:sz w:val="24"/>
          <w:szCs w:val="24"/>
        </w:rPr>
        <w:t xml:space="preserve">(No. 1), (1877) </w:t>
      </w:r>
      <w:proofErr w:type="gramStart"/>
      <w:r w:rsidRPr="00086B33">
        <w:rPr>
          <w:rFonts w:ascii="Times New Roman" w:hAnsi="Times New Roman" w:cs="Times New Roman"/>
          <w:sz w:val="24"/>
          <w:szCs w:val="24"/>
        </w:rPr>
        <w:t>6</w:t>
      </w:r>
      <w:proofErr w:type="gramEnd"/>
      <w:r w:rsidRPr="00086B33">
        <w:rPr>
          <w:rFonts w:ascii="Times New Roman" w:hAnsi="Times New Roman" w:cs="Times New Roman"/>
          <w:sz w:val="24"/>
          <w:szCs w:val="24"/>
        </w:rPr>
        <w:t xml:space="preserve"> Ch. D. 748 (1877).</w:t>
      </w:r>
    </w:p>
    <w:p w14:paraId="63C7BFA2" w14:textId="77777777" w:rsidR="000B1F25" w:rsidRPr="006019B0" w:rsidRDefault="000B1F25" w:rsidP="006019B0">
      <w:pPr>
        <w:rPr>
          <w:rFonts w:ascii="Times New Roman" w:hAnsi="Times New Roman" w:cs="Times New Roman"/>
          <w:sz w:val="24"/>
          <w:szCs w:val="24"/>
        </w:rPr>
      </w:pPr>
    </w:p>
    <w:p w14:paraId="2B057CEB" w14:textId="303256ED" w:rsidR="00BD16F1" w:rsidRPr="004D0059" w:rsidRDefault="00F42ECF" w:rsidP="00BD16F1">
      <w:pPr>
        <w:pStyle w:val="JudgmentText"/>
        <w:numPr>
          <w:ilvl w:val="0"/>
          <w:numId w:val="10"/>
        </w:numPr>
        <w:ind w:left="720" w:hanging="720"/>
      </w:pPr>
      <w:proofErr w:type="gramStart"/>
      <w:r w:rsidRPr="00F42ECF">
        <w:t xml:space="preserve">Based on section 80 of the Seychelles Code of Civil  Procedure and the legal principles enunciated in the English </w:t>
      </w:r>
      <w:r w:rsidR="00AF116C">
        <w:t>cases of persuasive authority, we</w:t>
      </w:r>
      <w:r w:rsidRPr="00F42ECF">
        <w:t xml:space="preserve"> hold that, had</w:t>
      </w:r>
      <w:r w:rsidR="00E71CFC" w:rsidRPr="00F42ECF">
        <w:t xml:space="preserve"> the Appellants claimed a relief concerning parcel H801, they would, in effect, be </w:t>
      </w:r>
      <w:r w:rsidRPr="00F42ECF">
        <w:t>claiming</w:t>
      </w:r>
      <w:r w:rsidR="00E71CFC" w:rsidRPr="00F42ECF">
        <w:t xml:space="preserve"> in respect of</w:t>
      </w:r>
      <w:r w:rsidRPr="00F42ECF">
        <w:t xml:space="preserve"> parcel H801</w:t>
      </w:r>
      <w:r w:rsidR="00E71CFC" w:rsidRPr="00F42ECF">
        <w:t>, which would substantially be a cross-a</w:t>
      </w:r>
      <w:r w:rsidR="00BD16F1">
        <w:t xml:space="preserve">ction : </w:t>
      </w:r>
      <w:r w:rsidRPr="00F42ECF">
        <w:t>s</w:t>
      </w:r>
      <w:r w:rsidR="00E71CFC" w:rsidRPr="00F42ECF">
        <w:t xml:space="preserve">ee, for example, </w:t>
      </w:r>
      <w:r w:rsidR="00E71CFC" w:rsidRPr="004D0059">
        <w:rPr>
          <w:i/>
        </w:rPr>
        <w:t xml:space="preserve">Maria Adonis v William Celeste </w:t>
      </w:r>
      <w:r w:rsidR="00E71CFC" w:rsidRPr="00086B33">
        <w:t>SCA 28/2016 [2019] SCCA 32 (23 August 2019)</w:t>
      </w:r>
      <w:r w:rsidR="00E71CFC" w:rsidRPr="004D0059">
        <w:rPr>
          <w:i/>
        </w:rPr>
        <w:t xml:space="preserve"> </w:t>
      </w:r>
      <w:r w:rsidR="00E71CFC" w:rsidRPr="00F42ECF">
        <w:t xml:space="preserve">and </w:t>
      </w:r>
      <w:r w:rsidR="00E71CFC" w:rsidRPr="004D0059">
        <w:rPr>
          <w:i/>
        </w:rPr>
        <w:t xml:space="preserve">PTD v Zialor </w:t>
      </w:r>
      <w:r w:rsidR="00E71CFC" w:rsidRPr="00086B33">
        <w:t>(SCA32/2017) [2019] SCCA 47</w:t>
      </w:r>
      <w:r w:rsidRPr="00086B33">
        <w:t xml:space="preserve"> (17 December 2019)</w:t>
      </w:r>
      <w:r w:rsidRPr="00F42ECF">
        <w:t>.</w:t>
      </w:r>
      <w:proofErr w:type="gramEnd"/>
      <w:r w:rsidRPr="00F42ECF">
        <w:t xml:space="preserve"> </w:t>
      </w:r>
      <w:proofErr w:type="gramStart"/>
      <w:r w:rsidR="00DB3AF9">
        <w:t xml:space="preserve">Also, in </w:t>
      </w:r>
      <w:proofErr w:type="spellStart"/>
      <w:r w:rsidR="00BD16F1" w:rsidRPr="00BD16F1">
        <w:rPr>
          <w:i/>
        </w:rPr>
        <w:t>Seebun</w:t>
      </w:r>
      <w:proofErr w:type="spellEnd"/>
      <w:r w:rsidR="00BD16F1" w:rsidRPr="00BD16F1">
        <w:rPr>
          <w:i/>
        </w:rPr>
        <w:t xml:space="preserve"> (Appellant) v </w:t>
      </w:r>
      <w:proofErr w:type="spellStart"/>
      <w:r w:rsidR="00BD16F1" w:rsidRPr="00BD16F1">
        <w:rPr>
          <w:i/>
        </w:rPr>
        <w:t>Domun</w:t>
      </w:r>
      <w:proofErr w:type="spellEnd"/>
      <w:r w:rsidR="00BD16F1" w:rsidRPr="00BD16F1">
        <w:rPr>
          <w:i/>
        </w:rPr>
        <w:t xml:space="preserve"> and others (Respondents) (Mauritius) [2019] UKPC 39 Privy Council Appeal No 0078 of 2014</w:t>
      </w:r>
      <w:r w:rsidR="00BD16F1">
        <w:t>, the Board</w:t>
      </w:r>
      <w:r w:rsidR="00DB3AF9">
        <w:t>,</w:t>
      </w:r>
      <w:r w:rsidR="00BD16F1">
        <w:t xml:space="preserve"> in an appeal which raised questions regarding the acquisition of ownership of immovable property through acquisitive prescription and the loss of a right of action through extinctive prescription</w:t>
      </w:r>
      <w:r w:rsidR="00DB3AF9">
        <w:t>, stated</w:t>
      </w:r>
      <w:r w:rsidR="002A0189">
        <w:t>:</w:t>
      </w:r>
      <w:r w:rsidR="00BD16F1">
        <w:t xml:space="preserve"> </w:t>
      </w:r>
      <w:r w:rsidR="00BD16F1" w:rsidRPr="00BD16F1">
        <w:rPr>
          <w:i/>
        </w:rPr>
        <w:t>″[a] person asserting his ownership of property by acquisitive possession can raise an action seeking a declaration of his right of ownership …″.</w:t>
      </w:r>
      <w:proofErr w:type="gramEnd"/>
      <w:r w:rsidR="00BD16F1">
        <w:t xml:space="preserve"> </w:t>
      </w:r>
      <w:r w:rsidR="00BD16F1" w:rsidRPr="00F42ECF">
        <w:t>In this connection, the Appellants should have claimed or sought remedy or relief by counterclaim in the Respondent's action and n</w:t>
      </w:r>
      <w:r w:rsidR="00BD16F1">
        <w:t>ot by</w:t>
      </w:r>
      <w:r w:rsidR="00BD16F1" w:rsidRPr="00F42ECF">
        <w:t xml:space="preserve"> </w:t>
      </w:r>
      <w:r w:rsidR="00BD16F1">
        <w:t xml:space="preserve">way of </w:t>
      </w:r>
      <w:r w:rsidR="00BD16F1" w:rsidRPr="00F42ECF">
        <w:t>de</w:t>
      </w:r>
      <w:r w:rsidR="00BD16F1">
        <w:t>fence to the Respondent's claim.</w:t>
      </w:r>
    </w:p>
    <w:p w14:paraId="1F9A7CAB" w14:textId="36A25042" w:rsidR="004D0059" w:rsidRDefault="00A32A7E" w:rsidP="00D3160C">
      <w:pPr>
        <w:pStyle w:val="JudgmentText"/>
        <w:numPr>
          <w:ilvl w:val="0"/>
          <w:numId w:val="10"/>
        </w:numPr>
        <w:ind w:left="720" w:hanging="720"/>
      </w:pPr>
      <w:r w:rsidRPr="004D0059">
        <w:lastRenderedPageBreak/>
        <w:t xml:space="preserve">For the reasons stated above, </w:t>
      </w:r>
      <w:r w:rsidR="00CE348F">
        <w:t>we</w:t>
      </w:r>
      <w:r w:rsidRPr="004D0059">
        <w:t xml:space="preserve"> dismiss ground one. </w:t>
      </w:r>
    </w:p>
    <w:p w14:paraId="7BB71B98" w14:textId="54638B57" w:rsidR="00D43348" w:rsidRDefault="002A0189" w:rsidP="00D3160C">
      <w:pPr>
        <w:pStyle w:val="JudgmentText"/>
        <w:numPr>
          <w:ilvl w:val="0"/>
          <w:numId w:val="10"/>
        </w:numPr>
        <w:ind w:left="720" w:hanging="720"/>
      </w:pPr>
      <w:r>
        <w:t>We</w:t>
      </w:r>
      <w:r w:rsidR="00040D99" w:rsidRPr="004D0059">
        <w:t xml:space="preserve"> add in passing that </w:t>
      </w:r>
      <w:r w:rsidR="00A32A7E" w:rsidRPr="004D0059">
        <w:t>Mr Danny Lucas</w:t>
      </w:r>
      <w:r w:rsidR="00040D99" w:rsidRPr="004D0059">
        <w:t xml:space="preserve">, </w:t>
      </w:r>
      <w:r w:rsidR="00A32A7E" w:rsidRPr="004D0059">
        <w:t xml:space="preserve">Counsel for the First and Second Appellants, in the court below, </w:t>
      </w:r>
      <w:r w:rsidR="00040D99" w:rsidRPr="004D0059">
        <w:t>in his closing</w:t>
      </w:r>
      <w:r w:rsidR="00A32A7E" w:rsidRPr="004D0059">
        <w:t xml:space="preserve"> written</w:t>
      </w:r>
      <w:r w:rsidR="00040D99" w:rsidRPr="004D0059">
        <w:t xml:space="preserve"> submissio</w:t>
      </w:r>
      <w:r w:rsidR="00A32A7E" w:rsidRPr="004D0059">
        <w:t>ns</w:t>
      </w:r>
      <w:r w:rsidR="00040D99" w:rsidRPr="004D0059">
        <w:t xml:space="preserve">, had submitted that the trial court </w:t>
      </w:r>
      <w:r w:rsidR="00A32A7E" w:rsidRPr="004D0059">
        <w:t>should</w:t>
      </w:r>
      <w:r w:rsidR="00040D99" w:rsidRPr="004D0059">
        <w:t xml:space="preserve"> refuse </w:t>
      </w:r>
      <w:r w:rsidR="00A32A7E" w:rsidRPr="004D0059">
        <w:t>the Respondent's</w:t>
      </w:r>
      <w:r w:rsidR="00040D99" w:rsidRPr="004D0059">
        <w:t xml:space="preserve"> request for demolition </w:t>
      </w:r>
      <w:r w:rsidR="000B4D94">
        <w:t>because</w:t>
      </w:r>
      <w:r w:rsidR="00040D99" w:rsidRPr="004D0059">
        <w:t xml:space="preserve"> </w:t>
      </w:r>
      <w:r w:rsidR="00A32A7E" w:rsidRPr="004D0059">
        <w:t>it would</w:t>
      </w:r>
      <w:r w:rsidR="00040D99" w:rsidRPr="004D0059">
        <w:t xml:space="preserve"> cause great injustice</w:t>
      </w:r>
      <w:r w:rsidR="002B71BD">
        <w:t>,</w:t>
      </w:r>
      <w:r w:rsidR="00040D99" w:rsidRPr="004D0059">
        <w:t xml:space="preserve"> and</w:t>
      </w:r>
      <w:r w:rsidR="00A32A7E" w:rsidRPr="004D0059">
        <w:t xml:space="preserve"> that</w:t>
      </w:r>
      <w:r w:rsidR="00040D99" w:rsidRPr="004D0059">
        <w:t xml:space="preserve"> the Appellants have acted in good faith. </w:t>
      </w:r>
    </w:p>
    <w:p w14:paraId="2CB3E6D0" w14:textId="3BC41049" w:rsidR="001976E7" w:rsidRPr="007511AC" w:rsidRDefault="00D22219" w:rsidP="00D3160C">
      <w:pPr>
        <w:pStyle w:val="JudgmentText"/>
        <w:numPr>
          <w:ilvl w:val="0"/>
          <w:numId w:val="10"/>
        </w:numPr>
        <w:ind w:left="720" w:hanging="720"/>
      </w:pPr>
      <w:r>
        <w:t>I</w:t>
      </w:r>
      <w:r w:rsidR="00040D99" w:rsidRPr="004D0059">
        <w:t xml:space="preserve">n the case of </w:t>
      </w:r>
      <w:proofErr w:type="spellStart"/>
      <w:r w:rsidR="00040D99" w:rsidRPr="004D0059">
        <w:rPr>
          <w:i/>
        </w:rPr>
        <w:t>Nanon</w:t>
      </w:r>
      <w:proofErr w:type="spellEnd"/>
      <w:r w:rsidR="00040D99" w:rsidRPr="004D0059">
        <w:rPr>
          <w:i/>
        </w:rPr>
        <w:t xml:space="preserve"> v </w:t>
      </w:r>
      <w:proofErr w:type="spellStart"/>
      <w:r w:rsidR="00040D99" w:rsidRPr="004D0059">
        <w:rPr>
          <w:i/>
        </w:rPr>
        <w:t>Thyroomooldy</w:t>
      </w:r>
      <w:proofErr w:type="spellEnd"/>
      <w:r w:rsidR="00040D99" w:rsidRPr="004D0059">
        <w:rPr>
          <w:i/>
        </w:rPr>
        <w:t xml:space="preserve"> </w:t>
      </w:r>
      <w:r w:rsidR="00040D99" w:rsidRPr="00086B33">
        <w:t>SCA 41/2009</w:t>
      </w:r>
      <w:r w:rsidR="00040D99" w:rsidRPr="004D0059">
        <w:t>, it is stated that the court may decline a request for demolition only if —</w:t>
      </w:r>
    </w:p>
    <w:p w14:paraId="4DA87CED" w14:textId="7AFC891C" w:rsidR="009804DF" w:rsidRDefault="001976E7" w:rsidP="00D3160C">
      <w:pPr>
        <w:pStyle w:val="rteleft"/>
        <w:numPr>
          <w:ilvl w:val="0"/>
          <w:numId w:val="9"/>
        </w:numPr>
        <w:shd w:val="clear" w:color="auto" w:fill="FFFFFF"/>
        <w:tabs>
          <w:tab w:val="left" w:pos="1440"/>
        </w:tabs>
        <w:spacing w:before="0" w:beforeAutospacing="0" w:after="0" w:afterAutospacing="0" w:line="360" w:lineRule="auto"/>
        <w:jc w:val="both"/>
        <w:textAlignment w:val="baseline"/>
        <w:rPr>
          <w:rFonts w:eastAsiaTheme="minorHAnsi"/>
          <w:lang w:val="en-GB"/>
        </w:rPr>
      </w:pPr>
      <w:r w:rsidRPr="001976E7">
        <w:rPr>
          <w:rFonts w:eastAsiaTheme="minorHAnsi"/>
          <w:lang w:val="en-GB"/>
        </w:rPr>
        <w:t>grave injustice may result in certain exceptional cases; and</w:t>
      </w:r>
    </w:p>
    <w:p w14:paraId="522FE723" w14:textId="77777777" w:rsidR="00055901" w:rsidRPr="007511AC" w:rsidRDefault="00055901" w:rsidP="00086B33">
      <w:pPr>
        <w:pStyle w:val="rteleft"/>
        <w:shd w:val="clear" w:color="auto" w:fill="FFFFFF"/>
        <w:tabs>
          <w:tab w:val="left" w:pos="1440"/>
        </w:tabs>
        <w:spacing w:before="0" w:beforeAutospacing="0" w:after="0" w:afterAutospacing="0" w:line="360" w:lineRule="auto"/>
        <w:ind w:left="1410"/>
        <w:jc w:val="both"/>
        <w:textAlignment w:val="baseline"/>
        <w:rPr>
          <w:rFonts w:eastAsiaTheme="minorHAnsi"/>
          <w:lang w:val="en-GB"/>
        </w:rPr>
      </w:pPr>
    </w:p>
    <w:p w14:paraId="17837056" w14:textId="2301BED3" w:rsidR="009804DF" w:rsidRDefault="001976E7" w:rsidP="00AB4CDD">
      <w:pPr>
        <w:pStyle w:val="rteleft"/>
        <w:numPr>
          <w:ilvl w:val="0"/>
          <w:numId w:val="9"/>
        </w:numPr>
        <w:shd w:val="clear" w:color="auto" w:fill="FFFFFF"/>
        <w:tabs>
          <w:tab w:val="left" w:pos="1440"/>
        </w:tabs>
        <w:spacing w:before="0" w:beforeAutospacing="0" w:after="0" w:afterAutospacing="0" w:line="360" w:lineRule="auto"/>
        <w:jc w:val="both"/>
        <w:textAlignment w:val="baseline"/>
        <w:rPr>
          <w:rFonts w:eastAsiaTheme="minorHAnsi"/>
          <w:lang w:val="en-GB"/>
        </w:rPr>
      </w:pPr>
      <w:proofErr w:type="gramStart"/>
      <w:r w:rsidRPr="001976E7">
        <w:rPr>
          <w:rFonts w:eastAsiaTheme="minorHAnsi"/>
          <w:lang w:val="en-GB"/>
        </w:rPr>
        <w:t>the</w:t>
      </w:r>
      <w:proofErr w:type="gramEnd"/>
      <w:r w:rsidRPr="001976E7">
        <w:rPr>
          <w:rFonts w:eastAsiaTheme="minorHAnsi"/>
          <w:lang w:val="en-GB"/>
        </w:rPr>
        <w:t xml:space="preserve"> encroacher has acted in good faith, within the rules of construction, did not otherwise break any law</w:t>
      </w:r>
      <w:r w:rsidR="009804DF">
        <w:rPr>
          <w:rFonts w:eastAsiaTheme="minorHAnsi"/>
          <w:lang w:val="en-GB"/>
        </w:rPr>
        <w:t>,</w:t>
      </w:r>
      <w:r w:rsidRPr="001976E7">
        <w:rPr>
          <w:rFonts w:eastAsiaTheme="minorHAnsi"/>
          <w:lang w:val="en-GB"/>
        </w:rPr>
        <w:t xml:space="preserve"> and the demolition would cause great hardship.</w:t>
      </w:r>
    </w:p>
    <w:p w14:paraId="71534818" w14:textId="77777777" w:rsidR="00AB4CDD" w:rsidRPr="001976E7" w:rsidRDefault="00AB4CDD" w:rsidP="00AB4CDD">
      <w:pPr>
        <w:pStyle w:val="rteleft"/>
        <w:shd w:val="clear" w:color="auto" w:fill="FFFFFF"/>
        <w:tabs>
          <w:tab w:val="left" w:pos="1440"/>
        </w:tabs>
        <w:spacing w:before="0" w:beforeAutospacing="0" w:after="0" w:afterAutospacing="0" w:line="360" w:lineRule="auto"/>
        <w:jc w:val="both"/>
        <w:textAlignment w:val="baseline"/>
        <w:rPr>
          <w:rFonts w:eastAsiaTheme="minorHAnsi"/>
          <w:lang w:val="en-GB"/>
        </w:rPr>
      </w:pPr>
    </w:p>
    <w:p w14:paraId="4FFA9C11" w14:textId="35199D56" w:rsidR="004D0059" w:rsidRDefault="002A0189" w:rsidP="00D3160C">
      <w:pPr>
        <w:pStyle w:val="JudgmentText"/>
        <w:numPr>
          <w:ilvl w:val="0"/>
          <w:numId w:val="10"/>
        </w:numPr>
        <w:ind w:left="720" w:hanging="720"/>
      </w:pPr>
      <w:r>
        <w:t>We</w:t>
      </w:r>
      <w:r w:rsidR="009804DF">
        <w:t xml:space="preserve"> state that the following conditions </w:t>
      </w:r>
      <w:proofErr w:type="gramStart"/>
      <w:r w:rsidR="009804DF">
        <w:t>must be fulfilled</w:t>
      </w:r>
      <w:proofErr w:type="gramEnd"/>
      <w:r w:rsidR="009804DF">
        <w:t xml:space="preserve"> for </w:t>
      </w:r>
      <w:r w:rsidR="00EC11A3">
        <w:t>the</w:t>
      </w:r>
      <w:r w:rsidR="009804DF">
        <w:t xml:space="preserve"> court to refuse a request for demolition in consonant with </w:t>
      </w:r>
      <w:proofErr w:type="spellStart"/>
      <w:r w:rsidR="009804DF" w:rsidRPr="00086B33">
        <w:rPr>
          <w:i/>
        </w:rPr>
        <w:t>Nanon</w:t>
      </w:r>
      <w:proofErr w:type="spellEnd"/>
      <w:r w:rsidR="001976E7" w:rsidRPr="001976E7">
        <w:t>. The Appellants</w:t>
      </w:r>
      <w:r w:rsidR="00040D99" w:rsidRPr="001976E7">
        <w:t xml:space="preserve"> must plead the material particulars </w:t>
      </w:r>
      <w:r w:rsidR="006B0B9E">
        <w:t>regarding</w:t>
      </w:r>
      <w:r w:rsidR="00040D99" w:rsidRPr="001976E7">
        <w:t xml:space="preserve"> the matters set out in </w:t>
      </w:r>
      <w:proofErr w:type="spellStart"/>
      <w:r w:rsidR="00040D99" w:rsidRPr="00086B33">
        <w:rPr>
          <w:i/>
        </w:rPr>
        <w:t>Nanon</w:t>
      </w:r>
      <w:proofErr w:type="spellEnd"/>
      <w:r w:rsidR="00A062C2" w:rsidRPr="004D0059">
        <w:t>,</w:t>
      </w:r>
      <w:r w:rsidR="001976E7" w:rsidRPr="001976E7">
        <w:t xml:space="preserve"> and </w:t>
      </w:r>
      <w:r w:rsidR="00040D99" w:rsidRPr="001976E7">
        <w:t xml:space="preserve">evidence, </w:t>
      </w:r>
      <w:r w:rsidR="006B0B9E">
        <w:t>based on</w:t>
      </w:r>
      <w:r w:rsidR="00040D99" w:rsidRPr="001976E7">
        <w:t xml:space="preserve"> the pleadings, </w:t>
      </w:r>
      <w:proofErr w:type="gramStart"/>
      <w:r w:rsidR="00040D99" w:rsidRPr="001976E7">
        <w:t xml:space="preserve">must </w:t>
      </w:r>
      <w:r w:rsidR="00EE47DC">
        <w:t>be</w:t>
      </w:r>
      <w:r w:rsidR="00040D99" w:rsidRPr="001976E7">
        <w:t xml:space="preserve"> adduced</w:t>
      </w:r>
      <w:proofErr w:type="gramEnd"/>
      <w:r w:rsidR="00040D99" w:rsidRPr="001976E7">
        <w:t xml:space="preserve"> to establish the matters set out in </w:t>
      </w:r>
      <w:proofErr w:type="spellStart"/>
      <w:r w:rsidR="00040D99" w:rsidRPr="00086B33">
        <w:rPr>
          <w:i/>
        </w:rPr>
        <w:t>Nanon</w:t>
      </w:r>
      <w:proofErr w:type="spellEnd"/>
      <w:r w:rsidR="00040D99" w:rsidRPr="001976E7">
        <w:t xml:space="preserve"> on a balance of probabilities.</w:t>
      </w:r>
    </w:p>
    <w:p w14:paraId="61F9B375" w14:textId="463159BE" w:rsidR="004D0059" w:rsidRDefault="001976E7" w:rsidP="00D3160C">
      <w:pPr>
        <w:pStyle w:val="JudgmentText"/>
        <w:numPr>
          <w:ilvl w:val="0"/>
          <w:numId w:val="10"/>
        </w:numPr>
        <w:ind w:left="720" w:hanging="720"/>
      </w:pPr>
      <w:r w:rsidRPr="004D0059">
        <w:t>Having considered the statement</w:t>
      </w:r>
      <w:r w:rsidR="006B0B9E" w:rsidRPr="004D0059">
        <w:t>s</w:t>
      </w:r>
      <w:r w:rsidRPr="004D0059">
        <w:t xml:space="preserve"> of defence</w:t>
      </w:r>
      <w:r w:rsidR="006B0B9E" w:rsidRPr="004D0059">
        <w:t xml:space="preserve">, </w:t>
      </w:r>
      <w:r w:rsidR="002A0189">
        <w:t>we</w:t>
      </w:r>
      <w:r w:rsidR="006B0B9E" w:rsidRPr="004D0059">
        <w:t xml:space="preserve"> state that </w:t>
      </w:r>
      <w:r w:rsidR="00CF3ABB">
        <w:t xml:space="preserve">the learned </w:t>
      </w:r>
      <w:r w:rsidR="00EC11A3">
        <w:t>Judge cannot be faulted for not having considered</w:t>
      </w:r>
      <w:r w:rsidR="00220B17">
        <w:t xml:space="preserve"> the</w:t>
      </w:r>
      <w:r w:rsidR="00220B17" w:rsidRPr="00220B17">
        <w:t xml:space="preserve"> </w:t>
      </w:r>
      <w:r w:rsidR="00220B17" w:rsidRPr="004D0059">
        <w:t>Appellants'</w:t>
      </w:r>
      <w:r w:rsidR="00EC11A3">
        <w:t xml:space="preserve"> submissions concerning the issue as the statements of defence</w:t>
      </w:r>
      <w:r w:rsidR="00040D99" w:rsidRPr="004D0059">
        <w:t xml:space="preserve"> </w:t>
      </w:r>
      <w:r w:rsidR="00EC11A3">
        <w:t xml:space="preserve">did </w:t>
      </w:r>
      <w:r w:rsidR="00040D99" w:rsidRPr="004D0059">
        <w:t xml:space="preserve">not plead the material </w:t>
      </w:r>
      <w:proofErr w:type="gramStart"/>
      <w:r w:rsidR="00040D99" w:rsidRPr="004D0059">
        <w:t>particulars which</w:t>
      </w:r>
      <w:proofErr w:type="gramEnd"/>
      <w:r w:rsidR="00040D99" w:rsidRPr="004D0059">
        <w:t xml:space="preserve"> would have allowed </w:t>
      </w:r>
      <w:r w:rsidR="006B0B9E" w:rsidRPr="004D0059">
        <w:t xml:space="preserve">the </w:t>
      </w:r>
      <w:r w:rsidR="009804DF" w:rsidRPr="004D0059">
        <w:t>Appellants</w:t>
      </w:r>
      <w:r w:rsidR="00040D99" w:rsidRPr="004D0059">
        <w:t xml:space="preserve"> to lead evidence of the matters set out in </w:t>
      </w:r>
      <w:proofErr w:type="spellStart"/>
      <w:r w:rsidR="00040D99" w:rsidRPr="00086B33">
        <w:rPr>
          <w:bCs/>
          <w:i/>
        </w:rPr>
        <w:t>Nanon</w:t>
      </w:r>
      <w:proofErr w:type="spellEnd"/>
      <w:r w:rsidR="006B0B9E" w:rsidRPr="004D0059">
        <w:t>. The statement</w:t>
      </w:r>
      <w:r w:rsidR="009804DF" w:rsidRPr="004D0059">
        <w:t>s</w:t>
      </w:r>
      <w:r w:rsidR="006B0B9E" w:rsidRPr="004D0059">
        <w:t xml:space="preserve"> of defence contain</w:t>
      </w:r>
      <w:r w:rsidR="00220B17">
        <w:t>ed</w:t>
      </w:r>
      <w:r w:rsidR="006B0B9E" w:rsidRPr="004D0059">
        <w:t xml:space="preserve"> </w:t>
      </w:r>
      <w:r w:rsidR="00040D99" w:rsidRPr="004D0059">
        <w:t>no material averments that the demolition of the encroachment would lead to grave injustice</w:t>
      </w:r>
      <w:r w:rsidR="009804DF" w:rsidRPr="004D0059">
        <w:t>,</w:t>
      </w:r>
      <w:r w:rsidR="00040D99" w:rsidRPr="004D0059">
        <w:t xml:space="preserve"> and that the encroachment was effected in good faith within the rules of construction, did not otherwise break any law</w:t>
      </w:r>
      <w:r w:rsidR="00A062C2" w:rsidRPr="004D0059">
        <w:t>,</w:t>
      </w:r>
      <w:r w:rsidR="00040D99" w:rsidRPr="004D0059">
        <w:t xml:space="preserve"> and the demolit</w:t>
      </w:r>
      <w:r w:rsidR="004D0059">
        <w:t>ion would cause great hardship.</w:t>
      </w:r>
    </w:p>
    <w:p w14:paraId="2B5D35AD" w14:textId="7E952412" w:rsidR="00BB7483" w:rsidRPr="0009415A" w:rsidRDefault="00EA30D2" w:rsidP="003F638E">
      <w:pPr>
        <w:pStyle w:val="JudgmentText"/>
        <w:numPr>
          <w:ilvl w:val="0"/>
          <w:numId w:val="0"/>
        </w:numPr>
        <w:ind w:left="720" w:hanging="720"/>
      </w:pPr>
      <w:r>
        <w:t>[20]</w:t>
      </w:r>
      <w:r>
        <w:tab/>
      </w:r>
      <w:r w:rsidR="004E617D" w:rsidRPr="004D0059">
        <w:t xml:space="preserve">Having dismissed ground one, the appeal </w:t>
      </w:r>
      <w:proofErr w:type="gramStart"/>
      <w:r w:rsidR="004E617D" w:rsidRPr="004D0059">
        <w:t>is dismissed</w:t>
      </w:r>
      <w:proofErr w:type="gramEnd"/>
      <w:r w:rsidR="004E617D" w:rsidRPr="004D0059">
        <w:t xml:space="preserve"> in its entirety. </w:t>
      </w:r>
      <w:r w:rsidR="00452E76" w:rsidRPr="004D0059">
        <w:t xml:space="preserve">Accordingly, </w:t>
      </w:r>
      <w:r w:rsidR="002A0189">
        <w:t>we</w:t>
      </w:r>
      <w:r w:rsidR="004E617D" w:rsidRPr="004D0059">
        <w:t xml:space="preserve"> uphold the orders of</w:t>
      </w:r>
      <w:r w:rsidR="00CF3ABB">
        <w:t xml:space="preserve"> the learned </w:t>
      </w:r>
      <w:r w:rsidR="00BB7483" w:rsidRPr="004D0059">
        <w:t>Judge repeated in paragraph [2</w:t>
      </w:r>
      <w:r w:rsidR="00452E76" w:rsidRPr="004D0059">
        <w:t>] hereof, save for the following amendments ―</w:t>
      </w:r>
    </w:p>
    <w:p w14:paraId="48AA57FD" w14:textId="1BA62829" w:rsidR="00D3160C" w:rsidRPr="007D477F" w:rsidRDefault="00BB7483" w:rsidP="003F638E">
      <w:pPr>
        <w:pStyle w:val="ListParagraph"/>
        <w:numPr>
          <w:ilvl w:val="0"/>
          <w:numId w:val="20"/>
        </w:numPr>
        <w:spacing w:after="0" w:line="360" w:lineRule="auto"/>
        <w:ind w:left="1440" w:hanging="720"/>
        <w:jc w:val="both"/>
        <w:rPr>
          <w:rFonts w:ascii="Times New Roman" w:hAnsi="Times New Roman" w:cs="Times New Roman"/>
          <w:sz w:val="24"/>
          <w:szCs w:val="24"/>
        </w:rPr>
      </w:pPr>
      <w:r w:rsidRPr="007D477F">
        <w:rPr>
          <w:rFonts w:ascii="Times New Roman" w:hAnsi="Times New Roman" w:cs="Times New Roman"/>
          <w:sz w:val="24"/>
          <w:szCs w:val="24"/>
        </w:rPr>
        <w:lastRenderedPageBreak/>
        <w:t xml:space="preserve">Concerning order </w:t>
      </w:r>
      <w:r w:rsidRPr="007D477F">
        <w:rPr>
          <w:rFonts w:ascii="Times New Roman" w:hAnsi="Times New Roman" w:cs="Times New Roman"/>
          <w:i/>
          <w:sz w:val="24"/>
          <w:szCs w:val="24"/>
        </w:rPr>
        <w:t>″a)″</w:t>
      </w:r>
      <w:r w:rsidR="002B71BD" w:rsidRPr="007D477F">
        <w:rPr>
          <w:rFonts w:ascii="Times New Roman" w:hAnsi="Times New Roman" w:cs="Times New Roman"/>
          <w:sz w:val="24"/>
          <w:szCs w:val="24"/>
        </w:rPr>
        <w:t xml:space="preserve">, </w:t>
      </w:r>
      <w:r w:rsidR="00C26718">
        <w:rPr>
          <w:rFonts w:ascii="Times New Roman" w:hAnsi="Times New Roman" w:cs="Times New Roman"/>
          <w:sz w:val="24"/>
          <w:szCs w:val="24"/>
        </w:rPr>
        <w:t>we</w:t>
      </w:r>
      <w:r w:rsidR="002B71BD" w:rsidRPr="007D477F">
        <w:rPr>
          <w:rFonts w:ascii="Times New Roman" w:hAnsi="Times New Roman" w:cs="Times New Roman"/>
          <w:sz w:val="24"/>
          <w:szCs w:val="24"/>
        </w:rPr>
        <w:t xml:space="preserve"> delete thereof the figure and words </w:t>
      </w:r>
      <w:r w:rsidR="002B71BD" w:rsidRPr="007D477F">
        <w:rPr>
          <w:rFonts w:ascii="Times New Roman" w:hAnsi="Times New Roman" w:cs="Times New Roman"/>
          <w:i/>
          <w:sz w:val="24"/>
          <w:szCs w:val="24"/>
        </w:rPr>
        <w:t>″three months as from the date of this judgment″</w:t>
      </w:r>
      <w:r w:rsidR="002B71BD" w:rsidRPr="007D477F">
        <w:rPr>
          <w:rFonts w:ascii="Times New Roman" w:hAnsi="Times New Roman" w:cs="Times New Roman"/>
          <w:sz w:val="24"/>
          <w:szCs w:val="24"/>
        </w:rPr>
        <w:t xml:space="preserve"> after the word </w:t>
      </w:r>
      <w:r w:rsidR="002B71BD" w:rsidRPr="007D477F">
        <w:rPr>
          <w:rFonts w:ascii="Times New Roman" w:hAnsi="Times New Roman" w:cs="Times New Roman"/>
          <w:i/>
          <w:sz w:val="24"/>
          <w:szCs w:val="24"/>
        </w:rPr>
        <w:t>″within″</w:t>
      </w:r>
      <w:r w:rsidR="002B71BD" w:rsidRPr="007D477F">
        <w:rPr>
          <w:rFonts w:ascii="Times New Roman" w:hAnsi="Times New Roman" w:cs="Times New Roman"/>
          <w:sz w:val="24"/>
          <w:szCs w:val="24"/>
        </w:rPr>
        <w:t xml:space="preserve"> and substitute therefor the figure and words </w:t>
      </w:r>
      <w:r w:rsidR="002B71BD" w:rsidRPr="007D477F">
        <w:rPr>
          <w:rFonts w:ascii="Times New Roman" w:hAnsi="Times New Roman" w:cs="Times New Roman"/>
          <w:i/>
          <w:sz w:val="24"/>
          <w:szCs w:val="24"/>
        </w:rPr>
        <w:t>″</w:t>
      </w:r>
      <w:r w:rsidRPr="007D477F">
        <w:rPr>
          <w:rFonts w:ascii="Times New Roman" w:hAnsi="Times New Roman" w:cs="Times New Roman"/>
          <w:i/>
          <w:sz w:val="24"/>
          <w:szCs w:val="24"/>
        </w:rPr>
        <w:t>within six months of the date of the Court of Appeal judgment</w:t>
      </w:r>
      <w:r w:rsidR="002B71BD" w:rsidRPr="007D477F">
        <w:rPr>
          <w:rFonts w:ascii="Times New Roman" w:hAnsi="Times New Roman" w:cs="Times New Roman"/>
          <w:i/>
          <w:sz w:val="24"/>
          <w:szCs w:val="24"/>
        </w:rPr>
        <w:t>″</w:t>
      </w:r>
      <w:r w:rsidR="002B71BD" w:rsidRPr="007D477F">
        <w:rPr>
          <w:rFonts w:ascii="Times New Roman" w:hAnsi="Times New Roman" w:cs="Times New Roman"/>
          <w:sz w:val="24"/>
          <w:szCs w:val="24"/>
        </w:rPr>
        <w:t>;</w:t>
      </w:r>
    </w:p>
    <w:p w14:paraId="47DBDA78" w14:textId="77777777" w:rsidR="00086B33" w:rsidRPr="00E52A3C" w:rsidRDefault="00086B33" w:rsidP="003F638E">
      <w:pPr>
        <w:pStyle w:val="ListParagraph"/>
        <w:spacing w:after="0" w:line="360" w:lineRule="auto"/>
        <w:ind w:left="1440" w:hanging="720"/>
        <w:jc w:val="both"/>
        <w:rPr>
          <w:rFonts w:ascii="Times New Roman" w:hAnsi="Times New Roman" w:cs="Times New Roman"/>
          <w:sz w:val="24"/>
          <w:szCs w:val="24"/>
        </w:rPr>
      </w:pPr>
    </w:p>
    <w:p w14:paraId="3645DB93" w14:textId="0123C979" w:rsidR="00BB7483" w:rsidRPr="007D477F" w:rsidRDefault="00BB7483" w:rsidP="003F638E">
      <w:pPr>
        <w:pStyle w:val="ListParagraph"/>
        <w:numPr>
          <w:ilvl w:val="0"/>
          <w:numId w:val="20"/>
        </w:numPr>
        <w:spacing w:after="0" w:line="360" w:lineRule="auto"/>
        <w:ind w:left="1440" w:hanging="720"/>
        <w:jc w:val="both"/>
        <w:rPr>
          <w:rFonts w:ascii="Times New Roman" w:hAnsi="Times New Roman" w:cs="Times New Roman"/>
          <w:sz w:val="24"/>
          <w:szCs w:val="24"/>
        </w:rPr>
      </w:pPr>
      <w:r w:rsidRPr="007D477F">
        <w:rPr>
          <w:rFonts w:ascii="Times New Roman" w:hAnsi="Times New Roman" w:cs="Times New Roman"/>
          <w:sz w:val="24"/>
          <w:szCs w:val="24"/>
        </w:rPr>
        <w:t xml:space="preserve">Concerning order </w:t>
      </w:r>
      <w:r w:rsidRPr="007D477F">
        <w:rPr>
          <w:rFonts w:ascii="Times New Roman" w:hAnsi="Times New Roman" w:cs="Times New Roman"/>
          <w:i/>
          <w:sz w:val="24"/>
          <w:szCs w:val="24"/>
        </w:rPr>
        <w:t>″d</w:t>
      </w:r>
      <w:proofErr w:type="gramStart"/>
      <w:r w:rsidRPr="007D477F">
        <w:rPr>
          <w:rFonts w:ascii="Times New Roman" w:hAnsi="Times New Roman" w:cs="Times New Roman"/>
          <w:i/>
          <w:sz w:val="24"/>
          <w:szCs w:val="24"/>
        </w:rPr>
        <w:t>)″</w:t>
      </w:r>
      <w:proofErr w:type="gramEnd"/>
      <w:r w:rsidRPr="007D477F">
        <w:rPr>
          <w:rFonts w:ascii="Times New Roman" w:hAnsi="Times New Roman" w:cs="Times New Roman"/>
          <w:sz w:val="24"/>
          <w:szCs w:val="24"/>
        </w:rPr>
        <w:t xml:space="preserve">, </w:t>
      </w:r>
      <w:r w:rsidR="00C26718">
        <w:rPr>
          <w:rFonts w:ascii="Times New Roman" w:hAnsi="Times New Roman" w:cs="Times New Roman"/>
          <w:sz w:val="24"/>
          <w:szCs w:val="24"/>
        </w:rPr>
        <w:t>we</w:t>
      </w:r>
      <w:r w:rsidRPr="007D477F">
        <w:rPr>
          <w:rFonts w:ascii="Times New Roman" w:hAnsi="Times New Roman" w:cs="Times New Roman"/>
          <w:sz w:val="24"/>
          <w:szCs w:val="24"/>
        </w:rPr>
        <w:t xml:space="preserve"> delete</w:t>
      </w:r>
      <w:r w:rsidR="002B71BD" w:rsidRPr="007D477F">
        <w:rPr>
          <w:rFonts w:ascii="Times New Roman" w:hAnsi="Times New Roman" w:cs="Times New Roman"/>
          <w:sz w:val="24"/>
          <w:szCs w:val="24"/>
        </w:rPr>
        <w:t xml:space="preserve"> thereof the figure </w:t>
      </w:r>
      <w:r w:rsidR="002B71BD" w:rsidRPr="007D477F">
        <w:rPr>
          <w:rFonts w:ascii="Times New Roman" w:hAnsi="Times New Roman" w:cs="Times New Roman"/>
          <w:i/>
          <w:sz w:val="24"/>
          <w:szCs w:val="24"/>
        </w:rPr>
        <w:t>″three″</w:t>
      </w:r>
      <w:r w:rsidRPr="007D477F">
        <w:rPr>
          <w:rFonts w:ascii="Times New Roman" w:hAnsi="Times New Roman" w:cs="Times New Roman"/>
          <w:i/>
          <w:sz w:val="24"/>
          <w:szCs w:val="24"/>
        </w:rPr>
        <w:t xml:space="preserve"> </w:t>
      </w:r>
      <w:r w:rsidRPr="007D477F">
        <w:rPr>
          <w:rFonts w:ascii="Times New Roman" w:hAnsi="Times New Roman" w:cs="Times New Roman"/>
          <w:sz w:val="24"/>
          <w:szCs w:val="24"/>
        </w:rPr>
        <w:t>after the word</w:t>
      </w:r>
      <w:r w:rsidRPr="007D477F">
        <w:rPr>
          <w:rFonts w:ascii="Times New Roman" w:hAnsi="Times New Roman" w:cs="Times New Roman"/>
          <w:i/>
          <w:sz w:val="24"/>
          <w:szCs w:val="24"/>
        </w:rPr>
        <w:t xml:space="preserve"> ″within″</w:t>
      </w:r>
      <w:r w:rsidRPr="007D477F">
        <w:rPr>
          <w:rFonts w:ascii="Times New Roman" w:hAnsi="Times New Roman" w:cs="Times New Roman"/>
          <w:sz w:val="24"/>
          <w:szCs w:val="24"/>
        </w:rPr>
        <w:t xml:space="preserve"> and substitute therefor the figure ″</w:t>
      </w:r>
      <w:r w:rsidRPr="007D477F">
        <w:rPr>
          <w:rFonts w:ascii="Times New Roman" w:hAnsi="Times New Roman" w:cs="Times New Roman"/>
          <w:i/>
          <w:sz w:val="24"/>
          <w:szCs w:val="24"/>
        </w:rPr>
        <w:t>six</w:t>
      </w:r>
      <w:r w:rsidRPr="007D477F">
        <w:rPr>
          <w:rFonts w:ascii="Times New Roman" w:hAnsi="Times New Roman" w:cs="Times New Roman"/>
          <w:sz w:val="24"/>
          <w:szCs w:val="24"/>
        </w:rPr>
        <w:t xml:space="preserve">″. </w:t>
      </w:r>
      <w:r w:rsidR="00C26718">
        <w:rPr>
          <w:rFonts w:ascii="Times New Roman" w:hAnsi="Times New Roman" w:cs="Times New Roman"/>
          <w:sz w:val="24"/>
          <w:szCs w:val="24"/>
        </w:rPr>
        <w:t>We</w:t>
      </w:r>
      <w:r w:rsidRPr="007D477F">
        <w:rPr>
          <w:rFonts w:ascii="Times New Roman" w:hAnsi="Times New Roman" w:cs="Times New Roman"/>
          <w:sz w:val="24"/>
          <w:szCs w:val="24"/>
        </w:rPr>
        <w:t xml:space="preserve"> also delete</w:t>
      </w:r>
      <w:r w:rsidR="002B71BD" w:rsidRPr="007D477F">
        <w:rPr>
          <w:rFonts w:ascii="Times New Roman" w:hAnsi="Times New Roman" w:cs="Times New Roman"/>
          <w:sz w:val="24"/>
          <w:szCs w:val="24"/>
        </w:rPr>
        <w:t xml:space="preserve"> thereof</w:t>
      </w:r>
      <w:r w:rsidRPr="007D477F">
        <w:rPr>
          <w:rFonts w:ascii="Times New Roman" w:hAnsi="Times New Roman" w:cs="Times New Roman"/>
          <w:sz w:val="24"/>
          <w:szCs w:val="24"/>
        </w:rPr>
        <w:t xml:space="preserve"> the figure </w:t>
      </w:r>
      <w:r w:rsidRPr="007D477F">
        <w:rPr>
          <w:rFonts w:ascii="Times New Roman" w:hAnsi="Times New Roman" w:cs="Times New Roman"/>
          <w:i/>
          <w:sz w:val="24"/>
          <w:szCs w:val="24"/>
        </w:rPr>
        <w:t xml:space="preserve">″one″ </w:t>
      </w:r>
      <w:r w:rsidRPr="007D477F">
        <w:rPr>
          <w:rFonts w:ascii="Times New Roman" w:hAnsi="Times New Roman" w:cs="Times New Roman"/>
          <w:sz w:val="24"/>
          <w:szCs w:val="24"/>
        </w:rPr>
        <w:t>after the word</w:t>
      </w:r>
      <w:r w:rsidRPr="007D477F">
        <w:rPr>
          <w:rFonts w:ascii="Times New Roman" w:hAnsi="Times New Roman" w:cs="Times New Roman"/>
          <w:i/>
          <w:sz w:val="24"/>
          <w:szCs w:val="24"/>
        </w:rPr>
        <w:t xml:space="preserve"> ″within" </w:t>
      </w:r>
      <w:r w:rsidRPr="007D477F">
        <w:rPr>
          <w:rFonts w:ascii="Times New Roman" w:hAnsi="Times New Roman" w:cs="Times New Roman"/>
          <w:sz w:val="24"/>
          <w:szCs w:val="24"/>
        </w:rPr>
        <w:t xml:space="preserve">and substitute therefor the figure </w:t>
      </w:r>
      <w:r w:rsidRPr="007D477F">
        <w:rPr>
          <w:rFonts w:ascii="Times New Roman" w:hAnsi="Times New Roman" w:cs="Times New Roman"/>
          <w:i/>
          <w:sz w:val="24"/>
          <w:szCs w:val="24"/>
        </w:rPr>
        <w:t>″three″</w:t>
      </w:r>
      <w:r w:rsidRPr="007D477F">
        <w:rPr>
          <w:rFonts w:ascii="Times New Roman" w:hAnsi="Times New Roman" w:cs="Times New Roman"/>
          <w:sz w:val="24"/>
          <w:szCs w:val="24"/>
        </w:rPr>
        <w:t>.</w:t>
      </w:r>
    </w:p>
    <w:p w14:paraId="05B9FB2F" w14:textId="77777777" w:rsidR="00BB7483" w:rsidRPr="00BB7483" w:rsidRDefault="00BB7483" w:rsidP="00BB7483">
      <w:pPr>
        <w:spacing w:after="0" w:line="360" w:lineRule="auto"/>
        <w:jc w:val="both"/>
        <w:rPr>
          <w:rFonts w:ascii="Times New Roman" w:hAnsi="Times New Roman" w:cs="Times New Roman"/>
          <w:sz w:val="24"/>
          <w:szCs w:val="24"/>
        </w:rPr>
      </w:pPr>
    </w:p>
    <w:p w14:paraId="5C0156C3" w14:textId="23DBD723" w:rsidR="004D0059" w:rsidRDefault="00EA30D2" w:rsidP="00EA30D2">
      <w:pPr>
        <w:pStyle w:val="JudgmentText"/>
        <w:numPr>
          <w:ilvl w:val="0"/>
          <w:numId w:val="0"/>
        </w:numPr>
        <w:ind w:left="720" w:hanging="720"/>
      </w:pPr>
      <w:r>
        <w:t>[21]</w:t>
      </w:r>
      <w:r>
        <w:tab/>
      </w:r>
      <w:r w:rsidR="00BB7483">
        <w:t xml:space="preserve">For the avoidance of doubt, </w:t>
      </w:r>
      <w:r w:rsidR="00C26718">
        <w:t>we</w:t>
      </w:r>
      <w:r w:rsidR="00BB7483">
        <w:t xml:space="preserve"> make an order that the orders of the learned trial Judge, rehearsed in paragraph [2] hereof, apply to the Second Appellant, the </w:t>
      </w:r>
      <w:r w:rsidR="00220B17">
        <w:t xml:space="preserve">bare </w:t>
      </w:r>
      <w:r w:rsidR="00BB7483">
        <w:t>owner of parcel H</w:t>
      </w:r>
      <w:r w:rsidR="00040D99">
        <w:t xml:space="preserve">802, who </w:t>
      </w:r>
      <w:r w:rsidR="0052335D">
        <w:t>must</w:t>
      </w:r>
      <w:r w:rsidR="00040D99">
        <w:t xml:space="preserve"> fulfil the orders herein stated. </w:t>
      </w:r>
    </w:p>
    <w:p w14:paraId="1BED608C" w14:textId="46E14F76" w:rsidR="004739BC" w:rsidRPr="004D0059" w:rsidRDefault="00EA30D2" w:rsidP="00EA30D2">
      <w:pPr>
        <w:pStyle w:val="JudgmentText"/>
        <w:numPr>
          <w:ilvl w:val="0"/>
          <w:numId w:val="0"/>
        </w:numPr>
        <w:ind w:left="720" w:hanging="720"/>
      </w:pPr>
      <w:r>
        <w:t>[22]</w:t>
      </w:r>
      <w:bookmarkStart w:id="0" w:name="_GoBack"/>
      <w:bookmarkEnd w:id="0"/>
      <w:r>
        <w:tab/>
      </w:r>
      <w:r w:rsidR="00AF116C">
        <w:t>We</w:t>
      </w:r>
      <w:r w:rsidR="004739BC" w:rsidRPr="004D0059">
        <w:t xml:space="preserve"> make the</w:t>
      </w:r>
      <w:r w:rsidR="00E84F0A" w:rsidRPr="004D0059">
        <w:t xml:space="preserve"> </w:t>
      </w:r>
      <w:r>
        <w:t>Second</w:t>
      </w:r>
      <w:r w:rsidR="00E84F0A" w:rsidRPr="004D0059">
        <w:t xml:space="preserve"> Appellant</w:t>
      </w:r>
      <w:r w:rsidR="004739BC" w:rsidRPr="004D0059">
        <w:t xml:space="preserve"> bear the costs of this appeal.</w:t>
      </w:r>
    </w:p>
    <w:p w14:paraId="47B7AEDD" w14:textId="77777777" w:rsidR="00BC3B11" w:rsidRPr="007D477F" w:rsidRDefault="00BC3B11" w:rsidP="007D477F">
      <w:pPr>
        <w:spacing w:after="0" w:line="360" w:lineRule="auto"/>
        <w:jc w:val="both"/>
        <w:rPr>
          <w:rFonts w:ascii="Times New Roman" w:hAnsi="Times New Roman" w:cs="Times New Roman"/>
          <w:sz w:val="24"/>
          <w:szCs w:val="24"/>
        </w:rPr>
      </w:pPr>
    </w:p>
    <w:p w14:paraId="6E9F54CB" w14:textId="5F022FD2" w:rsidR="00684570" w:rsidRPr="00C40F27" w:rsidRDefault="00684570"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w:t>
      </w:r>
    </w:p>
    <w:p w14:paraId="0F3BE58C" w14:textId="73F882CC" w:rsidR="00684570" w:rsidRDefault="00BC3B11" w:rsidP="00BC3B11">
      <w:pPr>
        <w:pStyle w:val="ListParagraph"/>
        <w:spacing w:line="480" w:lineRule="auto"/>
        <w:ind w:left="0" w:right="720"/>
        <w:jc w:val="both"/>
        <w:rPr>
          <w:rFonts w:ascii="Times New Roman" w:hAnsi="Times New Roman" w:cs="Times New Roman"/>
          <w:color w:val="202124"/>
          <w:sz w:val="10"/>
          <w:szCs w:val="10"/>
          <w:shd w:val="clear" w:color="auto" w:fill="FFFFFF"/>
        </w:rPr>
      </w:pPr>
      <w:r>
        <w:rPr>
          <w:rFonts w:ascii="Times New Roman" w:hAnsi="Times New Roman" w:cs="Times New Roman"/>
          <w:color w:val="202124"/>
          <w:sz w:val="24"/>
          <w:szCs w:val="24"/>
          <w:shd w:val="clear" w:color="auto" w:fill="FFFFFF"/>
        </w:rPr>
        <w:t>F. Robinson</w:t>
      </w:r>
      <w:r w:rsidR="006A2AFA">
        <w:rPr>
          <w:rFonts w:ascii="Times New Roman" w:hAnsi="Times New Roman" w:cs="Times New Roman"/>
          <w:color w:val="202124"/>
          <w:sz w:val="24"/>
          <w:szCs w:val="24"/>
          <w:shd w:val="clear" w:color="auto" w:fill="FFFFFF"/>
        </w:rPr>
        <w:t>,</w:t>
      </w:r>
      <w:r w:rsidR="00684570">
        <w:rPr>
          <w:rFonts w:ascii="Times New Roman" w:hAnsi="Times New Roman" w:cs="Times New Roman"/>
          <w:color w:val="202124"/>
          <w:sz w:val="24"/>
          <w:szCs w:val="24"/>
          <w:shd w:val="clear" w:color="auto" w:fill="FFFFFF"/>
        </w:rPr>
        <w:t xml:space="preserve"> JA</w:t>
      </w:r>
    </w:p>
    <w:p w14:paraId="220C3E96" w14:textId="2BAFA434" w:rsidR="006A2AFA" w:rsidRPr="008409A4" w:rsidRDefault="006C32F6" w:rsidP="006C32F6">
      <w:pPr>
        <w:tabs>
          <w:tab w:val="left" w:pos="5220"/>
        </w:tabs>
        <w:spacing w:line="360" w:lineRule="auto"/>
        <w:ind w:right="720"/>
        <w:jc w:val="both"/>
        <w:rPr>
          <w:rFonts w:ascii="Times New Roman" w:hAnsi="Times New Roman" w:cs="Times New Roman"/>
          <w:color w:val="202124"/>
          <w:sz w:val="10"/>
          <w:szCs w:val="10"/>
          <w:shd w:val="clear" w:color="auto" w:fill="FFFFFF"/>
        </w:rPr>
      </w:pPr>
      <w:r>
        <w:rPr>
          <w:rFonts w:ascii="Times New Roman" w:hAnsi="Times New Roman" w:cs="Times New Roman"/>
          <w:color w:val="202124"/>
          <w:sz w:val="10"/>
          <w:szCs w:val="10"/>
          <w:shd w:val="clear" w:color="auto" w:fill="FFFFFF"/>
        </w:rPr>
        <w:tab/>
      </w:r>
    </w:p>
    <w:p w14:paraId="07E1F585" w14:textId="7A461C46" w:rsidR="00684570" w:rsidRPr="00C40F27" w:rsidRDefault="00684570" w:rsidP="00684570">
      <w:p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14:paraId="029491A3" w14:textId="0EC7790A"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sidR="006A2AFA">
        <w:rPr>
          <w:rFonts w:ascii="Times New Roman" w:hAnsi="Times New Roman" w:cs="Times New Roman"/>
          <w:color w:val="202124"/>
          <w:sz w:val="24"/>
          <w:szCs w:val="24"/>
          <w:shd w:val="clear" w:color="auto" w:fill="FFFFFF"/>
        </w:rPr>
        <w:t>M. Twomey, JA</w:t>
      </w:r>
    </w:p>
    <w:p w14:paraId="18A3D509" w14:textId="77777777" w:rsidR="00684570" w:rsidRPr="008409A4" w:rsidRDefault="00684570" w:rsidP="00684570">
      <w:pPr>
        <w:spacing w:line="240" w:lineRule="auto"/>
        <w:ind w:right="720"/>
        <w:jc w:val="both"/>
        <w:rPr>
          <w:rFonts w:ascii="Times New Roman" w:hAnsi="Times New Roman" w:cs="Times New Roman"/>
          <w:color w:val="202124"/>
          <w:sz w:val="10"/>
          <w:szCs w:val="10"/>
          <w:shd w:val="clear" w:color="auto" w:fill="FFFFFF"/>
        </w:rPr>
      </w:pPr>
    </w:p>
    <w:p w14:paraId="6030844D" w14:textId="77777777"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p>
    <w:p w14:paraId="04147FF0" w14:textId="46039D66" w:rsidR="00BC3B11" w:rsidRDefault="00684570" w:rsidP="00BC3B11">
      <w:pPr>
        <w:tabs>
          <w:tab w:val="left" w:pos="5040"/>
          <w:tab w:val="left" w:pos="5490"/>
        </w:tabs>
        <w:spacing w:line="48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w:t>
      </w:r>
      <w:r w:rsidR="00952772">
        <w:rPr>
          <w:rFonts w:ascii="Times New Roman" w:hAnsi="Times New Roman" w:cs="Times New Roman"/>
          <w:color w:val="202124"/>
          <w:sz w:val="24"/>
          <w:szCs w:val="24"/>
          <w:shd w:val="clear" w:color="auto" w:fill="FFFFFF"/>
        </w:rPr>
        <w:t>oncur</w:t>
      </w:r>
      <w:r w:rsidR="00952772">
        <w:rPr>
          <w:rFonts w:ascii="Times New Roman" w:hAnsi="Times New Roman" w:cs="Times New Roman"/>
          <w:color w:val="202124"/>
          <w:sz w:val="24"/>
          <w:szCs w:val="24"/>
          <w:shd w:val="clear" w:color="auto" w:fill="FFFFFF"/>
        </w:rPr>
        <w:tab/>
        <w:t>_______________________</w:t>
      </w:r>
      <w:r w:rsidR="00952772">
        <w:rPr>
          <w:rFonts w:ascii="Times New Roman" w:hAnsi="Times New Roman" w:cs="Times New Roman"/>
          <w:color w:val="202124"/>
          <w:sz w:val="24"/>
          <w:szCs w:val="24"/>
          <w:shd w:val="clear" w:color="auto" w:fill="FFFFFF"/>
        </w:rPr>
        <w:tab/>
      </w:r>
      <w:r w:rsidR="00952772">
        <w:rPr>
          <w:rFonts w:ascii="Times New Roman" w:hAnsi="Times New Roman" w:cs="Times New Roman"/>
          <w:color w:val="202124"/>
          <w:sz w:val="24"/>
          <w:szCs w:val="24"/>
          <w:shd w:val="clear" w:color="auto" w:fill="FFFFFF"/>
        </w:rPr>
        <w:tab/>
      </w:r>
      <w:r w:rsidR="00BC3B11">
        <w:rPr>
          <w:rFonts w:ascii="Times New Roman" w:hAnsi="Times New Roman" w:cs="Times New Roman"/>
          <w:color w:val="202124"/>
          <w:sz w:val="24"/>
          <w:szCs w:val="24"/>
          <w:shd w:val="clear" w:color="auto" w:fill="FFFFFF"/>
        </w:rPr>
        <w:t>L. Tibatemwa-</w:t>
      </w:r>
      <w:proofErr w:type="spellStart"/>
      <w:r w:rsidR="00BC3B11">
        <w:rPr>
          <w:rFonts w:ascii="Times New Roman" w:hAnsi="Times New Roman" w:cs="Times New Roman"/>
          <w:color w:val="202124"/>
          <w:sz w:val="24"/>
          <w:szCs w:val="24"/>
          <w:shd w:val="clear" w:color="auto" w:fill="FFFFFF"/>
        </w:rPr>
        <w:t>Ekirikubinza</w:t>
      </w:r>
      <w:proofErr w:type="spellEnd"/>
      <w:r w:rsidR="00BC3B11">
        <w:rPr>
          <w:rFonts w:ascii="Times New Roman" w:hAnsi="Times New Roman" w:cs="Times New Roman"/>
          <w:color w:val="202124"/>
          <w:sz w:val="24"/>
          <w:szCs w:val="24"/>
          <w:shd w:val="clear" w:color="auto" w:fill="FFFFFF"/>
        </w:rPr>
        <w:t>, JA</w:t>
      </w:r>
      <w:r w:rsidR="006A2AFA">
        <w:rPr>
          <w:rFonts w:ascii="Times New Roman" w:hAnsi="Times New Roman" w:cs="Times New Roman"/>
          <w:color w:val="202124"/>
          <w:sz w:val="24"/>
          <w:szCs w:val="24"/>
          <w:shd w:val="clear" w:color="auto" w:fill="FFFFFF"/>
        </w:rPr>
        <w:t xml:space="preserve"> </w:t>
      </w:r>
    </w:p>
    <w:p w14:paraId="1474E1CD" w14:textId="000E9392" w:rsidR="00684570" w:rsidRDefault="00684570" w:rsidP="00684570">
      <w:pPr>
        <w:spacing w:after="240" w:line="360" w:lineRule="auto"/>
        <w:rPr>
          <w:rFonts w:ascii="Times New Roman" w:eastAsia="Times New Roman" w:hAnsi="Times New Roman" w:cs="Times New Roman"/>
          <w:sz w:val="24"/>
          <w:szCs w:val="24"/>
        </w:rPr>
      </w:pPr>
      <w:bookmarkStart w:id="1" w:name="_Toc409448291"/>
      <w:r>
        <w:rPr>
          <w:rFonts w:ascii="Times New Roman" w:eastAsia="Times New Roman" w:hAnsi="Times New Roman" w:cs="Times New Roman"/>
          <w:sz w:val="24"/>
          <w:szCs w:val="24"/>
        </w:rPr>
        <w:t xml:space="preserve"> </w:t>
      </w: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1</w:t>
      </w:r>
      <w:r w:rsidR="00BC3B11">
        <w:rPr>
          <w:rFonts w:ascii="Times New Roman" w:eastAsia="Times New Roman" w:hAnsi="Times New Roman" w:cs="Times New Roman"/>
          <w:sz w:val="24"/>
          <w:szCs w:val="24"/>
        </w:rPr>
        <w:t>7 December</w:t>
      </w:r>
      <w:r>
        <w:rPr>
          <w:rFonts w:ascii="Times New Roman" w:eastAsia="Times New Roman" w:hAnsi="Times New Roman" w:cs="Times New Roman"/>
          <w:sz w:val="24"/>
          <w:szCs w:val="24"/>
        </w:rPr>
        <w:t xml:space="preserve"> 2021.</w:t>
      </w:r>
      <w:bookmarkEnd w:id="1"/>
    </w:p>
    <w:sectPr w:rsidR="00684570" w:rsidSect="00D52FCA">
      <w:footerReference w:type="default" r:id="rId8"/>
      <w:pgSz w:w="12240" w:h="15840"/>
      <w:pgMar w:top="1170" w:right="1440" w:bottom="189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88084" w14:textId="77777777" w:rsidR="004F456C" w:rsidRDefault="004F456C" w:rsidP="006A68E2">
      <w:pPr>
        <w:spacing w:after="0" w:line="240" w:lineRule="auto"/>
      </w:pPr>
      <w:r>
        <w:separator/>
      </w:r>
    </w:p>
  </w:endnote>
  <w:endnote w:type="continuationSeparator" w:id="0">
    <w:p w14:paraId="372FE379" w14:textId="77777777" w:rsidR="004F456C" w:rsidRDefault="004F456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sz w:val="20"/>
        <w:szCs w:val="20"/>
      </w:rPr>
    </w:sdtEndPr>
    <w:sdtContent>
      <w:p w14:paraId="4CBACA5D" w14:textId="38DD3550" w:rsidR="00E11829" w:rsidRPr="0038112E" w:rsidRDefault="00E11829">
        <w:pPr>
          <w:pStyle w:val="Footer"/>
          <w:jc w:val="center"/>
          <w:rPr>
            <w:sz w:val="20"/>
            <w:szCs w:val="20"/>
          </w:rPr>
        </w:pPr>
        <w:r w:rsidRPr="0038112E">
          <w:rPr>
            <w:sz w:val="20"/>
            <w:szCs w:val="20"/>
          </w:rPr>
          <w:fldChar w:fldCharType="begin"/>
        </w:r>
        <w:r w:rsidRPr="0038112E">
          <w:rPr>
            <w:sz w:val="20"/>
            <w:szCs w:val="20"/>
          </w:rPr>
          <w:instrText xml:space="preserve"> PAGE   \* MERGEFORMAT </w:instrText>
        </w:r>
        <w:r w:rsidRPr="0038112E">
          <w:rPr>
            <w:sz w:val="20"/>
            <w:szCs w:val="20"/>
          </w:rPr>
          <w:fldChar w:fldCharType="separate"/>
        </w:r>
        <w:r w:rsidR="009A0BE7">
          <w:rPr>
            <w:noProof/>
            <w:sz w:val="20"/>
            <w:szCs w:val="20"/>
          </w:rPr>
          <w:t>7</w:t>
        </w:r>
        <w:r w:rsidRPr="0038112E">
          <w:rPr>
            <w:noProof/>
            <w:sz w:val="20"/>
            <w:szCs w:val="20"/>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F3A17" w14:textId="77777777" w:rsidR="004F456C" w:rsidRDefault="004F456C" w:rsidP="006A68E2">
      <w:pPr>
        <w:spacing w:after="0" w:line="240" w:lineRule="auto"/>
      </w:pPr>
      <w:r>
        <w:separator/>
      </w:r>
    </w:p>
  </w:footnote>
  <w:footnote w:type="continuationSeparator" w:id="0">
    <w:p w14:paraId="79DF346D" w14:textId="77777777" w:rsidR="004F456C" w:rsidRDefault="004F456C" w:rsidP="006A68E2">
      <w:pPr>
        <w:spacing w:after="0" w:line="240" w:lineRule="auto"/>
      </w:pPr>
      <w:r>
        <w:continuationSeparator/>
      </w:r>
    </w:p>
  </w:footnote>
  <w:footnote w:id="1">
    <w:p w14:paraId="4C5C2F11" w14:textId="6B162C52" w:rsidR="007511AC" w:rsidRPr="00086B33" w:rsidRDefault="007511AC">
      <w:pPr>
        <w:pStyle w:val="FootnoteText"/>
        <w:rPr>
          <w:rFonts w:ascii="Times New Roman" w:hAnsi="Times New Roman" w:cs="Times New Roman"/>
          <w:lang w:val="en-US"/>
        </w:rPr>
      </w:pPr>
      <w:r w:rsidRPr="00086B33">
        <w:rPr>
          <w:rStyle w:val="FootnoteReference"/>
          <w:rFonts w:ascii="Times New Roman" w:hAnsi="Times New Roman" w:cs="Times New Roman"/>
        </w:rPr>
        <w:footnoteRef/>
      </w:r>
      <w:r w:rsidRPr="00086B33">
        <w:rPr>
          <w:rFonts w:ascii="Times New Roman" w:hAnsi="Times New Roman" w:cs="Times New Roman"/>
        </w:rPr>
        <w:t xml:space="preserve"> </w:t>
      </w:r>
      <w:proofErr w:type="spellStart"/>
      <w:r w:rsidRPr="00086B33">
        <w:rPr>
          <w:rFonts w:ascii="Times New Roman" w:hAnsi="Times New Roman" w:cs="Times New Roman"/>
        </w:rPr>
        <w:t>Odgers</w:t>
      </w:r>
      <w:proofErr w:type="spellEnd"/>
      <w:r w:rsidRPr="00086B33">
        <w:rPr>
          <w:rFonts w:ascii="Times New Roman" w:hAnsi="Times New Roman" w:cs="Times New Roman"/>
        </w:rPr>
        <w:t xml:space="preserve"> p. 218 – </w:t>
      </w:r>
      <w:proofErr w:type="spellStart"/>
      <w:r w:rsidRPr="00086B33">
        <w:rPr>
          <w:rFonts w:ascii="Times New Roman" w:hAnsi="Times New Roman" w:cs="Times New Roman"/>
        </w:rPr>
        <w:t>op.cit</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779"/>
    <w:multiLevelType w:val="hybridMultilevel"/>
    <w:tmpl w:val="974846B2"/>
    <w:lvl w:ilvl="0" w:tplc="84F40E08">
      <w:start w:val="1"/>
      <w:numFmt w:val="lowerLetter"/>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97531"/>
    <w:multiLevelType w:val="hybridMultilevel"/>
    <w:tmpl w:val="F01C2384"/>
    <w:lvl w:ilvl="0" w:tplc="F8963FD2">
      <w:start w:val="1"/>
      <w:numFmt w:val="lowerLetter"/>
      <w:lvlText w:val="(%1)"/>
      <w:lvlJc w:val="left"/>
      <w:pPr>
        <w:ind w:left="1350" w:hanging="72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2B35490"/>
    <w:multiLevelType w:val="hybridMultilevel"/>
    <w:tmpl w:val="BA9EB314"/>
    <w:lvl w:ilvl="0" w:tplc="BCB4E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4529C"/>
    <w:multiLevelType w:val="hybridMultilevel"/>
    <w:tmpl w:val="CCF0902E"/>
    <w:lvl w:ilvl="0" w:tplc="A140A62A">
      <w:start w:val="1"/>
      <w:numFmt w:val="decimal"/>
      <w:lvlText w:val="[%1]"/>
      <w:lvlJc w:val="left"/>
      <w:pPr>
        <w:ind w:left="63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B05F12"/>
    <w:multiLevelType w:val="multilevel"/>
    <w:tmpl w:val="00DC7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0E17224"/>
    <w:multiLevelType w:val="hybridMultilevel"/>
    <w:tmpl w:val="63AA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472E059C"/>
    <w:multiLevelType w:val="hybridMultilevel"/>
    <w:tmpl w:val="2F649F8A"/>
    <w:lvl w:ilvl="0" w:tplc="34949E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944CB4"/>
    <w:multiLevelType w:val="hybridMultilevel"/>
    <w:tmpl w:val="6820EDFC"/>
    <w:lvl w:ilvl="0" w:tplc="3E501728">
      <w:start w:val="2"/>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10"/>
  </w:num>
  <w:num w:numId="5">
    <w:abstractNumId w:val="11"/>
  </w:num>
  <w:num w:numId="6">
    <w:abstractNumId w:val="2"/>
  </w:num>
  <w:num w:numId="7">
    <w:abstractNumId w:val="9"/>
  </w:num>
  <w:num w:numId="8">
    <w:abstractNumId w:val="1"/>
  </w:num>
  <w:num w:numId="9">
    <w:abstractNumId w:val="0"/>
  </w:num>
  <w:num w:numId="10">
    <w:abstractNumId w:val="3"/>
  </w:num>
  <w:num w:numId="11">
    <w:abstractNumId w:val="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8">
    <w:abstractNumId w:val="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zQwNjQzNjM3MTFS0lEKTi0uzszPAykwNKgFAF+NPR0tAAAA"/>
  </w:docVars>
  <w:rsids>
    <w:rsidRoot w:val="00CC4C21"/>
    <w:rsid w:val="00015DE3"/>
    <w:rsid w:val="00025CDF"/>
    <w:rsid w:val="000301BB"/>
    <w:rsid w:val="0003054E"/>
    <w:rsid w:val="00040193"/>
    <w:rsid w:val="00040D99"/>
    <w:rsid w:val="00050392"/>
    <w:rsid w:val="00050B7D"/>
    <w:rsid w:val="00055901"/>
    <w:rsid w:val="00057858"/>
    <w:rsid w:val="0006159F"/>
    <w:rsid w:val="00067FCB"/>
    <w:rsid w:val="00071B84"/>
    <w:rsid w:val="00072C78"/>
    <w:rsid w:val="00073EA3"/>
    <w:rsid w:val="00081862"/>
    <w:rsid w:val="00083F35"/>
    <w:rsid w:val="0008560D"/>
    <w:rsid w:val="00086B33"/>
    <w:rsid w:val="000873E2"/>
    <w:rsid w:val="0009242F"/>
    <w:rsid w:val="000929A9"/>
    <w:rsid w:val="0009415A"/>
    <w:rsid w:val="000950CC"/>
    <w:rsid w:val="00097D19"/>
    <w:rsid w:val="000A0FCF"/>
    <w:rsid w:val="000A1F6D"/>
    <w:rsid w:val="000A3825"/>
    <w:rsid w:val="000A5E8A"/>
    <w:rsid w:val="000A7FFA"/>
    <w:rsid w:val="000B111E"/>
    <w:rsid w:val="000B1F25"/>
    <w:rsid w:val="000B4D94"/>
    <w:rsid w:val="000C0D38"/>
    <w:rsid w:val="000C119B"/>
    <w:rsid w:val="000C2A97"/>
    <w:rsid w:val="000D49A0"/>
    <w:rsid w:val="000D6415"/>
    <w:rsid w:val="000E15DC"/>
    <w:rsid w:val="000E4357"/>
    <w:rsid w:val="0010730B"/>
    <w:rsid w:val="00107DEC"/>
    <w:rsid w:val="00112139"/>
    <w:rsid w:val="001126AB"/>
    <w:rsid w:val="001135C2"/>
    <w:rsid w:val="00115F4D"/>
    <w:rsid w:val="00116DDC"/>
    <w:rsid w:val="001177B1"/>
    <w:rsid w:val="001278AB"/>
    <w:rsid w:val="001347F5"/>
    <w:rsid w:val="00135DFB"/>
    <w:rsid w:val="001428B9"/>
    <w:rsid w:val="0014485B"/>
    <w:rsid w:val="00144C3A"/>
    <w:rsid w:val="0014564E"/>
    <w:rsid w:val="001466F6"/>
    <w:rsid w:val="00151BF3"/>
    <w:rsid w:val="00153444"/>
    <w:rsid w:val="00155BC8"/>
    <w:rsid w:val="00155F56"/>
    <w:rsid w:val="00157C6B"/>
    <w:rsid w:val="00162586"/>
    <w:rsid w:val="00171B44"/>
    <w:rsid w:val="001723B1"/>
    <w:rsid w:val="001910CA"/>
    <w:rsid w:val="001930BC"/>
    <w:rsid w:val="00195F76"/>
    <w:rsid w:val="00196639"/>
    <w:rsid w:val="001976E7"/>
    <w:rsid w:val="001A0CAF"/>
    <w:rsid w:val="001A13BD"/>
    <w:rsid w:val="001A3E53"/>
    <w:rsid w:val="001B0EFE"/>
    <w:rsid w:val="001B40EE"/>
    <w:rsid w:val="001B486E"/>
    <w:rsid w:val="001C54C3"/>
    <w:rsid w:val="001C78EC"/>
    <w:rsid w:val="001D33D2"/>
    <w:rsid w:val="002015F8"/>
    <w:rsid w:val="00207EF2"/>
    <w:rsid w:val="00212006"/>
    <w:rsid w:val="0021402A"/>
    <w:rsid w:val="00214DB4"/>
    <w:rsid w:val="002207B6"/>
    <w:rsid w:val="00220B17"/>
    <w:rsid w:val="00225932"/>
    <w:rsid w:val="00233F0C"/>
    <w:rsid w:val="00235626"/>
    <w:rsid w:val="00243AE1"/>
    <w:rsid w:val="00244FEB"/>
    <w:rsid w:val="00245165"/>
    <w:rsid w:val="00262CEB"/>
    <w:rsid w:val="002641B2"/>
    <w:rsid w:val="00266832"/>
    <w:rsid w:val="0027151A"/>
    <w:rsid w:val="00271C68"/>
    <w:rsid w:val="0027707F"/>
    <w:rsid w:val="00285375"/>
    <w:rsid w:val="00292245"/>
    <w:rsid w:val="002978B1"/>
    <w:rsid w:val="002A0189"/>
    <w:rsid w:val="002A1E06"/>
    <w:rsid w:val="002A2B66"/>
    <w:rsid w:val="002B71BD"/>
    <w:rsid w:val="002C2D81"/>
    <w:rsid w:val="002D0DE2"/>
    <w:rsid w:val="002D3055"/>
    <w:rsid w:val="002D4EB8"/>
    <w:rsid w:val="002E1B36"/>
    <w:rsid w:val="002E2AE3"/>
    <w:rsid w:val="002E2D44"/>
    <w:rsid w:val="002F593E"/>
    <w:rsid w:val="002F5C1B"/>
    <w:rsid w:val="00307BB3"/>
    <w:rsid w:val="003137B8"/>
    <w:rsid w:val="00314459"/>
    <w:rsid w:val="00315AA7"/>
    <w:rsid w:val="00336DBE"/>
    <w:rsid w:val="00344425"/>
    <w:rsid w:val="00346D7F"/>
    <w:rsid w:val="003615E7"/>
    <w:rsid w:val="0036708A"/>
    <w:rsid w:val="003709B6"/>
    <w:rsid w:val="00373165"/>
    <w:rsid w:val="00374F80"/>
    <w:rsid w:val="003767FD"/>
    <w:rsid w:val="00380619"/>
    <w:rsid w:val="0038112E"/>
    <w:rsid w:val="00385BB5"/>
    <w:rsid w:val="00392D92"/>
    <w:rsid w:val="003A5477"/>
    <w:rsid w:val="003A6729"/>
    <w:rsid w:val="003A6C9E"/>
    <w:rsid w:val="003B3E4B"/>
    <w:rsid w:val="003B51B8"/>
    <w:rsid w:val="003B67BB"/>
    <w:rsid w:val="003C04BB"/>
    <w:rsid w:val="003C11F1"/>
    <w:rsid w:val="003C588F"/>
    <w:rsid w:val="003E0CFD"/>
    <w:rsid w:val="003E2E94"/>
    <w:rsid w:val="003E5B26"/>
    <w:rsid w:val="003F4747"/>
    <w:rsid w:val="003F5E76"/>
    <w:rsid w:val="003F638E"/>
    <w:rsid w:val="003F6EF2"/>
    <w:rsid w:val="003F751A"/>
    <w:rsid w:val="00403F4C"/>
    <w:rsid w:val="00405958"/>
    <w:rsid w:val="00412994"/>
    <w:rsid w:val="00416353"/>
    <w:rsid w:val="004310F2"/>
    <w:rsid w:val="00434E98"/>
    <w:rsid w:val="004362B7"/>
    <w:rsid w:val="004522CA"/>
    <w:rsid w:val="00452E76"/>
    <w:rsid w:val="00453AC2"/>
    <w:rsid w:val="00460E07"/>
    <w:rsid w:val="00463B4E"/>
    <w:rsid w:val="00472219"/>
    <w:rsid w:val="0047227A"/>
    <w:rsid w:val="004739BC"/>
    <w:rsid w:val="004816E0"/>
    <w:rsid w:val="004A0A8E"/>
    <w:rsid w:val="004A2599"/>
    <w:rsid w:val="004A4C0A"/>
    <w:rsid w:val="004B7720"/>
    <w:rsid w:val="004C16E0"/>
    <w:rsid w:val="004C491B"/>
    <w:rsid w:val="004D0059"/>
    <w:rsid w:val="004D4474"/>
    <w:rsid w:val="004D7477"/>
    <w:rsid w:val="004E617D"/>
    <w:rsid w:val="004E63C8"/>
    <w:rsid w:val="004F456C"/>
    <w:rsid w:val="005114F6"/>
    <w:rsid w:val="0052003D"/>
    <w:rsid w:val="0052335D"/>
    <w:rsid w:val="00524F8B"/>
    <w:rsid w:val="005304AC"/>
    <w:rsid w:val="00544E37"/>
    <w:rsid w:val="005533FB"/>
    <w:rsid w:val="00555365"/>
    <w:rsid w:val="005673F8"/>
    <w:rsid w:val="00570BC5"/>
    <w:rsid w:val="00572ED8"/>
    <w:rsid w:val="005749E9"/>
    <w:rsid w:val="005802AC"/>
    <w:rsid w:val="0058564A"/>
    <w:rsid w:val="005A5FCB"/>
    <w:rsid w:val="005B12AA"/>
    <w:rsid w:val="005C48FC"/>
    <w:rsid w:val="005D3054"/>
    <w:rsid w:val="005D3F6C"/>
    <w:rsid w:val="005E26A8"/>
    <w:rsid w:val="005E2A33"/>
    <w:rsid w:val="005E5CA0"/>
    <w:rsid w:val="005E6FB2"/>
    <w:rsid w:val="005F24CD"/>
    <w:rsid w:val="005F646C"/>
    <w:rsid w:val="00601509"/>
    <w:rsid w:val="006019B0"/>
    <w:rsid w:val="00602E59"/>
    <w:rsid w:val="0060768B"/>
    <w:rsid w:val="0060782F"/>
    <w:rsid w:val="00607A3D"/>
    <w:rsid w:val="0061354A"/>
    <w:rsid w:val="00622165"/>
    <w:rsid w:val="00631B8B"/>
    <w:rsid w:val="00635504"/>
    <w:rsid w:val="00652326"/>
    <w:rsid w:val="00661D32"/>
    <w:rsid w:val="00662CEA"/>
    <w:rsid w:val="00664E51"/>
    <w:rsid w:val="006720CF"/>
    <w:rsid w:val="00672C6C"/>
    <w:rsid w:val="00673D15"/>
    <w:rsid w:val="00673F34"/>
    <w:rsid w:val="00682172"/>
    <w:rsid w:val="00684570"/>
    <w:rsid w:val="006846FE"/>
    <w:rsid w:val="00687181"/>
    <w:rsid w:val="00690454"/>
    <w:rsid w:val="006A25F8"/>
    <w:rsid w:val="006A2609"/>
    <w:rsid w:val="006A2AFA"/>
    <w:rsid w:val="006A34E3"/>
    <w:rsid w:val="006A5DA3"/>
    <w:rsid w:val="006A6465"/>
    <w:rsid w:val="006A68E2"/>
    <w:rsid w:val="006B0B9E"/>
    <w:rsid w:val="006B7D2C"/>
    <w:rsid w:val="006C1880"/>
    <w:rsid w:val="006C30D7"/>
    <w:rsid w:val="006C32F6"/>
    <w:rsid w:val="006C5E78"/>
    <w:rsid w:val="006D305B"/>
    <w:rsid w:val="006D57EC"/>
    <w:rsid w:val="006E728F"/>
    <w:rsid w:val="006F5421"/>
    <w:rsid w:val="006F5ABA"/>
    <w:rsid w:val="006F6269"/>
    <w:rsid w:val="0070371E"/>
    <w:rsid w:val="00703C40"/>
    <w:rsid w:val="00706EB0"/>
    <w:rsid w:val="00715C55"/>
    <w:rsid w:val="00716FAC"/>
    <w:rsid w:val="0072185E"/>
    <w:rsid w:val="00722761"/>
    <w:rsid w:val="00723DED"/>
    <w:rsid w:val="00730A82"/>
    <w:rsid w:val="00733AD4"/>
    <w:rsid w:val="0073633A"/>
    <w:rsid w:val="00736607"/>
    <w:rsid w:val="00736827"/>
    <w:rsid w:val="007436C6"/>
    <w:rsid w:val="007511AC"/>
    <w:rsid w:val="0075634D"/>
    <w:rsid w:val="0075657E"/>
    <w:rsid w:val="00756E67"/>
    <w:rsid w:val="0075701A"/>
    <w:rsid w:val="007637B5"/>
    <w:rsid w:val="00764974"/>
    <w:rsid w:val="007672A4"/>
    <w:rsid w:val="007876EC"/>
    <w:rsid w:val="007904C2"/>
    <w:rsid w:val="007925FA"/>
    <w:rsid w:val="0079541F"/>
    <w:rsid w:val="00796B89"/>
    <w:rsid w:val="007A5F5C"/>
    <w:rsid w:val="007A6037"/>
    <w:rsid w:val="007A6875"/>
    <w:rsid w:val="007A6F06"/>
    <w:rsid w:val="007A7A01"/>
    <w:rsid w:val="007B0BED"/>
    <w:rsid w:val="007B2F04"/>
    <w:rsid w:val="007C2410"/>
    <w:rsid w:val="007C5E28"/>
    <w:rsid w:val="007D25FE"/>
    <w:rsid w:val="007D2B64"/>
    <w:rsid w:val="007D4077"/>
    <w:rsid w:val="007D477F"/>
    <w:rsid w:val="007D5C18"/>
    <w:rsid w:val="007D72AE"/>
    <w:rsid w:val="007E1FAF"/>
    <w:rsid w:val="007F7791"/>
    <w:rsid w:val="008001C8"/>
    <w:rsid w:val="0080404C"/>
    <w:rsid w:val="0081101D"/>
    <w:rsid w:val="00811842"/>
    <w:rsid w:val="00813B26"/>
    <w:rsid w:val="00815764"/>
    <w:rsid w:val="008208F8"/>
    <w:rsid w:val="00822D34"/>
    <w:rsid w:val="008252B1"/>
    <w:rsid w:val="008279F9"/>
    <w:rsid w:val="00827B34"/>
    <w:rsid w:val="008331E6"/>
    <w:rsid w:val="00837AA5"/>
    <w:rsid w:val="00841555"/>
    <w:rsid w:val="00841774"/>
    <w:rsid w:val="00852751"/>
    <w:rsid w:val="008577B7"/>
    <w:rsid w:val="00857B64"/>
    <w:rsid w:val="00863627"/>
    <w:rsid w:val="0086765D"/>
    <w:rsid w:val="00874D77"/>
    <w:rsid w:val="00877F00"/>
    <w:rsid w:val="008817F2"/>
    <w:rsid w:val="008821CA"/>
    <w:rsid w:val="00890F42"/>
    <w:rsid w:val="00892899"/>
    <w:rsid w:val="0089575D"/>
    <w:rsid w:val="008A00BC"/>
    <w:rsid w:val="008A582E"/>
    <w:rsid w:val="008B14BB"/>
    <w:rsid w:val="008B23BB"/>
    <w:rsid w:val="008B3FF1"/>
    <w:rsid w:val="008C0B69"/>
    <w:rsid w:val="008D25D6"/>
    <w:rsid w:val="008D714D"/>
    <w:rsid w:val="008D7953"/>
    <w:rsid w:val="008E4240"/>
    <w:rsid w:val="008E771B"/>
    <w:rsid w:val="008F09EA"/>
    <w:rsid w:val="00902161"/>
    <w:rsid w:val="00907773"/>
    <w:rsid w:val="00914C93"/>
    <w:rsid w:val="00921765"/>
    <w:rsid w:val="00921C70"/>
    <w:rsid w:val="00921E0F"/>
    <w:rsid w:val="009270CC"/>
    <w:rsid w:val="00932D76"/>
    <w:rsid w:val="00940C06"/>
    <w:rsid w:val="0094529E"/>
    <w:rsid w:val="009501E8"/>
    <w:rsid w:val="00952714"/>
    <w:rsid w:val="00952772"/>
    <w:rsid w:val="00953781"/>
    <w:rsid w:val="009539C2"/>
    <w:rsid w:val="009549CD"/>
    <w:rsid w:val="00964CFA"/>
    <w:rsid w:val="009804DF"/>
    <w:rsid w:val="00983AAA"/>
    <w:rsid w:val="00987977"/>
    <w:rsid w:val="009940B2"/>
    <w:rsid w:val="00995AF8"/>
    <w:rsid w:val="00997EE1"/>
    <w:rsid w:val="009A0BE7"/>
    <w:rsid w:val="009A3363"/>
    <w:rsid w:val="009A34F7"/>
    <w:rsid w:val="009A41DF"/>
    <w:rsid w:val="009A7688"/>
    <w:rsid w:val="009A769C"/>
    <w:rsid w:val="009B3EAA"/>
    <w:rsid w:val="009B495E"/>
    <w:rsid w:val="009B65F3"/>
    <w:rsid w:val="009C0F25"/>
    <w:rsid w:val="009C60B1"/>
    <w:rsid w:val="009D5AB1"/>
    <w:rsid w:val="009D5F27"/>
    <w:rsid w:val="009F08EA"/>
    <w:rsid w:val="009F125D"/>
    <w:rsid w:val="009F73C2"/>
    <w:rsid w:val="00A0256C"/>
    <w:rsid w:val="00A04F30"/>
    <w:rsid w:val="00A062C2"/>
    <w:rsid w:val="00A102D5"/>
    <w:rsid w:val="00A10AE7"/>
    <w:rsid w:val="00A163BC"/>
    <w:rsid w:val="00A1750E"/>
    <w:rsid w:val="00A2058F"/>
    <w:rsid w:val="00A21F81"/>
    <w:rsid w:val="00A22E70"/>
    <w:rsid w:val="00A2353D"/>
    <w:rsid w:val="00A24F6C"/>
    <w:rsid w:val="00A25856"/>
    <w:rsid w:val="00A25BCD"/>
    <w:rsid w:val="00A266BE"/>
    <w:rsid w:val="00A277DA"/>
    <w:rsid w:val="00A30A08"/>
    <w:rsid w:val="00A32A7E"/>
    <w:rsid w:val="00A34979"/>
    <w:rsid w:val="00A43C8F"/>
    <w:rsid w:val="00A43E6C"/>
    <w:rsid w:val="00A462F6"/>
    <w:rsid w:val="00A466ED"/>
    <w:rsid w:val="00A871BC"/>
    <w:rsid w:val="00AB3BD4"/>
    <w:rsid w:val="00AB4CDD"/>
    <w:rsid w:val="00AC497D"/>
    <w:rsid w:val="00AC65DC"/>
    <w:rsid w:val="00AD2324"/>
    <w:rsid w:val="00AE439F"/>
    <w:rsid w:val="00AF116C"/>
    <w:rsid w:val="00AF52A2"/>
    <w:rsid w:val="00B03209"/>
    <w:rsid w:val="00B058FD"/>
    <w:rsid w:val="00B13DBD"/>
    <w:rsid w:val="00B14EC3"/>
    <w:rsid w:val="00B157ED"/>
    <w:rsid w:val="00B207DF"/>
    <w:rsid w:val="00B23257"/>
    <w:rsid w:val="00B3516B"/>
    <w:rsid w:val="00B367AC"/>
    <w:rsid w:val="00B41722"/>
    <w:rsid w:val="00B4754A"/>
    <w:rsid w:val="00B5371D"/>
    <w:rsid w:val="00B53FB6"/>
    <w:rsid w:val="00B6484E"/>
    <w:rsid w:val="00B6660F"/>
    <w:rsid w:val="00B669BB"/>
    <w:rsid w:val="00B674A4"/>
    <w:rsid w:val="00B71799"/>
    <w:rsid w:val="00B743B0"/>
    <w:rsid w:val="00B81E71"/>
    <w:rsid w:val="00B837E4"/>
    <w:rsid w:val="00B8383A"/>
    <w:rsid w:val="00B843CF"/>
    <w:rsid w:val="00B87082"/>
    <w:rsid w:val="00B87447"/>
    <w:rsid w:val="00B921CA"/>
    <w:rsid w:val="00B950DF"/>
    <w:rsid w:val="00B96055"/>
    <w:rsid w:val="00BA5383"/>
    <w:rsid w:val="00BB1A3E"/>
    <w:rsid w:val="00BB43FB"/>
    <w:rsid w:val="00BB7483"/>
    <w:rsid w:val="00BC37C5"/>
    <w:rsid w:val="00BC3B11"/>
    <w:rsid w:val="00BC3E1E"/>
    <w:rsid w:val="00BC5D47"/>
    <w:rsid w:val="00BC73B1"/>
    <w:rsid w:val="00BD16F1"/>
    <w:rsid w:val="00BE0813"/>
    <w:rsid w:val="00BE3EC0"/>
    <w:rsid w:val="00BF06E3"/>
    <w:rsid w:val="00BF6167"/>
    <w:rsid w:val="00C01173"/>
    <w:rsid w:val="00C01C40"/>
    <w:rsid w:val="00C03BF2"/>
    <w:rsid w:val="00C057B3"/>
    <w:rsid w:val="00C10F52"/>
    <w:rsid w:val="00C14497"/>
    <w:rsid w:val="00C17BAC"/>
    <w:rsid w:val="00C243E8"/>
    <w:rsid w:val="00C2466E"/>
    <w:rsid w:val="00C2537E"/>
    <w:rsid w:val="00C26718"/>
    <w:rsid w:val="00C31198"/>
    <w:rsid w:val="00C460B3"/>
    <w:rsid w:val="00C5437D"/>
    <w:rsid w:val="00C61202"/>
    <w:rsid w:val="00C645D9"/>
    <w:rsid w:val="00C65D1E"/>
    <w:rsid w:val="00C660F0"/>
    <w:rsid w:val="00C67CF2"/>
    <w:rsid w:val="00C70574"/>
    <w:rsid w:val="00C713FA"/>
    <w:rsid w:val="00C81809"/>
    <w:rsid w:val="00C8233F"/>
    <w:rsid w:val="00C85D20"/>
    <w:rsid w:val="00C8715D"/>
    <w:rsid w:val="00C94537"/>
    <w:rsid w:val="00CA2B2E"/>
    <w:rsid w:val="00CA4C7B"/>
    <w:rsid w:val="00CB0CD0"/>
    <w:rsid w:val="00CB652F"/>
    <w:rsid w:val="00CC0848"/>
    <w:rsid w:val="00CC437E"/>
    <w:rsid w:val="00CC4C21"/>
    <w:rsid w:val="00CC7975"/>
    <w:rsid w:val="00CD09C7"/>
    <w:rsid w:val="00CD67A5"/>
    <w:rsid w:val="00CD7565"/>
    <w:rsid w:val="00CE348F"/>
    <w:rsid w:val="00CF3ABB"/>
    <w:rsid w:val="00CF7570"/>
    <w:rsid w:val="00D01A26"/>
    <w:rsid w:val="00D1158D"/>
    <w:rsid w:val="00D2005C"/>
    <w:rsid w:val="00D22219"/>
    <w:rsid w:val="00D22F07"/>
    <w:rsid w:val="00D3160C"/>
    <w:rsid w:val="00D31F1B"/>
    <w:rsid w:val="00D33DBF"/>
    <w:rsid w:val="00D41BF6"/>
    <w:rsid w:val="00D42744"/>
    <w:rsid w:val="00D43348"/>
    <w:rsid w:val="00D44341"/>
    <w:rsid w:val="00D47903"/>
    <w:rsid w:val="00D52FCA"/>
    <w:rsid w:val="00D57FAF"/>
    <w:rsid w:val="00D710E7"/>
    <w:rsid w:val="00D75FFC"/>
    <w:rsid w:val="00D77690"/>
    <w:rsid w:val="00D8082B"/>
    <w:rsid w:val="00D8338F"/>
    <w:rsid w:val="00D93304"/>
    <w:rsid w:val="00D93DFD"/>
    <w:rsid w:val="00DA28D0"/>
    <w:rsid w:val="00DB3AF9"/>
    <w:rsid w:val="00DC22F5"/>
    <w:rsid w:val="00DC5C7F"/>
    <w:rsid w:val="00DD0855"/>
    <w:rsid w:val="00DD1F51"/>
    <w:rsid w:val="00DE035F"/>
    <w:rsid w:val="00DE0F59"/>
    <w:rsid w:val="00DF13DA"/>
    <w:rsid w:val="00DF2A11"/>
    <w:rsid w:val="00E11829"/>
    <w:rsid w:val="00E15E80"/>
    <w:rsid w:val="00E1659A"/>
    <w:rsid w:val="00E276A1"/>
    <w:rsid w:val="00E31F50"/>
    <w:rsid w:val="00E32520"/>
    <w:rsid w:val="00E409F3"/>
    <w:rsid w:val="00E42E38"/>
    <w:rsid w:val="00E45519"/>
    <w:rsid w:val="00E50042"/>
    <w:rsid w:val="00E52A3C"/>
    <w:rsid w:val="00E5348B"/>
    <w:rsid w:val="00E5501F"/>
    <w:rsid w:val="00E56016"/>
    <w:rsid w:val="00E6215D"/>
    <w:rsid w:val="00E65F6A"/>
    <w:rsid w:val="00E661F0"/>
    <w:rsid w:val="00E67B3A"/>
    <w:rsid w:val="00E71CFC"/>
    <w:rsid w:val="00E82C79"/>
    <w:rsid w:val="00E84F0A"/>
    <w:rsid w:val="00E868F3"/>
    <w:rsid w:val="00E9769A"/>
    <w:rsid w:val="00EA30D2"/>
    <w:rsid w:val="00EA32D0"/>
    <w:rsid w:val="00EA365E"/>
    <w:rsid w:val="00EA4875"/>
    <w:rsid w:val="00EA6048"/>
    <w:rsid w:val="00EB3413"/>
    <w:rsid w:val="00EB401D"/>
    <w:rsid w:val="00EC0DF2"/>
    <w:rsid w:val="00EC11A3"/>
    <w:rsid w:val="00EC2665"/>
    <w:rsid w:val="00ED0BFC"/>
    <w:rsid w:val="00EE0020"/>
    <w:rsid w:val="00EE047F"/>
    <w:rsid w:val="00EE47DC"/>
    <w:rsid w:val="00EE7996"/>
    <w:rsid w:val="00EF13E2"/>
    <w:rsid w:val="00EF6D79"/>
    <w:rsid w:val="00F05815"/>
    <w:rsid w:val="00F11205"/>
    <w:rsid w:val="00F24182"/>
    <w:rsid w:val="00F33939"/>
    <w:rsid w:val="00F33B83"/>
    <w:rsid w:val="00F35EE5"/>
    <w:rsid w:val="00F368C3"/>
    <w:rsid w:val="00F4122B"/>
    <w:rsid w:val="00F42ECF"/>
    <w:rsid w:val="00F43258"/>
    <w:rsid w:val="00F441B7"/>
    <w:rsid w:val="00F46520"/>
    <w:rsid w:val="00F5530C"/>
    <w:rsid w:val="00F6715B"/>
    <w:rsid w:val="00F67C42"/>
    <w:rsid w:val="00F83867"/>
    <w:rsid w:val="00F83919"/>
    <w:rsid w:val="00F85691"/>
    <w:rsid w:val="00F86D86"/>
    <w:rsid w:val="00F900E0"/>
    <w:rsid w:val="00F93864"/>
    <w:rsid w:val="00FA6A13"/>
    <w:rsid w:val="00FA6EAD"/>
    <w:rsid w:val="00FB2DA9"/>
    <w:rsid w:val="00FB6CCE"/>
    <w:rsid w:val="00FC174B"/>
    <w:rsid w:val="00FC7E6C"/>
    <w:rsid w:val="00FD0765"/>
    <w:rsid w:val="00FD1AA7"/>
    <w:rsid w:val="00FD1BC6"/>
    <w:rsid w:val="00FD4B0D"/>
    <w:rsid w:val="00FE2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uiPriority w:val="99"/>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paragraph" w:styleId="Title">
    <w:name w:val="Title"/>
    <w:basedOn w:val="Normal"/>
    <w:next w:val="Normal"/>
    <w:link w:val="TitleChar"/>
    <w:uiPriority w:val="10"/>
    <w:qFormat/>
    <w:rsid w:val="00FE2C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2CFC"/>
    <w:rPr>
      <w:rFonts w:asciiTheme="majorHAnsi" w:eastAsiaTheme="majorEastAsia" w:hAnsiTheme="majorHAnsi" w:cstheme="majorBidi"/>
      <w:color w:val="323E4F" w:themeColor="text2" w:themeShade="BF"/>
      <w:spacing w:val="5"/>
      <w:kern w:val="28"/>
      <w:sz w:val="52"/>
      <w:szCs w:val="52"/>
      <w:lang w:val="en-GB"/>
    </w:rPr>
  </w:style>
  <w:style w:type="table" w:styleId="TableGrid">
    <w:name w:val="Table Grid"/>
    <w:basedOn w:val="TableNormal"/>
    <w:uiPriority w:val="39"/>
    <w:rsid w:val="0037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1C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CFC"/>
    <w:rPr>
      <w:sz w:val="20"/>
      <w:szCs w:val="20"/>
      <w:lang w:val="en-GB"/>
    </w:rPr>
  </w:style>
  <w:style w:type="paragraph" w:customStyle="1" w:styleId="rteleft">
    <w:name w:val="rteleft"/>
    <w:basedOn w:val="Normal"/>
    <w:rsid w:val="00040D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40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920410387">
      <w:bodyDiv w:val="1"/>
      <w:marLeft w:val="0"/>
      <w:marRight w:val="0"/>
      <w:marTop w:val="0"/>
      <w:marBottom w:val="0"/>
      <w:divBdr>
        <w:top w:val="none" w:sz="0" w:space="0" w:color="auto"/>
        <w:left w:val="none" w:sz="0" w:space="0" w:color="auto"/>
        <w:bottom w:val="none" w:sz="0" w:space="0" w:color="auto"/>
        <w:right w:val="none" w:sz="0" w:space="0" w:color="auto"/>
      </w:divBdr>
    </w:div>
    <w:div w:id="1028026456">
      <w:bodyDiv w:val="1"/>
      <w:marLeft w:val="0"/>
      <w:marRight w:val="0"/>
      <w:marTop w:val="0"/>
      <w:marBottom w:val="0"/>
      <w:divBdr>
        <w:top w:val="none" w:sz="0" w:space="0" w:color="auto"/>
        <w:left w:val="none" w:sz="0" w:space="0" w:color="auto"/>
        <w:bottom w:val="none" w:sz="0" w:space="0" w:color="auto"/>
        <w:right w:val="none" w:sz="0" w:space="0" w:color="auto"/>
      </w:divBdr>
    </w:div>
    <w:div w:id="1051073567">
      <w:bodyDiv w:val="1"/>
      <w:marLeft w:val="0"/>
      <w:marRight w:val="0"/>
      <w:marTop w:val="0"/>
      <w:marBottom w:val="0"/>
      <w:divBdr>
        <w:top w:val="none" w:sz="0" w:space="0" w:color="auto"/>
        <w:left w:val="none" w:sz="0" w:space="0" w:color="auto"/>
        <w:bottom w:val="none" w:sz="0" w:space="0" w:color="auto"/>
        <w:right w:val="none" w:sz="0" w:space="0" w:color="auto"/>
      </w:divBdr>
    </w:div>
    <w:div w:id="1097016497">
      <w:bodyDiv w:val="1"/>
      <w:marLeft w:val="0"/>
      <w:marRight w:val="0"/>
      <w:marTop w:val="0"/>
      <w:marBottom w:val="0"/>
      <w:divBdr>
        <w:top w:val="none" w:sz="0" w:space="0" w:color="auto"/>
        <w:left w:val="none" w:sz="0" w:space="0" w:color="auto"/>
        <w:bottom w:val="none" w:sz="0" w:space="0" w:color="auto"/>
        <w:right w:val="none" w:sz="0" w:space="0" w:color="auto"/>
      </w:divBdr>
    </w:div>
    <w:div w:id="122660386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10EF-BF7A-42A1-A4AA-D9BEEC6B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14</cp:revision>
  <cp:lastPrinted>2021-12-20T04:22:00Z</cp:lastPrinted>
  <dcterms:created xsi:type="dcterms:W3CDTF">2021-12-16T10:01:00Z</dcterms:created>
  <dcterms:modified xsi:type="dcterms:W3CDTF">2021-12-20T04:39:00Z</dcterms:modified>
</cp:coreProperties>
</file>