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D8B0A69" w14:textId="328BC9AC" w:rsidR="007637B5"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FD7157">
        <w:rPr>
          <w:rFonts w:ascii="Times New Roman" w:hAnsi="Times New Roman" w:cs="Times New Roman"/>
          <w:sz w:val="24"/>
          <w:szCs w:val="24"/>
        </w:rPr>
        <w:t>2</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BB56B9">
        <w:rPr>
          <w:rFonts w:ascii="Times New Roman" w:hAnsi="Times New Roman" w:cs="Times New Roman"/>
          <w:sz w:val="24"/>
          <w:szCs w:val="24"/>
        </w:rPr>
        <w:t>15</w:t>
      </w:r>
      <w:r w:rsidR="00FD7157">
        <w:rPr>
          <w:rFonts w:ascii="Times New Roman" w:hAnsi="Times New Roman" w:cs="Times New Roman"/>
          <w:sz w:val="24"/>
          <w:szCs w:val="24"/>
        </w:rPr>
        <w:t xml:space="preserve"> </w:t>
      </w:r>
      <w:r w:rsidR="00133347">
        <w:rPr>
          <w:rFonts w:ascii="Times New Roman" w:hAnsi="Times New Roman" w:cs="Times New Roman"/>
          <w:sz w:val="24"/>
          <w:szCs w:val="24"/>
        </w:rPr>
        <w:t>(</w:t>
      </w:r>
      <w:r w:rsidR="00FD7157">
        <w:rPr>
          <w:rFonts w:ascii="Times New Roman" w:hAnsi="Times New Roman" w:cs="Times New Roman"/>
          <w:sz w:val="24"/>
          <w:szCs w:val="24"/>
        </w:rPr>
        <w:t>29 April 2022</w:t>
      </w:r>
      <w:r w:rsidR="008225AE">
        <w:rPr>
          <w:rFonts w:ascii="Times New Roman" w:hAnsi="Times New Roman" w:cs="Times New Roman"/>
          <w:sz w:val="24"/>
          <w:szCs w:val="24"/>
        </w:rPr>
        <w:t>)</w:t>
      </w:r>
    </w:p>
    <w:p w14:paraId="39C68942" w14:textId="580D4623" w:rsidR="002E2AE3" w:rsidRDefault="006F5AB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000593">
        <w:rPr>
          <w:rFonts w:ascii="Times New Roman" w:hAnsi="Times New Roman" w:cs="Times New Roman"/>
          <w:sz w:val="24"/>
          <w:szCs w:val="24"/>
        </w:rPr>
        <w:t>53</w:t>
      </w:r>
      <w:r w:rsidR="00861B94">
        <w:rPr>
          <w:rFonts w:ascii="Times New Roman" w:hAnsi="Times New Roman" w:cs="Times New Roman"/>
          <w:sz w:val="24"/>
          <w:szCs w:val="24"/>
        </w:rPr>
        <w:t>/20</w:t>
      </w:r>
      <w:r w:rsidR="008225AE">
        <w:rPr>
          <w:rFonts w:ascii="Times New Roman" w:hAnsi="Times New Roman" w:cs="Times New Roman"/>
          <w:sz w:val="24"/>
          <w:szCs w:val="24"/>
        </w:rPr>
        <w:t>1</w:t>
      </w:r>
      <w:r w:rsidR="00000593">
        <w:rPr>
          <w:rFonts w:ascii="Times New Roman" w:hAnsi="Times New Roman" w:cs="Times New Roman"/>
          <w:sz w:val="24"/>
          <w:szCs w:val="24"/>
        </w:rPr>
        <w:t>9</w:t>
      </w:r>
    </w:p>
    <w:p w14:paraId="0AD6B0FD" w14:textId="2F8A9DA8" w:rsidR="00245165" w:rsidRDefault="0024516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(Appeal from C</w:t>
      </w:r>
      <w:r w:rsidR="008225AE">
        <w:rPr>
          <w:rFonts w:ascii="Times New Roman" w:hAnsi="Times New Roman" w:cs="Times New Roman"/>
          <w:sz w:val="24"/>
          <w:szCs w:val="24"/>
        </w:rPr>
        <w:t xml:space="preserve">S </w:t>
      </w:r>
      <w:r w:rsidR="00000593">
        <w:rPr>
          <w:rFonts w:ascii="Times New Roman" w:hAnsi="Times New Roman" w:cs="Times New Roman"/>
          <w:sz w:val="24"/>
          <w:szCs w:val="24"/>
        </w:rPr>
        <w:t>78</w:t>
      </w:r>
      <w:r w:rsidR="008225AE">
        <w:rPr>
          <w:rFonts w:ascii="Times New Roman" w:hAnsi="Times New Roman" w:cs="Times New Roman"/>
          <w:sz w:val="24"/>
          <w:szCs w:val="24"/>
        </w:rPr>
        <w:t>/201</w:t>
      </w:r>
      <w:r w:rsidR="00000593">
        <w:rPr>
          <w:rFonts w:ascii="Times New Roman" w:hAnsi="Times New Roman" w:cs="Times New Roman"/>
          <w:sz w:val="24"/>
          <w:szCs w:val="24"/>
        </w:rPr>
        <w:t>7</w:t>
      </w:r>
      <w:r>
        <w:rPr>
          <w:rFonts w:ascii="Times New Roman" w:hAnsi="Times New Roman" w:cs="Times New Roman"/>
          <w:sz w:val="24"/>
          <w:szCs w:val="24"/>
        </w:rPr>
        <w:t>)</w:t>
      </w:r>
    </w:p>
    <w:p w14:paraId="31EA072B" w14:textId="057526F9" w:rsidR="00F24182" w:rsidRDefault="00F24182" w:rsidP="00214DB4">
      <w:pPr>
        <w:spacing w:after="0" w:line="240" w:lineRule="auto"/>
        <w:ind w:left="5580"/>
        <w:rPr>
          <w:rFonts w:ascii="Times New Roman" w:hAnsi="Times New Roman" w:cs="Times New Roman"/>
          <w:sz w:val="24"/>
          <w:szCs w:val="24"/>
        </w:rPr>
      </w:pP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108C7183" w14:textId="63A89A1F" w:rsidR="006A68E2" w:rsidRDefault="006A68E2" w:rsidP="00214DB4">
      <w:pPr>
        <w:spacing w:after="0" w:line="240" w:lineRule="auto"/>
        <w:ind w:left="5580"/>
        <w:rPr>
          <w:rFonts w:ascii="Times New Roman" w:hAnsi="Times New Roman" w:cs="Times New Roman"/>
          <w:sz w:val="24"/>
          <w:szCs w:val="24"/>
        </w:rPr>
      </w:pPr>
    </w:p>
    <w:p w14:paraId="33AB6D87" w14:textId="3C89F901" w:rsidR="005D3054" w:rsidRPr="005D3054" w:rsidRDefault="00000593" w:rsidP="00EE2F90">
      <w:pPr>
        <w:pStyle w:val="NoSpacing"/>
        <w:tabs>
          <w:tab w:val="left" w:pos="5580"/>
        </w:tabs>
        <w:spacing w:line="360" w:lineRule="auto"/>
        <w:rPr>
          <w:rFonts w:ascii="Times New Roman" w:hAnsi="Times New Roman" w:cs="Times New Roman"/>
          <w:b/>
          <w:sz w:val="24"/>
          <w:szCs w:val="24"/>
        </w:rPr>
      </w:pPr>
      <w:r>
        <w:rPr>
          <w:rFonts w:ascii="Times New Roman" w:hAnsi="Times New Roman" w:cs="Times New Roman"/>
          <w:b/>
          <w:sz w:val="24"/>
          <w:szCs w:val="24"/>
        </w:rPr>
        <w:t>PATRICK GRANDCOURT</w:t>
      </w:r>
      <w:r w:rsidR="008225AE">
        <w:rPr>
          <w:rFonts w:ascii="Times New Roman" w:hAnsi="Times New Roman" w:cs="Times New Roman"/>
          <w:b/>
          <w:sz w:val="24"/>
          <w:szCs w:val="24"/>
        </w:rPr>
        <w:tab/>
      </w:r>
      <w:r>
        <w:rPr>
          <w:rFonts w:ascii="Times New Roman" w:hAnsi="Times New Roman" w:cs="Times New Roman"/>
          <w:b/>
          <w:sz w:val="24"/>
          <w:szCs w:val="24"/>
        </w:rPr>
        <w:tab/>
      </w:r>
      <w:r w:rsidR="00EE2F90" w:rsidRPr="005D3054">
        <w:rPr>
          <w:rFonts w:ascii="Times New Roman" w:hAnsi="Times New Roman" w:cs="Times New Roman"/>
          <w:b/>
          <w:sz w:val="24"/>
          <w:szCs w:val="24"/>
        </w:rPr>
        <w:t>Appellant</w:t>
      </w:r>
      <w:r w:rsidR="00EE2F90" w:rsidRPr="005D3054">
        <w:rPr>
          <w:rFonts w:ascii="Times New Roman" w:hAnsi="Times New Roman" w:cs="Times New Roman"/>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8225AE">
        <w:rPr>
          <w:rFonts w:ascii="Times New Roman" w:hAnsi="Times New Roman" w:cs="Times New Roman"/>
          <w:b/>
          <w:sz w:val="24"/>
          <w:szCs w:val="24"/>
        </w:rPr>
        <w:tab/>
      </w:r>
      <w:r w:rsidR="00F24182" w:rsidRPr="00F24182">
        <w:rPr>
          <w:rFonts w:ascii="Times New Roman" w:hAnsi="Times New Roman" w:cs="Times New Roman"/>
          <w:b/>
          <w:sz w:val="24"/>
          <w:szCs w:val="24"/>
        </w:rPr>
        <w:t xml:space="preserve"> </w:t>
      </w:r>
    </w:p>
    <w:p w14:paraId="398C6A6D" w14:textId="25D0E4E6" w:rsidR="005D3054" w:rsidRPr="005D3054" w:rsidRDefault="005D3054" w:rsidP="005D3054">
      <w:pPr>
        <w:pStyle w:val="NoSpacing"/>
        <w:rPr>
          <w:rFonts w:ascii="Times New Roman" w:hAnsi="Times New Roman" w:cs="Times New Roman"/>
          <w:sz w:val="24"/>
          <w:szCs w:val="24"/>
        </w:rPr>
      </w:pPr>
      <w:r w:rsidRPr="005D3054">
        <w:rPr>
          <w:rFonts w:ascii="Times New Roman" w:hAnsi="Times New Roman" w:cs="Times New Roman"/>
          <w:i/>
          <w:sz w:val="24"/>
          <w:szCs w:val="24"/>
        </w:rPr>
        <w:t>(</w:t>
      </w:r>
      <w:proofErr w:type="gramStart"/>
      <w:r w:rsidRPr="005D3054">
        <w:rPr>
          <w:rFonts w:ascii="Times New Roman" w:hAnsi="Times New Roman" w:cs="Times New Roman"/>
          <w:i/>
          <w:sz w:val="24"/>
          <w:szCs w:val="24"/>
        </w:rPr>
        <w:t>rep</w:t>
      </w:r>
      <w:proofErr w:type="gramEnd"/>
      <w:r w:rsidRPr="005D3054">
        <w:rPr>
          <w:rFonts w:ascii="Times New Roman" w:hAnsi="Times New Roman" w:cs="Times New Roman"/>
          <w:i/>
          <w:sz w:val="24"/>
          <w:szCs w:val="24"/>
        </w:rPr>
        <w:t xml:space="preserve">. by </w:t>
      </w:r>
      <w:r w:rsidR="00000593">
        <w:rPr>
          <w:rFonts w:ascii="Times New Roman" w:hAnsi="Times New Roman" w:cs="Times New Roman"/>
          <w:i/>
          <w:sz w:val="24"/>
          <w:szCs w:val="24"/>
        </w:rPr>
        <w:t>Mr. Guy Ferley</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7D5C18">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271C560E" w:rsidR="00F24182" w:rsidRPr="006F5ABA" w:rsidRDefault="00000593" w:rsidP="00EE2F90">
      <w:pPr>
        <w:pStyle w:val="Partynames"/>
      </w:pPr>
      <w:r>
        <w:t xml:space="preserve">SEYCHELLES PETROLEUM CO. (PTY) LIMITED </w:t>
      </w:r>
      <w:r w:rsidR="00F24182">
        <w:tab/>
      </w:r>
      <w:r>
        <w:tab/>
      </w:r>
      <w:r w:rsidR="008225AE">
        <w:t>R</w:t>
      </w:r>
      <w:r w:rsidR="00983AAA">
        <w:t>espondent</w:t>
      </w:r>
    </w:p>
    <w:p w14:paraId="35F33580" w14:textId="7B1D6994"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w:t>
      </w:r>
      <w:proofErr w:type="gramStart"/>
      <w:r w:rsidRPr="006F5ABA">
        <w:rPr>
          <w:rFonts w:ascii="Times New Roman" w:hAnsi="Times New Roman" w:cs="Times New Roman"/>
          <w:i/>
          <w:sz w:val="24"/>
          <w:szCs w:val="24"/>
        </w:rPr>
        <w:t>rep</w:t>
      </w:r>
      <w:proofErr w:type="gramEnd"/>
      <w:r w:rsidRPr="006F5ABA">
        <w:rPr>
          <w:rFonts w:ascii="Times New Roman" w:hAnsi="Times New Roman" w:cs="Times New Roman"/>
          <w:i/>
          <w:sz w:val="24"/>
          <w:szCs w:val="24"/>
        </w:rPr>
        <w:t xml:space="preserve">. by </w:t>
      </w:r>
      <w:r>
        <w:rPr>
          <w:rFonts w:ascii="Times New Roman" w:hAnsi="Times New Roman" w:cs="Times New Roman"/>
          <w:i/>
          <w:sz w:val="24"/>
          <w:szCs w:val="24"/>
        </w:rPr>
        <w:t>M</w:t>
      </w:r>
      <w:r w:rsidR="008225AE">
        <w:rPr>
          <w:rFonts w:ascii="Times New Roman" w:hAnsi="Times New Roman" w:cs="Times New Roman"/>
          <w:i/>
          <w:sz w:val="24"/>
          <w:szCs w:val="24"/>
        </w:rPr>
        <w:t xml:space="preserve">r. </w:t>
      </w:r>
      <w:r w:rsidR="00000593">
        <w:rPr>
          <w:rFonts w:ascii="Times New Roman" w:hAnsi="Times New Roman" w:cs="Times New Roman"/>
          <w:i/>
          <w:sz w:val="24"/>
          <w:szCs w:val="24"/>
        </w:rPr>
        <w:t xml:space="preserve">Olivier Chang </w:t>
      </w:r>
      <w:proofErr w:type="spellStart"/>
      <w:r w:rsidR="00000593">
        <w:rPr>
          <w:rFonts w:ascii="Times New Roman" w:hAnsi="Times New Roman" w:cs="Times New Roman"/>
          <w:i/>
          <w:sz w:val="24"/>
          <w:szCs w:val="24"/>
        </w:rPr>
        <w:t>Leng</w:t>
      </w:r>
      <w:proofErr w:type="spellEnd"/>
      <w:r w:rsidRPr="004A2599">
        <w:rPr>
          <w:rFonts w:ascii="Times New Roman" w:hAnsi="Times New Roman" w:cs="Times New Roman"/>
          <w:i/>
          <w:sz w:val="24"/>
          <w:szCs w:val="24"/>
        </w:rPr>
        <w:t>)</w:t>
      </w:r>
    </w:p>
    <w:p w14:paraId="0FF82B17" w14:textId="77777777" w:rsidR="00BB1A3E" w:rsidRPr="00BB1A3E"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33FC40D7" w14:textId="7CA14F6B" w:rsidR="00861B94" w:rsidRPr="0036640A" w:rsidRDefault="00405958" w:rsidP="00861B94">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Neutral Citation:</w:t>
      </w:r>
      <w:r w:rsidR="004A2599" w:rsidRPr="0036640A">
        <w:rPr>
          <w:rFonts w:ascii="Times New Roman" w:hAnsi="Times New Roman" w:cs="Times New Roman"/>
          <w:sz w:val="24"/>
          <w:szCs w:val="24"/>
        </w:rPr>
        <w:t xml:space="preserve"> </w:t>
      </w:r>
      <w:r w:rsidR="004A2599" w:rsidRPr="0036640A">
        <w:rPr>
          <w:rFonts w:ascii="Times New Roman" w:hAnsi="Times New Roman" w:cs="Times New Roman"/>
          <w:sz w:val="24"/>
          <w:szCs w:val="24"/>
        </w:rPr>
        <w:tab/>
      </w:r>
      <w:proofErr w:type="spellStart"/>
      <w:r w:rsidR="00000593">
        <w:rPr>
          <w:rFonts w:ascii="Times New Roman" w:hAnsi="Times New Roman" w:cs="Times New Roman"/>
          <w:i/>
          <w:sz w:val="24"/>
          <w:szCs w:val="24"/>
        </w:rPr>
        <w:t>Grandcourt</w:t>
      </w:r>
      <w:proofErr w:type="spellEnd"/>
      <w:r w:rsidR="008225AE" w:rsidRPr="0036640A">
        <w:rPr>
          <w:rFonts w:ascii="Times New Roman" w:hAnsi="Times New Roman" w:cs="Times New Roman"/>
          <w:i/>
          <w:sz w:val="24"/>
          <w:szCs w:val="24"/>
        </w:rPr>
        <w:t xml:space="preserve"> v </w:t>
      </w:r>
      <w:r w:rsidR="00000593" w:rsidRPr="00000593">
        <w:rPr>
          <w:rFonts w:ascii="Times New Roman" w:hAnsi="Times New Roman" w:cs="Times New Roman"/>
          <w:i/>
          <w:sz w:val="24"/>
          <w:szCs w:val="24"/>
        </w:rPr>
        <w:t xml:space="preserve">Seychelles Petroleum Co. (Pty) Limited </w:t>
      </w:r>
      <w:r w:rsidR="00636AFB" w:rsidRPr="0036640A">
        <w:rPr>
          <w:rFonts w:ascii="Times New Roman" w:hAnsi="Times New Roman" w:cs="Times New Roman"/>
          <w:i/>
          <w:sz w:val="24"/>
          <w:szCs w:val="24"/>
        </w:rPr>
        <w:t>(</w:t>
      </w:r>
      <w:r w:rsidR="003F751A" w:rsidRPr="0036640A">
        <w:rPr>
          <w:rFonts w:ascii="Times New Roman" w:hAnsi="Times New Roman" w:cs="Times New Roman"/>
          <w:sz w:val="24"/>
          <w:szCs w:val="24"/>
        </w:rPr>
        <w:t xml:space="preserve">SCA </w:t>
      </w:r>
      <w:r w:rsidR="00000593">
        <w:rPr>
          <w:rFonts w:ascii="Times New Roman" w:hAnsi="Times New Roman" w:cs="Times New Roman"/>
          <w:sz w:val="24"/>
          <w:szCs w:val="24"/>
        </w:rPr>
        <w:t>53</w:t>
      </w:r>
      <w:r w:rsidR="00861B94" w:rsidRPr="0036640A">
        <w:rPr>
          <w:rFonts w:ascii="Times New Roman" w:hAnsi="Times New Roman" w:cs="Times New Roman"/>
          <w:sz w:val="24"/>
          <w:szCs w:val="24"/>
        </w:rPr>
        <w:t>/20</w:t>
      </w:r>
      <w:r w:rsidR="008225AE" w:rsidRPr="0036640A">
        <w:rPr>
          <w:rFonts w:ascii="Times New Roman" w:hAnsi="Times New Roman" w:cs="Times New Roman"/>
          <w:sz w:val="24"/>
          <w:szCs w:val="24"/>
        </w:rPr>
        <w:t>1</w:t>
      </w:r>
      <w:r w:rsidR="00000593">
        <w:rPr>
          <w:rFonts w:ascii="Times New Roman" w:hAnsi="Times New Roman" w:cs="Times New Roman"/>
          <w:sz w:val="24"/>
          <w:szCs w:val="24"/>
        </w:rPr>
        <w:t>9</w:t>
      </w:r>
      <w:r w:rsidR="008225AE" w:rsidRPr="0036640A">
        <w:rPr>
          <w:rFonts w:ascii="Times New Roman" w:hAnsi="Times New Roman" w:cs="Times New Roman"/>
          <w:sz w:val="24"/>
          <w:szCs w:val="24"/>
        </w:rPr>
        <w:t>)</w:t>
      </w:r>
      <w:r w:rsidR="00861B94" w:rsidRPr="0036640A">
        <w:rPr>
          <w:rFonts w:ascii="Times New Roman" w:hAnsi="Times New Roman" w:cs="Times New Roman"/>
          <w:sz w:val="24"/>
          <w:szCs w:val="24"/>
        </w:rPr>
        <w:t xml:space="preserve"> </w:t>
      </w:r>
      <w:r w:rsidR="00CD33DA">
        <w:rPr>
          <w:rFonts w:ascii="Times New Roman" w:hAnsi="Times New Roman" w:cs="Times New Roman"/>
          <w:sz w:val="24"/>
          <w:szCs w:val="24"/>
        </w:rPr>
        <w:t xml:space="preserve">  </w:t>
      </w:r>
      <w:r w:rsidR="000A0FCF" w:rsidRPr="0036640A">
        <w:rPr>
          <w:rFonts w:ascii="Times New Roman" w:hAnsi="Times New Roman" w:cs="Times New Roman"/>
          <w:sz w:val="24"/>
          <w:szCs w:val="24"/>
        </w:rPr>
        <w:t xml:space="preserve"> [202</w:t>
      </w:r>
      <w:r w:rsidR="00000593">
        <w:rPr>
          <w:rFonts w:ascii="Times New Roman" w:hAnsi="Times New Roman" w:cs="Times New Roman"/>
          <w:sz w:val="24"/>
          <w:szCs w:val="24"/>
        </w:rPr>
        <w:t>2</w:t>
      </w:r>
      <w:r w:rsidR="000A0FCF" w:rsidRPr="0036640A">
        <w:rPr>
          <w:rFonts w:ascii="Times New Roman" w:hAnsi="Times New Roman" w:cs="Times New Roman"/>
          <w:sz w:val="24"/>
          <w:szCs w:val="24"/>
        </w:rPr>
        <w:t xml:space="preserve">] SCCA </w:t>
      </w:r>
      <w:proofErr w:type="gramStart"/>
      <w:r w:rsidR="00BB56B9">
        <w:rPr>
          <w:rFonts w:ascii="Times New Roman" w:hAnsi="Times New Roman" w:cs="Times New Roman"/>
          <w:sz w:val="24"/>
          <w:szCs w:val="24"/>
        </w:rPr>
        <w:t>15</w:t>
      </w:r>
      <w:r w:rsidR="00000593">
        <w:rPr>
          <w:rFonts w:ascii="Times New Roman" w:hAnsi="Times New Roman" w:cs="Times New Roman"/>
          <w:sz w:val="24"/>
          <w:szCs w:val="24"/>
        </w:rPr>
        <w:t xml:space="preserve"> </w:t>
      </w:r>
      <w:r w:rsidR="008225AE" w:rsidRPr="0036640A">
        <w:rPr>
          <w:rFonts w:ascii="Times New Roman" w:hAnsi="Times New Roman" w:cs="Times New Roman"/>
          <w:sz w:val="24"/>
          <w:szCs w:val="24"/>
        </w:rPr>
        <w:t xml:space="preserve"> (</w:t>
      </w:r>
      <w:proofErr w:type="gramEnd"/>
      <w:r w:rsidR="00000593">
        <w:rPr>
          <w:rFonts w:ascii="Times New Roman" w:hAnsi="Times New Roman" w:cs="Times New Roman"/>
          <w:sz w:val="24"/>
          <w:szCs w:val="24"/>
        </w:rPr>
        <w:t>29 April 2022</w:t>
      </w:r>
      <w:r w:rsidR="008225AE" w:rsidRPr="0036640A">
        <w:rPr>
          <w:rFonts w:ascii="Times New Roman" w:hAnsi="Times New Roman" w:cs="Times New Roman"/>
          <w:sz w:val="24"/>
          <w:szCs w:val="24"/>
        </w:rPr>
        <w:t>)</w:t>
      </w:r>
    </w:p>
    <w:p w14:paraId="2CBC2A12" w14:textId="01E26EFB" w:rsidR="002E2AE3" w:rsidRPr="0036640A" w:rsidRDefault="009F125D" w:rsidP="008225AE">
      <w:pPr>
        <w:pStyle w:val="NoSpacing"/>
        <w:tabs>
          <w:tab w:val="left" w:pos="1890"/>
        </w:tabs>
        <w:ind w:left="1890" w:hanging="1890"/>
        <w:rPr>
          <w:rFonts w:ascii="Times New Roman" w:hAnsi="Times New Roman" w:cs="Times New Roman"/>
          <w:sz w:val="24"/>
          <w:szCs w:val="24"/>
        </w:rPr>
      </w:pPr>
      <w:r w:rsidRPr="0036640A">
        <w:rPr>
          <w:rFonts w:ascii="Times New Roman" w:hAnsi="Times New Roman" w:cs="Times New Roman"/>
          <w:b/>
          <w:sz w:val="24"/>
          <w:szCs w:val="24"/>
        </w:rPr>
        <w:t>Before</w:t>
      </w:r>
      <w:r w:rsidR="00405958" w:rsidRPr="0036640A">
        <w:rPr>
          <w:rFonts w:ascii="Times New Roman" w:hAnsi="Times New Roman" w:cs="Times New Roman"/>
          <w:b/>
          <w:sz w:val="24"/>
          <w:szCs w:val="24"/>
        </w:rPr>
        <w:t xml:space="preserve">: </w:t>
      </w:r>
      <w:r w:rsidR="004A2599" w:rsidRPr="0036640A">
        <w:rPr>
          <w:rFonts w:ascii="Times New Roman" w:hAnsi="Times New Roman" w:cs="Times New Roman"/>
          <w:sz w:val="24"/>
          <w:szCs w:val="24"/>
        </w:rPr>
        <w:tab/>
      </w:r>
      <w:r w:rsidR="00636AFB">
        <w:rPr>
          <w:rFonts w:ascii="Times New Roman" w:hAnsi="Times New Roman" w:cs="Times New Roman"/>
          <w:sz w:val="24"/>
          <w:szCs w:val="24"/>
        </w:rPr>
        <w:t>Fernando, P</w:t>
      </w:r>
      <w:r w:rsidR="00BB56B9">
        <w:rPr>
          <w:rFonts w:ascii="Times New Roman" w:hAnsi="Times New Roman" w:cs="Times New Roman"/>
          <w:sz w:val="24"/>
          <w:szCs w:val="24"/>
        </w:rPr>
        <w:t>resident,</w:t>
      </w:r>
      <w:r w:rsidR="00636AFB">
        <w:rPr>
          <w:rFonts w:ascii="Times New Roman" w:hAnsi="Times New Roman" w:cs="Times New Roman"/>
          <w:sz w:val="24"/>
          <w:szCs w:val="24"/>
        </w:rPr>
        <w:t xml:space="preserve"> </w:t>
      </w:r>
      <w:r w:rsidR="00861B94" w:rsidRPr="0036640A">
        <w:rPr>
          <w:rFonts w:ascii="Times New Roman" w:hAnsi="Times New Roman" w:cs="Times New Roman"/>
          <w:sz w:val="24"/>
          <w:szCs w:val="24"/>
        </w:rPr>
        <w:t>Twomey</w:t>
      </w:r>
      <w:r w:rsidR="007042A1">
        <w:rPr>
          <w:rFonts w:ascii="Times New Roman" w:hAnsi="Times New Roman" w:cs="Times New Roman"/>
          <w:sz w:val="24"/>
          <w:szCs w:val="24"/>
        </w:rPr>
        <w:t>-Woods</w:t>
      </w:r>
      <w:r w:rsidR="00861B94" w:rsidRPr="0036640A">
        <w:rPr>
          <w:rFonts w:ascii="Times New Roman" w:hAnsi="Times New Roman" w:cs="Times New Roman"/>
          <w:sz w:val="24"/>
          <w:szCs w:val="24"/>
        </w:rPr>
        <w:t xml:space="preserve">, </w:t>
      </w:r>
      <w:r w:rsidR="00000593">
        <w:rPr>
          <w:rFonts w:ascii="Times New Roman" w:hAnsi="Times New Roman" w:cs="Times New Roman"/>
          <w:sz w:val="24"/>
          <w:szCs w:val="24"/>
        </w:rPr>
        <w:t>Robinson</w:t>
      </w:r>
      <w:r w:rsidR="008225AE" w:rsidRPr="0036640A">
        <w:rPr>
          <w:rFonts w:ascii="Times New Roman" w:hAnsi="Times New Roman" w:cs="Times New Roman"/>
          <w:sz w:val="24"/>
          <w:szCs w:val="24"/>
        </w:rPr>
        <w:t xml:space="preserve">, </w:t>
      </w:r>
      <w:proofErr w:type="gramStart"/>
      <w:r w:rsidR="00861B94" w:rsidRPr="0036640A">
        <w:rPr>
          <w:rFonts w:ascii="Times New Roman" w:hAnsi="Times New Roman" w:cs="Times New Roman"/>
          <w:sz w:val="24"/>
          <w:szCs w:val="24"/>
        </w:rPr>
        <w:t>J</w:t>
      </w:r>
      <w:r w:rsidR="008225AE" w:rsidRPr="0036640A">
        <w:rPr>
          <w:rFonts w:ascii="Times New Roman" w:hAnsi="Times New Roman" w:cs="Times New Roman"/>
          <w:sz w:val="24"/>
          <w:szCs w:val="24"/>
        </w:rPr>
        <w:t>J</w:t>
      </w:r>
      <w:r w:rsidR="00861B94" w:rsidRPr="0036640A">
        <w:rPr>
          <w:rFonts w:ascii="Times New Roman" w:hAnsi="Times New Roman" w:cs="Times New Roman"/>
          <w:sz w:val="24"/>
          <w:szCs w:val="24"/>
        </w:rPr>
        <w:t>A</w:t>
      </w:r>
      <w:proofErr w:type="gramEnd"/>
    </w:p>
    <w:p w14:paraId="0B2CDE4B" w14:textId="5D31EABC" w:rsidR="00F24182" w:rsidRPr="0036640A" w:rsidRDefault="00346D7F" w:rsidP="007D5C18">
      <w:pPr>
        <w:spacing w:after="0" w:line="240" w:lineRule="auto"/>
        <w:ind w:left="1890" w:hanging="1890"/>
        <w:jc w:val="both"/>
        <w:rPr>
          <w:rFonts w:ascii="Times New Roman" w:hAnsi="Times New Roman" w:cs="Times New Roman"/>
          <w:b/>
          <w:sz w:val="24"/>
          <w:szCs w:val="24"/>
        </w:rPr>
      </w:pPr>
      <w:r w:rsidRPr="0036640A">
        <w:rPr>
          <w:rFonts w:ascii="Times New Roman" w:hAnsi="Times New Roman" w:cs="Times New Roman"/>
          <w:b/>
          <w:sz w:val="24"/>
          <w:szCs w:val="24"/>
        </w:rPr>
        <w:t xml:space="preserve">Summary: </w:t>
      </w:r>
      <w:r w:rsidR="00F33B83" w:rsidRPr="0036640A">
        <w:rPr>
          <w:rFonts w:ascii="Times New Roman" w:hAnsi="Times New Roman" w:cs="Times New Roman"/>
          <w:b/>
          <w:sz w:val="24"/>
          <w:szCs w:val="24"/>
        </w:rPr>
        <w:tab/>
      </w:r>
      <w:r w:rsidR="008225AE" w:rsidRPr="0036640A">
        <w:rPr>
          <w:rFonts w:ascii="Times New Roman" w:hAnsi="Times New Roman" w:cs="Times New Roman"/>
          <w:sz w:val="24"/>
          <w:szCs w:val="24"/>
        </w:rPr>
        <w:t xml:space="preserve">Contract-Breach of </w:t>
      </w:r>
      <w:r w:rsidR="00000593">
        <w:rPr>
          <w:rFonts w:ascii="Times New Roman" w:hAnsi="Times New Roman" w:cs="Times New Roman"/>
          <w:sz w:val="24"/>
          <w:szCs w:val="24"/>
        </w:rPr>
        <w:t>agreement for operation of a petrol station-</w:t>
      </w:r>
      <w:r w:rsidR="00CD33DA">
        <w:rPr>
          <w:rFonts w:ascii="Times New Roman" w:hAnsi="Times New Roman" w:cs="Times New Roman"/>
          <w:sz w:val="24"/>
          <w:szCs w:val="24"/>
        </w:rPr>
        <w:t>non-payment</w:t>
      </w:r>
      <w:r w:rsidR="00000593">
        <w:rPr>
          <w:rFonts w:ascii="Times New Roman" w:hAnsi="Times New Roman" w:cs="Times New Roman"/>
          <w:sz w:val="24"/>
          <w:szCs w:val="24"/>
        </w:rPr>
        <w:t xml:space="preserve"> of </w:t>
      </w:r>
      <w:r w:rsidR="00CD33DA">
        <w:rPr>
          <w:rFonts w:ascii="Times New Roman" w:hAnsi="Times New Roman" w:cs="Times New Roman"/>
          <w:sz w:val="24"/>
          <w:szCs w:val="24"/>
        </w:rPr>
        <w:t>petroleum and gas products sold-reconciliation of accounts-</w:t>
      </w:r>
      <w:r w:rsidR="00DD1261">
        <w:rPr>
          <w:rFonts w:ascii="Times New Roman" w:hAnsi="Times New Roman" w:cs="Times New Roman"/>
          <w:sz w:val="24"/>
          <w:szCs w:val="24"/>
        </w:rPr>
        <w:t>expert witnesses</w:t>
      </w:r>
      <w:r w:rsidR="00CD33DA">
        <w:rPr>
          <w:rFonts w:ascii="Times New Roman" w:hAnsi="Times New Roman" w:cs="Times New Roman"/>
          <w:sz w:val="24"/>
          <w:szCs w:val="24"/>
        </w:rPr>
        <w:t xml:space="preserve"> </w:t>
      </w:r>
      <w:r w:rsidR="00000593">
        <w:rPr>
          <w:rFonts w:ascii="Times New Roman" w:hAnsi="Times New Roman" w:cs="Times New Roman"/>
          <w:sz w:val="24"/>
          <w:szCs w:val="24"/>
        </w:rPr>
        <w:t xml:space="preserve"> </w:t>
      </w:r>
    </w:p>
    <w:p w14:paraId="1A9C66B6" w14:textId="30589802" w:rsidR="00344425" w:rsidRPr="0036640A"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 xml:space="preserve">Heard: </w:t>
      </w:r>
      <w:r w:rsidR="005B12AA" w:rsidRPr="0036640A">
        <w:rPr>
          <w:rFonts w:ascii="Times New Roman" w:hAnsi="Times New Roman" w:cs="Times New Roman"/>
          <w:sz w:val="24"/>
          <w:szCs w:val="24"/>
        </w:rPr>
        <w:tab/>
      </w:r>
      <w:r w:rsidR="005B12AA" w:rsidRPr="0036640A">
        <w:rPr>
          <w:rFonts w:ascii="Times New Roman" w:hAnsi="Times New Roman" w:cs="Times New Roman"/>
          <w:sz w:val="24"/>
          <w:szCs w:val="24"/>
        </w:rPr>
        <w:tab/>
      </w:r>
      <w:r w:rsidR="00C40F27" w:rsidRPr="0036640A">
        <w:rPr>
          <w:rFonts w:ascii="Times New Roman" w:hAnsi="Times New Roman" w:cs="Times New Roman"/>
          <w:sz w:val="24"/>
          <w:szCs w:val="24"/>
        </w:rPr>
        <w:t xml:space="preserve"> </w:t>
      </w:r>
      <w:r w:rsidR="00C40F27" w:rsidRPr="0036640A">
        <w:rPr>
          <w:rFonts w:ascii="Times New Roman" w:hAnsi="Times New Roman" w:cs="Times New Roman"/>
          <w:sz w:val="24"/>
          <w:szCs w:val="24"/>
        </w:rPr>
        <w:tab/>
      </w:r>
      <w:r w:rsidR="00636AFB">
        <w:rPr>
          <w:rFonts w:ascii="Times New Roman" w:hAnsi="Times New Roman" w:cs="Times New Roman"/>
          <w:sz w:val="24"/>
          <w:szCs w:val="24"/>
        </w:rPr>
        <w:t>1</w:t>
      </w:r>
      <w:r w:rsidR="00BB56B9">
        <w:rPr>
          <w:rFonts w:ascii="Times New Roman" w:hAnsi="Times New Roman" w:cs="Times New Roman"/>
          <w:sz w:val="24"/>
          <w:szCs w:val="24"/>
        </w:rPr>
        <w:t>3</w:t>
      </w:r>
      <w:r w:rsidR="00636AFB">
        <w:rPr>
          <w:rFonts w:ascii="Times New Roman" w:hAnsi="Times New Roman" w:cs="Times New Roman"/>
          <w:sz w:val="24"/>
          <w:szCs w:val="24"/>
        </w:rPr>
        <w:t xml:space="preserve"> April </w:t>
      </w:r>
      <w:r w:rsidR="00636AFB" w:rsidRPr="0036640A">
        <w:rPr>
          <w:rFonts w:ascii="Times New Roman" w:hAnsi="Times New Roman" w:cs="Times New Roman"/>
          <w:sz w:val="24"/>
          <w:szCs w:val="24"/>
        </w:rPr>
        <w:t>2022</w:t>
      </w:r>
    </w:p>
    <w:p w14:paraId="00356EF9" w14:textId="02107071" w:rsidR="000A0FCF" w:rsidRPr="0036640A" w:rsidRDefault="00344425" w:rsidP="000A0FCF">
      <w:pPr>
        <w:spacing w:after="0" w:line="240" w:lineRule="auto"/>
        <w:ind w:left="1890" w:hanging="1890"/>
        <w:rPr>
          <w:rFonts w:ascii="Times New Roman" w:hAnsi="Times New Roman" w:cs="Times New Roman"/>
          <w:sz w:val="24"/>
          <w:szCs w:val="24"/>
        </w:rPr>
      </w:pPr>
      <w:r w:rsidRPr="0036640A">
        <w:rPr>
          <w:rFonts w:ascii="Times New Roman" w:hAnsi="Times New Roman" w:cs="Times New Roman"/>
          <w:b/>
          <w:sz w:val="24"/>
          <w:szCs w:val="24"/>
        </w:rPr>
        <w:t>Delivered:</w:t>
      </w:r>
      <w:r w:rsidR="004A2599" w:rsidRPr="0036640A">
        <w:rPr>
          <w:rFonts w:ascii="Times New Roman" w:hAnsi="Times New Roman" w:cs="Times New Roman"/>
          <w:b/>
          <w:sz w:val="24"/>
          <w:szCs w:val="24"/>
        </w:rPr>
        <w:tab/>
      </w:r>
      <w:r w:rsidR="00636AFB">
        <w:rPr>
          <w:rFonts w:ascii="Times New Roman" w:hAnsi="Times New Roman" w:cs="Times New Roman"/>
          <w:sz w:val="24"/>
          <w:szCs w:val="24"/>
        </w:rPr>
        <w:t>29 April 2022</w:t>
      </w:r>
    </w:p>
    <w:p w14:paraId="64261FA4" w14:textId="77777777" w:rsidR="000A0FCF" w:rsidRDefault="000A0FCF" w:rsidP="000A0FCF">
      <w:pPr>
        <w:spacing w:after="0" w:line="240" w:lineRule="auto"/>
        <w:ind w:left="1890" w:hanging="1890"/>
        <w:rPr>
          <w:rFonts w:ascii="Times New Roman" w:hAnsi="Times New Roman" w:cs="Times New Roman"/>
          <w:sz w:val="24"/>
          <w:szCs w:val="24"/>
        </w:rPr>
      </w:pPr>
    </w:p>
    <w:p w14:paraId="37BD7C0F" w14:textId="7BB6C967" w:rsidR="008225AE"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Pr>
          <w:rFonts w:ascii="Times New Roman" w:hAnsi="Times New Roman" w:cs="Times New Roman"/>
          <w:b/>
          <w:sz w:val="24"/>
          <w:szCs w:val="24"/>
        </w:rPr>
        <w:t>ORDER</w:t>
      </w:r>
      <w:r w:rsidR="008225AE" w:rsidRPr="008225AE">
        <w:rPr>
          <w:rFonts w:ascii="Times New Roman" w:hAnsi="Times New Roman" w:cs="Times New Roman"/>
          <w:sz w:val="24"/>
          <w:szCs w:val="24"/>
          <w:lang w:val="en"/>
        </w:rPr>
        <w:t xml:space="preserve"> </w:t>
      </w:r>
    </w:p>
    <w:p w14:paraId="2E596377" w14:textId="3A1AC8BB" w:rsidR="00FD7157" w:rsidRDefault="00FD7157" w:rsidP="00FD7157">
      <w:pPr>
        <w:pBdr>
          <w:top w:val="single" w:sz="4" w:space="12" w:color="auto"/>
          <w:bottom w:val="single" w:sz="4" w:space="0" w:color="auto"/>
        </w:pBdr>
        <w:tabs>
          <w:tab w:val="left" w:pos="2892"/>
        </w:tabs>
        <w:spacing w:after="0" w:line="276"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w:t>
      </w:r>
      <w:r w:rsidR="002E08FE">
        <w:rPr>
          <w:rFonts w:ascii="Times New Roman" w:hAnsi="Times New Roman" w:cs="Times New Roman"/>
          <w:sz w:val="24"/>
          <w:szCs w:val="24"/>
          <w:lang w:val="en"/>
        </w:rPr>
        <w:t xml:space="preserve">appeal </w:t>
      </w:r>
      <w:proofErr w:type="gramStart"/>
      <w:r w:rsidR="002E08FE">
        <w:rPr>
          <w:rFonts w:ascii="Times New Roman" w:hAnsi="Times New Roman" w:cs="Times New Roman"/>
          <w:sz w:val="24"/>
          <w:szCs w:val="24"/>
          <w:lang w:val="en"/>
        </w:rPr>
        <w:t>is dismissed</w:t>
      </w:r>
      <w:proofErr w:type="gramEnd"/>
      <w:r w:rsidR="002E08FE">
        <w:rPr>
          <w:rFonts w:ascii="Times New Roman" w:hAnsi="Times New Roman" w:cs="Times New Roman"/>
          <w:sz w:val="24"/>
          <w:szCs w:val="24"/>
          <w:lang w:val="en"/>
        </w:rPr>
        <w:t>.  The</w:t>
      </w:r>
      <w:r w:rsidR="002E08FE" w:rsidRPr="002E08FE">
        <w:rPr>
          <w:rFonts w:ascii="Times New Roman" w:hAnsi="Times New Roman" w:cs="Times New Roman"/>
          <w:sz w:val="24"/>
          <w:szCs w:val="24"/>
          <w:lang w:val="en"/>
        </w:rPr>
        <w:t xml:space="preserve"> Appellant, P</w:t>
      </w:r>
      <w:r w:rsidR="00374396">
        <w:rPr>
          <w:rFonts w:ascii="Times New Roman" w:hAnsi="Times New Roman" w:cs="Times New Roman"/>
          <w:sz w:val="24"/>
          <w:szCs w:val="24"/>
          <w:lang w:val="en"/>
        </w:rPr>
        <w:t>atrick</w:t>
      </w:r>
      <w:r w:rsidR="002E08FE" w:rsidRPr="002E08FE">
        <w:rPr>
          <w:rFonts w:ascii="Times New Roman" w:hAnsi="Times New Roman" w:cs="Times New Roman"/>
          <w:sz w:val="24"/>
          <w:szCs w:val="24"/>
          <w:lang w:val="en"/>
        </w:rPr>
        <w:t xml:space="preserve"> </w:t>
      </w:r>
      <w:proofErr w:type="spellStart"/>
      <w:r w:rsidR="002E08FE" w:rsidRPr="002E08FE">
        <w:rPr>
          <w:rFonts w:ascii="Times New Roman" w:hAnsi="Times New Roman" w:cs="Times New Roman"/>
          <w:sz w:val="24"/>
          <w:szCs w:val="24"/>
          <w:lang w:val="en"/>
        </w:rPr>
        <w:t>Grandcourt</w:t>
      </w:r>
      <w:proofErr w:type="spellEnd"/>
      <w:r w:rsidR="002E08FE" w:rsidRPr="002E08FE">
        <w:rPr>
          <w:rFonts w:ascii="Times New Roman" w:hAnsi="Times New Roman" w:cs="Times New Roman"/>
          <w:sz w:val="24"/>
          <w:szCs w:val="24"/>
          <w:lang w:val="en"/>
        </w:rPr>
        <w:t xml:space="preserve"> </w:t>
      </w:r>
      <w:proofErr w:type="gramStart"/>
      <w:r w:rsidR="002E08FE">
        <w:rPr>
          <w:rFonts w:ascii="Times New Roman" w:hAnsi="Times New Roman" w:cs="Times New Roman"/>
          <w:sz w:val="24"/>
          <w:szCs w:val="24"/>
          <w:lang w:val="en"/>
        </w:rPr>
        <w:t>is ordered</w:t>
      </w:r>
      <w:proofErr w:type="gramEnd"/>
      <w:r w:rsidR="002E08FE">
        <w:rPr>
          <w:rFonts w:ascii="Times New Roman" w:hAnsi="Times New Roman" w:cs="Times New Roman"/>
          <w:sz w:val="24"/>
          <w:szCs w:val="24"/>
          <w:lang w:val="en"/>
        </w:rPr>
        <w:t xml:space="preserve"> </w:t>
      </w:r>
      <w:r w:rsidR="002E08FE" w:rsidRPr="002E08FE">
        <w:rPr>
          <w:rFonts w:ascii="Times New Roman" w:hAnsi="Times New Roman" w:cs="Times New Roman"/>
          <w:sz w:val="24"/>
          <w:szCs w:val="24"/>
          <w:lang w:val="en"/>
        </w:rPr>
        <w:t xml:space="preserve">to pay to the Respondent, SEYPEC, the sum of SR 10,378,092.29, together with commercial interests from the date of this judgment and costs of the suit below and </w:t>
      </w:r>
      <w:r w:rsidR="002E08FE">
        <w:rPr>
          <w:rFonts w:ascii="Times New Roman" w:hAnsi="Times New Roman" w:cs="Times New Roman"/>
          <w:sz w:val="24"/>
          <w:szCs w:val="24"/>
          <w:lang w:val="en"/>
        </w:rPr>
        <w:t xml:space="preserve">of </w:t>
      </w:r>
      <w:r w:rsidR="002E08FE" w:rsidRPr="002E08FE">
        <w:rPr>
          <w:rFonts w:ascii="Times New Roman" w:hAnsi="Times New Roman" w:cs="Times New Roman"/>
          <w:sz w:val="24"/>
          <w:szCs w:val="24"/>
          <w:lang w:val="en"/>
        </w:rPr>
        <w:t>this appeal</w:t>
      </w:r>
      <w:r w:rsidR="002E08FE">
        <w:rPr>
          <w:rFonts w:ascii="Times New Roman" w:hAnsi="Times New Roman" w:cs="Times New Roman"/>
          <w:sz w:val="24"/>
          <w:szCs w:val="24"/>
          <w:lang w:val="en"/>
        </w:rPr>
        <w:t>.</w:t>
      </w:r>
    </w:p>
    <w:p w14:paraId="0F123F0F" w14:textId="77777777" w:rsidR="0075634D" w:rsidRDefault="0075634D" w:rsidP="006F5ABA">
      <w:pPr>
        <w:jc w:val="center"/>
        <w:rPr>
          <w:rFonts w:ascii="Times New Roman" w:hAnsi="Times New Roman" w:cs="Times New Roman"/>
          <w:b/>
          <w:sz w:val="24"/>
          <w:szCs w:val="24"/>
        </w:rPr>
      </w:pPr>
    </w:p>
    <w:p w14:paraId="151B6112" w14:textId="7A4047DF" w:rsidR="00722761" w:rsidRPr="006F5ABA" w:rsidRDefault="006F5ABA" w:rsidP="006F5ABA">
      <w:pPr>
        <w:jc w:val="center"/>
        <w:rPr>
          <w:rFonts w:ascii="Times New Roman" w:hAnsi="Times New Roman" w:cs="Times New Roman"/>
          <w:b/>
          <w:sz w:val="24"/>
          <w:szCs w:val="24"/>
        </w:rPr>
      </w:pPr>
      <w:r w:rsidRPr="006F5ABA">
        <w:rPr>
          <w:rFonts w:ascii="Times New Roman" w:hAnsi="Times New Roman" w:cs="Times New Roman"/>
          <w:b/>
          <w:sz w:val="24"/>
          <w:szCs w:val="24"/>
        </w:rPr>
        <w:t>JUDGMENT</w:t>
      </w:r>
    </w:p>
    <w:p w14:paraId="5667A663" w14:textId="77777777" w:rsidR="006F5ABA" w:rsidRPr="006F5ABA" w:rsidRDefault="006F5ABA" w:rsidP="005B12AA">
      <w:pPr>
        <w:pStyle w:val="JudgmentText"/>
        <w:numPr>
          <w:ilvl w:val="0"/>
          <w:numId w:val="0"/>
        </w:numPr>
        <w:spacing w:line="480" w:lineRule="auto"/>
        <w:ind w:left="720" w:hanging="720"/>
        <w:rPr>
          <w:b/>
        </w:rPr>
      </w:pPr>
      <w:r w:rsidRPr="006F5ABA">
        <w:rPr>
          <w:b/>
        </w:rPr>
        <w:t>______________________________________________________________________________</w:t>
      </w:r>
    </w:p>
    <w:p w14:paraId="17BD4422" w14:textId="02E764E1" w:rsidR="003F751A" w:rsidRDefault="00FD7157" w:rsidP="00C40F27">
      <w:pPr>
        <w:spacing w:line="360" w:lineRule="auto"/>
        <w:jc w:val="both"/>
        <w:rPr>
          <w:rFonts w:ascii="Times New Roman" w:hAnsi="Times New Roman" w:cs="Times New Roman"/>
          <w:b/>
          <w:sz w:val="24"/>
          <w:szCs w:val="24"/>
        </w:rPr>
      </w:pPr>
      <w:r>
        <w:rPr>
          <w:rFonts w:ascii="Times New Roman" w:hAnsi="Times New Roman" w:cs="Times New Roman"/>
          <w:b/>
          <w:sz w:val="24"/>
          <w:szCs w:val="24"/>
        </w:rPr>
        <w:t>TWOMEY JA</w:t>
      </w:r>
    </w:p>
    <w:p w14:paraId="0215C0B7" w14:textId="13A9AAF3" w:rsidR="00947BF3" w:rsidRPr="00C40F27" w:rsidRDefault="00947BF3" w:rsidP="00947BF3">
      <w:pPr>
        <w:pStyle w:val="Jjmntheading1"/>
      </w:pPr>
      <w:r>
        <w:t>Backg</w:t>
      </w:r>
      <w:r w:rsidR="00475E6E">
        <w:t>r</w:t>
      </w:r>
      <w:r>
        <w:t>ound</w:t>
      </w:r>
    </w:p>
    <w:p w14:paraId="728F00BB" w14:textId="690512FB" w:rsidR="00203B4E" w:rsidRPr="00203B4E" w:rsidRDefault="00203B4E" w:rsidP="00BB56B9">
      <w:pPr>
        <w:pStyle w:val="JudgmentText"/>
        <w:ind w:left="540" w:hanging="540"/>
        <w:rPr>
          <w:lang w:val="en-US"/>
        </w:rPr>
      </w:pPr>
      <w:r w:rsidRPr="00203B4E">
        <w:rPr>
          <w:lang w:val="en-US"/>
        </w:rPr>
        <w:t>P</w:t>
      </w:r>
      <w:r w:rsidR="004E7A8D">
        <w:rPr>
          <w:lang w:val="en-US"/>
        </w:rPr>
        <w:t>atrick</w:t>
      </w:r>
      <w:r w:rsidRPr="00203B4E">
        <w:rPr>
          <w:lang w:val="en-US"/>
        </w:rPr>
        <w:t xml:space="preserve"> </w:t>
      </w:r>
      <w:proofErr w:type="spellStart"/>
      <w:r w:rsidRPr="00203B4E">
        <w:rPr>
          <w:lang w:val="en-US"/>
        </w:rPr>
        <w:t>Gran</w:t>
      </w:r>
      <w:r>
        <w:rPr>
          <w:lang w:val="en-US"/>
        </w:rPr>
        <w:t>d</w:t>
      </w:r>
      <w:r w:rsidRPr="00203B4E">
        <w:rPr>
          <w:lang w:val="en-US"/>
        </w:rPr>
        <w:t>court</w:t>
      </w:r>
      <w:proofErr w:type="spellEnd"/>
      <w:r>
        <w:rPr>
          <w:lang w:val="en-US"/>
        </w:rPr>
        <w:t xml:space="preserve"> </w:t>
      </w:r>
      <w:r w:rsidR="007042A1">
        <w:rPr>
          <w:lang w:val="en-US"/>
        </w:rPr>
        <w:t>agreed</w:t>
      </w:r>
      <w:r>
        <w:rPr>
          <w:lang w:val="en-US"/>
        </w:rPr>
        <w:t xml:space="preserve"> with Seychelles Petroleum Company Ltd. </w:t>
      </w:r>
      <w:r w:rsidR="00785F56">
        <w:rPr>
          <w:lang w:val="en-US"/>
        </w:rPr>
        <w:t>(SEYPEC</w:t>
      </w:r>
      <w:r>
        <w:rPr>
          <w:lang w:val="en-US"/>
        </w:rPr>
        <w:t xml:space="preserve">) in February 2017 to operate its petrol station at Grand </w:t>
      </w:r>
      <w:proofErr w:type="spellStart"/>
      <w:r>
        <w:rPr>
          <w:lang w:val="en-US"/>
        </w:rPr>
        <w:t>Anse</w:t>
      </w:r>
      <w:proofErr w:type="spellEnd"/>
      <w:r>
        <w:rPr>
          <w:lang w:val="en-US"/>
        </w:rPr>
        <w:t xml:space="preserve"> </w:t>
      </w:r>
      <w:proofErr w:type="spellStart"/>
      <w:r>
        <w:rPr>
          <w:lang w:val="en-US"/>
        </w:rPr>
        <w:t>Praslin</w:t>
      </w:r>
      <w:proofErr w:type="spellEnd"/>
      <w:r>
        <w:rPr>
          <w:lang w:val="en-US"/>
        </w:rPr>
        <w:t xml:space="preserve">. He had been operating the petrol station under previous agreements for over thirty years with the same company.  The venture </w:t>
      </w:r>
      <w:r>
        <w:rPr>
          <w:lang w:val="en-US"/>
        </w:rPr>
        <w:lastRenderedPageBreak/>
        <w:t xml:space="preserve">did not go well. By July </w:t>
      </w:r>
      <w:proofErr w:type="gramStart"/>
      <w:r>
        <w:rPr>
          <w:lang w:val="en-US"/>
        </w:rPr>
        <w:t>2017</w:t>
      </w:r>
      <w:proofErr w:type="gramEnd"/>
      <w:r>
        <w:rPr>
          <w:lang w:val="en-US"/>
        </w:rPr>
        <w:t xml:space="preserve"> he was </w:t>
      </w:r>
      <w:r w:rsidR="000F27A6">
        <w:rPr>
          <w:lang w:val="en-US"/>
        </w:rPr>
        <w:t xml:space="preserve">informed that he was </w:t>
      </w:r>
      <w:r>
        <w:rPr>
          <w:lang w:val="en-US"/>
        </w:rPr>
        <w:t xml:space="preserve">in debt to the company </w:t>
      </w:r>
      <w:r w:rsidR="000F27A6">
        <w:rPr>
          <w:lang w:val="en-US"/>
        </w:rPr>
        <w:t>in</w:t>
      </w:r>
      <w:r>
        <w:rPr>
          <w:lang w:val="en-US"/>
        </w:rPr>
        <w:t xml:space="preserve"> a sum approaching SR </w:t>
      </w:r>
      <w:r w:rsidR="000F27A6">
        <w:rPr>
          <w:lang w:val="en-US"/>
        </w:rPr>
        <w:t>14</w:t>
      </w:r>
      <w:r>
        <w:rPr>
          <w:lang w:val="en-US"/>
        </w:rPr>
        <w:t xml:space="preserve"> million. </w:t>
      </w:r>
    </w:p>
    <w:p w14:paraId="109354F3" w14:textId="17B3C7C2" w:rsidR="00203B4E" w:rsidRDefault="00785F56" w:rsidP="00BB56B9">
      <w:pPr>
        <w:pStyle w:val="JudgmentText"/>
        <w:ind w:left="540" w:hanging="540"/>
        <w:rPr>
          <w:lang w:val="en-US"/>
        </w:rPr>
      </w:pPr>
      <w:r>
        <w:rPr>
          <w:lang w:val="en-US"/>
        </w:rPr>
        <w:t xml:space="preserve">Mr. </w:t>
      </w:r>
      <w:proofErr w:type="spellStart"/>
      <w:r>
        <w:rPr>
          <w:lang w:val="en-US"/>
        </w:rPr>
        <w:t>Grandcourt</w:t>
      </w:r>
      <w:proofErr w:type="spellEnd"/>
      <w:r>
        <w:rPr>
          <w:lang w:val="en-US"/>
        </w:rPr>
        <w:t xml:space="preserve"> testified that SEYPEC’s representatives tried to eject him from the petrol station but after interventions from his MNA and the President, SEYPEC backed off. </w:t>
      </w:r>
    </w:p>
    <w:p w14:paraId="6B230C76" w14:textId="34AF765D" w:rsidR="001B3C73" w:rsidRDefault="001B3C73" w:rsidP="00BB56B9">
      <w:pPr>
        <w:pStyle w:val="JudgmentText"/>
        <w:ind w:left="540" w:hanging="540"/>
        <w:rPr>
          <w:lang w:val="en-US"/>
        </w:rPr>
      </w:pPr>
      <w:r>
        <w:rPr>
          <w:lang w:val="en-US"/>
        </w:rPr>
        <w:t>Several m</w:t>
      </w:r>
      <w:r w:rsidR="00785F56">
        <w:rPr>
          <w:lang w:val="en-US"/>
        </w:rPr>
        <w:t>eetings between the parties took place</w:t>
      </w:r>
      <w:r>
        <w:rPr>
          <w:lang w:val="en-US"/>
        </w:rPr>
        <w:t xml:space="preserve">, some of which were </w:t>
      </w:r>
      <w:r w:rsidR="00785F56">
        <w:rPr>
          <w:lang w:val="en-US"/>
        </w:rPr>
        <w:t xml:space="preserve">in the presence of Mr. </w:t>
      </w:r>
      <w:proofErr w:type="spellStart"/>
      <w:r w:rsidR="00785F56">
        <w:rPr>
          <w:lang w:val="en-US"/>
        </w:rPr>
        <w:t>Grandcourt’s</w:t>
      </w:r>
      <w:proofErr w:type="spellEnd"/>
      <w:r w:rsidR="00785F56">
        <w:rPr>
          <w:lang w:val="en-US"/>
        </w:rPr>
        <w:t xml:space="preserve"> accountant, one Selwyn </w:t>
      </w:r>
      <w:proofErr w:type="spellStart"/>
      <w:r w:rsidR="00785F56">
        <w:rPr>
          <w:lang w:val="en-US"/>
        </w:rPr>
        <w:t>Philoé</w:t>
      </w:r>
      <w:proofErr w:type="spellEnd"/>
      <w:r w:rsidR="00785F56">
        <w:rPr>
          <w:lang w:val="en-US"/>
        </w:rPr>
        <w:t>. As a result of these meetings, the debt originally calculated at SR13</w:t>
      </w:r>
      <w:proofErr w:type="gramStart"/>
      <w:r w:rsidR="00785F56">
        <w:rPr>
          <w:lang w:val="en-US"/>
        </w:rPr>
        <w:t>,714,654.35</w:t>
      </w:r>
      <w:proofErr w:type="gramEnd"/>
      <w:r w:rsidR="00785F56">
        <w:rPr>
          <w:lang w:val="en-US"/>
        </w:rPr>
        <w:t xml:space="preserve"> was reduced to SR 10,378,092.29. </w:t>
      </w:r>
    </w:p>
    <w:p w14:paraId="67030E11" w14:textId="4AC2D44D" w:rsidR="00785F56" w:rsidRDefault="00785F56" w:rsidP="00BB56B9">
      <w:pPr>
        <w:pStyle w:val="JudgmentText"/>
        <w:ind w:left="540" w:hanging="540"/>
        <w:rPr>
          <w:lang w:val="en-US"/>
        </w:rPr>
      </w:pPr>
      <w:r>
        <w:rPr>
          <w:lang w:val="en-US"/>
        </w:rPr>
        <w:t xml:space="preserve">Mr. </w:t>
      </w:r>
      <w:proofErr w:type="spellStart"/>
      <w:r>
        <w:rPr>
          <w:lang w:val="en-US"/>
        </w:rPr>
        <w:t>Grand</w:t>
      </w:r>
      <w:r w:rsidR="000F27A6">
        <w:rPr>
          <w:lang w:val="en-US"/>
        </w:rPr>
        <w:t>c</w:t>
      </w:r>
      <w:r>
        <w:rPr>
          <w:lang w:val="en-US"/>
        </w:rPr>
        <w:t>ourt</w:t>
      </w:r>
      <w:proofErr w:type="spellEnd"/>
      <w:r>
        <w:rPr>
          <w:lang w:val="en-US"/>
        </w:rPr>
        <w:t xml:space="preserve"> asked for</w:t>
      </w:r>
      <w:r w:rsidR="001B3C73">
        <w:rPr>
          <w:lang w:val="en-US"/>
        </w:rPr>
        <w:t xml:space="preserve"> more </w:t>
      </w:r>
      <w:r>
        <w:rPr>
          <w:lang w:val="en-US"/>
        </w:rPr>
        <w:t xml:space="preserve">time to check </w:t>
      </w:r>
      <w:r w:rsidR="000F27A6">
        <w:rPr>
          <w:lang w:val="en-US"/>
        </w:rPr>
        <w:t>the</w:t>
      </w:r>
      <w:r>
        <w:rPr>
          <w:lang w:val="en-US"/>
        </w:rPr>
        <w:t xml:space="preserve"> </w:t>
      </w:r>
      <w:r w:rsidR="000F27A6">
        <w:rPr>
          <w:lang w:val="en-US"/>
        </w:rPr>
        <w:t>accounts</w:t>
      </w:r>
      <w:r>
        <w:rPr>
          <w:lang w:val="en-US"/>
        </w:rPr>
        <w:t xml:space="preserve">. </w:t>
      </w:r>
      <w:r w:rsidR="000F27A6">
        <w:rPr>
          <w:lang w:val="en-US"/>
        </w:rPr>
        <w:t xml:space="preserve">He sought and received the assistance of a chartered accountant, one </w:t>
      </w:r>
      <w:proofErr w:type="spellStart"/>
      <w:r w:rsidR="000F27A6">
        <w:rPr>
          <w:lang w:val="en-US"/>
        </w:rPr>
        <w:t>Sitraka</w:t>
      </w:r>
      <w:proofErr w:type="spellEnd"/>
      <w:r w:rsidR="000F27A6">
        <w:rPr>
          <w:lang w:val="en-US"/>
        </w:rPr>
        <w:t xml:space="preserve"> </w:t>
      </w:r>
      <w:proofErr w:type="spellStart"/>
      <w:r w:rsidR="007042A1">
        <w:rPr>
          <w:lang w:val="en-US"/>
        </w:rPr>
        <w:t>Ramanantsoa</w:t>
      </w:r>
      <w:proofErr w:type="spellEnd"/>
      <w:r w:rsidR="000F27A6">
        <w:rPr>
          <w:lang w:val="en-US"/>
        </w:rPr>
        <w:t xml:space="preserve">. The latter </w:t>
      </w:r>
      <w:r w:rsidR="001B3C73">
        <w:rPr>
          <w:lang w:val="en-US"/>
        </w:rPr>
        <w:t>using what he called “a holistic approach” c</w:t>
      </w:r>
      <w:r w:rsidR="007042A1">
        <w:rPr>
          <w:lang w:val="en-US"/>
        </w:rPr>
        <w:t>oncluded</w:t>
      </w:r>
      <w:r w:rsidR="001B3C73">
        <w:rPr>
          <w:lang w:val="en-US"/>
        </w:rPr>
        <w:t xml:space="preserve"> that the debt was only</w:t>
      </w:r>
      <w:r w:rsidR="000F27A6">
        <w:rPr>
          <w:lang w:val="en-US"/>
        </w:rPr>
        <w:t xml:space="preserve"> SR 1,490,675.73. </w:t>
      </w:r>
      <w:r w:rsidR="001B3C73">
        <w:rPr>
          <w:lang w:val="en-US"/>
        </w:rPr>
        <w:t xml:space="preserve">Mr. </w:t>
      </w:r>
      <w:proofErr w:type="spellStart"/>
      <w:r w:rsidR="001B3C73">
        <w:rPr>
          <w:lang w:val="en-US"/>
        </w:rPr>
        <w:t>Grandcourt</w:t>
      </w:r>
      <w:proofErr w:type="spellEnd"/>
      <w:r w:rsidR="000F27A6">
        <w:rPr>
          <w:lang w:val="en-US"/>
        </w:rPr>
        <w:t xml:space="preserve"> admitted </w:t>
      </w:r>
      <w:proofErr w:type="gramStart"/>
      <w:r w:rsidR="000F27A6">
        <w:rPr>
          <w:lang w:val="en-US"/>
        </w:rPr>
        <w:t>however</w:t>
      </w:r>
      <w:proofErr w:type="gramEnd"/>
      <w:r w:rsidR="000F27A6">
        <w:rPr>
          <w:lang w:val="en-US"/>
        </w:rPr>
        <w:t xml:space="preserve"> that he had not had his accounts audited since 2010 and had </w:t>
      </w:r>
      <w:r w:rsidR="002F606B">
        <w:rPr>
          <w:lang w:val="en-US"/>
        </w:rPr>
        <w:t xml:space="preserve">not </w:t>
      </w:r>
      <w:r w:rsidR="000F27A6">
        <w:rPr>
          <w:lang w:val="en-US"/>
        </w:rPr>
        <w:t xml:space="preserve">filed </w:t>
      </w:r>
      <w:r w:rsidR="002F606B">
        <w:rPr>
          <w:lang w:val="en-US"/>
        </w:rPr>
        <w:t xml:space="preserve">any </w:t>
      </w:r>
      <w:r w:rsidR="000F27A6">
        <w:rPr>
          <w:lang w:val="en-US"/>
        </w:rPr>
        <w:t>tax returns.</w:t>
      </w:r>
    </w:p>
    <w:p w14:paraId="2BDE736C" w14:textId="2A5D6A7D" w:rsidR="00627CFE" w:rsidRPr="00D94D04" w:rsidRDefault="001B3C73" w:rsidP="00BB56B9">
      <w:pPr>
        <w:pStyle w:val="JudgmentText"/>
        <w:ind w:left="540" w:hanging="540"/>
        <w:rPr>
          <w:lang w:val="en-US"/>
        </w:rPr>
      </w:pPr>
      <w:proofErr w:type="gramStart"/>
      <w:r w:rsidRPr="00D94D04">
        <w:rPr>
          <w:lang w:val="en-US"/>
        </w:rPr>
        <w:t xml:space="preserve">At the </w:t>
      </w:r>
      <w:r w:rsidR="002E08FE" w:rsidRPr="00D94D04">
        <w:rPr>
          <w:lang w:val="en-US"/>
        </w:rPr>
        <w:t>trial, Mr.</w:t>
      </w:r>
      <w:r w:rsidR="00694CC3" w:rsidRPr="00D94D04">
        <w:rPr>
          <w:lang w:val="en-US"/>
        </w:rPr>
        <w:t xml:space="preserve"> </w:t>
      </w:r>
      <w:proofErr w:type="spellStart"/>
      <w:r w:rsidR="00694CC3" w:rsidRPr="00D94D04">
        <w:rPr>
          <w:lang w:val="en-US"/>
        </w:rPr>
        <w:t>Grandcourt’s</w:t>
      </w:r>
      <w:proofErr w:type="spellEnd"/>
      <w:r w:rsidR="00694CC3" w:rsidRPr="00D94D04">
        <w:rPr>
          <w:lang w:val="en-US"/>
        </w:rPr>
        <w:t xml:space="preserve"> accountant</w:t>
      </w:r>
      <w:r w:rsidR="0076445E" w:rsidRPr="00D94D04">
        <w:rPr>
          <w:lang w:val="en-US"/>
        </w:rPr>
        <w:t xml:space="preserve">, Selwyn </w:t>
      </w:r>
      <w:proofErr w:type="spellStart"/>
      <w:r w:rsidR="0076445E" w:rsidRPr="00D94D04">
        <w:rPr>
          <w:lang w:val="en-US"/>
        </w:rPr>
        <w:t>Philoé</w:t>
      </w:r>
      <w:proofErr w:type="spellEnd"/>
      <w:r w:rsidRPr="00D94D04">
        <w:rPr>
          <w:lang w:val="en-US"/>
        </w:rPr>
        <w:t>,</w:t>
      </w:r>
      <w:r w:rsidR="00694CC3" w:rsidRPr="00D94D04">
        <w:rPr>
          <w:lang w:val="en-US"/>
        </w:rPr>
        <w:t xml:space="preserve"> testified </w:t>
      </w:r>
      <w:r w:rsidR="0076445E" w:rsidRPr="00D94D04">
        <w:rPr>
          <w:lang w:val="en-US"/>
        </w:rPr>
        <w:t xml:space="preserve">that at the first meeting in July 2017 with SEPEC he was able to show that the debt outstanding was SR 9,214,977.12 and at another meeting he attended in September 2017 after reconciling bank statements, </w:t>
      </w:r>
      <w:proofErr w:type="spellStart"/>
      <w:r w:rsidR="0076445E" w:rsidRPr="00D94D04">
        <w:rPr>
          <w:lang w:val="en-US"/>
        </w:rPr>
        <w:t>cheque</w:t>
      </w:r>
      <w:proofErr w:type="spellEnd"/>
      <w:r w:rsidR="0076445E" w:rsidRPr="00D94D04">
        <w:rPr>
          <w:lang w:val="en-US"/>
        </w:rPr>
        <w:t xml:space="preserve"> stubs and credit note transactions including payments for Liquefied Petroleum Gas (LPG) paid to SEPEC directly from Lemuria Hotel, he found that the sum owing was a sum in the region of SR 6 million.</w:t>
      </w:r>
      <w:proofErr w:type="gramEnd"/>
      <w:r w:rsidR="00627CFE" w:rsidRPr="00D94D04">
        <w:rPr>
          <w:lang w:val="en-US"/>
        </w:rPr>
        <w:t xml:space="preserve"> In a final report</w:t>
      </w:r>
      <w:r w:rsidR="007042A1">
        <w:rPr>
          <w:lang w:val="en-US"/>
        </w:rPr>
        <w:t>,</w:t>
      </w:r>
      <w:r w:rsidR="00627CFE" w:rsidRPr="00D94D04">
        <w:rPr>
          <w:lang w:val="en-US"/>
        </w:rPr>
        <w:t xml:space="preserve"> he found that only SR 1,490,675.73 </w:t>
      </w:r>
      <w:proofErr w:type="gramStart"/>
      <w:r w:rsidR="00627CFE" w:rsidRPr="00D94D04">
        <w:rPr>
          <w:lang w:val="en-US"/>
        </w:rPr>
        <w:t>was owed</w:t>
      </w:r>
      <w:proofErr w:type="gramEnd"/>
      <w:r w:rsidR="00627CFE" w:rsidRPr="00D94D04">
        <w:rPr>
          <w:lang w:val="en-US"/>
        </w:rPr>
        <w:t xml:space="preserve">. </w:t>
      </w:r>
      <w:r w:rsidR="007042A1">
        <w:rPr>
          <w:lang w:val="en-US"/>
        </w:rPr>
        <w:t>On</w:t>
      </w:r>
      <w:r w:rsidR="00627CFE" w:rsidRPr="00D94D04">
        <w:rPr>
          <w:lang w:val="en-US"/>
        </w:rPr>
        <w:t xml:space="preserve"> the date set for Mr. </w:t>
      </w:r>
      <w:proofErr w:type="spellStart"/>
      <w:r w:rsidR="00627CFE" w:rsidRPr="00D94D04">
        <w:rPr>
          <w:lang w:val="en-US"/>
        </w:rPr>
        <w:t>Philo</w:t>
      </w:r>
      <w:r w:rsidRPr="00D94D04">
        <w:rPr>
          <w:lang w:val="en-US"/>
        </w:rPr>
        <w:t>é</w:t>
      </w:r>
      <w:r w:rsidR="00627CFE" w:rsidRPr="00D94D04">
        <w:rPr>
          <w:lang w:val="en-US"/>
        </w:rPr>
        <w:t>’s</w:t>
      </w:r>
      <w:proofErr w:type="spellEnd"/>
      <w:r w:rsidR="00627CFE" w:rsidRPr="00D94D04">
        <w:rPr>
          <w:lang w:val="en-US"/>
        </w:rPr>
        <w:t xml:space="preserve"> cross</w:t>
      </w:r>
      <w:r w:rsidR="007042A1">
        <w:rPr>
          <w:lang w:val="en-US"/>
        </w:rPr>
        <w:t>-</w:t>
      </w:r>
      <w:r w:rsidR="00627CFE" w:rsidRPr="00D94D04">
        <w:rPr>
          <w:lang w:val="en-US"/>
        </w:rPr>
        <w:t xml:space="preserve">examination, the court </w:t>
      </w:r>
      <w:proofErr w:type="gramStart"/>
      <w:r w:rsidR="00627CFE" w:rsidRPr="00D94D04">
        <w:rPr>
          <w:lang w:val="en-US"/>
        </w:rPr>
        <w:t>was informed</w:t>
      </w:r>
      <w:proofErr w:type="gramEnd"/>
      <w:r w:rsidR="00627CFE" w:rsidRPr="00D94D04">
        <w:rPr>
          <w:lang w:val="en-US"/>
        </w:rPr>
        <w:t xml:space="preserve"> that he had passed away. </w:t>
      </w:r>
      <w:r w:rsidR="00D94D04" w:rsidRPr="00D94D04">
        <w:rPr>
          <w:lang w:val="en-US"/>
        </w:rPr>
        <w:t xml:space="preserve">However, </w:t>
      </w:r>
      <w:r w:rsidR="00627CFE" w:rsidRPr="00D94D04">
        <w:rPr>
          <w:lang w:val="en-US"/>
        </w:rPr>
        <w:t xml:space="preserve">Mr. </w:t>
      </w:r>
      <w:proofErr w:type="spellStart"/>
      <w:r w:rsidR="007042A1">
        <w:rPr>
          <w:lang w:val="en-US"/>
        </w:rPr>
        <w:t>Ramanantsoa</w:t>
      </w:r>
      <w:proofErr w:type="spellEnd"/>
      <w:r w:rsidR="00627CFE" w:rsidRPr="00D94D04">
        <w:rPr>
          <w:lang w:val="en-US"/>
        </w:rPr>
        <w:t xml:space="preserve"> confirmed Mr. </w:t>
      </w:r>
      <w:proofErr w:type="spellStart"/>
      <w:r w:rsidR="00627CFE" w:rsidRPr="00D94D04">
        <w:rPr>
          <w:lang w:val="en-US"/>
        </w:rPr>
        <w:t>Philo</w:t>
      </w:r>
      <w:r w:rsidR="007042A1">
        <w:rPr>
          <w:lang w:val="en-US"/>
        </w:rPr>
        <w:t>é</w:t>
      </w:r>
      <w:r w:rsidR="00627CFE" w:rsidRPr="00D94D04">
        <w:rPr>
          <w:lang w:val="en-US"/>
        </w:rPr>
        <w:t>’s</w:t>
      </w:r>
      <w:proofErr w:type="spellEnd"/>
      <w:r w:rsidR="00627CFE" w:rsidRPr="00D94D04">
        <w:rPr>
          <w:lang w:val="en-US"/>
        </w:rPr>
        <w:t xml:space="preserve"> </w:t>
      </w:r>
      <w:r w:rsidR="002F606B" w:rsidRPr="00D94D04">
        <w:rPr>
          <w:lang w:val="en-US"/>
        </w:rPr>
        <w:t>figures.</w:t>
      </w:r>
      <w:r w:rsidR="00627CFE" w:rsidRPr="00D94D04">
        <w:rPr>
          <w:lang w:val="en-US"/>
        </w:rPr>
        <w:t xml:space="preserve"> </w:t>
      </w:r>
    </w:p>
    <w:p w14:paraId="1FF7F9EB" w14:textId="1547808E" w:rsidR="002F606B" w:rsidRDefault="002F606B" w:rsidP="00BB56B9">
      <w:pPr>
        <w:pStyle w:val="JudgmentText"/>
        <w:ind w:left="540" w:hanging="540"/>
        <w:rPr>
          <w:lang w:val="en-US"/>
        </w:rPr>
      </w:pPr>
      <w:r>
        <w:rPr>
          <w:lang w:val="en-US"/>
        </w:rPr>
        <w:t xml:space="preserve">Sarah </w:t>
      </w:r>
      <w:proofErr w:type="spellStart"/>
      <w:r w:rsidR="00BB5B63">
        <w:rPr>
          <w:lang w:val="en-US"/>
        </w:rPr>
        <w:t>Romain</w:t>
      </w:r>
      <w:proofErr w:type="spellEnd"/>
      <w:r w:rsidR="00BB5B63">
        <w:rPr>
          <w:lang w:val="en-US"/>
        </w:rPr>
        <w:t xml:space="preserve"> </w:t>
      </w:r>
      <w:r>
        <w:rPr>
          <w:lang w:val="en-US"/>
        </w:rPr>
        <w:t xml:space="preserve">for SEYPEC </w:t>
      </w:r>
      <w:r w:rsidR="001B3C73">
        <w:rPr>
          <w:lang w:val="en-US"/>
        </w:rPr>
        <w:t>explained</w:t>
      </w:r>
      <w:r>
        <w:rPr>
          <w:lang w:val="en-US"/>
        </w:rPr>
        <w:t xml:space="preserve"> that Mr. </w:t>
      </w:r>
      <w:proofErr w:type="spellStart"/>
      <w:r>
        <w:rPr>
          <w:lang w:val="en-US"/>
        </w:rPr>
        <w:t>Grandcourt’s</w:t>
      </w:r>
      <w:proofErr w:type="spellEnd"/>
      <w:r>
        <w:rPr>
          <w:lang w:val="en-US"/>
        </w:rPr>
        <w:t xml:space="preserve"> debt had accrued over previous agreements dating back to 2006. The new agreement in 2017 allowed him a higher operational margin of 85 cents per </w:t>
      </w:r>
      <w:proofErr w:type="spellStart"/>
      <w:r>
        <w:rPr>
          <w:lang w:val="en-US"/>
        </w:rPr>
        <w:t>litre</w:t>
      </w:r>
      <w:proofErr w:type="spellEnd"/>
      <w:r>
        <w:rPr>
          <w:lang w:val="en-US"/>
        </w:rPr>
        <w:t xml:space="preserve"> of petrol sold to allow him not only to meet his regular payments for stock </w:t>
      </w:r>
      <w:proofErr w:type="gramStart"/>
      <w:r>
        <w:rPr>
          <w:lang w:val="en-US"/>
        </w:rPr>
        <w:t>but</w:t>
      </w:r>
      <w:proofErr w:type="gramEnd"/>
      <w:r>
        <w:rPr>
          <w:lang w:val="en-US"/>
        </w:rPr>
        <w:t xml:space="preserve"> </w:t>
      </w:r>
      <w:r w:rsidR="001B3C73">
        <w:rPr>
          <w:lang w:val="en-US"/>
        </w:rPr>
        <w:t>to</w:t>
      </w:r>
      <w:r>
        <w:rPr>
          <w:lang w:val="en-US"/>
        </w:rPr>
        <w:t xml:space="preserve"> allow him to pay back his debt</w:t>
      </w:r>
      <w:r w:rsidR="001B3C73">
        <w:rPr>
          <w:lang w:val="en-US"/>
        </w:rPr>
        <w:t xml:space="preserve"> that had accrued over the years </w:t>
      </w:r>
      <w:r w:rsidR="007042A1">
        <w:rPr>
          <w:lang w:val="en-US"/>
        </w:rPr>
        <w:t>before</w:t>
      </w:r>
      <w:r w:rsidR="001B3C73">
        <w:rPr>
          <w:lang w:val="en-US"/>
        </w:rPr>
        <w:t xml:space="preserve"> the 2017 agreement</w:t>
      </w:r>
      <w:r>
        <w:rPr>
          <w:lang w:val="en-US"/>
        </w:rPr>
        <w:t>. Still</w:t>
      </w:r>
      <w:r w:rsidR="007042A1">
        <w:rPr>
          <w:lang w:val="en-US"/>
        </w:rPr>
        <w:t>,</w:t>
      </w:r>
      <w:r>
        <w:rPr>
          <w:lang w:val="en-US"/>
        </w:rPr>
        <w:t xml:space="preserve"> </w:t>
      </w:r>
      <w:proofErr w:type="spellStart"/>
      <w:r>
        <w:rPr>
          <w:lang w:val="en-US"/>
        </w:rPr>
        <w:t>cheques</w:t>
      </w:r>
      <w:proofErr w:type="spellEnd"/>
      <w:r>
        <w:rPr>
          <w:lang w:val="en-US"/>
        </w:rPr>
        <w:t xml:space="preserve"> bounced and the debt mounted. A repayment schedule </w:t>
      </w:r>
      <w:proofErr w:type="gramStart"/>
      <w:r>
        <w:rPr>
          <w:lang w:val="en-US"/>
        </w:rPr>
        <w:t>was made and ignored</w:t>
      </w:r>
      <w:proofErr w:type="gramEnd"/>
      <w:r>
        <w:rPr>
          <w:lang w:val="en-US"/>
        </w:rPr>
        <w:t xml:space="preserve">. A notice for </w:t>
      </w:r>
      <w:r w:rsidR="001B3C73">
        <w:rPr>
          <w:lang w:val="en-US"/>
        </w:rPr>
        <w:t xml:space="preserve">Mr. </w:t>
      </w:r>
      <w:proofErr w:type="spellStart"/>
      <w:r w:rsidR="001B3C73">
        <w:rPr>
          <w:lang w:val="en-US"/>
        </w:rPr>
        <w:t>Grandc</w:t>
      </w:r>
      <w:r w:rsidR="00D94D04">
        <w:rPr>
          <w:lang w:val="en-US"/>
        </w:rPr>
        <w:t>o</w:t>
      </w:r>
      <w:r w:rsidR="001B3C73">
        <w:rPr>
          <w:lang w:val="en-US"/>
        </w:rPr>
        <w:t>urt</w:t>
      </w:r>
      <w:proofErr w:type="spellEnd"/>
      <w:r>
        <w:rPr>
          <w:lang w:val="en-US"/>
        </w:rPr>
        <w:t xml:space="preserve"> to vacate the premises was finally issued in June 2017 and on 10 </w:t>
      </w:r>
      <w:proofErr w:type="gramStart"/>
      <w:r>
        <w:rPr>
          <w:lang w:val="en-US"/>
        </w:rPr>
        <w:t>July</w:t>
      </w:r>
      <w:proofErr w:type="gramEnd"/>
      <w:r>
        <w:rPr>
          <w:lang w:val="en-US"/>
        </w:rPr>
        <w:t xml:space="preserve"> after payment had not been made she went to the petrol station to ask him to vacate the premises.  </w:t>
      </w:r>
      <w:r w:rsidR="00C93F51">
        <w:rPr>
          <w:lang w:val="en-US"/>
        </w:rPr>
        <w:t xml:space="preserve">He did not move out and the debt continued </w:t>
      </w:r>
      <w:r w:rsidR="00C93F51">
        <w:rPr>
          <w:lang w:val="en-US"/>
        </w:rPr>
        <w:lastRenderedPageBreak/>
        <w:t xml:space="preserve">accruing. Mrs. </w:t>
      </w:r>
      <w:proofErr w:type="spellStart"/>
      <w:r w:rsidR="00C93F51">
        <w:rPr>
          <w:lang w:val="en-US"/>
        </w:rPr>
        <w:t>Romain</w:t>
      </w:r>
      <w:proofErr w:type="spellEnd"/>
      <w:r w:rsidR="00C93F51">
        <w:rPr>
          <w:lang w:val="en-US"/>
        </w:rPr>
        <w:t xml:space="preserve"> stated that in just one week the supply of petrol to the petrol station f</w:t>
      </w:r>
      <w:r w:rsidR="007042A1">
        <w:rPr>
          <w:lang w:val="en-US"/>
        </w:rPr>
        <w:t>ro</w:t>
      </w:r>
      <w:r w:rsidR="00C93F51">
        <w:rPr>
          <w:lang w:val="en-US"/>
        </w:rPr>
        <w:t xml:space="preserve">m SEYPEC could amount to over SR 1 </w:t>
      </w:r>
      <w:proofErr w:type="gramStart"/>
      <w:r w:rsidR="00C93F51">
        <w:rPr>
          <w:lang w:val="en-US"/>
        </w:rPr>
        <w:t>million</w:t>
      </w:r>
      <w:proofErr w:type="gramEnd"/>
      <w:r w:rsidR="00C93F51">
        <w:rPr>
          <w:lang w:val="en-US"/>
        </w:rPr>
        <w:t xml:space="preserve">. </w:t>
      </w:r>
    </w:p>
    <w:p w14:paraId="2271615E" w14:textId="404CB896" w:rsidR="00C93F51" w:rsidRDefault="00C93F51" w:rsidP="00BB56B9">
      <w:pPr>
        <w:pStyle w:val="JudgmentText"/>
        <w:ind w:left="540" w:hanging="540"/>
        <w:rPr>
          <w:lang w:val="en-US"/>
        </w:rPr>
      </w:pPr>
      <w:r>
        <w:rPr>
          <w:lang w:val="en-US"/>
        </w:rPr>
        <w:t xml:space="preserve">Paul </w:t>
      </w:r>
      <w:proofErr w:type="spellStart"/>
      <w:r>
        <w:rPr>
          <w:lang w:val="en-US"/>
        </w:rPr>
        <w:t>Mondon</w:t>
      </w:r>
      <w:proofErr w:type="spellEnd"/>
      <w:r>
        <w:rPr>
          <w:lang w:val="en-US"/>
        </w:rPr>
        <w:t xml:space="preserve"> the Financial Officer of SEYPEC</w:t>
      </w:r>
      <w:r w:rsidR="00BB5B63">
        <w:rPr>
          <w:lang w:val="en-US"/>
        </w:rPr>
        <w:t xml:space="preserve"> produced a list of </w:t>
      </w:r>
      <w:proofErr w:type="spellStart"/>
      <w:r w:rsidR="00BB5B63">
        <w:rPr>
          <w:lang w:val="en-US"/>
        </w:rPr>
        <w:t>cheques</w:t>
      </w:r>
      <w:proofErr w:type="spellEnd"/>
      <w:r w:rsidR="00BB5B63">
        <w:rPr>
          <w:lang w:val="en-US"/>
        </w:rPr>
        <w:t xml:space="preserve"> presented </w:t>
      </w:r>
      <w:r w:rsidR="00D94D04">
        <w:rPr>
          <w:lang w:val="en-US"/>
        </w:rPr>
        <w:t xml:space="preserve">to the bank </w:t>
      </w:r>
      <w:r w:rsidR="00BB5B63">
        <w:rPr>
          <w:lang w:val="en-US"/>
        </w:rPr>
        <w:t xml:space="preserve">and a list of the </w:t>
      </w:r>
      <w:proofErr w:type="spellStart"/>
      <w:r w:rsidR="00BB5B63">
        <w:rPr>
          <w:lang w:val="en-US"/>
        </w:rPr>
        <w:t>cheques</w:t>
      </w:r>
      <w:proofErr w:type="spellEnd"/>
      <w:r w:rsidR="00BB5B63">
        <w:rPr>
          <w:lang w:val="en-US"/>
        </w:rPr>
        <w:t xml:space="preserve"> that </w:t>
      </w:r>
      <w:proofErr w:type="gramStart"/>
      <w:r w:rsidR="00BB5B63">
        <w:rPr>
          <w:lang w:val="en-US"/>
        </w:rPr>
        <w:t xml:space="preserve">were </w:t>
      </w:r>
      <w:proofErr w:type="spellStart"/>
      <w:r w:rsidR="00BB5B63">
        <w:rPr>
          <w:lang w:val="en-US"/>
        </w:rPr>
        <w:t>dishonoured</w:t>
      </w:r>
      <w:proofErr w:type="spellEnd"/>
      <w:proofErr w:type="gramEnd"/>
      <w:r w:rsidR="00BB5B63">
        <w:rPr>
          <w:lang w:val="en-US"/>
        </w:rPr>
        <w:t xml:space="preserve">. The </w:t>
      </w:r>
      <w:proofErr w:type="spellStart"/>
      <w:r w:rsidR="00BB5B63">
        <w:rPr>
          <w:lang w:val="en-US"/>
        </w:rPr>
        <w:t>dishonoured</w:t>
      </w:r>
      <w:proofErr w:type="spellEnd"/>
      <w:r w:rsidR="00BB5B63">
        <w:rPr>
          <w:lang w:val="en-US"/>
        </w:rPr>
        <w:t xml:space="preserve"> </w:t>
      </w:r>
      <w:proofErr w:type="spellStart"/>
      <w:r w:rsidR="00BB5B63">
        <w:rPr>
          <w:lang w:val="en-US"/>
        </w:rPr>
        <w:t>cheques</w:t>
      </w:r>
      <w:proofErr w:type="spellEnd"/>
      <w:r w:rsidR="00BB5B63">
        <w:rPr>
          <w:lang w:val="en-US"/>
        </w:rPr>
        <w:t xml:space="preserve"> amounted to SR2</w:t>
      </w:r>
      <w:proofErr w:type="gramStart"/>
      <w:r w:rsidR="00D94D04">
        <w:rPr>
          <w:lang w:val="en-US"/>
        </w:rPr>
        <w:t>,</w:t>
      </w:r>
      <w:r w:rsidR="00BB5B63">
        <w:rPr>
          <w:lang w:val="en-US"/>
        </w:rPr>
        <w:t>590,233.25</w:t>
      </w:r>
      <w:proofErr w:type="gramEnd"/>
      <w:r w:rsidR="00BB5B63">
        <w:rPr>
          <w:lang w:val="en-US"/>
        </w:rPr>
        <w:t xml:space="preserve"> million. The amount owing </w:t>
      </w:r>
      <w:proofErr w:type="gramStart"/>
      <w:r w:rsidR="00BB5B63">
        <w:rPr>
          <w:lang w:val="en-US"/>
        </w:rPr>
        <w:t>was arrived at</w:t>
      </w:r>
      <w:proofErr w:type="gramEnd"/>
      <w:r w:rsidR="00BB5B63">
        <w:rPr>
          <w:lang w:val="en-US"/>
        </w:rPr>
        <w:t xml:space="preserve"> after examination of the list of invoices raised by SEYPEC less amounts paid, taking into account the </w:t>
      </w:r>
      <w:proofErr w:type="spellStart"/>
      <w:r w:rsidR="00BB5B63">
        <w:rPr>
          <w:lang w:val="en-US"/>
        </w:rPr>
        <w:t>cheques</w:t>
      </w:r>
      <w:proofErr w:type="spellEnd"/>
      <w:r w:rsidR="00BB5B63">
        <w:rPr>
          <w:lang w:val="en-US"/>
        </w:rPr>
        <w:t xml:space="preserve"> that were </w:t>
      </w:r>
      <w:proofErr w:type="spellStart"/>
      <w:r w:rsidR="00BB5B63">
        <w:rPr>
          <w:lang w:val="en-US"/>
        </w:rPr>
        <w:t>dishonoured</w:t>
      </w:r>
      <w:proofErr w:type="spellEnd"/>
      <w:r w:rsidR="00BB5B63">
        <w:rPr>
          <w:lang w:val="en-US"/>
        </w:rPr>
        <w:t>. The debt amounted to SR10,047,295.29</w:t>
      </w:r>
    </w:p>
    <w:p w14:paraId="2AC7872F" w14:textId="4809CD67" w:rsidR="00BB5B63" w:rsidRDefault="00BB5B63" w:rsidP="00BB56B9">
      <w:pPr>
        <w:pStyle w:val="JudgmentText"/>
        <w:ind w:left="540" w:hanging="540"/>
        <w:rPr>
          <w:lang w:val="en-US"/>
        </w:rPr>
      </w:pPr>
      <w:r>
        <w:rPr>
          <w:lang w:val="en-US"/>
        </w:rPr>
        <w:t xml:space="preserve">He disputed the accounts presented by Mr. </w:t>
      </w:r>
      <w:proofErr w:type="spellStart"/>
      <w:r>
        <w:rPr>
          <w:lang w:val="en-US"/>
        </w:rPr>
        <w:t>Grandcourt</w:t>
      </w:r>
      <w:proofErr w:type="spellEnd"/>
      <w:r>
        <w:rPr>
          <w:lang w:val="en-US"/>
        </w:rPr>
        <w:t xml:space="preserve"> as </w:t>
      </w:r>
      <w:r w:rsidR="007042A1">
        <w:rPr>
          <w:lang w:val="en-US"/>
        </w:rPr>
        <w:t>the latter’s</w:t>
      </w:r>
      <w:r>
        <w:rPr>
          <w:lang w:val="en-US"/>
        </w:rPr>
        <w:t xml:space="preserve"> accountant had never requested any documents from SEYPEC</w:t>
      </w:r>
      <w:r w:rsidR="007042A1">
        <w:rPr>
          <w:lang w:val="en-US"/>
        </w:rPr>
        <w:t xml:space="preserve"> and in his estimation produced his report without all relevant information</w:t>
      </w:r>
      <w:r>
        <w:rPr>
          <w:lang w:val="en-US"/>
        </w:rPr>
        <w:t xml:space="preserve">. He also explained </w:t>
      </w:r>
      <w:r w:rsidR="00D94D04">
        <w:rPr>
          <w:lang w:val="en-US"/>
        </w:rPr>
        <w:t>that Mr.</w:t>
      </w:r>
      <w:r>
        <w:rPr>
          <w:lang w:val="en-US"/>
        </w:rPr>
        <w:t xml:space="preserve"> </w:t>
      </w:r>
      <w:proofErr w:type="spellStart"/>
      <w:r>
        <w:rPr>
          <w:lang w:val="en-US"/>
        </w:rPr>
        <w:t>Grandcourt’s</w:t>
      </w:r>
      <w:proofErr w:type="spellEnd"/>
      <w:r>
        <w:rPr>
          <w:lang w:val="en-US"/>
        </w:rPr>
        <w:t xml:space="preserve"> accountant had not taken into account the debt that had accrued since 2010 and had rolled forward. </w:t>
      </w:r>
      <w:r w:rsidR="003C527C">
        <w:rPr>
          <w:lang w:val="en-US"/>
        </w:rPr>
        <w:t xml:space="preserve">As regards the LPG, the credit notes for them </w:t>
      </w:r>
      <w:proofErr w:type="gramStart"/>
      <w:r w:rsidR="003C527C">
        <w:rPr>
          <w:lang w:val="en-US"/>
        </w:rPr>
        <w:t>were raised</w:t>
      </w:r>
      <w:proofErr w:type="gramEnd"/>
      <w:r w:rsidR="003C527C">
        <w:rPr>
          <w:lang w:val="en-US"/>
        </w:rPr>
        <w:t xml:space="preserve"> for Mr. </w:t>
      </w:r>
      <w:proofErr w:type="spellStart"/>
      <w:r w:rsidR="003C527C">
        <w:rPr>
          <w:lang w:val="en-US"/>
        </w:rPr>
        <w:t>Grandcourt’s</w:t>
      </w:r>
      <w:proofErr w:type="spellEnd"/>
      <w:r w:rsidR="003C527C">
        <w:rPr>
          <w:lang w:val="en-US"/>
        </w:rPr>
        <w:t xml:space="preserve"> margin against the cost of the LPG but not for the full value of the LPG</w:t>
      </w:r>
      <w:r w:rsidR="007042A1">
        <w:rPr>
          <w:lang w:val="en-US"/>
        </w:rPr>
        <w:t xml:space="preserve"> as had been done by Mr. </w:t>
      </w:r>
      <w:proofErr w:type="spellStart"/>
      <w:r w:rsidR="007042A1">
        <w:rPr>
          <w:lang w:val="en-US"/>
        </w:rPr>
        <w:t>Grandcourt’s</w:t>
      </w:r>
      <w:proofErr w:type="spellEnd"/>
      <w:r w:rsidR="007042A1">
        <w:rPr>
          <w:lang w:val="en-US"/>
        </w:rPr>
        <w:t xml:space="preserve"> accountants.</w:t>
      </w:r>
    </w:p>
    <w:p w14:paraId="5CF8B968" w14:textId="7D7E4D1A" w:rsidR="001349A3" w:rsidRDefault="001349A3" w:rsidP="001349A3">
      <w:pPr>
        <w:pStyle w:val="Jjmntheading1"/>
        <w:rPr>
          <w:lang w:val="en-US"/>
        </w:rPr>
      </w:pPr>
      <w:r>
        <w:rPr>
          <w:lang w:val="en-US"/>
        </w:rPr>
        <w:t xml:space="preserve">The decision of the court </w:t>
      </w:r>
      <w:r w:rsidRPr="001349A3">
        <w:rPr>
          <w:i/>
          <w:lang w:val="en-US"/>
        </w:rPr>
        <w:t>a quo</w:t>
      </w:r>
    </w:p>
    <w:p w14:paraId="797259BB" w14:textId="709AC0BE" w:rsidR="00475E6E" w:rsidRPr="00D23076" w:rsidRDefault="00956F67" w:rsidP="00BB56B9">
      <w:pPr>
        <w:pStyle w:val="JudgmentText"/>
        <w:ind w:left="630" w:hanging="630"/>
        <w:rPr>
          <w:u w:val="single"/>
          <w:lang w:val="en-US"/>
        </w:rPr>
      </w:pPr>
      <w:r>
        <w:t xml:space="preserve">In </w:t>
      </w:r>
      <w:r w:rsidR="00D23076">
        <w:t xml:space="preserve">a decision dated 9 September 2019, the Supreme Court dismissed a pre-emptive action by </w:t>
      </w:r>
      <w:r w:rsidR="00D94D04">
        <w:t xml:space="preserve">Mr. </w:t>
      </w:r>
      <w:proofErr w:type="spellStart"/>
      <w:r w:rsidR="00D94D04">
        <w:t>Grandcourt</w:t>
      </w:r>
      <w:proofErr w:type="spellEnd"/>
      <w:r w:rsidR="00D23076">
        <w:t xml:space="preserve"> against </w:t>
      </w:r>
      <w:r w:rsidR="00D94D04">
        <w:t>SEYPEC</w:t>
      </w:r>
      <w:r w:rsidR="00D23076">
        <w:t xml:space="preserve"> for his ejectment from the latter’s petrol station. </w:t>
      </w:r>
      <w:r w:rsidR="00D94D04">
        <w:t>Instead</w:t>
      </w:r>
      <w:r w:rsidR="007042A1">
        <w:t>,</w:t>
      </w:r>
      <w:r w:rsidR="00D94D04">
        <w:t xml:space="preserve"> t</w:t>
      </w:r>
      <w:r w:rsidR="00D23076">
        <w:t>he Court</w:t>
      </w:r>
      <w:r w:rsidR="00D94D04">
        <w:t xml:space="preserve">, having satisfied itself </w:t>
      </w:r>
      <w:r w:rsidR="007042A1">
        <w:t>with</w:t>
      </w:r>
      <w:r w:rsidR="00D94D04">
        <w:t xml:space="preserve"> the debt owed by Mr. </w:t>
      </w:r>
      <w:proofErr w:type="spellStart"/>
      <w:r w:rsidR="00D94D04">
        <w:t>Grandcourt</w:t>
      </w:r>
      <w:proofErr w:type="spellEnd"/>
      <w:r w:rsidR="00D94D04">
        <w:t>,</w:t>
      </w:r>
      <w:r w:rsidR="00D23076">
        <w:t xml:space="preserve"> ordered </w:t>
      </w:r>
      <w:r w:rsidR="00D94D04">
        <w:t>him</w:t>
      </w:r>
      <w:r w:rsidR="00D23076">
        <w:t xml:space="preserve"> to pay </w:t>
      </w:r>
      <w:r w:rsidR="00D94D04">
        <w:t>SEYPEC</w:t>
      </w:r>
      <w:r w:rsidR="00D23076">
        <w:t xml:space="preserve"> on its counterclaim, the sum of SR 10,047,295.29 together with</w:t>
      </w:r>
      <w:r w:rsidR="00D94D04">
        <w:t xml:space="preserve"> commercial</w:t>
      </w:r>
      <w:r w:rsidR="00D23076">
        <w:t xml:space="preserve"> interests and costs</w:t>
      </w:r>
      <w:r w:rsidR="00D94D04">
        <w:t xml:space="preserve">. Mr. </w:t>
      </w:r>
      <w:proofErr w:type="spellStart"/>
      <w:r w:rsidR="00D94D04">
        <w:t>Grandcourt</w:t>
      </w:r>
      <w:proofErr w:type="spellEnd"/>
      <w:r w:rsidR="00D94D04">
        <w:t xml:space="preserve"> </w:t>
      </w:r>
      <w:proofErr w:type="gramStart"/>
      <w:r w:rsidR="00D94D04">
        <w:t>was given</w:t>
      </w:r>
      <w:proofErr w:type="gramEnd"/>
      <w:r w:rsidR="00D94D04">
        <w:t xml:space="preserve"> </w:t>
      </w:r>
      <w:r w:rsidR="00D23076">
        <w:t xml:space="preserve">two months to vacate the petrol station. </w:t>
      </w:r>
    </w:p>
    <w:p w14:paraId="1153EA1D" w14:textId="326B49F1" w:rsidR="000F6923" w:rsidRPr="000F6923" w:rsidRDefault="001349A3" w:rsidP="00BB56B9">
      <w:pPr>
        <w:pStyle w:val="JudgmentText"/>
        <w:ind w:left="630" w:hanging="630"/>
        <w:rPr>
          <w:u w:val="single"/>
          <w:lang w:val="en-US"/>
        </w:rPr>
      </w:pPr>
      <w:r>
        <w:t xml:space="preserve">The Court </w:t>
      </w:r>
      <w:r w:rsidR="00D94D04">
        <w:t>in giving its reasons for its decision stated</w:t>
      </w:r>
      <w:r>
        <w:t xml:space="preserve"> that Mr. </w:t>
      </w:r>
      <w:proofErr w:type="spellStart"/>
      <w:r w:rsidR="007042A1">
        <w:t>Ramanantsoa</w:t>
      </w:r>
      <w:proofErr w:type="spellEnd"/>
      <w:r>
        <w:t xml:space="preserve"> had </w:t>
      </w:r>
      <w:r w:rsidR="00D94D04">
        <w:t>considered</w:t>
      </w:r>
      <w:r>
        <w:t xml:space="preserve"> invoices </w:t>
      </w:r>
      <w:r w:rsidR="00D94D04">
        <w:t>paid between the years</w:t>
      </w:r>
      <w:r>
        <w:t xml:space="preserve"> 2008 to 2017 when in fact Mr. </w:t>
      </w:r>
      <w:proofErr w:type="spellStart"/>
      <w:r>
        <w:t>Grandcourt</w:t>
      </w:r>
      <w:proofErr w:type="spellEnd"/>
      <w:r>
        <w:t xml:space="preserve"> had acknowledged in writing in February 2017 that he owed SR 7,024,122.74.</w:t>
      </w:r>
      <w:r w:rsidR="000F6923">
        <w:t xml:space="preserve"> </w:t>
      </w:r>
      <w:r>
        <w:t xml:space="preserve">That debt </w:t>
      </w:r>
      <w:proofErr w:type="gramStart"/>
      <w:r>
        <w:t>had not been repaid</w:t>
      </w:r>
      <w:proofErr w:type="gramEnd"/>
      <w:r>
        <w:t xml:space="preserve"> and was carried over with the amounts that accrued under the</w:t>
      </w:r>
      <w:r w:rsidR="00D94D04">
        <w:t xml:space="preserve"> </w:t>
      </w:r>
      <w:r>
        <w:t xml:space="preserve">2017 agreement. The </w:t>
      </w:r>
      <w:r w:rsidR="00D94D04">
        <w:t>C</w:t>
      </w:r>
      <w:r>
        <w:t xml:space="preserve">ourt accepted Mr. </w:t>
      </w:r>
      <w:proofErr w:type="spellStart"/>
      <w:r>
        <w:t>Mondon’s</w:t>
      </w:r>
      <w:proofErr w:type="spellEnd"/>
      <w:r>
        <w:t xml:space="preserve"> figures as being accurate. The debt that accrued after 2017 brought the amount owed to SR 10,047,295.29 as counterclaimed by SEYPEC. </w:t>
      </w:r>
    </w:p>
    <w:p w14:paraId="20062DBD" w14:textId="6B835B16" w:rsidR="000F6923" w:rsidRPr="000F6923" w:rsidRDefault="000F6923" w:rsidP="000F6923">
      <w:pPr>
        <w:pStyle w:val="Jjmntheading1"/>
        <w:rPr>
          <w:lang w:val="en-US"/>
        </w:rPr>
      </w:pPr>
      <w:r>
        <w:rPr>
          <w:lang w:val="en-US"/>
        </w:rPr>
        <w:lastRenderedPageBreak/>
        <w:t>The present appeal</w:t>
      </w:r>
    </w:p>
    <w:p w14:paraId="32CDC57F" w14:textId="5F4E05DC" w:rsidR="000F6923" w:rsidRPr="000F6923" w:rsidRDefault="000F6923" w:rsidP="00BB56B9">
      <w:pPr>
        <w:pStyle w:val="JudgmentText"/>
        <w:tabs>
          <w:tab w:val="left" w:pos="630"/>
          <w:tab w:val="left" w:pos="720"/>
        </w:tabs>
        <w:ind w:left="360" w:hanging="360"/>
        <w:rPr>
          <w:u w:val="single"/>
          <w:lang w:val="en-US"/>
        </w:rPr>
      </w:pPr>
      <w:r>
        <w:t>From this decision the Appellant has appealed on four grounds namely:</w:t>
      </w:r>
    </w:p>
    <w:p w14:paraId="3AFFA272" w14:textId="77777777" w:rsidR="000F6923" w:rsidRDefault="000F6923" w:rsidP="00BB56B9">
      <w:pPr>
        <w:pStyle w:val="NumberedQuotationindent1"/>
        <w:ind w:left="1530"/>
        <w:rPr>
          <w:lang w:val="en-US"/>
        </w:rPr>
      </w:pPr>
      <w:r>
        <w:rPr>
          <w:lang w:val="en-US"/>
        </w:rPr>
        <w:t xml:space="preserve">The </w:t>
      </w:r>
      <w:proofErr w:type="spellStart"/>
      <w:r>
        <w:rPr>
          <w:lang w:val="en-US"/>
        </w:rPr>
        <w:t>honourable</w:t>
      </w:r>
      <w:proofErr w:type="spellEnd"/>
      <w:r>
        <w:rPr>
          <w:lang w:val="en-US"/>
        </w:rPr>
        <w:t xml:space="preserve"> judge erred in law and on the evidence in his finding that </w:t>
      </w:r>
      <w:proofErr w:type="spellStart"/>
      <w:r>
        <w:rPr>
          <w:lang w:val="en-US"/>
        </w:rPr>
        <w:t>Rs</w:t>
      </w:r>
      <w:proofErr w:type="spellEnd"/>
      <w:r>
        <w:rPr>
          <w:lang w:val="en-US"/>
        </w:rPr>
        <w:noBreakHyphen/>
        <w:t xml:space="preserve"> 10,047,295.29 should be paid by the Plaintiff to the Defendant and further </w:t>
      </w:r>
      <w:proofErr w:type="gramStart"/>
      <w:r>
        <w:rPr>
          <w:lang w:val="en-US"/>
        </w:rPr>
        <w:t>that</w:t>
      </w:r>
      <w:proofErr w:type="gramEnd"/>
      <w:r>
        <w:rPr>
          <w:lang w:val="en-US"/>
        </w:rPr>
        <w:t xml:space="preserve"> the Plaintiff should vacate the premises, within 2 months and hand over vacant possession to the Defendant.</w:t>
      </w:r>
    </w:p>
    <w:p w14:paraId="3FE14540" w14:textId="01D09C0F" w:rsidR="000F6923" w:rsidRDefault="000F6923" w:rsidP="00BB56B9">
      <w:pPr>
        <w:pStyle w:val="NumberedQuotationindent1"/>
        <w:numPr>
          <w:ilvl w:val="0"/>
          <w:numId w:val="0"/>
        </w:numPr>
        <w:ind w:left="1530" w:hanging="360"/>
        <w:rPr>
          <w:lang w:val="en-US"/>
        </w:rPr>
      </w:pPr>
      <w:r>
        <w:rPr>
          <w:lang w:val="en-US"/>
        </w:rPr>
        <w:t xml:space="preserve"> </w:t>
      </w:r>
    </w:p>
    <w:p w14:paraId="64B6FC1B" w14:textId="7EDCE458" w:rsidR="000F6923" w:rsidRDefault="000F6923" w:rsidP="00BB56B9">
      <w:pPr>
        <w:pStyle w:val="NumberedQuotationindent1"/>
        <w:ind w:left="1530"/>
        <w:rPr>
          <w:lang w:val="en-US"/>
        </w:rPr>
      </w:pPr>
      <w:r w:rsidRPr="000F6923">
        <w:rPr>
          <w:lang w:val="en-US"/>
        </w:rPr>
        <w:t xml:space="preserve">The </w:t>
      </w:r>
      <w:proofErr w:type="spellStart"/>
      <w:r w:rsidRPr="000F6923">
        <w:rPr>
          <w:lang w:val="en-US"/>
        </w:rPr>
        <w:t>honourable</w:t>
      </w:r>
      <w:proofErr w:type="spellEnd"/>
      <w:r w:rsidRPr="000F6923">
        <w:rPr>
          <w:lang w:val="en-US"/>
        </w:rPr>
        <w:t xml:space="preserve"> judge</w:t>
      </w:r>
      <w:r>
        <w:rPr>
          <w:lang w:val="en-US"/>
        </w:rPr>
        <w:t xml:space="preserve"> wrongly assessed the evidence of the expert witness, both for the Plaintiff and the Defendant in that: </w:t>
      </w:r>
    </w:p>
    <w:p w14:paraId="7B3110D5" w14:textId="6F99E757" w:rsidR="000F6923" w:rsidRDefault="000F6923" w:rsidP="00BB56B9">
      <w:pPr>
        <w:pStyle w:val="NumberedQuotationindent1"/>
        <w:numPr>
          <w:ilvl w:val="1"/>
          <w:numId w:val="8"/>
        </w:numPr>
        <w:ind w:hanging="180"/>
        <w:rPr>
          <w:lang w:val="en-US"/>
        </w:rPr>
      </w:pPr>
      <w:r>
        <w:rPr>
          <w:lang w:val="en-US"/>
        </w:rPr>
        <w:t>The Plaintiff’s witness was an independent, objective and professional chartered accountant</w:t>
      </w:r>
      <w:r w:rsidR="003F0B7F">
        <w:rPr>
          <w:lang w:val="en-US"/>
        </w:rPr>
        <w:t>.</w:t>
      </w:r>
    </w:p>
    <w:p w14:paraId="4F300C86" w14:textId="75C38E50" w:rsidR="000F6923" w:rsidRDefault="000F6923" w:rsidP="00BB56B9">
      <w:pPr>
        <w:pStyle w:val="NumberedQuotationindent1"/>
        <w:numPr>
          <w:ilvl w:val="1"/>
          <w:numId w:val="8"/>
        </w:numPr>
        <w:ind w:hanging="180"/>
        <w:rPr>
          <w:lang w:val="en-US"/>
        </w:rPr>
      </w:pPr>
      <w:r>
        <w:rPr>
          <w:lang w:val="en-US"/>
        </w:rPr>
        <w:t xml:space="preserve">The Defendant’s witness </w:t>
      </w:r>
      <w:proofErr w:type="gramStart"/>
      <w:r>
        <w:rPr>
          <w:lang w:val="en-US"/>
        </w:rPr>
        <w:t>was employed</w:t>
      </w:r>
      <w:proofErr w:type="gramEnd"/>
      <w:r>
        <w:rPr>
          <w:lang w:val="en-US"/>
        </w:rPr>
        <w:t xml:space="preserve"> by the Defendant and was simply supportive of his employer’s claim and he was already part of the team who quantified the claim in the first place</w:t>
      </w:r>
      <w:r w:rsidR="003F0B7F">
        <w:rPr>
          <w:lang w:val="en-US"/>
        </w:rPr>
        <w:t>.</w:t>
      </w:r>
    </w:p>
    <w:p w14:paraId="6A378A59" w14:textId="77777777" w:rsidR="003F0B7F" w:rsidRPr="000F6923" w:rsidRDefault="003F0B7F" w:rsidP="003F0B7F">
      <w:pPr>
        <w:pStyle w:val="NumberedQuotationindent1"/>
        <w:numPr>
          <w:ilvl w:val="0"/>
          <w:numId w:val="0"/>
        </w:numPr>
        <w:ind w:left="1260" w:hanging="360"/>
        <w:rPr>
          <w:lang w:val="en-US"/>
        </w:rPr>
      </w:pPr>
    </w:p>
    <w:p w14:paraId="782E07DF" w14:textId="0908E407" w:rsidR="000F6923" w:rsidRDefault="003F0B7F" w:rsidP="00BB56B9">
      <w:pPr>
        <w:pStyle w:val="NumberedQuotationindent1"/>
        <w:ind w:left="1620" w:hanging="450"/>
        <w:rPr>
          <w:lang w:val="en-US"/>
        </w:rPr>
      </w:pPr>
      <w:r>
        <w:rPr>
          <w:lang w:val="en-US"/>
        </w:rPr>
        <w:t>The Defendant’s accounts were seriously flawed and unreliable and kept changing throughout the pertinent period and in court.</w:t>
      </w:r>
    </w:p>
    <w:p w14:paraId="352083AF" w14:textId="77777777" w:rsidR="003F0B7F" w:rsidRDefault="003F0B7F" w:rsidP="003F0B7F">
      <w:pPr>
        <w:pStyle w:val="NumberedQuotationindent1"/>
        <w:numPr>
          <w:ilvl w:val="0"/>
          <w:numId w:val="0"/>
        </w:numPr>
        <w:ind w:left="1260" w:hanging="360"/>
        <w:rPr>
          <w:lang w:val="en-US"/>
        </w:rPr>
      </w:pPr>
    </w:p>
    <w:p w14:paraId="58185FB4" w14:textId="78A2EA71" w:rsidR="003F0B7F" w:rsidRDefault="003F0B7F" w:rsidP="00BB56B9">
      <w:pPr>
        <w:pStyle w:val="NumberedQuotationindent1"/>
        <w:ind w:left="1530"/>
        <w:rPr>
          <w:lang w:val="en-US"/>
        </w:rPr>
      </w:pPr>
      <w:r>
        <w:rPr>
          <w:lang w:val="en-US"/>
        </w:rPr>
        <w:t xml:space="preserve">The Defendant’s claim was not consistent </w:t>
      </w:r>
      <w:r w:rsidR="00794A24">
        <w:rPr>
          <w:lang w:val="en-US"/>
        </w:rPr>
        <w:t>and</w:t>
      </w:r>
      <w:r>
        <w:rPr>
          <w:lang w:val="en-US"/>
        </w:rPr>
        <w:t xml:space="preserve"> therefore unreliable.</w:t>
      </w:r>
    </w:p>
    <w:p w14:paraId="067FE0F3" w14:textId="77777777" w:rsidR="003F0B7F" w:rsidRPr="000F6923" w:rsidRDefault="003F0B7F" w:rsidP="003F0B7F">
      <w:pPr>
        <w:pStyle w:val="NumberedQuotationindent1"/>
        <w:numPr>
          <w:ilvl w:val="0"/>
          <w:numId w:val="0"/>
        </w:numPr>
        <w:ind w:left="1260" w:hanging="360"/>
        <w:rPr>
          <w:lang w:val="en-US"/>
        </w:rPr>
      </w:pPr>
    </w:p>
    <w:p w14:paraId="11BFD049" w14:textId="0A646660" w:rsidR="00D23076" w:rsidRPr="003F0B7F" w:rsidRDefault="001349A3" w:rsidP="00BB56B9">
      <w:pPr>
        <w:pStyle w:val="JudgmentText"/>
        <w:ind w:left="630" w:hanging="630"/>
        <w:rPr>
          <w:u w:val="single"/>
          <w:lang w:val="en-US"/>
        </w:rPr>
      </w:pPr>
      <w:r>
        <w:t>At the hearing of the appeal</w:t>
      </w:r>
      <w:r w:rsidR="00D94D04">
        <w:t>, learned</w:t>
      </w:r>
      <w:r>
        <w:t xml:space="preserve"> Counsel for Mr. </w:t>
      </w:r>
      <w:proofErr w:type="spellStart"/>
      <w:r>
        <w:t>Grandcourt</w:t>
      </w:r>
      <w:proofErr w:type="spellEnd"/>
      <w:r>
        <w:t xml:space="preserve">, Mr. Ferley, informed the </w:t>
      </w:r>
      <w:r w:rsidR="00D94D04">
        <w:t>C</w:t>
      </w:r>
      <w:r>
        <w:t xml:space="preserve">ourt that </w:t>
      </w:r>
      <w:r w:rsidR="00D94D04">
        <w:t>he</w:t>
      </w:r>
      <w:r>
        <w:t xml:space="preserve"> would not be proceeding with the ground concerning ejectment. </w:t>
      </w:r>
      <w:r w:rsidR="00D94D04">
        <w:t>From the remaining grounds of appeal, it</w:t>
      </w:r>
      <w:r w:rsidR="003F0B7F">
        <w:t xml:space="preserve"> would appear that the Appellant has two main contentions – first, the credibility of the Respondent’s expert witness and secondly the accuracy of the Respondent’s accounts. I shall consider these grounds in turn.  </w:t>
      </w:r>
    </w:p>
    <w:p w14:paraId="4E66BBB4" w14:textId="69F16B9D" w:rsidR="003F0B7F" w:rsidRPr="003F0B7F" w:rsidRDefault="003F0B7F" w:rsidP="003F0B7F">
      <w:pPr>
        <w:pStyle w:val="Jjmntheading1"/>
        <w:rPr>
          <w:u w:val="single"/>
          <w:lang w:val="en-US"/>
        </w:rPr>
      </w:pPr>
      <w:r>
        <w:t>The credibility of the expert witness</w:t>
      </w:r>
      <w:r w:rsidR="00D94D04">
        <w:t>es</w:t>
      </w:r>
      <w:r>
        <w:t xml:space="preserve">. </w:t>
      </w:r>
    </w:p>
    <w:p w14:paraId="574CBCDA" w14:textId="6072C5BC" w:rsidR="00372FB2" w:rsidRPr="008A03B4" w:rsidRDefault="00372FB2" w:rsidP="00BB56B9">
      <w:pPr>
        <w:pStyle w:val="JudgmentText"/>
        <w:tabs>
          <w:tab w:val="left" w:pos="630"/>
        </w:tabs>
        <w:ind w:left="360" w:hanging="360"/>
        <w:rPr>
          <w:i/>
          <w:lang w:val="en-US"/>
        </w:rPr>
      </w:pPr>
      <w:r w:rsidRPr="00372FB2">
        <w:rPr>
          <w:lang w:val="en-US"/>
        </w:rPr>
        <w:t xml:space="preserve">I must </w:t>
      </w:r>
      <w:proofErr w:type="gramStart"/>
      <w:r w:rsidRPr="00372FB2">
        <w:rPr>
          <w:lang w:val="en-US"/>
        </w:rPr>
        <w:t>first of all</w:t>
      </w:r>
      <w:proofErr w:type="gramEnd"/>
      <w:r w:rsidRPr="00372FB2">
        <w:rPr>
          <w:lang w:val="en-US"/>
        </w:rPr>
        <w:t xml:space="preserve"> address the issue of </w:t>
      </w:r>
      <w:r w:rsidRPr="00372FB2">
        <w:rPr>
          <w:i/>
          <w:lang w:val="en-US"/>
        </w:rPr>
        <w:t xml:space="preserve">expert witnesses. </w:t>
      </w:r>
      <w:r w:rsidR="008A03B4">
        <w:rPr>
          <w:lang w:val="en-US"/>
        </w:rPr>
        <w:t>An expert witness is defined as</w:t>
      </w:r>
      <w:r w:rsidR="00D94D04">
        <w:rPr>
          <w:lang w:val="en-US"/>
        </w:rPr>
        <w:t>:</w:t>
      </w:r>
    </w:p>
    <w:p w14:paraId="17F0C5F3" w14:textId="6E91F898" w:rsidR="008A03B4" w:rsidRDefault="008A03B4" w:rsidP="00BB56B9">
      <w:pPr>
        <w:pStyle w:val="NumberedQuotationindent1"/>
        <w:numPr>
          <w:ilvl w:val="0"/>
          <w:numId w:val="0"/>
        </w:numPr>
        <w:ind w:left="990"/>
        <w:rPr>
          <w:lang w:val="en-US"/>
        </w:rPr>
      </w:pPr>
      <w:r>
        <w:rPr>
          <w:lang w:val="en-US"/>
        </w:rPr>
        <w:t>“</w:t>
      </w:r>
      <w:r w:rsidRPr="008A03B4">
        <w:rPr>
          <w:lang w:val="en-US"/>
        </w:rPr>
        <w:t>a person who is a specialist in a subject, often technical, who may present his/her expert opinion without having been a witness to any occurrence relating to the lawsuit or criminal case.</w:t>
      </w:r>
      <w:r>
        <w:rPr>
          <w:lang w:val="en-US"/>
        </w:rPr>
        <w:t>”</w:t>
      </w:r>
      <w:r w:rsidR="006712F1">
        <w:rPr>
          <w:rStyle w:val="FootnoteReference"/>
          <w:lang w:val="en-US"/>
        </w:rPr>
        <w:footnoteReference w:id="1"/>
      </w:r>
    </w:p>
    <w:p w14:paraId="3140339B" w14:textId="77777777" w:rsidR="008A03B4" w:rsidRPr="008A03B4" w:rsidRDefault="008A03B4" w:rsidP="008A03B4">
      <w:pPr>
        <w:pStyle w:val="NumberedQuotationindent1"/>
        <w:numPr>
          <w:ilvl w:val="0"/>
          <w:numId w:val="0"/>
        </w:numPr>
        <w:ind w:left="900"/>
        <w:rPr>
          <w:lang w:val="en-US"/>
        </w:rPr>
      </w:pPr>
    </w:p>
    <w:p w14:paraId="3AB875E8" w14:textId="4B91090C" w:rsidR="00E90267" w:rsidRPr="00E90267" w:rsidRDefault="00231D94" w:rsidP="00BB56B9">
      <w:pPr>
        <w:pStyle w:val="JudgmentText"/>
        <w:ind w:left="630" w:hanging="630"/>
        <w:rPr>
          <w:lang w:val="en-US"/>
        </w:rPr>
      </w:pPr>
      <w:r w:rsidRPr="00231D94">
        <w:rPr>
          <w:lang w:val="en-US"/>
        </w:rPr>
        <w:lastRenderedPageBreak/>
        <w:t>Other defini</w:t>
      </w:r>
      <w:r>
        <w:rPr>
          <w:lang w:val="en-US"/>
        </w:rPr>
        <w:t>tions</w:t>
      </w:r>
      <w:r w:rsidRPr="00231D94">
        <w:rPr>
          <w:lang w:val="en-US"/>
        </w:rPr>
        <w:t xml:space="preserve"> are </w:t>
      </w:r>
      <w:r>
        <w:rPr>
          <w:lang w:val="en-US"/>
        </w:rPr>
        <w:t xml:space="preserve">provided </w:t>
      </w:r>
      <w:r w:rsidRPr="00231D94">
        <w:rPr>
          <w:lang w:val="en-US"/>
        </w:rPr>
        <w:t>in the ca</w:t>
      </w:r>
      <w:r w:rsidR="00E90267">
        <w:rPr>
          <w:lang w:val="en-US"/>
        </w:rPr>
        <w:t>s</w:t>
      </w:r>
      <w:r w:rsidRPr="00231D94">
        <w:rPr>
          <w:lang w:val="en-US"/>
        </w:rPr>
        <w:t xml:space="preserve">e of </w:t>
      </w:r>
      <w:r w:rsidRPr="00E90267">
        <w:rPr>
          <w:i/>
          <w:lang w:val="en-US"/>
        </w:rPr>
        <w:t xml:space="preserve">Hedge Funds Investment Management Ltd v </w:t>
      </w:r>
      <w:proofErr w:type="spellStart"/>
      <w:r w:rsidRPr="00E90267">
        <w:rPr>
          <w:i/>
          <w:lang w:val="en-US"/>
        </w:rPr>
        <w:t>Hedgeintro</w:t>
      </w:r>
      <w:proofErr w:type="spellEnd"/>
      <w:r w:rsidRPr="00E90267">
        <w:rPr>
          <w:i/>
          <w:lang w:val="en-US"/>
        </w:rPr>
        <w:t xml:space="preserve"> International Ltd &amp; 2 </w:t>
      </w:r>
      <w:proofErr w:type="spellStart"/>
      <w:r w:rsidRPr="00E90267">
        <w:rPr>
          <w:i/>
          <w:lang w:val="en-US"/>
        </w:rPr>
        <w:t>Ors</w:t>
      </w:r>
      <w:proofErr w:type="spellEnd"/>
      <w:r w:rsidR="00E90267">
        <w:rPr>
          <w:rStyle w:val="FootnoteReference"/>
          <w:i/>
          <w:lang w:val="en-US"/>
        </w:rPr>
        <w:footnoteReference w:id="2"/>
      </w:r>
      <w:r w:rsidR="00E90267">
        <w:rPr>
          <w:i/>
          <w:lang w:val="en-US"/>
        </w:rPr>
        <w:t>:</w:t>
      </w:r>
    </w:p>
    <w:p w14:paraId="7C2D368D" w14:textId="77777777" w:rsidR="00E90267" w:rsidRDefault="00E90267" w:rsidP="00BB56B9">
      <w:pPr>
        <w:pStyle w:val="NumberedQuotationindent1"/>
        <w:numPr>
          <w:ilvl w:val="0"/>
          <w:numId w:val="0"/>
        </w:numPr>
        <w:ind w:left="990"/>
        <w:rPr>
          <w:lang w:val="en-US"/>
        </w:rPr>
      </w:pPr>
      <w:r>
        <w:rPr>
          <w:lang w:val="en-US"/>
        </w:rPr>
        <w:t xml:space="preserve">“[33] … </w:t>
      </w:r>
      <w:r w:rsidR="00231D94" w:rsidRPr="00231D94">
        <w:rPr>
          <w:lang w:val="en-US"/>
        </w:rPr>
        <w:t>Stroud’s Judicial Dictionary defines an expert as:</w:t>
      </w:r>
      <w:r>
        <w:rPr>
          <w:lang w:val="en-US"/>
        </w:rPr>
        <w:t xml:space="preserve"> </w:t>
      </w:r>
    </w:p>
    <w:p w14:paraId="62CF6EB4" w14:textId="16D81F15" w:rsidR="00231D94" w:rsidRDefault="00231D94" w:rsidP="00BB56B9">
      <w:pPr>
        <w:pStyle w:val="NumberedQuotationindent1"/>
        <w:numPr>
          <w:ilvl w:val="0"/>
          <w:numId w:val="0"/>
        </w:numPr>
        <w:ind w:left="990"/>
        <w:rPr>
          <w:lang w:val="en-US"/>
        </w:rPr>
      </w:pPr>
      <w:r w:rsidRPr="00231D94">
        <w:rPr>
          <w:lang w:val="en-US"/>
        </w:rPr>
        <w:t xml:space="preserve">“one who has made the subject upon which he speaks a matter of practical study, practice, or observation; and he must have a particular and special knowledge of the subject” (2nd </w:t>
      </w:r>
      <w:proofErr w:type="spellStart"/>
      <w:r w:rsidRPr="00231D94">
        <w:rPr>
          <w:lang w:val="en-US"/>
        </w:rPr>
        <w:t>Edn</w:t>
      </w:r>
      <w:proofErr w:type="spellEnd"/>
      <w:r w:rsidRPr="00231D94">
        <w:rPr>
          <w:lang w:val="en-US"/>
        </w:rPr>
        <w:t xml:space="preserve"> 670, citing Dole v Johnson 50 N Hamp 454,).</w:t>
      </w:r>
    </w:p>
    <w:p w14:paraId="41E198CD" w14:textId="77777777" w:rsidR="00E90267" w:rsidRPr="00231D94" w:rsidRDefault="00E90267" w:rsidP="00BB56B9">
      <w:pPr>
        <w:pStyle w:val="NumberedQuotationindent1"/>
        <w:numPr>
          <w:ilvl w:val="0"/>
          <w:numId w:val="0"/>
        </w:numPr>
        <w:ind w:left="990"/>
        <w:rPr>
          <w:lang w:val="en-US"/>
        </w:rPr>
      </w:pPr>
    </w:p>
    <w:p w14:paraId="4612047E" w14:textId="070E3032" w:rsidR="00E90267" w:rsidRDefault="00231D94" w:rsidP="00BB56B9">
      <w:pPr>
        <w:pStyle w:val="JudgmentText"/>
        <w:numPr>
          <w:ilvl w:val="0"/>
          <w:numId w:val="0"/>
        </w:numPr>
        <w:spacing w:after="0"/>
        <w:ind w:left="720" w:firstLine="270"/>
        <w:rPr>
          <w:i/>
          <w:lang w:val="en-US"/>
        </w:rPr>
      </w:pPr>
      <w:r w:rsidRPr="00E90267">
        <w:rPr>
          <w:i/>
          <w:lang w:val="en-US"/>
        </w:rPr>
        <w:t xml:space="preserve">[34] Black’s Law </w:t>
      </w:r>
      <w:r w:rsidR="007042A1">
        <w:rPr>
          <w:i/>
          <w:lang w:val="en-US"/>
        </w:rPr>
        <w:t>D</w:t>
      </w:r>
      <w:r w:rsidRPr="00E90267">
        <w:rPr>
          <w:i/>
          <w:lang w:val="en-US"/>
        </w:rPr>
        <w:t>ictionary defines an expert as</w:t>
      </w:r>
    </w:p>
    <w:p w14:paraId="15FE2026" w14:textId="789F3B6B" w:rsidR="00231D94" w:rsidRPr="00E90267" w:rsidRDefault="00231D94" w:rsidP="00BB56B9">
      <w:pPr>
        <w:pStyle w:val="JudgmentText"/>
        <w:numPr>
          <w:ilvl w:val="0"/>
          <w:numId w:val="0"/>
        </w:numPr>
        <w:ind w:left="990"/>
        <w:rPr>
          <w:rStyle w:val="NumberedQuotationindent1Char"/>
        </w:rPr>
      </w:pPr>
      <w:r w:rsidRPr="00231D94">
        <w:rPr>
          <w:lang w:val="en-US"/>
        </w:rPr>
        <w:t>“</w:t>
      </w:r>
      <w:r w:rsidRPr="00E90267">
        <w:rPr>
          <w:rStyle w:val="NumberedQuotationindent1Char"/>
        </w:rPr>
        <w:t xml:space="preserve">A person, who through education or experience, has developed skill or knowledge in a particular subject, so that he or she may form an opinion that will assist the fact-finder” (9th </w:t>
      </w:r>
      <w:proofErr w:type="spellStart"/>
      <w:r w:rsidRPr="00E90267">
        <w:rPr>
          <w:rStyle w:val="NumberedQuotationindent1Char"/>
        </w:rPr>
        <w:t>Edn</w:t>
      </w:r>
      <w:proofErr w:type="spellEnd"/>
      <w:r w:rsidRPr="00E90267">
        <w:rPr>
          <w:rStyle w:val="NumberedQuotationindent1Char"/>
        </w:rPr>
        <w:t>, 661).</w:t>
      </w:r>
      <w:r w:rsidR="00E90267">
        <w:rPr>
          <w:rStyle w:val="NumberedQuotationindent1Char"/>
        </w:rPr>
        <w:t>”</w:t>
      </w:r>
    </w:p>
    <w:p w14:paraId="17140123" w14:textId="518C7F57" w:rsidR="008A03B4" w:rsidRPr="008A03B4" w:rsidRDefault="008A03B4" w:rsidP="00BB56B9">
      <w:pPr>
        <w:pStyle w:val="JudgmentText"/>
        <w:ind w:left="630" w:hanging="630"/>
        <w:rPr>
          <w:lang w:val="en-US"/>
        </w:rPr>
      </w:pPr>
      <w:r>
        <w:rPr>
          <w:lang w:val="en-US"/>
        </w:rPr>
        <w:t xml:space="preserve">In </w:t>
      </w:r>
      <w:r w:rsidRPr="008A03B4">
        <w:rPr>
          <w:i/>
          <w:lang w:val="en-US"/>
        </w:rPr>
        <w:t>Government</w:t>
      </w:r>
      <w:r w:rsidRPr="008A03B4">
        <w:rPr>
          <w:i/>
        </w:rPr>
        <w:t xml:space="preserve"> of Seychelles vs Heirs Julienne</w:t>
      </w:r>
      <w:r>
        <w:rPr>
          <w:i/>
        </w:rPr>
        <w:t>,</w:t>
      </w:r>
      <w:r>
        <w:rPr>
          <w:rStyle w:val="FootnoteReference"/>
          <w:i/>
        </w:rPr>
        <w:footnoteReference w:id="3"/>
      </w:r>
      <w:r w:rsidRPr="008A03B4">
        <w:t xml:space="preserve"> </w:t>
      </w:r>
      <w:r>
        <w:t xml:space="preserve">Domah JA explained that </w:t>
      </w:r>
    </w:p>
    <w:p w14:paraId="1BA43657" w14:textId="172BB0F2" w:rsidR="008A03B4" w:rsidRDefault="008A03B4" w:rsidP="00BB56B9">
      <w:pPr>
        <w:pStyle w:val="NumberedQuotationindent1"/>
        <w:numPr>
          <w:ilvl w:val="0"/>
          <w:numId w:val="0"/>
        </w:numPr>
        <w:ind w:left="990"/>
        <w:rPr>
          <w:lang w:val="en-US"/>
        </w:rPr>
      </w:pPr>
      <w:r>
        <w:rPr>
          <w:lang w:val="en-US"/>
        </w:rPr>
        <w:t>“[E]</w:t>
      </w:r>
      <w:proofErr w:type="spellStart"/>
      <w:r w:rsidR="006712F1">
        <w:rPr>
          <w:lang w:val="en-US"/>
        </w:rPr>
        <w:t>x</w:t>
      </w:r>
      <w:r w:rsidRPr="008A03B4">
        <w:rPr>
          <w:lang w:val="en-US"/>
        </w:rPr>
        <w:t>pert</w:t>
      </w:r>
      <w:proofErr w:type="spellEnd"/>
      <w:r w:rsidRPr="008A03B4">
        <w:rPr>
          <w:lang w:val="en-US"/>
        </w:rPr>
        <w:t xml:space="preserve"> evidence is evidence of a witness who may not have any personal knowledge of the case but is only apprised of the relevant objective facts from which he/she draws a scientific conclusion from his or her expertise.</w:t>
      </w:r>
      <w:r>
        <w:rPr>
          <w:lang w:val="en-US"/>
        </w:rPr>
        <w:t>”</w:t>
      </w:r>
      <w:r w:rsidR="006712F1">
        <w:rPr>
          <w:rStyle w:val="FootnoteReference"/>
          <w:lang w:val="en-US"/>
        </w:rPr>
        <w:footnoteReference w:id="4"/>
      </w:r>
    </w:p>
    <w:p w14:paraId="4494F89C" w14:textId="77777777" w:rsidR="006712F1" w:rsidRPr="008A03B4" w:rsidRDefault="006712F1" w:rsidP="00BB56B9">
      <w:pPr>
        <w:pStyle w:val="NumberedQuotationindent1"/>
        <w:numPr>
          <w:ilvl w:val="0"/>
          <w:numId w:val="0"/>
        </w:numPr>
        <w:ind w:left="630" w:hanging="630"/>
        <w:rPr>
          <w:lang w:val="en-US"/>
        </w:rPr>
      </w:pPr>
    </w:p>
    <w:p w14:paraId="2D6BD106" w14:textId="10ED81A6" w:rsidR="0084512E" w:rsidRDefault="0084512E" w:rsidP="00BB56B9">
      <w:pPr>
        <w:pStyle w:val="JudgmentText"/>
        <w:spacing w:after="0"/>
        <w:ind w:left="630" w:hanging="630"/>
        <w:rPr>
          <w:lang w:val="en-US"/>
        </w:rPr>
      </w:pPr>
      <w:r>
        <w:rPr>
          <w:lang w:val="en-US"/>
        </w:rPr>
        <w:t xml:space="preserve">Our Evidence Act, </w:t>
      </w:r>
      <w:r w:rsidR="00423CC6">
        <w:rPr>
          <w:lang w:val="en-US"/>
        </w:rPr>
        <w:t>in</w:t>
      </w:r>
      <w:r>
        <w:rPr>
          <w:lang w:val="en-US"/>
        </w:rPr>
        <w:t xml:space="preserve"> this </w:t>
      </w:r>
      <w:r w:rsidR="00423CC6">
        <w:rPr>
          <w:lang w:val="en-US"/>
        </w:rPr>
        <w:t>respect</w:t>
      </w:r>
      <w:r w:rsidR="007042A1">
        <w:rPr>
          <w:lang w:val="en-US"/>
        </w:rPr>
        <w:t>,</w:t>
      </w:r>
      <w:r>
        <w:rPr>
          <w:lang w:val="en-US"/>
        </w:rPr>
        <w:t xml:space="preserve"> provides</w:t>
      </w:r>
      <w:r w:rsidR="00423CC6">
        <w:rPr>
          <w:lang w:val="en-US"/>
        </w:rPr>
        <w:t>:</w:t>
      </w:r>
      <w:r>
        <w:rPr>
          <w:lang w:val="en-US"/>
        </w:rPr>
        <w:t xml:space="preserve"> </w:t>
      </w:r>
    </w:p>
    <w:p w14:paraId="2EB5F2C8" w14:textId="39541913" w:rsidR="0084512E" w:rsidRPr="0084512E" w:rsidRDefault="0084512E" w:rsidP="00BB56B9">
      <w:pPr>
        <w:pStyle w:val="NumberedQuotationindent1"/>
        <w:numPr>
          <w:ilvl w:val="0"/>
          <w:numId w:val="0"/>
        </w:numPr>
        <w:ind w:left="630" w:firstLine="360"/>
        <w:rPr>
          <w:lang w:val="en-US"/>
        </w:rPr>
      </w:pPr>
      <w:r>
        <w:rPr>
          <w:lang w:val="en-US"/>
        </w:rPr>
        <w:t>“</w:t>
      </w:r>
      <w:r w:rsidRPr="0084512E">
        <w:rPr>
          <w:lang w:val="en-US"/>
        </w:rPr>
        <w:t>Expert opinion</w:t>
      </w:r>
    </w:p>
    <w:p w14:paraId="5E76FE53" w14:textId="3153718B" w:rsidR="0084512E" w:rsidRPr="0084512E" w:rsidRDefault="0084512E" w:rsidP="00BB56B9">
      <w:pPr>
        <w:pStyle w:val="NumberedQuotationindent1"/>
        <w:numPr>
          <w:ilvl w:val="0"/>
          <w:numId w:val="0"/>
        </w:numPr>
        <w:ind w:left="990"/>
        <w:rPr>
          <w:lang w:val="en-US"/>
        </w:rPr>
      </w:pPr>
      <w:r w:rsidRPr="0084512E">
        <w:rPr>
          <w:lang w:val="en-US"/>
        </w:rPr>
        <w:t>17. (1) In any trial a statement, whether of fact or opinion or both, contained in an expert report made by a person, whether called as a witness or not, shall, subject to this section, be admissible as evidence of the matter stated in the report of which direct oral evidence by the person at the trial would be admissible.</w:t>
      </w:r>
    </w:p>
    <w:p w14:paraId="51D372D7" w14:textId="30B75EBE" w:rsidR="0084512E" w:rsidRPr="0084512E" w:rsidRDefault="00423CC6" w:rsidP="00BB56B9">
      <w:pPr>
        <w:pStyle w:val="NumberedQuotationindent1"/>
        <w:numPr>
          <w:ilvl w:val="0"/>
          <w:numId w:val="0"/>
        </w:numPr>
        <w:ind w:left="990"/>
        <w:rPr>
          <w:lang w:val="en-US"/>
        </w:rPr>
      </w:pPr>
      <w:r>
        <w:rPr>
          <w:lang w:val="en-US"/>
        </w:rPr>
        <w:t>…</w:t>
      </w:r>
    </w:p>
    <w:p w14:paraId="42AB7F0F" w14:textId="51389CDC" w:rsidR="0084512E" w:rsidRDefault="0084512E" w:rsidP="00BB56B9">
      <w:pPr>
        <w:pStyle w:val="NumberedQuotationindent1"/>
        <w:numPr>
          <w:ilvl w:val="0"/>
          <w:numId w:val="0"/>
        </w:numPr>
        <w:ind w:left="990"/>
        <w:rPr>
          <w:lang w:val="en-US"/>
        </w:rPr>
      </w:pPr>
      <w:r w:rsidRPr="0084512E">
        <w:rPr>
          <w:lang w:val="en-US"/>
        </w:rPr>
        <w:t xml:space="preserve">(3)  Nothing in this section affects the admissibility of an expert report under any other written law or otherwise than </w:t>
      </w:r>
      <w:proofErr w:type="gramStart"/>
      <w:r w:rsidRPr="0084512E">
        <w:rPr>
          <w:lang w:val="en-US"/>
        </w:rPr>
        <w:t>for the purpose of</w:t>
      </w:r>
      <w:proofErr w:type="gramEnd"/>
      <w:r w:rsidRPr="0084512E">
        <w:rPr>
          <w:lang w:val="en-US"/>
        </w:rPr>
        <w:t xml:space="preserve"> proving the matter stated in the expert report.</w:t>
      </w:r>
    </w:p>
    <w:p w14:paraId="03E67D9D" w14:textId="77777777" w:rsidR="00423CC6" w:rsidRPr="0084512E" w:rsidRDefault="00423CC6" w:rsidP="0084512E">
      <w:pPr>
        <w:pStyle w:val="NumberedQuotationindent1"/>
        <w:numPr>
          <w:ilvl w:val="0"/>
          <w:numId w:val="0"/>
        </w:numPr>
        <w:ind w:left="900"/>
        <w:rPr>
          <w:lang w:val="en-US"/>
        </w:rPr>
      </w:pPr>
    </w:p>
    <w:p w14:paraId="62B5F094" w14:textId="1678D839" w:rsidR="0084512E" w:rsidRDefault="0084512E" w:rsidP="00423CC6">
      <w:pPr>
        <w:pStyle w:val="NumberedQuotationindent1"/>
        <w:numPr>
          <w:ilvl w:val="0"/>
          <w:numId w:val="0"/>
        </w:numPr>
        <w:ind w:left="900"/>
        <w:rPr>
          <w:lang w:val="en-US"/>
        </w:rPr>
      </w:pPr>
      <w:r w:rsidRPr="0084512E">
        <w:rPr>
          <w:lang w:val="en-US"/>
        </w:rPr>
        <w:t>(4) In this section "expert report" means a written report by a person dealing wholly or mainly with matters on which the person is or would, if living, be qualified to give expert evidence.</w:t>
      </w:r>
      <w:r w:rsidR="00423CC6">
        <w:rPr>
          <w:lang w:val="en-US"/>
        </w:rPr>
        <w:t>”</w:t>
      </w:r>
    </w:p>
    <w:p w14:paraId="350BBD14" w14:textId="77777777" w:rsidR="00423CC6" w:rsidRDefault="00423CC6" w:rsidP="00423CC6">
      <w:pPr>
        <w:pStyle w:val="NumberedQuotationindent1"/>
        <w:numPr>
          <w:ilvl w:val="0"/>
          <w:numId w:val="0"/>
        </w:numPr>
        <w:ind w:left="900"/>
        <w:rPr>
          <w:lang w:val="en-US"/>
        </w:rPr>
      </w:pPr>
    </w:p>
    <w:p w14:paraId="049952D1" w14:textId="124C286C" w:rsidR="00E90267" w:rsidRPr="00E90267" w:rsidRDefault="00DD1261" w:rsidP="00BB56B9">
      <w:pPr>
        <w:pStyle w:val="JudgmentText"/>
        <w:ind w:left="630" w:hanging="630"/>
        <w:rPr>
          <w:lang w:val="en-US"/>
        </w:rPr>
      </w:pPr>
      <w:r w:rsidRPr="00E90267">
        <w:rPr>
          <w:lang w:val="en-US"/>
        </w:rPr>
        <w:lastRenderedPageBreak/>
        <w:t xml:space="preserve">Expert evidence </w:t>
      </w:r>
      <w:proofErr w:type="gramStart"/>
      <w:r w:rsidRPr="00E90267">
        <w:rPr>
          <w:lang w:val="en-US"/>
        </w:rPr>
        <w:t>is tended</w:t>
      </w:r>
      <w:proofErr w:type="gramEnd"/>
      <w:r w:rsidRPr="00E90267">
        <w:rPr>
          <w:lang w:val="en-US"/>
        </w:rPr>
        <w:t xml:space="preserve"> after the ‘primary facts’ have been proven by the person with personal knowledge of them. </w:t>
      </w:r>
      <w:r w:rsidR="00E90267">
        <w:rPr>
          <w:lang w:val="en-US"/>
        </w:rPr>
        <w:t xml:space="preserve">It was in reliance </w:t>
      </w:r>
      <w:r>
        <w:rPr>
          <w:lang w:val="en-US"/>
        </w:rPr>
        <w:t>on</w:t>
      </w:r>
      <w:r w:rsidR="00E90267">
        <w:rPr>
          <w:lang w:val="en-US"/>
        </w:rPr>
        <w:t xml:space="preserve"> these </w:t>
      </w:r>
      <w:r w:rsidR="009A7E10">
        <w:rPr>
          <w:lang w:val="en-US"/>
        </w:rPr>
        <w:t>provisions</w:t>
      </w:r>
      <w:r w:rsidR="00E90267">
        <w:rPr>
          <w:lang w:val="en-US"/>
        </w:rPr>
        <w:t xml:space="preserve"> tha</w:t>
      </w:r>
      <w:r w:rsidR="009A7E10">
        <w:rPr>
          <w:lang w:val="en-US"/>
        </w:rPr>
        <w:t>t</w:t>
      </w:r>
      <w:r w:rsidR="00E90267">
        <w:rPr>
          <w:lang w:val="en-US"/>
        </w:rPr>
        <w:t xml:space="preserve"> the trial judge </w:t>
      </w:r>
      <w:r w:rsidR="009A7E10">
        <w:rPr>
          <w:lang w:val="en-US"/>
        </w:rPr>
        <w:t>a</w:t>
      </w:r>
      <w:r>
        <w:rPr>
          <w:lang w:val="en-US"/>
        </w:rPr>
        <w:t xml:space="preserve">dmitted </w:t>
      </w:r>
      <w:r w:rsidR="009A7E10">
        <w:rPr>
          <w:lang w:val="en-US"/>
        </w:rPr>
        <w:t xml:space="preserve">the </w:t>
      </w:r>
      <w:r>
        <w:rPr>
          <w:lang w:val="en-US"/>
        </w:rPr>
        <w:t>different</w:t>
      </w:r>
      <w:r w:rsidR="009A7E10">
        <w:rPr>
          <w:lang w:val="en-US"/>
        </w:rPr>
        <w:t xml:space="preserve"> reports but </w:t>
      </w:r>
      <w:r w:rsidR="00E90267" w:rsidRPr="00E90267">
        <w:rPr>
          <w:lang w:val="en-US"/>
        </w:rPr>
        <w:t xml:space="preserve">reserved for himself the assessment of the truth of the contents of </w:t>
      </w:r>
      <w:r>
        <w:rPr>
          <w:lang w:val="en-US"/>
        </w:rPr>
        <w:t xml:space="preserve">each of </w:t>
      </w:r>
      <w:r w:rsidR="00E90267" w:rsidRPr="00E90267">
        <w:rPr>
          <w:lang w:val="en-US"/>
        </w:rPr>
        <w:t xml:space="preserve">the </w:t>
      </w:r>
      <w:r w:rsidRPr="00E90267">
        <w:rPr>
          <w:lang w:val="en-US"/>
        </w:rPr>
        <w:t>repor</w:t>
      </w:r>
      <w:r>
        <w:rPr>
          <w:lang w:val="en-US"/>
        </w:rPr>
        <w:t>t</w:t>
      </w:r>
      <w:r w:rsidRPr="00E90267">
        <w:rPr>
          <w:lang w:val="en-US"/>
        </w:rPr>
        <w:t>s</w:t>
      </w:r>
      <w:r w:rsidR="00E90267" w:rsidRPr="00E90267">
        <w:rPr>
          <w:lang w:val="en-US"/>
        </w:rPr>
        <w:t xml:space="preserve"> and the weight to </w:t>
      </w:r>
      <w:proofErr w:type="gramStart"/>
      <w:r w:rsidR="00E90267" w:rsidRPr="00E90267">
        <w:rPr>
          <w:lang w:val="en-US"/>
        </w:rPr>
        <w:t>be given</w:t>
      </w:r>
      <w:proofErr w:type="gramEnd"/>
      <w:r w:rsidR="00E90267" w:rsidRPr="00E90267">
        <w:rPr>
          <w:lang w:val="en-US"/>
        </w:rPr>
        <w:t xml:space="preserve"> to </w:t>
      </w:r>
      <w:r>
        <w:rPr>
          <w:lang w:val="en-US"/>
        </w:rPr>
        <w:t>them</w:t>
      </w:r>
      <w:r w:rsidR="00E90267" w:rsidRPr="00E90267">
        <w:rPr>
          <w:lang w:val="en-US"/>
        </w:rPr>
        <w:t>.</w:t>
      </w:r>
      <w:r>
        <w:rPr>
          <w:lang w:val="en-US"/>
        </w:rPr>
        <w:t xml:space="preserve"> </w:t>
      </w:r>
    </w:p>
    <w:p w14:paraId="26F4FD71" w14:textId="1CE1D934" w:rsidR="003F0B7F" w:rsidRDefault="008A03B4" w:rsidP="00BB56B9">
      <w:pPr>
        <w:pStyle w:val="JudgmentText"/>
        <w:ind w:left="630" w:hanging="630"/>
        <w:rPr>
          <w:lang w:val="en-US"/>
        </w:rPr>
      </w:pPr>
      <w:r>
        <w:rPr>
          <w:lang w:val="en-US"/>
        </w:rPr>
        <w:t xml:space="preserve">With regard </w:t>
      </w:r>
      <w:proofErr w:type="gramStart"/>
      <w:r w:rsidR="00DD1261">
        <w:rPr>
          <w:lang w:val="en-US"/>
        </w:rPr>
        <w:t>first of all</w:t>
      </w:r>
      <w:proofErr w:type="gramEnd"/>
      <w:r w:rsidR="007042A1">
        <w:rPr>
          <w:lang w:val="en-US"/>
        </w:rPr>
        <w:t>,</w:t>
      </w:r>
      <w:r w:rsidR="00DD1261">
        <w:rPr>
          <w:lang w:val="en-US"/>
        </w:rPr>
        <w:t xml:space="preserve"> to</w:t>
      </w:r>
      <w:r>
        <w:rPr>
          <w:lang w:val="en-US"/>
        </w:rPr>
        <w:t xml:space="preserve"> the evidence</w:t>
      </w:r>
      <w:r w:rsidR="007042A1">
        <w:rPr>
          <w:lang w:val="en-US"/>
        </w:rPr>
        <w:t xml:space="preserve"> </w:t>
      </w:r>
      <w:r w:rsidR="002E08FE">
        <w:rPr>
          <w:lang w:val="en-US"/>
        </w:rPr>
        <w:t>of the</w:t>
      </w:r>
      <w:r>
        <w:rPr>
          <w:lang w:val="en-US"/>
        </w:rPr>
        <w:t xml:space="preserve"> deceased accountant, </w:t>
      </w:r>
      <w:r w:rsidR="00794A24" w:rsidRPr="00794A24">
        <w:rPr>
          <w:lang w:val="en-US"/>
        </w:rPr>
        <w:t xml:space="preserve">Mr. </w:t>
      </w:r>
      <w:proofErr w:type="spellStart"/>
      <w:r w:rsidR="00794A24" w:rsidRPr="00794A24">
        <w:rPr>
          <w:lang w:val="en-US"/>
        </w:rPr>
        <w:t>Philo</w:t>
      </w:r>
      <w:r w:rsidR="00685525">
        <w:rPr>
          <w:lang w:val="en-US"/>
        </w:rPr>
        <w:t>é</w:t>
      </w:r>
      <w:proofErr w:type="spellEnd"/>
      <w:r w:rsidR="00DD1261">
        <w:rPr>
          <w:lang w:val="en-US"/>
        </w:rPr>
        <w:t>,</w:t>
      </w:r>
      <w:r>
        <w:rPr>
          <w:lang w:val="en-US"/>
        </w:rPr>
        <w:t xml:space="preserve"> I have noted the submissions of both parties:</w:t>
      </w:r>
      <w:r w:rsidR="00685525">
        <w:rPr>
          <w:lang w:val="en-US"/>
        </w:rPr>
        <w:t xml:space="preserve"> Mr. Chang </w:t>
      </w:r>
      <w:proofErr w:type="spellStart"/>
      <w:r w:rsidR="00685525">
        <w:rPr>
          <w:lang w:val="en-US"/>
        </w:rPr>
        <w:t>Leng</w:t>
      </w:r>
      <w:proofErr w:type="spellEnd"/>
      <w:r w:rsidR="00685525">
        <w:rPr>
          <w:lang w:val="en-US"/>
        </w:rPr>
        <w:t>, learned Counsel for SEYPEC</w:t>
      </w:r>
      <w:r w:rsidR="007042A1">
        <w:rPr>
          <w:lang w:val="en-US"/>
        </w:rPr>
        <w:t>,</w:t>
      </w:r>
      <w:r w:rsidR="00685525">
        <w:rPr>
          <w:lang w:val="en-US"/>
        </w:rPr>
        <w:t xml:space="preserve"> has submitted that the evidence of Mr. </w:t>
      </w:r>
      <w:proofErr w:type="spellStart"/>
      <w:r w:rsidR="00685525">
        <w:rPr>
          <w:lang w:val="en-US"/>
        </w:rPr>
        <w:t>Philoé</w:t>
      </w:r>
      <w:proofErr w:type="spellEnd"/>
      <w:r w:rsidR="00685525">
        <w:rPr>
          <w:lang w:val="en-US"/>
        </w:rPr>
        <w:t xml:space="preserve"> is worthless an</w:t>
      </w:r>
      <w:r w:rsidR="00A80C02">
        <w:rPr>
          <w:lang w:val="en-US"/>
        </w:rPr>
        <w:t>d</w:t>
      </w:r>
      <w:r w:rsidR="00685525">
        <w:rPr>
          <w:lang w:val="en-US"/>
        </w:rPr>
        <w:t xml:space="preserve"> should be excluded as he passed away before he could be cross</w:t>
      </w:r>
      <w:r w:rsidR="007042A1">
        <w:rPr>
          <w:lang w:val="en-US"/>
        </w:rPr>
        <w:t>-</w:t>
      </w:r>
      <w:r w:rsidR="00685525">
        <w:rPr>
          <w:lang w:val="en-US"/>
        </w:rPr>
        <w:t>examined. Mr. Ferley, learn</w:t>
      </w:r>
      <w:r w:rsidR="00A80C02">
        <w:rPr>
          <w:lang w:val="en-US"/>
        </w:rPr>
        <w:t>e</w:t>
      </w:r>
      <w:r w:rsidR="00685525">
        <w:rPr>
          <w:lang w:val="en-US"/>
        </w:rPr>
        <w:t xml:space="preserve">d </w:t>
      </w:r>
      <w:r w:rsidR="00A80C02">
        <w:rPr>
          <w:lang w:val="en-US"/>
        </w:rPr>
        <w:t>Counsel</w:t>
      </w:r>
      <w:r w:rsidR="00685525">
        <w:rPr>
          <w:lang w:val="en-US"/>
        </w:rPr>
        <w:t xml:space="preserve"> for SEYPEC has submitted </w:t>
      </w:r>
      <w:r w:rsidR="00DD1261">
        <w:rPr>
          <w:lang w:val="en-US"/>
        </w:rPr>
        <w:t>that notwithstanding his passing away before cross</w:t>
      </w:r>
      <w:r w:rsidR="007042A1">
        <w:rPr>
          <w:lang w:val="en-US"/>
        </w:rPr>
        <w:t>-</w:t>
      </w:r>
      <w:r w:rsidR="00DD1261">
        <w:rPr>
          <w:lang w:val="en-US"/>
        </w:rPr>
        <w:t>examination, Mr.</w:t>
      </w:r>
      <w:r w:rsidR="00685525">
        <w:rPr>
          <w:lang w:val="en-US"/>
        </w:rPr>
        <w:t xml:space="preserve"> </w:t>
      </w:r>
      <w:proofErr w:type="spellStart"/>
      <w:r w:rsidR="00A80C02">
        <w:rPr>
          <w:lang w:val="en-US"/>
        </w:rPr>
        <w:t>Philoé’s</w:t>
      </w:r>
      <w:proofErr w:type="spellEnd"/>
      <w:r w:rsidR="00A80C02">
        <w:rPr>
          <w:lang w:val="en-US"/>
        </w:rPr>
        <w:t xml:space="preserve"> evidence </w:t>
      </w:r>
      <w:r w:rsidR="00DD1261">
        <w:rPr>
          <w:lang w:val="en-US"/>
        </w:rPr>
        <w:t>should be taken into account as</w:t>
      </w:r>
      <w:r w:rsidR="00A80C02">
        <w:rPr>
          <w:lang w:val="en-US"/>
        </w:rPr>
        <w:t xml:space="preserve"> that of an expert as he was qualified and had experience. </w:t>
      </w:r>
      <w:r w:rsidR="00685525">
        <w:rPr>
          <w:lang w:val="en-US"/>
        </w:rPr>
        <w:t xml:space="preserve"> </w:t>
      </w:r>
    </w:p>
    <w:p w14:paraId="67757EE8" w14:textId="42408364" w:rsidR="00AD2D9D" w:rsidRDefault="00DD1261" w:rsidP="00BB56B9">
      <w:pPr>
        <w:pStyle w:val="JudgmentText"/>
        <w:ind w:left="630" w:hanging="630"/>
        <w:rPr>
          <w:lang w:val="en-US"/>
        </w:rPr>
      </w:pPr>
      <w:r>
        <w:rPr>
          <w:lang w:val="en-US"/>
        </w:rPr>
        <w:t xml:space="preserve">Mr. </w:t>
      </w:r>
      <w:proofErr w:type="spellStart"/>
      <w:r>
        <w:rPr>
          <w:lang w:val="en-US"/>
        </w:rPr>
        <w:t>Philoé</w:t>
      </w:r>
      <w:proofErr w:type="spellEnd"/>
      <w:r>
        <w:rPr>
          <w:lang w:val="en-US"/>
        </w:rPr>
        <w:t xml:space="preserve"> produced a report (P7) which is a schedule of sums paid by Mr. </w:t>
      </w:r>
      <w:proofErr w:type="spellStart"/>
      <w:r>
        <w:rPr>
          <w:lang w:val="en-US"/>
        </w:rPr>
        <w:t>Grandcourt</w:t>
      </w:r>
      <w:proofErr w:type="spellEnd"/>
      <w:r>
        <w:rPr>
          <w:lang w:val="en-US"/>
        </w:rPr>
        <w:t>.</w:t>
      </w:r>
      <w:r w:rsidR="00AD2D9D">
        <w:rPr>
          <w:lang w:val="en-US"/>
        </w:rPr>
        <w:t xml:space="preserve"> </w:t>
      </w:r>
      <w:r w:rsidR="007042A1">
        <w:rPr>
          <w:lang w:val="en-US"/>
        </w:rPr>
        <w:t>Based on</w:t>
      </w:r>
      <w:r w:rsidR="00AD2D9D">
        <w:rPr>
          <w:lang w:val="en-US"/>
        </w:rPr>
        <w:t xml:space="preserve"> that schedule of payments and the sale of LPG to Lemuria directly credited to SEYPEC, he concluded that SEYPEC’S claim was incorrect and he produced instead a statement of adjustment</w:t>
      </w:r>
      <w:r w:rsidR="007042A1">
        <w:rPr>
          <w:lang w:val="en-US"/>
        </w:rPr>
        <w:t xml:space="preserve"> </w:t>
      </w:r>
      <w:r w:rsidR="00AD2D9D">
        <w:rPr>
          <w:lang w:val="en-US"/>
        </w:rPr>
        <w:t xml:space="preserve">(P8). He concluded that Mr. </w:t>
      </w:r>
      <w:proofErr w:type="spellStart"/>
      <w:r w:rsidR="00AD2D9D">
        <w:rPr>
          <w:lang w:val="en-US"/>
        </w:rPr>
        <w:t>Grandcourt</w:t>
      </w:r>
      <w:proofErr w:type="spellEnd"/>
      <w:r w:rsidR="00AD2D9D">
        <w:rPr>
          <w:lang w:val="en-US"/>
        </w:rPr>
        <w:t xml:space="preserve"> owed SEYPEC SR1</w:t>
      </w:r>
      <w:proofErr w:type="gramStart"/>
      <w:r w:rsidR="00AD2D9D">
        <w:rPr>
          <w:lang w:val="en-US"/>
        </w:rPr>
        <w:t>,490,675.73</w:t>
      </w:r>
      <w:proofErr w:type="gramEnd"/>
      <w:r w:rsidR="00AD2D9D">
        <w:rPr>
          <w:lang w:val="en-US"/>
        </w:rPr>
        <w:t xml:space="preserve">. I note that the report does not indicate the rate of margin retention </w:t>
      </w:r>
      <w:proofErr w:type="gramStart"/>
      <w:r w:rsidR="00AD2D9D">
        <w:rPr>
          <w:lang w:val="en-US"/>
        </w:rPr>
        <w:t>either for fuel or LPG</w:t>
      </w:r>
      <w:proofErr w:type="gramEnd"/>
      <w:r w:rsidR="00AD2D9D">
        <w:rPr>
          <w:lang w:val="en-US"/>
        </w:rPr>
        <w:t xml:space="preserve">. </w:t>
      </w:r>
      <w:r w:rsidR="00D34FD9">
        <w:rPr>
          <w:lang w:val="en-US"/>
        </w:rPr>
        <w:t>I also note that in his examination</w:t>
      </w:r>
      <w:r w:rsidR="007042A1">
        <w:rPr>
          <w:lang w:val="en-US"/>
        </w:rPr>
        <w:t>-</w:t>
      </w:r>
      <w:r w:rsidR="00D34FD9">
        <w:rPr>
          <w:lang w:val="en-US"/>
        </w:rPr>
        <w:t>in</w:t>
      </w:r>
      <w:r w:rsidR="007042A1">
        <w:rPr>
          <w:lang w:val="en-US"/>
        </w:rPr>
        <w:t>-</w:t>
      </w:r>
      <w:r w:rsidR="00D34FD9">
        <w:rPr>
          <w:lang w:val="en-US"/>
        </w:rPr>
        <w:t xml:space="preserve">chief he admits that the only information he had was from bank statements and </w:t>
      </w:r>
      <w:proofErr w:type="spellStart"/>
      <w:r w:rsidR="00D34FD9">
        <w:rPr>
          <w:lang w:val="en-US"/>
        </w:rPr>
        <w:t>cheque</w:t>
      </w:r>
      <w:proofErr w:type="spellEnd"/>
      <w:r w:rsidR="00D34FD9">
        <w:rPr>
          <w:lang w:val="en-US"/>
        </w:rPr>
        <w:t xml:space="preserve"> stubs.</w:t>
      </w:r>
    </w:p>
    <w:p w14:paraId="0676C110" w14:textId="2320E63A" w:rsidR="00CB47B4" w:rsidRDefault="003C7190" w:rsidP="00BB56B9">
      <w:pPr>
        <w:pStyle w:val="JudgmentText"/>
        <w:ind w:left="630" w:hanging="630"/>
        <w:rPr>
          <w:lang w:val="en-US"/>
        </w:rPr>
      </w:pPr>
      <w:r w:rsidRPr="003C7190">
        <w:rPr>
          <w:lang w:val="en-US"/>
        </w:rPr>
        <w:t xml:space="preserve">In </w:t>
      </w:r>
      <w:r w:rsidRPr="003C7190">
        <w:rPr>
          <w:i/>
          <w:lang w:val="en-US"/>
        </w:rPr>
        <w:t>Government of Seychelles vs Heirs Julienne</w:t>
      </w:r>
      <w:r>
        <w:rPr>
          <w:rStyle w:val="FootnoteReference"/>
          <w:i/>
          <w:lang w:val="en-US"/>
        </w:rPr>
        <w:footnoteReference w:id="5"/>
      </w:r>
      <w:r w:rsidR="00CB47B4">
        <w:rPr>
          <w:i/>
          <w:lang w:val="en-US"/>
        </w:rPr>
        <w:t xml:space="preserve">, </w:t>
      </w:r>
      <w:r w:rsidR="00CB47B4">
        <w:rPr>
          <w:lang w:val="en-US"/>
        </w:rPr>
        <w:t>the Court of Appeal had this to say about the trial court allowing the admission of a report by the Government of Seychelles made by a witness who had  left the country and who could not be cross</w:t>
      </w:r>
      <w:r w:rsidR="007042A1">
        <w:rPr>
          <w:lang w:val="en-US"/>
        </w:rPr>
        <w:t>-</w:t>
      </w:r>
      <w:r w:rsidR="00CB47B4">
        <w:rPr>
          <w:lang w:val="en-US"/>
        </w:rPr>
        <w:t>examined and in the absence of the patient’s file to which it referred being produced:</w:t>
      </w:r>
    </w:p>
    <w:p w14:paraId="462FDE18" w14:textId="06F8E919" w:rsidR="00DD1261" w:rsidRPr="004D352E" w:rsidRDefault="004D352E" w:rsidP="004D352E">
      <w:pPr>
        <w:pStyle w:val="NumberedQuotationindent1"/>
        <w:numPr>
          <w:ilvl w:val="0"/>
          <w:numId w:val="0"/>
        </w:numPr>
        <w:ind w:left="900"/>
      </w:pPr>
      <w:r>
        <w:t>“</w:t>
      </w:r>
      <w:r w:rsidR="00CB47B4" w:rsidRPr="004D352E">
        <w:t>[12] … [T]he report even if admissible, remained hearsay, in the circumstances, and could not be acted upon by the learned Judge.</w:t>
      </w:r>
    </w:p>
    <w:p w14:paraId="6E2DF349" w14:textId="77777777" w:rsidR="00CB47B4" w:rsidRPr="004D352E" w:rsidRDefault="00CB47B4" w:rsidP="004D352E">
      <w:pPr>
        <w:pStyle w:val="NumberedQuotationindent1"/>
        <w:numPr>
          <w:ilvl w:val="0"/>
          <w:numId w:val="0"/>
        </w:numPr>
        <w:ind w:left="900"/>
      </w:pPr>
    </w:p>
    <w:p w14:paraId="79AC9C88" w14:textId="1B2A9D77" w:rsidR="00CB47B4" w:rsidRPr="004D352E" w:rsidRDefault="00CB47B4" w:rsidP="004D352E">
      <w:pPr>
        <w:pStyle w:val="NumberedQuotationindent1"/>
        <w:numPr>
          <w:ilvl w:val="0"/>
          <w:numId w:val="0"/>
        </w:numPr>
        <w:ind w:left="900"/>
      </w:pPr>
      <w:r w:rsidRPr="004D352E">
        <w:t xml:space="preserve">[13] Nor could </w:t>
      </w:r>
      <w:r w:rsidR="004D352E" w:rsidRPr="004D352E">
        <w:t>[the report]</w:t>
      </w:r>
      <w:r w:rsidRPr="004D352E">
        <w:t xml:space="preserve"> be regarded as expert evidence. It lacked the objective reliable facts from which a logical conclusion </w:t>
      </w:r>
      <w:proofErr w:type="gramStart"/>
      <w:r w:rsidRPr="004D352E">
        <w:t>could be drawn</w:t>
      </w:r>
      <w:proofErr w:type="gramEnd"/>
      <w:r w:rsidRPr="004D352E">
        <w:t xml:space="preserve">. Whatever material facts </w:t>
      </w:r>
      <w:r w:rsidRPr="004D352E">
        <w:lastRenderedPageBreak/>
        <w:t xml:space="preserve">it alluded to lacked independent support from a reliable record. It contained a number of </w:t>
      </w:r>
      <w:proofErr w:type="gramStart"/>
      <w:r w:rsidRPr="004D352E">
        <w:t>factual information</w:t>
      </w:r>
      <w:proofErr w:type="gramEnd"/>
      <w:r w:rsidRPr="004D352E">
        <w:t xml:space="preserve"> which were obviously in dispute</w:t>
      </w:r>
      <w:r w:rsidR="004D352E" w:rsidRPr="004D352E">
        <w:t>…</w:t>
      </w:r>
      <w:r w:rsidRPr="004D352E">
        <w:t xml:space="preserve"> </w:t>
      </w:r>
    </w:p>
    <w:p w14:paraId="6DFDF6FA" w14:textId="77777777" w:rsidR="00CB47B4" w:rsidRPr="004D352E" w:rsidRDefault="00CB47B4" w:rsidP="004D352E">
      <w:pPr>
        <w:pStyle w:val="NumberedQuotationindent1"/>
        <w:numPr>
          <w:ilvl w:val="0"/>
          <w:numId w:val="0"/>
        </w:numPr>
        <w:ind w:left="900"/>
      </w:pPr>
    </w:p>
    <w:p w14:paraId="29C8926F" w14:textId="7C95349F" w:rsidR="00A80C02" w:rsidRDefault="00CB47B4" w:rsidP="004D352E">
      <w:pPr>
        <w:pStyle w:val="NumberedQuotationindent1"/>
        <w:numPr>
          <w:ilvl w:val="0"/>
          <w:numId w:val="0"/>
        </w:numPr>
        <w:ind w:left="900"/>
        <w:rPr>
          <w:lang w:val="en-US"/>
        </w:rPr>
      </w:pPr>
      <w:r w:rsidRPr="004D352E">
        <w:t>[14]</w:t>
      </w:r>
      <w:r w:rsidR="004D352E">
        <w:t xml:space="preserve"> On</w:t>
      </w:r>
      <w:r w:rsidRPr="004D352E">
        <w:t xml:space="preserve">e added reason for the rejection of the report is that it was not subjected to </w:t>
      </w:r>
      <w:proofErr w:type="gramStart"/>
      <w:r w:rsidRPr="004D352E">
        <w:t>cross examination</w:t>
      </w:r>
      <w:proofErr w:type="gramEnd"/>
      <w:r w:rsidRPr="004D352E">
        <w:t xml:space="preserve">. It is trite law that admissibility of a document is one thing and evaluation of what it contains is quite another. If it </w:t>
      </w:r>
      <w:proofErr w:type="gramStart"/>
      <w:r w:rsidRPr="004D352E">
        <w:t>was admitted</w:t>
      </w:r>
      <w:proofErr w:type="gramEnd"/>
      <w:r w:rsidRPr="004D352E">
        <w:t xml:space="preserve"> in the hope that the respondent would support its content with the hospital file and the file was not produced, the probative weight</w:t>
      </w:r>
      <w:r w:rsidRPr="00CB47B4">
        <w:rPr>
          <w:lang w:val="en-US"/>
        </w:rPr>
        <w:t xml:space="preserve"> of the report is tenuous. </w:t>
      </w:r>
      <w:r w:rsidR="00A80C02" w:rsidRPr="00CB47B4">
        <w:rPr>
          <w:lang w:val="en-US"/>
        </w:rPr>
        <w:t>I</w:t>
      </w:r>
      <w:r w:rsidR="00A80C02">
        <w:rPr>
          <w:lang w:val="en-US"/>
        </w:rPr>
        <w:t>t is trite that untested testimony goes to weight and not admissibility</w:t>
      </w:r>
      <w:r w:rsidR="004D352E">
        <w:rPr>
          <w:lang w:val="en-US"/>
        </w:rPr>
        <w:t>…</w:t>
      </w:r>
      <w:r w:rsidR="007042A1">
        <w:rPr>
          <w:lang w:val="en-US"/>
        </w:rPr>
        <w:t>”</w:t>
      </w:r>
      <w:r w:rsidR="00A80C02">
        <w:rPr>
          <w:lang w:val="en-US"/>
        </w:rPr>
        <w:t xml:space="preserve"> </w:t>
      </w:r>
    </w:p>
    <w:p w14:paraId="30969617" w14:textId="77777777" w:rsidR="007042A1" w:rsidRDefault="007042A1" w:rsidP="004D352E">
      <w:pPr>
        <w:pStyle w:val="NumberedQuotationindent1"/>
        <w:numPr>
          <w:ilvl w:val="0"/>
          <w:numId w:val="0"/>
        </w:numPr>
        <w:ind w:left="900"/>
        <w:rPr>
          <w:lang w:val="en-US"/>
        </w:rPr>
      </w:pPr>
    </w:p>
    <w:p w14:paraId="4E167FAB" w14:textId="22595C56" w:rsidR="00994220" w:rsidRDefault="004D352E" w:rsidP="00BB56B9">
      <w:pPr>
        <w:pStyle w:val="JudgmentText"/>
        <w:ind w:left="630" w:hanging="630"/>
        <w:rPr>
          <w:lang w:val="en-US"/>
        </w:rPr>
      </w:pPr>
      <w:r>
        <w:rPr>
          <w:lang w:val="en-US"/>
        </w:rPr>
        <w:t xml:space="preserve">The </w:t>
      </w:r>
      <w:r w:rsidR="00674426">
        <w:rPr>
          <w:lang w:val="en-US"/>
        </w:rPr>
        <w:t>unfairness</w:t>
      </w:r>
      <w:r>
        <w:rPr>
          <w:lang w:val="en-US"/>
        </w:rPr>
        <w:t xml:space="preserve"> of </w:t>
      </w:r>
      <w:r w:rsidR="00674426">
        <w:rPr>
          <w:lang w:val="en-US"/>
        </w:rPr>
        <w:t xml:space="preserve">accepting the contents of a </w:t>
      </w:r>
      <w:proofErr w:type="gramStart"/>
      <w:r w:rsidR="00674426">
        <w:rPr>
          <w:lang w:val="en-US"/>
        </w:rPr>
        <w:t>report which has not been tested</w:t>
      </w:r>
      <w:proofErr w:type="gramEnd"/>
      <w:r w:rsidR="00674426">
        <w:rPr>
          <w:lang w:val="en-US"/>
        </w:rPr>
        <w:t xml:space="preserve"> is obvious. In the present case</w:t>
      </w:r>
      <w:r w:rsidR="00994220">
        <w:rPr>
          <w:lang w:val="en-US"/>
        </w:rPr>
        <w:t>,</w:t>
      </w:r>
      <w:r w:rsidR="00674426">
        <w:rPr>
          <w:lang w:val="en-US"/>
        </w:rPr>
        <w:t xml:space="preserve"> SEYPEC had no opportunity to demolish the report or even to query the facts upon which </w:t>
      </w:r>
      <w:r w:rsidR="00994220">
        <w:rPr>
          <w:lang w:val="en-US"/>
        </w:rPr>
        <w:t xml:space="preserve">it </w:t>
      </w:r>
      <w:proofErr w:type="gramStart"/>
      <w:r w:rsidR="00994220">
        <w:rPr>
          <w:lang w:val="en-US"/>
        </w:rPr>
        <w:t>was</w:t>
      </w:r>
      <w:r w:rsidR="00674426">
        <w:rPr>
          <w:lang w:val="en-US"/>
        </w:rPr>
        <w:t xml:space="preserve"> </w:t>
      </w:r>
      <w:r w:rsidR="00994220">
        <w:rPr>
          <w:lang w:val="en-US"/>
        </w:rPr>
        <w:t>formulated</w:t>
      </w:r>
      <w:proofErr w:type="gramEnd"/>
      <w:r w:rsidR="00994220">
        <w:rPr>
          <w:lang w:val="en-US"/>
        </w:rPr>
        <w:t>.</w:t>
      </w:r>
      <w:r w:rsidR="00D34FD9">
        <w:rPr>
          <w:lang w:val="en-US"/>
        </w:rPr>
        <w:t xml:space="preserve"> For example, as Mr. </w:t>
      </w:r>
      <w:proofErr w:type="spellStart"/>
      <w:r w:rsidR="00D34FD9">
        <w:rPr>
          <w:lang w:val="en-US"/>
        </w:rPr>
        <w:t>Philoe</w:t>
      </w:r>
      <w:proofErr w:type="spellEnd"/>
      <w:r w:rsidR="00D34FD9">
        <w:rPr>
          <w:lang w:val="en-US"/>
        </w:rPr>
        <w:t xml:space="preserve"> had admitted that the reconciliation he carried out was based on bank statements and </w:t>
      </w:r>
      <w:proofErr w:type="spellStart"/>
      <w:r w:rsidR="00D34FD9">
        <w:rPr>
          <w:lang w:val="en-US"/>
        </w:rPr>
        <w:t>cheque</w:t>
      </w:r>
      <w:proofErr w:type="spellEnd"/>
      <w:r w:rsidR="00D34FD9">
        <w:rPr>
          <w:lang w:val="en-US"/>
        </w:rPr>
        <w:t xml:space="preserve"> stubs</w:t>
      </w:r>
      <w:proofErr w:type="gramStart"/>
      <w:r w:rsidR="00D34FD9">
        <w:rPr>
          <w:lang w:val="en-US"/>
        </w:rPr>
        <w:t>,  he</w:t>
      </w:r>
      <w:proofErr w:type="gramEnd"/>
      <w:r w:rsidR="00D34FD9">
        <w:rPr>
          <w:lang w:val="en-US"/>
        </w:rPr>
        <w:t xml:space="preserve"> could not be cross</w:t>
      </w:r>
      <w:r w:rsidR="007042A1">
        <w:rPr>
          <w:lang w:val="en-US"/>
        </w:rPr>
        <w:t>-</w:t>
      </w:r>
      <w:r w:rsidR="00D34FD9">
        <w:rPr>
          <w:lang w:val="en-US"/>
        </w:rPr>
        <w:t xml:space="preserve">examined about the </w:t>
      </w:r>
      <w:r w:rsidR="007042A1">
        <w:rPr>
          <w:lang w:val="en-US"/>
        </w:rPr>
        <w:t>effect</w:t>
      </w:r>
      <w:r w:rsidR="00D34FD9">
        <w:rPr>
          <w:lang w:val="en-US"/>
        </w:rPr>
        <w:t xml:space="preserve"> </w:t>
      </w:r>
      <w:r w:rsidR="007042A1">
        <w:rPr>
          <w:lang w:val="en-US"/>
        </w:rPr>
        <w:t xml:space="preserve">of the </w:t>
      </w:r>
      <w:proofErr w:type="spellStart"/>
      <w:r w:rsidR="007042A1">
        <w:rPr>
          <w:lang w:val="en-US"/>
        </w:rPr>
        <w:t>dishonoured</w:t>
      </w:r>
      <w:proofErr w:type="spellEnd"/>
      <w:r w:rsidR="007042A1">
        <w:rPr>
          <w:lang w:val="en-US"/>
        </w:rPr>
        <w:t xml:space="preserve"> </w:t>
      </w:r>
      <w:proofErr w:type="spellStart"/>
      <w:r w:rsidR="007042A1">
        <w:rPr>
          <w:lang w:val="en-US"/>
        </w:rPr>
        <w:t>cheques</w:t>
      </w:r>
      <w:proofErr w:type="spellEnd"/>
      <w:r w:rsidR="0065400B">
        <w:rPr>
          <w:lang w:val="en-US"/>
        </w:rPr>
        <w:t xml:space="preserve"> on his figures.</w:t>
      </w:r>
      <w:r w:rsidR="00D34FD9">
        <w:rPr>
          <w:lang w:val="en-US"/>
        </w:rPr>
        <w:t xml:space="preserve"> </w:t>
      </w:r>
      <w:r w:rsidR="00674426">
        <w:rPr>
          <w:lang w:val="en-US"/>
        </w:rPr>
        <w:t xml:space="preserve"> It is for this reason that such evidence although admissible </w:t>
      </w:r>
      <w:proofErr w:type="gramStart"/>
      <w:r w:rsidR="00674426">
        <w:rPr>
          <w:lang w:val="en-US"/>
        </w:rPr>
        <w:t>is therefore viewed</w:t>
      </w:r>
      <w:proofErr w:type="gramEnd"/>
      <w:r w:rsidR="00674426">
        <w:rPr>
          <w:lang w:val="en-US"/>
        </w:rPr>
        <w:t xml:space="preserve"> cautiously</w:t>
      </w:r>
      <w:r w:rsidR="00994220">
        <w:rPr>
          <w:lang w:val="en-US"/>
        </w:rPr>
        <w:t xml:space="preserve">. The learned trial judge </w:t>
      </w:r>
      <w:proofErr w:type="gramStart"/>
      <w:r w:rsidR="00994220">
        <w:rPr>
          <w:lang w:val="en-US"/>
        </w:rPr>
        <w:t>cannot be faulted</w:t>
      </w:r>
      <w:proofErr w:type="gramEnd"/>
      <w:r w:rsidR="00994220">
        <w:rPr>
          <w:lang w:val="en-US"/>
        </w:rPr>
        <w:t xml:space="preserve"> for not relying on this report.</w:t>
      </w:r>
    </w:p>
    <w:p w14:paraId="70BA52D4" w14:textId="0DA30885" w:rsidR="00A62FE2" w:rsidRDefault="00A62FE2" w:rsidP="00BB56B9">
      <w:pPr>
        <w:pStyle w:val="JudgmentText"/>
        <w:ind w:left="630" w:hanging="630"/>
        <w:rPr>
          <w:lang w:val="en-US"/>
        </w:rPr>
      </w:pPr>
      <w:r w:rsidRPr="00994220">
        <w:rPr>
          <w:lang w:val="en-US"/>
        </w:rPr>
        <w:t>It is worth repeating that experts assist the court b</w:t>
      </w:r>
      <w:r>
        <w:rPr>
          <w:lang w:val="en-US"/>
        </w:rPr>
        <w:t>y</w:t>
      </w:r>
      <w:r w:rsidRPr="00994220">
        <w:rPr>
          <w:lang w:val="en-US"/>
        </w:rPr>
        <w:t xml:space="preserve"> complement</w:t>
      </w:r>
      <w:r>
        <w:rPr>
          <w:lang w:val="en-US"/>
        </w:rPr>
        <w:t>ing</w:t>
      </w:r>
      <w:r w:rsidRPr="00994220">
        <w:rPr>
          <w:lang w:val="en-US"/>
        </w:rPr>
        <w:t xml:space="preserve"> the judge’s </w:t>
      </w:r>
      <w:r>
        <w:rPr>
          <w:lang w:val="en-US"/>
        </w:rPr>
        <w:t>incomplete</w:t>
      </w:r>
      <w:r w:rsidRPr="00994220">
        <w:rPr>
          <w:lang w:val="en-US"/>
        </w:rPr>
        <w:t xml:space="preserve"> technical knowledge </w:t>
      </w:r>
      <w:r>
        <w:rPr>
          <w:lang w:val="en-US"/>
        </w:rPr>
        <w:t xml:space="preserve">on a particular subject. </w:t>
      </w:r>
      <w:proofErr w:type="gramStart"/>
      <w:r>
        <w:rPr>
          <w:lang w:val="en-US"/>
        </w:rPr>
        <w:t>Experts</w:t>
      </w:r>
      <w:proofErr w:type="gramEnd"/>
      <w:r>
        <w:rPr>
          <w:lang w:val="en-US"/>
        </w:rPr>
        <w:t xml:space="preserve"> help with the </w:t>
      </w:r>
      <w:r w:rsidRPr="00994220">
        <w:rPr>
          <w:lang w:val="en-US"/>
        </w:rPr>
        <w:t>fact-finding</w:t>
      </w:r>
      <w:r>
        <w:rPr>
          <w:lang w:val="en-US"/>
        </w:rPr>
        <w:t xml:space="preserve"> duty of the trial judge but their reports or testimony are never a substitute for the assessment of the evidence by the judge. It</w:t>
      </w:r>
      <w:r w:rsidR="00994220" w:rsidRPr="00994220">
        <w:rPr>
          <w:lang w:val="en-US"/>
        </w:rPr>
        <w:t xml:space="preserve"> is the province of the trial judge to weigh the evidence of experts before him</w:t>
      </w:r>
      <w:r w:rsidR="007042A1">
        <w:rPr>
          <w:lang w:val="en-US"/>
        </w:rPr>
        <w:t>.</w:t>
      </w:r>
      <w:r w:rsidR="00994220" w:rsidRPr="00994220">
        <w:rPr>
          <w:lang w:val="en-US"/>
        </w:rPr>
        <w:t xml:space="preserve"> </w:t>
      </w:r>
      <w:proofErr w:type="gramStart"/>
      <w:r w:rsidR="00994220" w:rsidRPr="00994220">
        <w:rPr>
          <w:lang w:val="en-US"/>
        </w:rPr>
        <w:t>the</w:t>
      </w:r>
      <w:proofErr w:type="gramEnd"/>
      <w:r w:rsidR="00994220" w:rsidRPr="00994220">
        <w:rPr>
          <w:lang w:val="en-US"/>
        </w:rPr>
        <w:t xml:space="preserve"> trial judge cannot be </w:t>
      </w:r>
      <w:r w:rsidR="007042A1">
        <w:rPr>
          <w:lang w:val="en-US"/>
        </w:rPr>
        <w:t>reproached</w:t>
      </w:r>
      <w:r w:rsidR="00994220" w:rsidRPr="00994220">
        <w:rPr>
          <w:lang w:val="en-US"/>
        </w:rPr>
        <w:t xml:space="preserve"> for choosing the evidence of Mr. </w:t>
      </w:r>
      <w:proofErr w:type="spellStart"/>
      <w:r w:rsidR="00994220" w:rsidRPr="00994220">
        <w:rPr>
          <w:lang w:val="en-US"/>
        </w:rPr>
        <w:t>Mondon</w:t>
      </w:r>
      <w:proofErr w:type="spellEnd"/>
      <w:r w:rsidR="00994220" w:rsidRPr="00994220">
        <w:rPr>
          <w:lang w:val="en-US"/>
        </w:rPr>
        <w:t xml:space="preserve"> as being more credible</w:t>
      </w:r>
      <w:r>
        <w:rPr>
          <w:lang w:val="en-US"/>
        </w:rPr>
        <w:t xml:space="preserve"> than that of Mr. </w:t>
      </w:r>
      <w:proofErr w:type="spellStart"/>
      <w:r w:rsidR="007042A1">
        <w:rPr>
          <w:lang w:val="en-US"/>
        </w:rPr>
        <w:t>Ramanantsoa</w:t>
      </w:r>
      <w:proofErr w:type="spellEnd"/>
      <w:r w:rsidR="00994220" w:rsidRPr="00994220">
        <w:rPr>
          <w:lang w:val="en-US"/>
        </w:rPr>
        <w:t xml:space="preserve">. </w:t>
      </w:r>
      <w:r>
        <w:rPr>
          <w:lang w:val="en-US"/>
        </w:rPr>
        <w:t xml:space="preserve">The latter relied for his report on the documents already prepared by Mr. </w:t>
      </w:r>
      <w:proofErr w:type="spellStart"/>
      <w:r>
        <w:rPr>
          <w:lang w:val="en-US"/>
        </w:rPr>
        <w:t>Philo</w:t>
      </w:r>
      <w:r w:rsidR="00B61B3D">
        <w:rPr>
          <w:lang w:val="en-US"/>
        </w:rPr>
        <w:t>é</w:t>
      </w:r>
      <w:proofErr w:type="spellEnd"/>
      <w:r w:rsidR="007042A1">
        <w:rPr>
          <w:lang w:val="en-US"/>
        </w:rPr>
        <w:t xml:space="preserve"> and I have said relied, on what he termed a “holistic approach”.</w:t>
      </w:r>
      <w:r>
        <w:rPr>
          <w:lang w:val="en-US"/>
        </w:rPr>
        <w:t xml:space="preserve"> I am unable to understand what a holistic approach to accounts is, especially in the context of this cas</w:t>
      </w:r>
      <w:r w:rsidR="00B61B3D">
        <w:rPr>
          <w:lang w:val="en-US"/>
        </w:rPr>
        <w:t>e</w:t>
      </w:r>
      <w:r>
        <w:rPr>
          <w:lang w:val="en-US"/>
        </w:rPr>
        <w:t xml:space="preserve">. I understand that this might refer to a big picture view of the affairs of </w:t>
      </w:r>
      <w:r w:rsidR="007042A1">
        <w:rPr>
          <w:lang w:val="en-US"/>
        </w:rPr>
        <w:t xml:space="preserve">a </w:t>
      </w:r>
      <w:r>
        <w:rPr>
          <w:lang w:val="en-US"/>
        </w:rPr>
        <w:t xml:space="preserve">company. </w:t>
      </w:r>
      <w:r w:rsidR="007042A1">
        <w:rPr>
          <w:lang w:val="en-US"/>
        </w:rPr>
        <w:t xml:space="preserve">Such an approach is not accurate in terms of an actual debt owed and </w:t>
      </w:r>
      <w:r>
        <w:rPr>
          <w:lang w:val="en-US"/>
        </w:rPr>
        <w:t>could not in any way rebut the evidence from SEYPEC</w:t>
      </w:r>
      <w:r w:rsidR="00B61B3D">
        <w:rPr>
          <w:lang w:val="en-US"/>
        </w:rPr>
        <w:t>’s</w:t>
      </w:r>
      <w:r>
        <w:rPr>
          <w:lang w:val="en-US"/>
        </w:rPr>
        <w:t xml:space="preserve"> methodological account keeping.</w:t>
      </w:r>
    </w:p>
    <w:p w14:paraId="1DDEC306" w14:textId="3C2D677B" w:rsidR="00B61B3D" w:rsidRDefault="00B61B3D" w:rsidP="00BB56B9">
      <w:pPr>
        <w:pStyle w:val="JudgmentText"/>
        <w:ind w:left="630" w:hanging="630"/>
        <w:rPr>
          <w:lang w:val="en-US"/>
        </w:rPr>
      </w:pPr>
      <w:r>
        <w:rPr>
          <w:lang w:val="en-US"/>
        </w:rPr>
        <w:t xml:space="preserve">It is Mr. </w:t>
      </w:r>
      <w:proofErr w:type="spellStart"/>
      <w:r>
        <w:rPr>
          <w:lang w:val="en-US"/>
        </w:rPr>
        <w:t>Ferley’s</w:t>
      </w:r>
      <w:proofErr w:type="spellEnd"/>
      <w:r>
        <w:rPr>
          <w:lang w:val="en-US"/>
        </w:rPr>
        <w:t xml:space="preserve"> submission that notwithstanding, as Mr. </w:t>
      </w:r>
      <w:proofErr w:type="spellStart"/>
      <w:r w:rsidR="007042A1">
        <w:rPr>
          <w:lang w:val="en-US"/>
        </w:rPr>
        <w:t>Ramanantsoa</w:t>
      </w:r>
      <w:proofErr w:type="spellEnd"/>
      <w:r>
        <w:rPr>
          <w:lang w:val="en-US"/>
        </w:rPr>
        <w:t xml:space="preserve"> was </w:t>
      </w:r>
      <w:r w:rsidR="007042A1">
        <w:rPr>
          <w:lang w:val="en-US"/>
        </w:rPr>
        <w:t>an i</w:t>
      </w:r>
      <w:r>
        <w:rPr>
          <w:lang w:val="en-US"/>
        </w:rPr>
        <w:t xml:space="preserve">ndependent </w:t>
      </w:r>
      <w:r w:rsidR="007042A1">
        <w:rPr>
          <w:lang w:val="en-US"/>
        </w:rPr>
        <w:t xml:space="preserve">witness </w:t>
      </w:r>
      <w:r>
        <w:rPr>
          <w:lang w:val="en-US"/>
        </w:rPr>
        <w:t xml:space="preserve">and not an employee of one of the parties as was not the case with Mr. </w:t>
      </w:r>
      <w:proofErr w:type="spellStart"/>
      <w:r>
        <w:rPr>
          <w:lang w:val="en-US"/>
        </w:rPr>
        <w:t>Mondon</w:t>
      </w:r>
      <w:proofErr w:type="spellEnd"/>
      <w:r>
        <w:rPr>
          <w:lang w:val="en-US"/>
        </w:rPr>
        <w:t xml:space="preserve">, his evidence was more credible and should have been accepted. I </w:t>
      </w:r>
      <w:r w:rsidR="00D34FD9">
        <w:rPr>
          <w:lang w:val="en-US"/>
        </w:rPr>
        <w:t>cannot</w:t>
      </w:r>
      <w:r>
        <w:rPr>
          <w:lang w:val="en-US"/>
        </w:rPr>
        <w:t xml:space="preserve"> agree with this </w:t>
      </w:r>
      <w:r w:rsidR="00D34FD9">
        <w:rPr>
          <w:lang w:val="en-US"/>
        </w:rPr>
        <w:lastRenderedPageBreak/>
        <w:t>contention</w:t>
      </w:r>
      <w:r>
        <w:rPr>
          <w:lang w:val="en-US"/>
        </w:rPr>
        <w:t xml:space="preserve">. </w:t>
      </w:r>
      <w:r w:rsidR="0065400B">
        <w:rPr>
          <w:lang w:val="en-US"/>
        </w:rPr>
        <w:t xml:space="preserve">The credibility of a witness, whether he is an expert or not is not solely assessed on whether he is an employee of one of the parties or not. </w:t>
      </w:r>
      <w:r>
        <w:rPr>
          <w:lang w:val="en-US"/>
        </w:rPr>
        <w:t xml:space="preserve">Mr. </w:t>
      </w:r>
      <w:proofErr w:type="spellStart"/>
      <w:r w:rsidR="007042A1">
        <w:rPr>
          <w:lang w:val="en-US"/>
        </w:rPr>
        <w:t>Ramanantsoa</w:t>
      </w:r>
      <w:r>
        <w:rPr>
          <w:lang w:val="en-US"/>
        </w:rPr>
        <w:t>’s</w:t>
      </w:r>
      <w:proofErr w:type="spellEnd"/>
      <w:r>
        <w:rPr>
          <w:lang w:val="en-US"/>
        </w:rPr>
        <w:t xml:space="preserve"> report was</w:t>
      </w:r>
      <w:r w:rsidR="0065400B">
        <w:rPr>
          <w:lang w:val="en-US"/>
        </w:rPr>
        <w:t>,</w:t>
      </w:r>
      <w:r>
        <w:rPr>
          <w:lang w:val="en-US"/>
        </w:rPr>
        <w:t xml:space="preserve"> as stated in the report </w:t>
      </w:r>
      <w:r w:rsidR="0065400B">
        <w:rPr>
          <w:lang w:val="en-US"/>
        </w:rPr>
        <w:t xml:space="preserve">by himself, </w:t>
      </w:r>
      <w:r>
        <w:rPr>
          <w:lang w:val="en-US"/>
        </w:rPr>
        <w:t xml:space="preserve">based </w:t>
      </w:r>
      <w:r w:rsidR="0065400B">
        <w:rPr>
          <w:lang w:val="en-US"/>
        </w:rPr>
        <w:t>o</w:t>
      </w:r>
      <w:r>
        <w:rPr>
          <w:lang w:val="en-US"/>
        </w:rPr>
        <w:t>n a reconci</w:t>
      </w:r>
      <w:r w:rsidR="00D34FD9">
        <w:rPr>
          <w:lang w:val="en-US"/>
        </w:rPr>
        <w:t>liation</w:t>
      </w:r>
      <w:r>
        <w:rPr>
          <w:lang w:val="en-US"/>
        </w:rPr>
        <w:t xml:space="preserve"> </w:t>
      </w:r>
      <w:r w:rsidR="00D34FD9">
        <w:rPr>
          <w:lang w:val="en-US"/>
        </w:rPr>
        <w:t>performed</w:t>
      </w:r>
      <w:r>
        <w:rPr>
          <w:lang w:val="en-US"/>
        </w:rPr>
        <w:t xml:space="preserve"> by Mr. </w:t>
      </w:r>
      <w:proofErr w:type="spellStart"/>
      <w:r>
        <w:rPr>
          <w:lang w:val="en-US"/>
        </w:rPr>
        <w:t>Philo</w:t>
      </w:r>
      <w:r w:rsidR="0065400B">
        <w:rPr>
          <w:lang w:val="en-US"/>
        </w:rPr>
        <w:t>é</w:t>
      </w:r>
      <w:proofErr w:type="spellEnd"/>
      <w:r>
        <w:rPr>
          <w:lang w:val="en-US"/>
        </w:rPr>
        <w:t xml:space="preserve"> who had passed away and </w:t>
      </w:r>
      <w:r w:rsidR="00D34FD9">
        <w:rPr>
          <w:lang w:val="en-US"/>
        </w:rPr>
        <w:t>could</w:t>
      </w:r>
      <w:r>
        <w:rPr>
          <w:lang w:val="en-US"/>
        </w:rPr>
        <w:t xml:space="preserve"> </w:t>
      </w:r>
      <w:r w:rsidR="00D34FD9">
        <w:rPr>
          <w:lang w:val="en-US"/>
        </w:rPr>
        <w:t>not</w:t>
      </w:r>
      <w:r>
        <w:rPr>
          <w:lang w:val="en-US"/>
        </w:rPr>
        <w:t xml:space="preserve"> be cross</w:t>
      </w:r>
      <w:r w:rsidR="007042A1">
        <w:rPr>
          <w:lang w:val="en-US"/>
        </w:rPr>
        <w:t>-</w:t>
      </w:r>
      <w:r w:rsidR="00D34FD9">
        <w:rPr>
          <w:lang w:val="en-US"/>
        </w:rPr>
        <w:t>examined</w:t>
      </w:r>
      <w:r>
        <w:rPr>
          <w:lang w:val="en-US"/>
        </w:rPr>
        <w:t>.</w:t>
      </w:r>
      <w:r w:rsidR="00D34FD9">
        <w:rPr>
          <w:lang w:val="en-US"/>
        </w:rPr>
        <w:t xml:space="preserve"> H</w:t>
      </w:r>
      <w:r>
        <w:rPr>
          <w:lang w:val="en-US"/>
        </w:rPr>
        <w:t xml:space="preserve">e admits in the report </w:t>
      </w:r>
      <w:r w:rsidR="00D34FD9">
        <w:rPr>
          <w:lang w:val="en-US"/>
        </w:rPr>
        <w:t>that:</w:t>
      </w:r>
    </w:p>
    <w:p w14:paraId="3C74A438" w14:textId="27B55B38" w:rsidR="00B61B3D" w:rsidRDefault="00B61B3D" w:rsidP="00D34FD9">
      <w:pPr>
        <w:pStyle w:val="NumberedQuotationindent1"/>
        <w:numPr>
          <w:ilvl w:val="0"/>
          <w:numId w:val="0"/>
        </w:numPr>
        <w:ind w:left="900"/>
        <w:rPr>
          <w:lang w:val="en-US"/>
        </w:rPr>
      </w:pPr>
      <w:r>
        <w:rPr>
          <w:lang w:val="en-US"/>
        </w:rPr>
        <w:t xml:space="preserve"> </w:t>
      </w:r>
      <w:proofErr w:type="gramStart"/>
      <w:r w:rsidR="00D34FD9">
        <w:rPr>
          <w:lang w:val="en-US"/>
        </w:rPr>
        <w:t>“…[</w:t>
      </w:r>
      <w:proofErr w:type="gramEnd"/>
      <w:r w:rsidR="00D34FD9">
        <w:rPr>
          <w:lang w:val="en-US"/>
        </w:rPr>
        <w:t>I]t was difficult to match all payments done against invoices due to incomplete record hence an analytical review was done” (sic)</w:t>
      </w:r>
    </w:p>
    <w:p w14:paraId="73794C5B" w14:textId="77777777" w:rsidR="00D34FD9" w:rsidRDefault="00D34FD9" w:rsidP="00D34FD9">
      <w:pPr>
        <w:pStyle w:val="NumberedQuotationindent1"/>
        <w:numPr>
          <w:ilvl w:val="0"/>
          <w:numId w:val="0"/>
        </w:numPr>
        <w:ind w:left="900"/>
        <w:rPr>
          <w:lang w:val="en-US"/>
        </w:rPr>
      </w:pPr>
    </w:p>
    <w:p w14:paraId="71806E90" w14:textId="3594D9EE" w:rsidR="00D34FD9" w:rsidRDefault="0065400B" w:rsidP="00707535">
      <w:pPr>
        <w:pStyle w:val="JudgmentText"/>
        <w:ind w:left="630" w:hanging="630"/>
        <w:rPr>
          <w:lang w:val="en-US"/>
        </w:rPr>
      </w:pPr>
      <w:r>
        <w:rPr>
          <w:lang w:val="en-US"/>
        </w:rPr>
        <w:t xml:space="preserve">It is difficult to see what credibility </w:t>
      </w:r>
      <w:proofErr w:type="gramStart"/>
      <w:r>
        <w:rPr>
          <w:lang w:val="en-US"/>
        </w:rPr>
        <w:t>could be attached</w:t>
      </w:r>
      <w:proofErr w:type="gramEnd"/>
      <w:r>
        <w:rPr>
          <w:lang w:val="en-US"/>
        </w:rPr>
        <w:t xml:space="preserve"> to the report, given the shortcomings highlighted. </w:t>
      </w:r>
      <w:r w:rsidR="00D34FD9">
        <w:rPr>
          <w:lang w:val="en-US"/>
        </w:rPr>
        <w:t xml:space="preserve">Again, the </w:t>
      </w:r>
      <w:r>
        <w:rPr>
          <w:lang w:val="en-US"/>
        </w:rPr>
        <w:t xml:space="preserve">trial judge </w:t>
      </w:r>
      <w:proofErr w:type="gramStart"/>
      <w:r>
        <w:rPr>
          <w:lang w:val="en-US"/>
        </w:rPr>
        <w:t>cannot be faulted</w:t>
      </w:r>
      <w:proofErr w:type="gramEnd"/>
      <w:r>
        <w:rPr>
          <w:lang w:val="en-US"/>
        </w:rPr>
        <w:t xml:space="preserve"> for </w:t>
      </w:r>
      <w:proofErr w:type="spellStart"/>
      <w:r>
        <w:rPr>
          <w:lang w:val="en-US"/>
        </w:rPr>
        <w:t>favouring</w:t>
      </w:r>
      <w:proofErr w:type="spellEnd"/>
      <w:r>
        <w:rPr>
          <w:lang w:val="en-US"/>
        </w:rPr>
        <w:t xml:space="preserve"> the evidence of Mr. </w:t>
      </w:r>
      <w:proofErr w:type="spellStart"/>
      <w:r>
        <w:rPr>
          <w:lang w:val="en-US"/>
        </w:rPr>
        <w:t>Mondon</w:t>
      </w:r>
      <w:proofErr w:type="spellEnd"/>
      <w:r>
        <w:rPr>
          <w:lang w:val="en-US"/>
        </w:rPr>
        <w:t xml:space="preserve"> over that of Mr. </w:t>
      </w:r>
      <w:proofErr w:type="spellStart"/>
      <w:r w:rsidR="007042A1">
        <w:rPr>
          <w:lang w:val="en-US"/>
        </w:rPr>
        <w:t>Ramanantsoa</w:t>
      </w:r>
      <w:proofErr w:type="spellEnd"/>
      <w:r>
        <w:rPr>
          <w:lang w:val="en-US"/>
        </w:rPr>
        <w:t xml:space="preserve">. </w:t>
      </w:r>
    </w:p>
    <w:p w14:paraId="56E74B08" w14:textId="5876CFDE" w:rsidR="004D352E" w:rsidRPr="00994220" w:rsidRDefault="00A62FE2" w:rsidP="00707535">
      <w:pPr>
        <w:pStyle w:val="JudgmentText"/>
        <w:tabs>
          <w:tab w:val="left" w:pos="630"/>
        </w:tabs>
        <w:ind w:left="360" w:hanging="360"/>
        <w:rPr>
          <w:lang w:val="en-US"/>
        </w:rPr>
      </w:pPr>
      <w:r>
        <w:rPr>
          <w:lang w:val="en-US"/>
        </w:rPr>
        <w:t xml:space="preserve">In the </w:t>
      </w:r>
      <w:r w:rsidR="00B61B3D">
        <w:rPr>
          <w:lang w:val="en-US"/>
        </w:rPr>
        <w:t>circumstances,</w:t>
      </w:r>
      <w:r>
        <w:rPr>
          <w:lang w:val="en-US"/>
        </w:rPr>
        <w:t xml:space="preserve"> Ground</w:t>
      </w:r>
      <w:r w:rsidR="00B61B3D">
        <w:rPr>
          <w:lang w:val="en-US"/>
        </w:rPr>
        <w:t xml:space="preserve">s </w:t>
      </w:r>
      <w:r w:rsidR="0065400B">
        <w:rPr>
          <w:lang w:val="en-US"/>
        </w:rPr>
        <w:t>b (</w:t>
      </w:r>
      <w:proofErr w:type="spellStart"/>
      <w:r w:rsidR="0065400B">
        <w:rPr>
          <w:lang w:val="en-US"/>
        </w:rPr>
        <w:t>i</w:t>
      </w:r>
      <w:proofErr w:type="spellEnd"/>
      <w:r w:rsidR="0065400B">
        <w:rPr>
          <w:lang w:val="en-US"/>
        </w:rPr>
        <w:t>)</w:t>
      </w:r>
      <w:r w:rsidR="00B61B3D">
        <w:rPr>
          <w:lang w:val="en-US"/>
        </w:rPr>
        <w:t xml:space="preserve"> and b</w:t>
      </w:r>
      <w:r w:rsidR="004D645C">
        <w:rPr>
          <w:lang w:val="en-US"/>
        </w:rPr>
        <w:t xml:space="preserve"> (ii)</w:t>
      </w:r>
      <w:r w:rsidR="00B61B3D">
        <w:rPr>
          <w:lang w:val="en-US"/>
        </w:rPr>
        <w:t xml:space="preserve"> have no merit and </w:t>
      </w:r>
      <w:proofErr w:type="gramStart"/>
      <w:r w:rsidR="00B61B3D">
        <w:rPr>
          <w:lang w:val="en-US"/>
        </w:rPr>
        <w:t>are dismissed</w:t>
      </w:r>
      <w:proofErr w:type="gramEnd"/>
      <w:r w:rsidR="00B61B3D">
        <w:rPr>
          <w:lang w:val="en-US"/>
        </w:rPr>
        <w:t>.</w:t>
      </w:r>
      <w:r>
        <w:rPr>
          <w:lang w:val="en-US"/>
        </w:rPr>
        <w:t xml:space="preserve"> </w:t>
      </w:r>
    </w:p>
    <w:p w14:paraId="25604180" w14:textId="77777777" w:rsidR="004D352E" w:rsidRPr="004D352E" w:rsidRDefault="004D352E" w:rsidP="004D352E">
      <w:pPr>
        <w:pStyle w:val="Jjmntheading1"/>
        <w:rPr>
          <w:lang w:val="en-US"/>
        </w:rPr>
      </w:pPr>
      <w:r w:rsidRPr="004D352E">
        <w:rPr>
          <w:lang w:val="en-US"/>
        </w:rPr>
        <w:t>The accuracy of the debt owed</w:t>
      </w:r>
    </w:p>
    <w:p w14:paraId="79A6EE15" w14:textId="5DE2565E" w:rsidR="004D645C" w:rsidRDefault="004D645C" w:rsidP="00707535">
      <w:pPr>
        <w:pStyle w:val="JudgmentText"/>
        <w:ind w:left="630" w:hanging="630"/>
        <w:rPr>
          <w:lang w:val="en-US"/>
        </w:rPr>
      </w:pPr>
      <w:proofErr w:type="gramStart"/>
      <w:r>
        <w:rPr>
          <w:lang w:val="en-US"/>
        </w:rPr>
        <w:t>It is submitted by Mr. Ferley that SEYPEC’s accounts were seriously flawed and inconsistent as they did not take into account the following matters: the sum first claimed w</w:t>
      </w:r>
      <w:r w:rsidR="007042A1">
        <w:rPr>
          <w:lang w:val="en-US"/>
        </w:rPr>
        <w:t>a</w:t>
      </w:r>
      <w:r>
        <w:rPr>
          <w:lang w:val="en-US"/>
        </w:rPr>
        <w:t xml:space="preserve">s reduced after the meeting of 12 July 2017, the reconciliation performed by Mr. </w:t>
      </w:r>
      <w:proofErr w:type="spellStart"/>
      <w:r>
        <w:rPr>
          <w:lang w:val="en-US"/>
        </w:rPr>
        <w:t>Philo</w:t>
      </w:r>
      <w:r w:rsidR="001F1969">
        <w:rPr>
          <w:lang w:val="en-US"/>
        </w:rPr>
        <w:t>é</w:t>
      </w:r>
      <w:proofErr w:type="spellEnd"/>
      <w:r>
        <w:rPr>
          <w:lang w:val="en-US"/>
        </w:rPr>
        <w:t>, the money paid directly by Lemuria into SEYPEC’s accounts, the margins of profit as agreed w</w:t>
      </w:r>
      <w:r w:rsidR="007042A1">
        <w:rPr>
          <w:lang w:val="en-US"/>
        </w:rPr>
        <w:t xml:space="preserve">hich were </w:t>
      </w:r>
      <w:r>
        <w:rPr>
          <w:lang w:val="en-US"/>
        </w:rPr>
        <w:t xml:space="preserve">not credited to Mr. </w:t>
      </w:r>
      <w:proofErr w:type="spellStart"/>
      <w:r>
        <w:rPr>
          <w:lang w:val="en-US"/>
        </w:rPr>
        <w:t>Grandcourt</w:t>
      </w:r>
      <w:proofErr w:type="spellEnd"/>
      <w:r>
        <w:rPr>
          <w:lang w:val="en-US"/>
        </w:rPr>
        <w:t xml:space="preserve"> and </w:t>
      </w:r>
      <w:proofErr w:type="spellStart"/>
      <w:r>
        <w:rPr>
          <w:lang w:val="en-US"/>
        </w:rPr>
        <w:t>cheques</w:t>
      </w:r>
      <w:proofErr w:type="spellEnd"/>
      <w:r>
        <w:rPr>
          <w:lang w:val="en-US"/>
        </w:rPr>
        <w:t xml:space="preserve"> paid were not reflected in SEYPEC’s account.</w:t>
      </w:r>
      <w:proofErr w:type="gramEnd"/>
      <w:r>
        <w:rPr>
          <w:lang w:val="en-US"/>
        </w:rPr>
        <w:t xml:space="preserve">  </w:t>
      </w:r>
    </w:p>
    <w:p w14:paraId="2CBE44DB" w14:textId="24B6CCAC" w:rsidR="004D645C" w:rsidRDefault="004D645C" w:rsidP="00707535">
      <w:pPr>
        <w:pStyle w:val="JudgmentText"/>
        <w:ind w:left="630" w:hanging="630"/>
        <w:rPr>
          <w:lang w:val="en-US"/>
        </w:rPr>
      </w:pPr>
      <w:r>
        <w:rPr>
          <w:lang w:val="en-US"/>
        </w:rPr>
        <w:t xml:space="preserve">Mr. Chang </w:t>
      </w:r>
      <w:proofErr w:type="spellStart"/>
      <w:r>
        <w:rPr>
          <w:lang w:val="en-US"/>
        </w:rPr>
        <w:t>Leng</w:t>
      </w:r>
      <w:proofErr w:type="spellEnd"/>
      <w:r>
        <w:rPr>
          <w:lang w:val="en-US"/>
        </w:rPr>
        <w:t xml:space="preserve"> has contended that Mr. </w:t>
      </w:r>
      <w:proofErr w:type="spellStart"/>
      <w:r>
        <w:rPr>
          <w:lang w:val="en-US"/>
        </w:rPr>
        <w:t>Grand</w:t>
      </w:r>
      <w:r w:rsidR="00B24669">
        <w:rPr>
          <w:lang w:val="en-US"/>
        </w:rPr>
        <w:t>court</w:t>
      </w:r>
      <w:proofErr w:type="spellEnd"/>
      <w:r>
        <w:rPr>
          <w:lang w:val="en-US"/>
        </w:rPr>
        <w:t xml:space="preserve"> </w:t>
      </w:r>
      <w:r w:rsidR="00B24669">
        <w:rPr>
          <w:lang w:val="en-US"/>
        </w:rPr>
        <w:t>d</w:t>
      </w:r>
      <w:r>
        <w:rPr>
          <w:lang w:val="en-US"/>
        </w:rPr>
        <w:t xml:space="preserve">id not produce any </w:t>
      </w:r>
      <w:r w:rsidR="00B24669">
        <w:rPr>
          <w:lang w:val="en-US"/>
        </w:rPr>
        <w:t>documents such</w:t>
      </w:r>
      <w:r>
        <w:rPr>
          <w:lang w:val="en-US"/>
        </w:rPr>
        <w:t xml:space="preserve"> as bank statements, </w:t>
      </w:r>
      <w:proofErr w:type="spellStart"/>
      <w:r>
        <w:rPr>
          <w:lang w:val="en-US"/>
        </w:rPr>
        <w:t>cheq</w:t>
      </w:r>
      <w:r w:rsidR="00B24669">
        <w:rPr>
          <w:lang w:val="en-US"/>
        </w:rPr>
        <w:t>ue</w:t>
      </w:r>
      <w:proofErr w:type="spellEnd"/>
      <w:r>
        <w:rPr>
          <w:lang w:val="en-US"/>
        </w:rPr>
        <w:t xml:space="preserve"> stubs</w:t>
      </w:r>
      <w:r w:rsidR="007042A1">
        <w:rPr>
          <w:lang w:val="en-US"/>
        </w:rPr>
        <w:t xml:space="preserve"> and </w:t>
      </w:r>
      <w:r>
        <w:rPr>
          <w:lang w:val="en-US"/>
        </w:rPr>
        <w:t>payment rec</w:t>
      </w:r>
      <w:r w:rsidR="00B24669">
        <w:rPr>
          <w:lang w:val="en-US"/>
        </w:rPr>
        <w:t xml:space="preserve">eipts </w:t>
      </w:r>
      <w:r>
        <w:rPr>
          <w:lang w:val="en-US"/>
        </w:rPr>
        <w:t xml:space="preserve">to </w:t>
      </w:r>
      <w:r w:rsidR="00B24669">
        <w:rPr>
          <w:lang w:val="en-US"/>
        </w:rPr>
        <w:t>rebut</w:t>
      </w:r>
      <w:r>
        <w:rPr>
          <w:lang w:val="en-US"/>
        </w:rPr>
        <w:t xml:space="preserve"> the </w:t>
      </w:r>
      <w:r w:rsidR="00B24669">
        <w:rPr>
          <w:lang w:val="en-US"/>
        </w:rPr>
        <w:t xml:space="preserve">evidence of the </w:t>
      </w:r>
      <w:r>
        <w:rPr>
          <w:lang w:val="en-US"/>
        </w:rPr>
        <w:t xml:space="preserve">debt, SEYPEC </w:t>
      </w:r>
      <w:r w:rsidR="00B24669">
        <w:rPr>
          <w:lang w:val="en-US"/>
        </w:rPr>
        <w:t xml:space="preserve">stated he owed. This was despite the fact Mr. </w:t>
      </w:r>
      <w:proofErr w:type="spellStart"/>
      <w:r w:rsidR="00B24669">
        <w:rPr>
          <w:lang w:val="en-US"/>
        </w:rPr>
        <w:t>Mondon</w:t>
      </w:r>
      <w:proofErr w:type="spellEnd"/>
      <w:r w:rsidR="00B24669">
        <w:rPr>
          <w:lang w:val="en-US"/>
        </w:rPr>
        <w:t xml:space="preserve"> </w:t>
      </w:r>
      <w:r w:rsidR="007042A1">
        <w:rPr>
          <w:lang w:val="en-US"/>
        </w:rPr>
        <w:t xml:space="preserve">had </w:t>
      </w:r>
      <w:r w:rsidR="00B24669">
        <w:rPr>
          <w:lang w:val="en-US"/>
        </w:rPr>
        <w:t>produced all SEYPEC</w:t>
      </w:r>
      <w:r w:rsidR="007042A1">
        <w:rPr>
          <w:lang w:val="en-US"/>
        </w:rPr>
        <w:t>’s</w:t>
      </w:r>
      <w:r w:rsidR="00B24669">
        <w:rPr>
          <w:lang w:val="en-US"/>
        </w:rPr>
        <w:t xml:space="preserve"> statements, invoices and summaries of </w:t>
      </w:r>
      <w:proofErr w:type="spellStart"/>
      <w:r w:rsidR="00B24669">
        <w:rPr>
          <w:lang w:val="en-US"/>
        </w:rPr>
        <w:t>cheques</w:t>
      </w:r>
      <w:proofErr w:type="spellEnd"/>
      <w:r w:rsidR="00B24669">
        <w:rPr>
          <w:lang w:val="en-US"/>
        </w:rPr>
        <w:t xml:space="preserve"> that </w:t>
      </w:r>
      <w:proofErr w:type="gramStart"/>
      <w:r w:rsidR="00B24669">
        <w:rPr>
          <w:lang w:val="en-US"/>
        </w:rPr>
        <w:t>had been presented</w:t>
      </w:r>
      <w:proofErr w:type="gramEnd"/>
      <w:r w:rsidR="00B24669">
        <w:rPr>
          <w:lang w:val="en-US"/>
        </w:rPr>
        <w:t xml:space="preserve"> and a list of those </w:t>
      </w:r>
      <w:proofErr w:type="spellStart"/>
      <w:r w:rsidR="00B24669">
        <w:rPr>
          <w:lang w:val="en-US"/>
        </w:rPr>
        <w:t>dishonoured</w:t>
      </w:r>
      <w:proofErr w:type="spellEnd"/>
      <w:r w:rsidR="00B24669">
        <w:rPr>
          <w:lang w:val="en-US"/>
        </w:rPr>
        <w:t xml:space="preserve"> (Exhibits D9 – D120). Mr. </w:t>
      </w:r>
      <w:proofErr w:type="spellStart"/>
      <w:r w:rsidR="007042A1">
        <w:rPr>
          <w:lang w:val="en-US"/>
        </w:rPr>
        <w:t>Ramanantsoa</w:t>
      </w:r>
      <w:proofErr w:type="spellEnd"/>
      <w:r w:rsidR="00B24669">
        <w:rPr>
          <w:lang w:val="en-US"/>
        </w:rPr>
        <w:t xml:space="preserve"> admitted he did not have sufficient records to provide an accurate report. It is </w:t>
      </w:r>
      <w:r w:rsidR="007042A1">
        <w:rPr>
          <w:lang w:val="en-US"/>
        </w:rPr>
        <w:t xml:space="preserve">Mr. Chang </w:t>
      </w:r>
      <w:proofErr w:type="spellStart"/>
      <w:r w:rsidR="007042A1">
        <w:rPr>
          <w:lang w:val="en-US"/>
        </w:rPr>
        <w:t>Leng’s</w:t>
      </w:r>
      <w:proofErr w:type="spellEnd"/>
      <w:r w:rsidR="00B24669">
        <w:rPr>
          <w:lang w:val="en-US"/>
        </w:rPr>
        <w:t xml:space="preserve"> submission that SEYPEC’s claim is accurate because of the records they kept. The only discrepancy was that at the first meeting held in July 2017</w:t>
      </w:r>
      <w:r w:rsidR="007042A1">
        <w:rPr>
          <w:lang w:val="en-US"/>
        </w:rPr>
        <w:t xml:space="preserve"> and </w:t>
      </w:r>
      <w:r w:rsidR="00B24669">
        <w:rPr>
          <w:lang w:val="en-US"/>
        </w:rPr>
        <w:t xml:space="preserve">after the letter of claim </w:t>
      </w:r>
      <w:proofErr w:type="gramStart"/>
      <w:r w:rsidR="00B24669">
        <w:rPr>
          <w:lang w:val="en-US"/>
        </w:rPr>
        <w:t>was issued</w:t>
      </w:r>
      <w:proofErr w:type="gramEnd"/>
      <w:r w:rsidR="007042A1">
        <w:rPr>
          <w:lang w:val="en-US"/>
        </w:rPr>
        <w:t>,</w:t>
      </w:r>
      <w:r w:rsidR="00B24669">
        <w:rPr>
          <w:lang w:val="en-US"/>
        </w:rPr>
        <w:t xml:space="preserve"> a readjustment w</w:t>
      </w:r>
      <w:r w:rsidR="007042A1">
        <w:rPr>
          <w:lang w:val="en-US"/>
        </w:rPr>
        <w:t>a</w:t>
      </w:r>
      <w:r w:rsidR="00B24669">
        <w:rPr>
          <w:lang w:val="en-US"/>
        </w:rPr>
        <w:t xml:space="preserve">s done to reflect payments </w:t>
      </w:r>
      <w:r w:rsidR="007042A1">
        <w:rPr>
          <w:lang w:val="en-US"/>
        </w:rPr>
        <w:t>that</w:t>
      </w:r>
      <w:r w:rsidR="00B24669">
        <w:rPr>
          <w:lang w:val="en-US"/>
        </w:rPr>
        <w:t xml:space="preserve"> had come in subsequently. </w:t>
      </w:r>
    </w:p>
    <w:p w14:paraId="6468C03A" w14:textId="3E10C64E" w:rsidR="00423CC6" w:rsidRDefault="007042A1" w:rsidP="00707535">
      <w:pPr>
        <w:pStyle w:val="JudgmentText"/>
        <w:ind w:left="630" w:hanging="630"/>
        <w:rPr>
          <w:lang w:val="en-US"/>
        </w:rPr>
      </w:pPr>
      <w:r>
        <w:rPr>
          <w:lang w:val="en-US"/>
        </w:rPr>
        <w:lastRenderedPageBreak/>
        <w:t>Moreover, t</w:t>
      </w:r>
      <w:r w:rsidR="00B24669">
        <w:rPr>
          <w:lang w:val="en-US"/>
        </w:rPr>
        <w:t xml:space="preserve">he Appellant has not taken into account the fact that </w:t>
      </w:r>
      <w:r w:rsidR="00423CC6">
        <w:rPr>
          <w:lang w:val="en-US"/>
        </w:rPr>
        <w:t xml:space="preserve">Mr. </w:t>
      </w:r>
      <w:proofErr w:type="spellStart"/>
      <w:r w:rsidR="00423CC6">
        <w:rPr>
          <w:lang w:val="en-US"/>
        </w:rPr>
        <w:t>Grandcourt</w:t>
      </w:r>
      <w:proofErr w:type="spellEnd"/>
      <w:r w:rsidR="00423CC6">
        <w:rPr>
          <w:lang w:val="en-US"/>
        </w:rPr>
        <w:t xml:space="preserve"> signed the 2017 </w:t>
      </w:r>
      <w:proofErr w:type="gramStart"/>
      <w:r w:rsidR="00423CC6">
        <w:rPr>
          <w:lang w:val="en-US"/>
        </w:rPr>
        <w:t>agreement which</w:t>
      </w:r>
      <w:proofErr w:type="gramEnd"/>
      <w:r w:rsidR="00423CC6">
        <w:rPr>
          <w:lang w:val="en-US"/>
        </w:rPr>
        <w:t xml:space="preserve"> it is alleged he breached. The evidence of the witnesses for SEYPEC is corroborated by the contents of the Fourth Schedule to the agreement, namely under the provision for margins. It reads as follows:</w:t>
      </w:r>
    </w:p>
    <w:p w14:paraId="391A0A2D" w14:textId="43E78B79" w:rsidR="00423CC6" w:rsidRDefault="00231D94" w:rsidP="00707535">
      <w:pPr>
        <w:pStyle w:val="NumberedQuotationindent1"/>
        <w:numPr>
          <w:ilvl w:val="0"/>
          <w:numId w:val="0"/>
        </w:numPr>
        <w:ind w:left="900"/>
        <w:rPr>
          <w:lang w:val="en-US"/>
        </w:rPr>
      </w:pPr>
      <w:r>
        <w:rPr>
          <w:lang w:val="en-US"/>
        </w:rPr>
        <w:t xml:space="preserve">“The Company </w:t>
      </w:r>
      <w:r w:rsidR="0065400B">
        <w:rPr>
          <w:lang w:val="en-US"/>
        </w:rPr>
        <w:t>shall</w:t>
      </w:r>
      <w:r>
        <w:rPr>
          <w:lang w:val="en-US"/>
        </w:rPr>
        <w:t xml:space="preserve"> apply the following margins:</w:t>
      </w:r>
    </w:p>
    <w:p w14:paraId="77F12C03" w14:textId="26DD3916" w:rsidR="00231D94" w:rsidRDefault="00231D94" w:rsidP="00707535">
      <w:pPr>
        <w:pStyle w:val="NumberedQuotationindent1"/>
        <w:numPr>
          <w:ilvl w:val="0"/>
          <w:numId w:val="0"/>
        </w:numPr>
        <w:ind w:left="900"/>
        <w:rPr>
          <w:lang w:val="en-US"/>
        </w:rPr>
      </w:pPr>
      <w:r>
        <w:rPr>
          <w:lang w:val="en-US"/>
        </w:rPr>
        <w:t xml:space="preserve">Bulk Fuel: </w:t>
      </w:r>
      <w:proofErr w:type="spellStart"/>
      <w:r>
        <w:rPr>
          <w:lang w:val="en-US"/>
        </w:rPr>
        <w:t>Rs</w:t>
      </w:r>
      <w:proofErr w:type="spellEnd"/>
      <w:r>
        <w:rPr>
          <w:lang w:val="en-US"/>
        </w:rPr>
        <w:t xml:space="preserve"> 0.85/</w:t>
      </w:r>
      <w:proofErr w:type="spellStart"/>
      <w:r>
        <w:rPr>
          <w:lang w:val="en-US"/>
        </w:rPr>
        <w:t>litre</w:t>
      </w:r>
      <w:proofErr w:type="spellEnd"/>
      <w:r>
        <w:rPr>
          <w:lang w:val="en-US"/>
        </w:rPr>
        <w:t xml:space="preserve">. However, </w:t>
      </w:r>
      <w:proofErr w:type="gramStart"/>
      <w:r>
        <w:rPr>
          <w:lang w:val="en-US"/>
        </w:rPr>
        <w:t>an amount of 0.50/</w:t>
      </w:r>
      <w:proofErr w:type="spellStart"/>
      <w:r>
        <w:rPr>
          <w:lang w:val="en-US"/>
        </w:rPr>
        <w:t>litre</w:t>
      </w:r>
      <w:proofErr w:type="spellEnd"/>
      <w:r>
        <w:rPr>
          <w:lang w:val="en-US"/>
        </w:rPr>
        <w:t xml:space="preserve"> will be retained by the company as payment towards the debt of </w:t>
      </w:r>
      <w:proofErr w:type="spellStart"/>
      <w:r>
        <w:rPr>
          <w:lang w:val="en-US"/>
        </w:rPr>
        <w:t>Rs</w:t>
      </w:r>
      <w:proofErr w:type="spellEnd"/>
      <w:r>
        <w:rPr>
          <w:lang w:val="en-US"/>
        </w:rPr>
        <w:t>. 7,024,122.74 that was owed to the company, effective 01 November 2015</w:t>
      </w:r>
      <w:proofErr w:type="gramEnd"/>
      <w:r>
        <w:rPr>
          <w:lang w:val="en-US"/>
        </w:rPr>
        <w:t>…</w:t>
      </w:r>
    </w:p>
    <w:p w14:paraId="0FE3D969" w14:textId="77777777" w:rsidR="00231D94" w:rsidRDefault="00231D94" w:rsidP="00707535">
      <w:pPr>
        <w:pStyle w:val="NumberedQuotationindent1"/>
        <w:numPr>
          <w:ilvl w:val="0"/>
          <w:numId w:val="0"/>
        </w:numPr>
        <w:ind w:left="900"/>
        <w:rPr>
          <w:lang w:val="en-US"/>
        </w:rPr>
      </w:pPr>
    </w:p>
    <w:p w14:paraId="4680E806" w14:textId="72202BD7" w:rsidR="00423CC6" w:rsidRDefault="00423CC6" w:rsidP="00707535">
      <w:pPr>
        <w:pStyle w:val="JudgmentText"/>
        <w:ind w:left="630" w:hanging="630"/>
        <w:rPr>
          <w:lang w:val="en-US"/>
        </w:rPr>
      </w:pPr>
      <w:r w:rsidRPr="001F1969">
        <w:rPr>
          <w:lang w:val="en-US"/>
        </w:rPr>
        <w:t xml:space="preserve"> </w:t>
      </w:r>
      <w:r w:rsidR="00B24669" w:rsidRPr="001F1969">
        <w:rPr>
          <w:lang w:val="en-US"/>
        </w:rPr>
        <w:t xml:space="preserve">This is an </w:t>
      </w:r>
      <w:r w:rsidR="001F1969" w:rsidRPr="001F1969">
        <w:rPr>
          <w:lang w:val="en-US"/>
        </w:rPr>
        <w:t>acknowledg</w:t>
      </w:r>
      <w:r w:rsidR="007042A1">
        <w:rPr>
          <w:lang w:val="en-US"/>
        </w:rPr>
        <w:t>e</w:t>
      </w:r>
      <w:r w:rsidR="001F1969" w:rsidRPr="001F1969">
        <w:rPr>
          <w:lang w:val="en-US"/>
        </w:rPr>
        <w:t>ment by</w:t>
      </w:r>
      <w:r w:rsidR="00B24669" w:rsidRPr="001F1969">
        <w:rPr>
          <w:lang w:val="en-US"/>
        </w:rPr>
        <w:t xml:space="preserve"> Mr. </w:t>
      </w:r>
      <w:proofErr w:type="spellStart"/>
      <w:r w:rsidR="00B24669" w:rsidRPr="001F1969">
        <w:rPr>
          <w:lang w:val="en-US"/>
        </w:rPr>
        <w:t>Gr</w:t>
      </w:r>
      <w:r w:rsidR="001F1969" w:rsidRPr="001F1969">
        <w:rPr>
          <w:lang w:val="en-US"/>
        </w:rPr>
        <w:t>a</w:t>
      </w:r>
      <w:r w:rsidR="00B24669" w:rsidRPr="001F1969">
        <w:rPr>
          <w:lang w:val="en-US"/>
        </w:rPr>
        <w:t>n</w:t>
      </w:r>
      <w:r w:rsidR="001F1969" w:rsidRPr="001F1969">
        <w:rPr>
          <w:lang w:val="en-US"/>
        </w:rPr>
        <w:t>d</w:t>
      </w:r>
      <w:r w:rsidR="00B24669" w:rsidRPr="001F1969">
        <w:rPr>
          <w:lang w:val="en-US"/>
        </w:rPr>
        <w:t>c</w:t>
      </w:r>
      <w:r w:rsidR="001F1969" w:rsidRPr="001F1969">
        <w:rPr>
          <w:lang w:val="en-US"/>
        </w:rPr>
        <w:t>o</w:t>
      </w:r>
      <w:r w:rsidR="00B24669" w:rsidRPr="001F1969">
        <w:rPr>
          <w:lang w:val="en-US"/>
        </w:rPr>
        <w:t>urt</w:t>
      </w:r>
      <w:proofErr w:type="spellEnd"/>
      <w:r w:rsidR="00B24669" w:rsidRPr="001F1969">
        <w:rPr>
          <w:lang w:val="en-US"/>
        </w:rPr>
        <w:t xml:space="preserve"> that he </w:t>
      </w:r>
      <w:r w:rsidR="001F1969" w:rsidRPr="001F1969">
        <w:rPr>
          <w:lang w:val="en-US"/>
        </w:rPr>
        <w:t xml:space="preserve">owed </w:t>
      </w:r>
      <w:r w:rsidR="001F1969">
        <w:rPr>
          <w:lang w:val="en-US"/>
        </w:rPr>
        <w:t>SR</w:t>
      </w:r>
      <w:r w:rsidR="001F1969" w:rsidRPr="001F1969">
        <w:rPr>
          <w:lang w:val="en-US"/>
        </w:rPr>
        <w:t>7</w:t>
      </w:r>
      <w:proofErr w:type="gramStart"/>
      <w:r w:rsidR="001F1969" w:rsidRPr="001F1969">
        <w:rPr>
          <w:lang w:val="en-US"/>
        </w:rPr>
        <w:t>,024,122.74</w:t>
      </w:r>
      <w:proofErr w:type="gramEnd"/>
      <w:r w:rsidR="001F1969">
        <w:rPr>
          <w:lang w:val="en-US"/>
        </w:rPr>
        <w:t xml:space="preserve"> at the commencement of the agreement in 2017. This </w:t>
      </w:r>
      <w:proofErr w:type="gramStart"/>
      <w:r w:rsidR="001F1969">
        <w:rPr>
          <w:lang w:val="en-US"/>
        </w:rPr>
        <w:t>is not reflected</w:t>
      </w:r>
      <w:proofErr w:type="gramEnd"/>
      <w:r w:rsidR="001F1969">
        <w:rPr>
          <w:lang w:val="en-US"/>
        </w:rPr>
        <w:t xml:space="preserve"> in any of the reports produced by his accountants. Neither </w:t>
      </w:r>
      <w:proofErr w:type="gramStart"/>
      <w:r w:rsidR="001F1969">
        <w:rPr>
          <w:lang w:val="en-US"/>
        </w:rPr>
        <w:t>are the percentages of the margins for fuel and LPG reflected</w:t>
      </w:r>
      <w:proofErr w:type="gramEnd"/>
      <w:r w:rsidR="001F1969">
        <w:rPr>
          <w:lang w:val="en-US"/>
        </w:rPr>
        <w:t xml:space="preserve"> in the accounts. </w:t>
      </w:r>
    </w:p>
    <w:p w14:paraId="4D123EAF" w14:textId="4422853F" w:rsidR="001F1969" w:rsidRDefault="001F1969" w:rsidP="00707535">
      <w:pPr>
        <w:pStyle w:val="JudgmentText"/>
        <w:ind w:left="630" w:hanging="630"/>
        <w:rPr>
          <w:lang w:val="en-US"/>
        </w:rPr>
      </w:pPr>
      <w:r>
        <w:rPr>
          <w:lang w:val="en-US"/>
        </w:rPr>
        <w:t xml:space="preserve">There was therefore no evidence in rebuttal of SEYPEC’s counterclaim apart from the allegation by Mr. </w:t>
      </w:r>
      <w:proofErr w:type="spellStart"/>
      <w:r>
        <w:rPr>
          <w:lang w:val="en-US"/>
        </w:rPr>
        <w:t>Grandcourt</w:t>
      </w:r>
      <w:proofErr w:type="spellEnd"/>
      <w:r>
        <w:rPr>
          <w:lang w:val="en-US"/>
        </w:rPr>
        <w:t xml:space="preserve"> that he owed less and the incomplete accounts produced by the two accountants.</w:t>
      </w:r>
    </w:p>
    <w:p w14:paraId="7B5E94D4" w14:textId="3CDEF1AC" w:rsidR="001F1969" w:rsidRDefault="001F1969" w:rsidP="001F1969">
      <w:pPr>
        <w:pStyle w:val="JudgmentText"/>
        <w:ind w:left="360" w:hanging="360"/>
        <w:rPr>
          <w:lang w:val="en-US"/>
        </w:rPr>
      </w:pPr>
      <w:r>
        <w:rPr>
          <w:lang w:val="en-US"/>
        </w:rPr>
        <w:t>In the circumstances, grounds a,</w:t>
      </w:r>
      <w:r w:rsidR="007042A1">
        <w:rPr>
          <w:lang w:val="en-US"/>
        </w:rPr>
        <w:t xml:space="preserve"> </w:t>
      </w:r>
      <w:r>
        <w:rPr>
          <w:lang w:val="en-US"/>
        </w:rPr>
        <w:t xml:space="preserve">c and d have no merit and are dismissed. </w:t>
      </w:r>
    </w:p>
    <w:p w14:paraId="43A64181" w14:textId="2921DC5B" w:rsidR="007042A1" w:rsidRDefault="007042A1" w:rsidP="007042A1">
      <w:pPr>
        <w:pStyle w:val="Jjmntheading1"/>
        <w:rPr>
          <w:lang w:val="en-US"/>
        </w:rPr>
      </w:pPr>
      <w:r>
        <w:rPr>
          <w:lang w:val="en-US"/>
        </w:rPr>
        <w:t>Decision and Orders</w:t>
      </w:r>
    </w:p>
    <w:p w14:paraId="192124E5" w14:textId="1389896D" w:rsidR="007042A1" w:rsidRDefault="007042A1" w:rsidP="001F1969">
      <w:pPr>
        <w:pStyle w:val="JudgmentText"/>
        <w:ind w:left="360" w:hanging="360"/>
        <w:rPr>
          <w:lang w:val="en-US"/>
        </w:rPr>
      </w:pPr>
      <w:r>
        <w:rPr>
          <w:lang w:val="en-US"/>
        </w:rPr>
        <w:t xml:space="preserve">The appeal fails in its entirety. The decision of the Supreme Court </w:t>
      </w:r>
      <w:proofErr w:type="gramStart"/>
      <w:r>
        <w:rPr>
          <w:lang w:val="en-US"/>
        </w:rPr>
        <w:t>is upheld</w:t>
      </w:r>
      <w:proofErr w:type="gramEnd"/>
      <w:r>
        <w:rPr>
          <w:lang w:val="en-US"/>
        </w:rPr>
        <w:t>.</w:t>
      </w:r>
    </w:p>
    <w:p w14:paraId="76A3DB84" w14:textId="65A4DBD8" w:rsidR="00553660" w:rsidRPr="007042A1" w:rsidRDefault="007042A1" w:rsidP="00707535">
      <w:pPr>
        <w:pStyle w:val="JudgmentText"/>
        <w:rPr>
          <w:lang w:val="en-US"/>
        </w:rPr>
      </w:pPr>
      <w:r w:rsidRPr="007042A1">
        <w:rPr>
          <w:lang w:val="en-US"/>
        </w:rPr>
        <w:t xml:space="preserve">I therefore </w:t>
      </w:r>
      <w:r w:rsidR="001F1969" w:rsidRPr="007042A1">
        <w:rPr>
          <w:lang w:val="en-US"/>
        </w:rPr>
        <w:t>order</w:t>
      </w:r>
      <w:r w:rsidRPr="007042A1">
        <w:rPr>
          <w:lang w:val="en-US"/>
        </w:rPr>
        <w:t xml:space="preserve"> the Appellant, P</w:t>
      </w:r>
      <w:r w:rsidR="00374396">
        <w:rPr>
          <w:lang w:val="en-US"/>
        </w:rPr>
        <w:t>atrick</w:t>
      </w:r>
      <w:bookmarkStart w:id="0" w:name="_GoBack"/>
      <w:bookmarkEnd w:id="0"/>
      <w:r w:rsidRPr="007042A1">
        <w:rPr>
          <w:lang w:val="en-US"/>
        </w:rPr>
        <w:t xml:space="preserve"> </w:t>
      </w:r>
      <w:proofErr w:type="spellStart"/>
      <w:r w:rsidRPr="007042A1">
        <w:rPr>
          <w:lang w:val="en-US"/>
        </w:rPr>
        <w:t>Grandcourt</w:t>
      </w:r>
      <w:proofErr w:type="spellEnd"/>
      <w:r w:rsidRPr="007042A1">
        <w:rPr>
          <w:lang w:val="en-US"/>
        </w:rPr>
        <w:t xml:space="preserve"> to pay to the Respondent, SEYPEC, the sum of SR 10,378,092.29</w:t>
      </w:r>
      <w:r>
        <w:rPr>
          <w:lang w:val="en-US"/>
        </w:rPr>
        <w:t>, together with commercial interests from the date of this judgment and costs of the suit below and this appeal.</w:t>
      </w:r>
    </w:p>
    <w:p w14:paraId="415DCAA7" w14:textId="685FBB7C" w:rsidR="00133347" w:rsidRDefault="00133347" w:rsidP="008225AE">
      <w:pPr>
        <w:jc w:val="both"/>
        <w:rPr>
          <w:rFonts w:ascii="Times New Roman" w:hAnsi="Times New Roman" w:cs="Times New Roman"/>
          <w:bCs/>
          <w:color w:val="000000" w:themeColor="text1"/>
          <w:sz w:val="10"/>
          <w:szCs w:val="10"/>
          <w:lang w:val="en-US"/>
        </w:rPr>
      </w:pPr>
    </w:p>
    <w:p w14:paraId="3BA86D2C" w14:textId="77777777" w:rsidR="00133347" w:rsidRPr="006659B0" w:rsidRDefault="00133347" w:rsidP="008225AE">
      <w:pPr>
        <w:jc w:val="both"/>
        <w:rPr>
          <w:rFonts w:ascii="Times New Roman" w:hAnsi="Times New Roman" w:cs="Times New Roman"/>
          <w:bCs/>
          <w:color w:val="000000" w:themeColor="text1"/>
          <w:sz w:val="10"/>
          <w:szCs w:val="10"/>
          <w:lang w:val="en-US"/>
        </w:rPr>
      </w:pPr>
    </w:p>
    <w:p w14:paraId="692F4213" w14:textId="5D6FCAD0" w:rsidR="008225AE" w:rsidRPr="008225AE" w:rsidRDefault="008225AE" w:rsidP="008225AE">
      <w:pPr>
        <w:jc w:val="both"/>
        <w:rPr>
          <w:rFonts w:ascii="Times New Roman" w:hAnsi="Times New Roman" w:cs="Times New Roman"/>
          <w:bCs/>
          <w:color w:val="000000" w:themeColor="text1"/>
          <w:sz w:val="24"/>
          <w:szCs w:val="24"/>
          <w:lang w:val="en-US"/>
        </w:rPr>
      </w:pPr>
      <w:r w:rsidRPr="008225AE">
        <w:rPr>
          <w:rFonts w:ascii="Times New Roman" w:hAnsi="Times New Roman" w:cs="Times New Roman"/>
          <w:b/>
          <w:color w:val="000000" w:themeColor="text1"/>
          <w:sz w:val="24"/>
          <w:szCs w:val="24"/>
        </w:rPr>
        <w:t>_____</w:t>
      </w:r>
      <w:r w:rsidR="006659B0" w:rsidRPr="008225AE">
        <w:rPr>
          <w:rFonts w:ascii="Times New Roman" w:hAnsi="Times New Roman" w:cs="Times New Roman"/>
          <w:b/>
          <w:color w:val="000000" w:themeColor="text1"/>
          <w:sz w:val="24"/>
          <w:szCs w:val="24"/>
        </w:rPr>
        <w:t>_</w:t>
      </w:r>
      <w:r w:rsidRPr="008225AE">
        <w:rPr>
          <w:rFonts w:ascii="Times New Roman" w:hAnsi="Times New Roman" w:cs="Times New Roman"/>
          <w:b/>
          <w:color w:val="000000" w:themeColor="text1"/>
          <w:sz w:val="24"/>
          <w:szCs w:val="24"/>
        </w:rPr>
        <w:t>_______________________</w:t>
      </w:r>
    </w:p>
    <w:p w14:paraId="5506BDF9" w14:textId="6EBDA93F" w:rsidR="008225AE" w:rsidRPr="008225AE" w:rsidRDefault="008225AE" w:rsidP="008225AE">
      <w:pPr>
        <w:jc w:val="both"/>
        <w:rPr>
          <w:rFonts w:ascii="Times New Roman" w:hAnsi="Times New Roman" w:cs="Times New Roman"/>
          <w:color w:val="000000" w:themeColor="text1"/>
          <w:sz w:val="24"/>
          <w:szCs w:val="24"/>
          <w:lang w:val="en-US"/>
        </w:rPr>
      </w:pPr>
      <w:r w:rsidRPr="008225AE">
        <w:rPr>
          <w:rFonts w:ascii="Times New Roman" w:hAnsi="Times New Roman" w:cs="Times New Roman"/>
          <w:color w:val="000000" w:themeColor="text1"/>
          <w:sz w:val="24"/>
          <w:szCs w:val="24"/>
          <w:lang w:val="en-US"/>
        </w:rPr>
        <w:t xml:space="preserve">Dr. </w:t>
      </w:r>
      <w:r w:rsidR="0096253F">
        <w:rPr>
          <w:rFonts w:ascii="Times New Roman" w:hAnsi="Times New Roman" w:cs="Times New Roman"/>
          <w:color w:val="000000" w:themeColor="text1"/>
          <w:sz w:val="24"/>
          <w:szCs w:val="24"/>
          <w:lang w:val="en-US"/>
        </w:rPr>
        <w:t>M</w:t>
      </w:r>
      <w:r w:rsidR="007042A1">
        <w:rPr>
          <w:rFonts w:ascii="Times New Roman" w:hAnsi="Times New Roman" w:cs="Times New Roman"/>
          <w:color w:val="000000" w:themeColor="text1"/>
          <w:sz w:val="24"/>
          <w:szCs w:val="24"/>
          <w:lang w:val="en-US"/>
        </w:rPr>
        <w:t>athilda</w:t>
      </w:r>
      <w:r w:rsidR="0096253F">
        <w:rPr>
          <w:rFonts w:ascii="Times New Roman" w:hAnsi="Times New Roman" w:cs="Times New Roman"/>
          <w:color w:val="000000" w:themeColor="text1"/>
          <w:sz w:val="24"/>
          <w:szCs w:val="24"/>
          <w:lang w:val="en-US"/>
        </w:rPr>
        <w:t xml:space="preserve"> Twomey</w:t>
      </w:r>
      <w:r w:rsidR="007042A1">
        <w:rPr>
          <w:rFonts w:ascii="Times New Roman" w:hAnsi="Times New Roman" w:cs="Times New Roman"/>
          <w:color w:val="000000" w:themeColor="text1"/>
          <w:sz w:val="24"/>
          <w:szCs w:val="24"/>
          <w:lang w:val="en-US"/>
        </w:rPr>
        <w:t>-Woods</w:t>
      </w:r>
      <w:r w:rsidRPr="008225AE">
        <w:rPr>
          <w:rFonts w:ascii="Times New Roman" w:hAnsi="Times New Roman" w:cs="Times New Roman"/>
          <w:color w:val="000000" w:themeColor="text1"/>
          <w:sz w:val="24"/>
          <w:szCs w:val="24"/>
          <w:lang w:val="en-US"/>
        </w:rPr>
        <w:t>, JA.</w:t>
      </w:r>
    </w:p>
    <w:p w14:paraId="7EB2E8F2" w14:textId="635AAEC2" w:rsidR="008225AE" w:rsidRPr="006659B0" w:rsidRDefault="008225AE" w:rsidP="008225AE">
      <w:pPr>
        <w:jc w:val="both"/>
        <w:rPr>
          <w:rFonts w:ascii="Times New Roman" w:hAnsi="Times New Roman" w:cs="Times New Roman"/>
          <w:color w:val="000000" w:themeColor="text1"/>
          <w:sz w:val="24"/>
          <w:szCs w:val="24"/>
          <w:lang w:val="en-US"/>
        </w:rPr>
      </w:pPr>
    </w:p>
    <w:p w14:paraId="28EF465C" w14:textId="77777777" w:rsidR="006659B0" w:rsidRPr="008225AE" w:rsidRDefault="006659B0" w:rsidP="008225AE">
      <w:pPr>
        <w:jc w:val="both"/>
        <w:rPr>
          <w:rFonts w:ascii="Times New Roman" w:hAnsi="Times New Roman" w:cs="Times New Roman"/>
          <w:color w:val="000000" w:themeColor="text1"/>
          <w:sz w:val="24"/>
          <w:szCs w:val="24"/>
          <w:lang w:val="en-US"/>
        </w:rPr>
      </w:pPr>
    </w:p>
    <w:p w14:paraId="309F96E8" w14:textId="77777777" w:rsidR="008225AE" w:rsidRP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lastRenderedPageBreak/>
        <w:t>I concur</w:t>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t>________________</w:t>
      </w:r>
    </w:p>
    <w:p w14:paraId="756D1A05" w14:textId="31E97EB4" w:rsidR="008225AE" w:rsidRPr="008225AE" w:rsidRDefault="008225AE" w:rsidP="008225AE">
      <w:pPr>
        <w:jc w:val="both"/>
        <w:rPr>
          <w:rFonts w:ascii="Times New Roman" w:hAnsi="Times New Roman" w:cs="Times New Roman"/>
          <w:color w:val="000000" w:themeColor="text1"/>
          <w:sz w:val="24"/>
          <w:szCs w:val="24"/>
        </w:rPr>
      </w:pP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Pr="008225AE">
        <w:rPr>
          <w:rFonts w:ascii="Times New Roman" w:hAnsi="Times New Roman" w:cs="Times New Roman"/>
          <w:color w:val="000000" w:themeColor="text1"/>
          <w:sz w:val="24"/>
          <w:szCs w:val="24"/>
        </w:rPr>
        <w:tab/>
      </w:r>
      <w:r w:rsidR="007042A1">
        <w:rPr>
          <w:rFonts w:ascii="Times New Roman" w:hAnsi="Times New Roman" w:cs="Times New Roman"/>
          <w:color w:val="000000" w:themeColor="text1"/>
          <w:sz w:val="24"/>
          <w:szCs w:val="24"/>
        </w:rPr>
        <w:t>Anthony Fernando, P</w:t>
      </w:r>
      <w:r w:rsidR="004128EA">
        <w:rPr>
          <w:rFonts w:ascii="Times New Roman" w:hAnsi="Times New Roman" w:cs="Times New Roman"/>
          <w:color w:val="000000" w:themeColor="text1"/>
          <w:sz w:val="24"/>
          <w:szCs w:val="24"/>
        </w:rPr>
        <w:t>resident</w:t>
      </w:r>
    </w:p>
    <w:p w14:paraId="758C268D" w14:textId="42055FC0" w:rsidR="008225AE" w:rsidRDefault="008225AE" w:rsidP="008225AE">
      <w:pPr>
        <w:jc w:val="both"/>
        <w:rPr>
          <w:rFonts w:ascii="Times New Roman" w:hAnsi="Times New Roman" w:cs="Times New Roman"/>
          <w:color w:val="000000" w:themeColor="text1"/>
          <w:sz w:val="24"/>
          <w:szCs w:val="24"/>
        </w:rPr>
      </w:pPr>
    </w:p>
    <w:p w14:paraId="63371A32" w14:textId="77777777" w:rsidR="00707535" w:rsidRPr="008225AE" w:rsidRDefault="00707535" w:rsidP="008225AE">
      <w:pPr>
        <w:jc w:val="both"/>
        <w:rPr>
          <w:rFonts w:ascii="Times New Roman" w:hAnsi="Times New Roman" w:cs="Times New Roman"/>
          <w:color w:val="000000" w:themeColor="text1"/>
          <w:sz w:val="24"/>
          <w:szCs w:val="24"/>
        </w:rPr>
      </w:pPr>
    </w:p>
    <w:p w14:paraId="6073E8B4" w14:textId="53EE7059" w:rsidR="0036640A" w:rsidRPr="008225AE" w:rsidRDefault="007042A1" w:rsidP="008225AE">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 concur</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7042A1">
        <w:rPr>
          <w:rFonts w:ascii="Times New Roman" w:hAnsi="Times New Roman" w:cs="Times New Roman"/>
          <w:color w:val="000000" w:themeColor="text1"/>
          <w:sz w:val="24"/>
          <w:szCs w:val="24"/>
          <w:lang w:val="en-US"/>
        </w:rPr>
        <w:t>________________</w:t>
      </w:r>
    </w:p>
    <w:p w14:paraId="0310E255" w14:textId="77A04E22" w:rsidR="008225AE" w:rsidRPr="007042A1" w:rsidRDefault="007042A1" w:rsidP="008225AE">
      <w:pPr>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sidRPr="007042A1">
        <w:rPr>
          <w:rFonts w:ascii="Times New Roman" w:hAnsi="Times New Roman" w:cs="Times New Roman"/>
          <w:color w:val="000000" w:themeColor="text1"/>
          <w:sz w:val="24"/>
          <w:szCs w:val="24"/>
          <w:lang w:val="en-US"/>
        </w:rPr>
        <w:t xml:space="preserve">Fiona Robinson, </w:t>
      </w:r>
      <w:r>
        <w:rPr>
          <w:rFonts w:ascii="Times New Roman" w:hAnsi="Times New Roman" w:cs="Times New Roman"/>
          <w:color w:val="000000" w:themeColor="text1"/>
          <w:sz w:val="24"/>
          <w:szCs w:val="24"/>
          <w:lang w:val="en-US"/>
        </w:rPr>
        <w:t>JA</w:t>
      </w:r>
    </w:p>
    <w:p w14:paraId="0AAA62A5" w14:textId="77777777" w:rsidR="007042A1" w:rsidRPr="008225AE" w:rsidRDefault="007042A1" w:rsidP="008225AE">
      <w:pPr>
        <w:jc w:val="both"/>
        <w:rPr>
          <w:rFonts w:ascii="Times New Roman" w:hAnsi="Times New Roman" w:cs="Times New Roman"/>
          <w:b/>
          <w:color w:val="000000" w:themeColor="text1"/>
          <w:sz w:val="24"/>
          <w:szCs w:val="24"/>
          <w:lang w:val="en-US"/>
        </w:rPr>
      </w:pPr>
    </w:p>
    <w:p w14:paraId="1C2A0653" w14:textId="77777777" w:rsidR="0036640A" w:rsidRDefault="0036640A" w:rsidP="0036640A">
      <w:pPr>
        <w:spacing w:after="240" w:line="360" w:lineRule="auto"/>
        <w:rPr>
          <w:rFonts w:ascii="Times New Roman" w:eastAsia="Times New Roman" w:hAnsi="Times New Roman" w:cs="Times New Roman"/>
          <w:sz w:val="24"/>
          <w:szCs w:val="24"/>
        </w:rPr>
      </w:pPr>
      <w:bookmarkStart w:id="1" w:name="_Toc409448291"/>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 xml:space="preserve">d delivered at Ile du Port on </w:t>
      </w:r>
      <w:r w:rsidR="007042A1">
        <w:rPr>
          <w:rFonts w:ascii="Times New Roman" w:eastAsia="Times New Roman" w:hAnsi="Times New Roman" w:cs="Times New Roman"/>
          <w:sz w:val="24"/>
          <w:szCs w:val="24"/>
        </w:rPr>
        <w:t>29 April 2022.</w:t>
      </w:r>
      <w:bookmarkEnd w:id="1"/>
    </w:p>
    <w:p w14:paraId="236A1DA4" w14:textId="772B4800" w:rsidR="00C45C2C" w:rsidRDefault="00C45C2C" w:rsidP="008225AE">
      <w:pPr>
        <w:shd w:val="clear" w:color="auto" w:fill="FFFFFF"/>
        <w:tabs>
          <w:tab w:val="left" w:pos="1260"/>
        </w:tabs>
        <w:spacing w:line="360" w:lineRule="auto"/>
        <w:jc w:val="both"/>
        <w:textAlignment w:val="baseline"/>
        <w:rPr>
          <w:rFonts w:ascii="Times New Roman" w:eastAsia="Times New Roman" w:hAnsi="Times New Roman" w:cs="Times New Roman"/>
          <w:b/>
          <w:color w:val="333333"/>
          <w:sz w:val="24"/>
          <w:szCs w:val="24"/>
          <w:bdr w:val="none" w:sz="0" w:space="0" w:color="auto" w:frame="1"/>
        </w:rPr>
      </w:pPr>
    </w:p>
    <w:sectPr w:rsidR="00C45C2C" w:rsidSect="00987977">
      <w:footerReference w:type="default" r:id="rId8"/>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CCFA" w14:textId="77777777" w:rsidR="00BC5020" w:rsidRDefault="00BC5020" w:rsidP="006A68E2">
      <w:pPr>
        <w:spacing w:after="0" w:line="240" w:lineRule="auto"/>
      </w:pPr>
      <w:r>
        <w:separator/>
      </w:r>
    </w:p>
  </w:endnote>
  <w:endnote w:type="continuationSeparator" w:id="0">
    <w:p w14:paraId="299D3046" w14:textId="77777777" w:rsidR="00BC5020" w:rsidRDefault="00BC502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1EDA3AFD" w:rsidR="001A3BBF" w:rsidRDefault="001A3BBF">
        <w:pPr>
          <w:pStyle w:val="Footer"/>
          <w:jc w:val="center"/>
        </w:pPr>
        <w:r>
          <w:fldChar w:fldCharType="begin"/>
        </w:r>
        <w:r>
          <w:instrText xml:space="preserve"> PAGE   \* MERGEFORMAT </w:instrText>
        </w:r>
        <w:r>
          <w:fldChar w:fldCharType="separate"/>
        </w:r>
        <w:r w:rsidR="00374396">
          <w:rPr>
            <w:noProof/>
          </w:rPr>
          <w:t>9</w:t>
        </w:r>
        <w:r>
          <w:rPr>
            <w:noProof/>
          </w:rPr>
          <w:fldChar w:fldCharType="end"/>
        </w:r>
      </w:p>
    </w:sdtContent>
  </w:sdt>
  <w:p w14:paraId="34F22166" w14:textId="77777777" w:rsidR="001A3BBF" w:rsidRDefault="001A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780C" w14:textId="77777777" w:rsidR="00BC5020" w:rsidRDefault="00BC5020" w:rsidP="006A68E2">
      <w:pPr>
        <w:spacing w:after="0" w:line="240" w:lineRule="auto"/>
      </w:pPr>
      <w:r>
        <w:separator/>
      </w:r>
    </w:p>
  </w:footnote>
  <w:footnote w:type="continuationSeparator" w:id="0">
    <w:p w14:paraId="4499394C" w14:textId="77777777" w:rsidR="00BC5020" w:rsidRDefault="00BC5020" w:rsidP="006A68E2">
      <w:pPr>
        <w:spacing w:after="0" w:line="240" w:lineRule="auto"/>
      </w:pPr>
      <w:r>
        <w:continuationSeparator/>
      </w:r>
    </w:p>
  </w:footnote>
  <w:footnote w:id="1">
    <w:p w14:paraId="70FADC0C" w14:textId="6257DB8C" w:rsidR="006712F1" w:rsidRPr="006712F1" w:rsidRDefault="006712F1">
      <w:pPr>
        <w:pStyle w:val="FootnoteText"/>
        <w:rPr>
          <w:rFonts w:ascii="Times New Roman" w:hAnsi="Times New Roman" w:cs="Times New Roman"/>
        </w:rPr>
      </w:pPr>
      <w:r w:rsidRPr="006712F1">
        <w:rPr>
          <w:rStyle w:val="FootnoteReference"/>
          <w:rFonts w:ascii="Times New Roman" w:hAnsi="Times New Roman" w:cs="Times New Roman"/>
        </w:rPr>
        <w:footnoteRef/>
      </w:r>
      <w:r w:rsidRPr="006712F1">
        <w:rPr>
          <w:rFonts w:ascii="Times New Roman" w:hAnsi="Times New Roman" w:cs="Times New Roman"/>
        </w:rPr>
        <w:t xml:space="preserve">https://legal-dictionary.thefreedictionary.com/expert+witness </w:t>
      </w:r>
    </w:p>
  </w:footnote>
  <w:footnote w:id="2">
    <w:p w14:paraId="5FCB6D4C" w14:textId="67D6B115" w:rsidR="00E90267" w:rsidRDefault="00E90267">
      <w:pPr>
        <w:pStyle w:val="FootnoteText"/>
      </w:pPr>
      <w:r>
        <w:rPr>
          <w:rStyle w:val="FootnoteReference"/>
        </w:rPr>
        <w:footnoteRef/>
      </w:r>
      <w:r>
        <w:t xml:space="preserve"> </w:t>
      </w:r>
      <w:r w:rsidRPr="00E90267">
        <w:t>(CC 4/2012) [2017] SCSC 88 (06 February 2017)</w:t>
      </w:r>
    </w:p>
  </w:footnote>
  <w:footnote w:id="3">
    <w:p w14:paraId="6BB78755" w14:textId="2AFC597E" w:rsidR="008A03B4" w:rsidRPr="008A03B4" w:rsidRDefault="008A03B4">
      <w:pPr>
        <w:pStyle w:val="FootnoteText"/>
        <w:rPr>
          <w:rFonts w:ascii="Times New Roman" w:hAnsi="Times New Roman" w:cs="Times New Roman"/>
        </w:rPr>
      </w:pPr>
      <w:r w:rsidRPr="008A03B4">
        <w:rPr>
          <w:rStyle w:val="FootnoteReference"/>
          <w:rFonts w:ascii="Times New Roman" w:hAnsi="Times New Roman" w:cs="Times New Roman"/>
        </w:rPr>
        <w:footnoteRef/>
      </w:r>
      <w:r w:rsidRPr="008A03B4">
        <w:rPr>
          <w:rFonts w:ascii="Times New Roman" w:hAnsi="Times New Roman" w:cs="Times New Roman"/>
        </w:rPr>
        <w:t xml:space="preserve"> </w:t>
      </w:r>
      <w:r w:rsidRPr="008A03B4">
        <w:rPr>
          <w:rFonts w:ascii="Times New Roman" w:hAnsi="Times New Roman" w:cs="Times New Roman"/>
          <w:lang w:val="en-GB"/>
        </w:rPr>
        <w:t>(SCA No: 07 of 2012) [2014] SCCA 18 (14 August 2014)</w:t>
      </w:r>
    </w:p>
  </w:footnote>
  <w:footnote w:id="4">
    <w:p w14:paraId="022FEF09" w14:textId="6EFB705B" w:rsidR="006712F1" w:rsidRDefault="006712F1">
      <w:pPr>
        <w:pStyle w:val="FootnoteText"/>
      </w:pPr>
      <w:r>
        <w:rPr>
          <w:rStyle w:val="FootnoteReference"/>
        </w:rPr>
        <w:footnoteRef/>
      </w:r>
      <w:r>
        <w:t xml:space="preserve"> Ibid, at para 11.</w:t>
      </w:r>
    </w:p>
  </w:footnote>
  <w:footnote w:id="5">
    <w:p w14:paraId="6B73F9F9" w14:textId="78D9053B" w:rsidR="003C7190" w:rsidRDefault="003C7190">
      <w:pPr>
        <w:pStyle w:val="FootnoteText"/>
      </w:pPr>
      <w:r>
        <w:rPr>
          <w:rStyle w:val="FootnoteReference"/>
        </w:rPr>
        <w:footnoteRef/>
      </w:r>
      <w:r>
        <w:t xml:space="preserve"> Supra </w:t>
      </w:r>
      <w:proofErr w:type="spellStart"/>
      <w:r>
        <w:t>fn</w:t>
      </w:r>
      <w:proofErr w:type="spellEnd"/>
      <w:r>
        <w:t xml:space="preserve">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530"/>
    <w:multiLevelType w:val="hybridMultilevel"/>
    <w:tmpl w:val="213C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6D1876"/>
    <w:multiLevelType w:val="hybridMultilevel"/>
    <w:tmpl w:val="466E36F2"/>
    <w:lvl w:ilvl="0" w:tplc="5C50F252">
      <w:start w:val="13"/>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7B08C8"/>
    <w:multiLevelType w:val="hybridMultilevel"/>
    <w:tmpl w:val="CDA8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A87547E"/>
    <w:multiLevelType w:val="hybridMultilevel"/>
    <w:tmpl w:val="B456DF78"/>
    <w:lvl w:ilvl="0" w:tplc="ED6852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1F7EF2"/>
    <w:multiLevelType w:val="hybridMultilevel"/>
    <w:tmpl w:val="FCB20582"/>
    <w:lvl w:ilvl="0" w:tplc="CCA6A478">
      <w:start w:val="37"/>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47"/>
    <w:multiLevelType w:val="hybridMultilevel"/>
    <w:tmpl w:val="FB26AD00"/>
    <w:lvl w:ilvl="0" w:tplc="E08A99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7542D2"/>
    <w:multiLevelType w:val="multilevel"/>
    <w:tmpl w:val="1CC89892"/>
    <w:numStyleLink w:val="Judgments"/>
  </w:abstractNum>
  <w:abstractNum w:abstractNumId="1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8"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3C018D1"/>
    <w:multiLevelType w:val="hybridMultilevel"/>
    <w:tmpl w:val="4B8EE2A2"/>
    <w:lvl w:ilvl="0" w:tplc="719031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907D54"/>
    <w:multiLevelType w:val="hybridMultilevel"/>
    <w:tmpl w:val="D53C0454"/>
    <w:lvl w:ilvl="0" w:tplc="73283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87151"/>
    <w:multiLevelType w:val="hybridMultilevel"/>
    <w:tmpl w:val="D68426B0"/>
    <w:lvl w:ilvl="0" w:tplc="5C50F252">
      <w:start w:val="13"/>
      <w:numFmt w:val="decimal"/>
      <w:lvlText w:val="[%1]."/>
      <w:lvlJc w:val="left"/>
      <w:pPr>
        <w:ind w:left="720" w:hanging="360"/>
      </w:pPr>
      <w:rPr>
        <w:rFonts w:hint="default"/>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1173"/>
    <w:multiLevelType w:val="hybridMultilevel"/>
    <w:tmpl w:val="2E302E00"/>
    <w:lvl w:ilvl="0" w:tplc="1D4C32BE">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42C71037"/>
    <w:multiLevelType w:val="hybridMultilevel"/>
    <w:tmpl w:val="7B4A40D0"/>
    <w:lvl w:ilvl="0" w:tplc="D99CBF0C">
      <w:start w:val="1"/>
      <w:numFmt w:val="decimal"/>
      <w:lvlText w:val="%1."/>
      <w:lvlJc w:val="left"/>
      <w:pPr>
        <w:ind w:left="1224" w:hanging="360"/>
      </w:pPr>
      <w:rPr>
        <w:rFonts w:hint="default"/>
        <w:i w:val="0"/>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7" w15:restartNumberingAfterBreak="0">
    <w:nsid w:val="482A421A"/>
    <w:multiLevelType w:val="hybridMultilevel"/>
    <w:tmpl w:val="605AC5A6"/>
    <w:lvl w:ilvl="0" w:tplc="04090019">
      <w:start w:val="1"/>
      <w:numFmt w:val="lowerLetter"/>
      <w:pStyle w:val="NumberedQuotationindent1"/>
      <w:lvlText w:val="%1."/>
      <w:lvlJc w:val="left"/>
      <w:pPr>
        <w:ind w:left="126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9B3CE1"/>
    <w:multiLevelType w:val="hybridMultilevel"/>
    <w:tmpl w:val="5F3CF23C"/>
    <w:lvl w:ilvl="0" w:tplc="8982A6DC">
      <w:start w:val="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F00B2D"/>
    <w:multiLevelType w:val="hybridMultilevel"/>
    <w:tmpl w:val="C238648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4FE24D1A"/>
    <w:multiLevelType w:val="hybridMultilevel"/>
    <w:tmpl w:val="CEC04F16"/>
    <w:lvl w:ilvl="0" w:tplc="47002C6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61B8A"/>
    <w:multiLevelType w:val="hybridMultilevel"/>
    <w:tmpl w:val="616492E4"/>
    <w:lvl w:ilvl="0" w:tplc="5C50F25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9D3FF6"/>
    <w:multiLevelType w:val="hybridMultilevel"/>
    <w:tmpl w:val="3688878A"/>
    <w:lvl w:ilvl="0" w:tplc="091E07A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E74820"/>
    <w:multiLevelType w:val="multilevel"/>
    <w:tmpl w:val="1CC89892"/>
    <w:numStyleLink w:val="Judgments"/>
  </w:abstractNum>
  <w:abstractNum w:abstractNumId="34"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5" w15:restartNumberingAfterBreak="0">
    <w:nsid w:val="5ED73B1B"/>
    <w:multiLevelType w:val="hybridMultilevel"/>
    <w:tmpl w:val="7946DD7C"/>
    <w:lvl w:ilvl="0" w:tplc="5F8ABD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97BF2"/>
    <w:multiLevelType w:val="hybridMultilevel"/>
    <w:tmpl w:val="9EFE016C"/>
    <w:lvl w:ilvl="0" w:tplc="7352A42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6C12"/>
    <w:multiLevelType w:val="hybridMultilevel"/>
    <w:tmpl w:val="3C609DFA"/>
    <w:lvl w:ilvl="0" w:tplc="869466E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52288D"/>
    <w:multiLevelType w:val="hybridMultilevel"/>
    <w:tmpl w:val="33DAA9AC"/>
    <w:lvl w:ilvl="0" w:tplc="0AEA180E">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2" w15:restartNumberingAfterBreak="0">
    <w:nsid w:val="78CD19BD"/>
    <w:multiLevelType w:val="hybridMultilevel"/>
    <w:tmpl w:val="179E80AA"/>
    <w:lvl w:ilvl="0" w:tplc="65502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3"/>
  </w:num>
  <w:num w:numId="4">
    <w:abstractNumId w:val="17"/>
  </w:num>
  <w:num w:numId="5">
    <w:abstractNumId w:val="16"/>
    <w:lvlOverride w:ilvl="0">
      <w:lvl w:ilvl="0">
        <w:start w:val="13"/>
        <w:numFmt w:val="decimal"/>
        <w:pStyle w:val="JudgmentText"/>
        <w:lvlText w:val="[%1]."/>
        <w:lvlJc w:val="left"/>
        <w:pPr>
          <w:ind w:left="360" w:hanging="360"/>
        </w:pPr>
        <w:rPr>
          <w:rFonts w:hint="default"/>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0"/>
  </w:num>
  <w:num w:numId="7">
    <w:abstractNumId w:val="13"/>
  </w:num>
  <w:num w:numId="8">
    <w:abstractNumId w:val="27"/>
  </w:num>
  <w:num w:numId="9">
    <w:abstractNumId w:val="6"/>
  </w:num>
  <w:num w:numId="10">
    <w:abstractNumId w:val="27"/>
  </w:num>
  <w:num w:numId="11">
    <w:abstractNumId w:val="27"/>
  </w:num>
  <w:num w:numId="12">
    <w:abstractNumId w:val="18"/>
  </w:num>
  <w:num w:numId="13">
    <w:abstractNumId w:val="41"/>
  </w:num>
  <w:num w:numId="14">
    <w:abstractNumId w:val="27"/>
    <w:lvlOverride w:ilvl="0">
      <w:startOverride w:val="1"/>
    </w:lvlOverride>
  </w:num>
  <w:num w:numId="15">
    <w:abstractNumId w:val="27"/>
  </w:num>
  <w:num w:numId="16">
    <w:abstractNumId w:val="1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2"/>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6"/>
  </w:num>
  <w:num w:numId="30">
    <w:abstractNumId w:val="0"/>
  </w:num>
  <w:num w:numId="31">
    <w:abstractNumId w:val="35"/>
  </w:num>
  <w:num w:numId="32">
    <w:abstractNumId w:val="42"/>
  </w:num>
  <w:num w:numId="33">
    <w:abstractNumId w:val="26"/>
  </w:num>
  <w:num w:numId="34">
    <w:abstractNumId w:val="21"/>
  </w:num>
  <w:num w:numId="35">
    <w:abstractNumId w:val="30"/>
  </w:num>
  <w:num w:numId="36">
    <w:abstractNumId w:val="5"/>
  </w:num>
  <w:num w:numId="37">
    <w:abstractNumId w:val="12"/>
  </w:num>
  <w:num w:numId="38">
    <w:abstractNumId w:val="24"/>
  </w:num>
  <w:num w:numId="39">
    <w:abstractNumId w:val="36"/>
  </w:num>
  <w:num w:numId="40">
    <w:abstractNumId w:val="39"/>
  </w:num>
  <w:num w:numId="41">
    <w:abstractNumId w:val="32"/>
  </w:num>
  <w:num w:numId="42">
    <w:abstractNumId w:val="37"/>
  </w:num>
  <w:num w:numId="43">
    <w:abstractNumId w:val="11"/>
  </w:num>
  <w:num w:numId="44">
    <w:abstractNumId w:val="28"/>
  </w:num>
  <w:num w:numId="45">
    <w:abstractNumId w:val="19"/>
  </w:num>
  <w:num w:numId="46">
    <w:abstractNumId w:val="10"/>
  </w:num>
  <w:num w:numId="47">
    <w:abstractNumId w:val="2"/>
  </w:num>
  <w:num w:numId="48">
    <w:abstractNumId w:val="3"/>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sDQxsjQ1MzE0MzJV0lEKTi0uzszPAykwrwUAT7Cx+CwAAAA="/>
  </w:docVars>
  <w:rsids>
    <w:rsidRoot w:val="00CC4C21"/>
    <w:rsid w:val="00000593"/>
    <w:rsid w:val="00015DE3"/>
    <w:rsid w:val="00025CDF"/>
    <w:rsid w:val="000301BB"/>
    <w:rsid w:val="0003054E"/>
    <w:rsid w:val="00040193"/>
    <w:rsid w:val="00050392"/>
    <w:rsid w:val="00050B7D"/>
    <w:rsid w:val="000534D9"/>
    <w:rsid w:val="00067FCB"/>
    <w:rsid w:val="00071B84"/>
    <w:rsid w:val="00072C78"/>
    <w:rsid w:val="00081862"/>
    <w:rsid w:val="0008560D"/>
    <w:rsid w:val="000873E2"/>
    <w:rsid w:val="0009242F"/>
    <w:rsid w:val="000929A9"/>
    <w:rsid w:val="00097D19"/>
    <w:rsid w:val="000A0FCF"/>
    <w:rsid w:val="000A1F6D"/>
    <w:rsid w:val="000A3825"/>
    <w:rsid w:val="000A5E8A"/>
    <w:rsid w:val="000C0D38"/>
    <w:rsid w:val="000D0AC9"/>
    <w:rsid w:val="000D6415"/>
    <w:rsid w:val="000D6F0E"/>
    <w:rsid w:val="000F27A6"/>
    <w:rsid w:val="000F38FE"/>
    <w:rsid w:val="000F6923"/>
    <w:rsid w:val="00105BE9"/>
    <w:rsid w:val="00112139"/>
    <w:rsid w:val="001126AB"/>
    <w:rsid w:val="001135C2"/>
    <w:rsid w:val="00116DDC"/>
    <w:rsid w:val="001278AB"/>
    <w:rsid w:val="00133347"/>
    <w:rsid w:val="001349A3"/>
    <w:rsid w:val="001428B9"/>
    <w:rsid w:val="00144C3A"/>
    <w:rsid w:val="0014564E"/>
    <w:rsid w:val="00151BF3"/>
    <w:rsid w:val="00157C6B"/>
    <w:rsid w:val="00162586"/>
    <w:rsid w:val="00163C27"/>
    <w:rsid w:val="001723B1"/>
    <w:rsid w:val="00184AE2"/>
    <w:rsid w:val="001930BC"/>
    <w:rsid w:val="00195F76"/>
    <w:rsid w:val="00196639"/>
    <w:rsid w:val="001A0CAF"/>
    <w:rsid w:val="001A3BBF"/>
    <w:rsid w:val="001A3E53"/>
    <w:rsid w:val="001B0EFE"/>
    <w:rsid w:val="001B3C73"/>
    <w:rsid w:val="001C54C3"/>
    <w:rsid w:val="001C72CA"/>
    <w:rsid w:val="001C78EC"/>
    <w:rsid w:val="001D33D2"/>
    <w:rsid w:val="001F1969"/>
    <w:rsid w:val="001F34CA"/>
    <w:rsid w:val="001F6FA0"/>
    <w:rsid w:val="002015F8"/>
    <w:rsid w:val="0020285B"/>
    <w:rsid w:val="00203B4E"/>
    <w:rsid w:val="00212006"/>
    <w:rsid w:val="0021402A"/>
    <w:rsid w:val="00214694"/>
    <w:rsid w:val="00214DB4"/>
    <w:rsid w:val="002207B6"/>
    <w:rsid w:val="0023160D"/>
    <w:rsid w:val="00231D94"/>
    <w:rsid w:val="00235626"/>
    <w:rsid w:val="00243AE1"/>
    <w:rsid w:val="00244FEB"/>
    <w:rsid w:val="00245165"/>
    <w:rsid w:val="00271C68"/>
    <w:rsid w:val="0027707F"/>
    <w:rsid w:val="00285375"/>
    <w:rsid w:val="002978B1"/>
    <w:rsid w:val="002A5772"/>
    <w:rsid w:val="002B2536"/>
    <w:rsid w:val="002C2D81"/>
    <w:rsid w:val="002D0DE2"/>
    <w:rsid w:val="002D3055"/>
    <w:rsid w:val="002D4EB8"/>
    <w:rsid w:val="002E08FE"/>
    <w:rsid w:val="002E1B36"/>
    <w:rsid w:val="002E2AE3"/>
    <w:rsid w:val="002E2D44"/>
    <w:rsid w:val="002F24E6"/>
    <w:rsid w:val="002F606B"/>
    <w:rsid w:val="003063E5"/>
    <w:rsid w:val="00307BB3"/>
    <w:rsid w:val="003137B8"/>
    <w:rsid w:val="00315AA7"/>
    <w:rsid w:val="00331374"/>
    <w:rsid w:val="00344425"/>
    <w:rsid w:val="00346D7F"/>
    <w:rsid w:val="003615E7"/>
    <w:rsid w:val="0036640A"/>
    <w:rsid w:val="0036708A"/>
    <w:rsid w:val="00372FB2"/>
    <w:rsid w:val="00373165"/>
    <w:rsid w:val="00374396"/>
    <w:rsid w:val="00380619"/>
    <w:rsid w:val="00385BB5"/>
    <w:rsid w:val="00392D92"/>
    <w:rsid w:val="003A5477"/>
    <w:rsid w:val="003A6C9E"/>
    <w:rsid w:val="003B3E4B"/>
    <w:rsid w:val="003B7020"/>
    <w:rsid w:val="003B79A4"/>
    <w:rsid w:val="003C11F1"/>
    <w:rsid w:val="003C527C"/>
    <w:rsid w:val="003C7190"/>
    <w:rsid w:val="003E2E94"/>
    <w:rsid w:val="003E5B26"/>
    <w:rsid w:val="003F0B7F"/>
    <w:rsid w:val="003F5E76"/>
    <w:rsid w:val="003F6F3B"/>
    <w:rsid w:val="003F751A"/>
    <w:rsid w:val="00403F4C"/>
    <w:rsid w:val="00405958"/>
    <w:rsid w:val="004128EA"/>
    <w:rsid w:val="00412994"/>
    <w:rsid w:val="00413A6C"/>
    <w:rsid w:val="00416353"/>
    <w:rsid w:val="00423CC6"/>
    <w:rsid w:val="004362B7"/>
    <w:rsid w:val="00444515"/>
    <w:rsid w:val="00452746"/>
    <w:rsid w:val="00453AC2"/>
    <w:rsid w:val="00463B4E"/>
    <w:rsid w:val="00465B77"/>
    <w:rsid w:val="0047109A"/>
    <w:rsid w:val="00472219"/>
    <w:rsid w:val="0047470D"/>
    <w:rsid w:val="00475E6E"/>
    <w:rsid w:val="00490D5F"/>
    <w:rsid w:val="00493CED"/>
    <w:rsid w:val="0049742F"/>
    <w:rsid w:val="004A0A8E"/>
    <w:rsid w:val="004A2599"/>
    <w:rsid w:val="004A2A89"/>
    <w:rsid w:val="004A4C0A"/>
    <w:rsid w:val="004B5C45"/>
    <w:rsid w:val="004B7720"/>
    <w:rsid w:val="004C16E0"/>
    <w:rsid w:val="004D2388"/>
    <w:rsid w:val="004D352E"/>
    <w:rsid w:val="004D645C"/>
    <w:rsid w:val="004D7477"/>
    <w:rsid w:val="004E63C8"/>
    <w:rsid w:val="004E7A8D"/>
    <w:rsid w:val="004F4C7B"/>
    <w:rsid w:val="00524F8B"/>
    <w:rsid w:val="005304AC"/>
    <w:rsid w:val="00544E37"/>
    <w:rsid w:val="00553660"/>
    <w:rsid w:val="00570BC5"/>
    <w:rsid w:val="00572ED8"/>
    <w:rsid w:val="005802AC"/>
    <w:rsid w:val="00581DA3"/>
    <w:rsid w:val="0058564A"/>
    <w:rsid w:val="0059597A"/>
    <w:rsid w:val="005A5FCB"/>
    <w:rsid w:val="005B12AA"/>
    <w:rsid w:val="005D3054"/>
    <w:rsid w:val="005E50BB"/>
    <w:rsid w:val="005E6FB2"/>
    <w:rsid w:val="00601509"/>
    <w:rsid w:val="00602452"/>
    <w:rsid w:val="00602E59"/>
    <w:rsid w:val="0060768B"/>
    <w:rsid w:val="0060782F"/>
    <w:rsid w:val="0061354A"/>
    <w:rsid w:val="006255D1"/>
    <w:rsid w:val="00627CFE"/>
    <w:rsid w:val="00635504"/>
    <w:rsid w:val="00636AFB"/>
    <w:rsid w:val="00643202"/>
    <w:rsid w:val="0065089F"/>
    <w:rsid w:val="00652326"/>
    <w:rsid w:val="0065400B"/>
    <w:rsid w:val="00662CEA"/>
    <w:rsid w:val="00664E51"/>
    <w:rsid w:val="006659B0"/>
    <w:rsid w:val="006712F1"/>
    <w:rsid w:val="006720CF"/>
    <w:rsid w:val="00673D15"/>
    <w:rsid w:val="00673F34"/>
    <w:rsid w:val="00674426"/>
    <w:rsid w:val="0067601B"/>
    <w:rsid w:val="00682172"/>
    <w:rsid w:val="00685525"/>
    <w:rsid w:val="00687181"/>
    <w:rsid w:val="00694CC3"/>
    <w:rsid w:val="006A6465"/>
    <w:rsid w:val="006A68E2"/>
    <w:rsid w:val="006B558D"/>
    <w:rsid w:val="006B7D2C"/>
    <w:rsid w:val="006C0E3E"/>
    <w:rsid w:val="006C1880"/>
    <w:rsid w:val="006C30D7"/>
    <w:rsid w:val="006C5E78"/>
    <w:rsid w:val="006D02EC"/>
    <w:rsid w:val="006D305B"/>
    <w:rsid w:val="006D4E5F"/>
    <w:rsid w:val="006D57EC"/>
    <w:rsid w:val="006F5ABA"/>
    <w:rsid w:val="0070371E"/>
    <w:rsid w:val="007042A1"/>
    <w:rsid w:val="00706EB0"/>
    <w:rsid w:val="00707535"/>
    <w:rsid w:val="007113C3"/>
    <w:rsid w:val="00715C55"/>
    <w:rsid w:val="00716FAC"/>
    <w:rsid w:val="0072185E"/>
    <w:rsid w:val="00722761"/>
    <w:rsid w:val="00723DED"/>
    <w:rsid w:val="00730A82"/>
    <w:rsid w:val="00730DD6"/>
    <w:rsid w:val="00733AD4"/>
    <w:rsid w:val="00736607"/>
    <w:rsid w:val="0075634D"/>
    <w:rsid w:val="00756E67"/>
    <w:rsid w:val="007637B5"/>
    <w:rsid w:val="0076445C"/>
    <w:rsid w:val="0076445E"/>
    <w:rsid w:val="007805CB"/>
    <w:rsid w:val="00783127"/>
    <w:rsid w:val="00785F56"/>
    <w:rsid w:val="007904C2"/>
    <w:rsid w:val="007925FA"/>
    <w:rsid w:val="00794A24"/>
    <w:rsid w:val="00796B89"/>
    <w:rsid w:val="007A5F5C"/>
    <w:rsid w:val="007A6037"/>
    <w:rsid w:val="007A6875"/>
    <w:rsid w:val="007A6F06"/>
    <w:rsid w:val="007B01EC"/>
    <w:rsid w:val="007C5E28"/>
    <w:rsid w:val="007D25FE"/>
    <w:rsid w:val="007D2B64"/>
    <w:rsid w:val="007D4A28"/>
    <w:rsid w:val="007D5C18"/>
    <w:rsid w:val="007D691F"/>
    <w:rsid w:val="007D72AE"/>
    <w:rsid w:val="008001C8"/>
    <w:rsid w:val="0081101D"/>
    <w:rsid w:val="00813B26"/>
    <w:rsid w:val="00815764"/>
    <w:rsid w:val="008208F8"/>
    <w:rsid w:val="008225AE"/>
    <w:rsid w:val="008252B1"/>
    <w:rsid w:val="0083205F"/>
    <w:rsid w:val="008409A4"/>
    <w:rsid w:val="00841774"/>
    <w:rsid w:val="0084512E"/>
    <w:rsid w:val="008577B7"/>
    <w:rsid w:val="00861B94"/>
    <w:rsid w:val="00862B7B"/>
    <w:rsid w:val="00863627"/>
    <w:rsid w:val="00866ADF"/>
    <w:rsid w:val="00877F00"/>
    <w:rsid w:val="008817F2"/>
    <w:rsid w:val="008821CA"/>
    <w:rsid w:val="00890F42"/>
    <w:rsid w:val="008A00BC"/>
    <w:rsid w:val="008A03B4"/>
    <w:rsid w:val="008B23BB"/>
    <w:rsid w:val="008C7846"/>
    <w:rsid w:val="008D376E"/>
    <w:rsid w:val="008D7137"/>
    <w:rsid w:val="008D714D"/>
    <w:rsid w:val="008E4240"/>
    <w:rsid w:val="008E771B"/>
    <w:rsid w:val="008F017C"/>
    <w:rsid w:val="008F021E"/>
    <w:rsid w:val="008F09EA"/>
    <w:rsid w:val="00907773"/>
    <w:rsid w:val="0091590C"/>
    <w:rsid w:val="00932D76"/>
    <w:rsid w:val="009400F3"/>
    <w:rsid w:val="00947BF3"/>
    <w:rsid w:val="009501E8"/>
    <w:rsid w:val="00952714"/>
    <w:rsid w:val="009539C2"/>
    <w:rsid w:val="00953F74"/>
    <w:rsid w:val="00956F67"/>
    <w:rsid w:val="0096253F"/>
    <w:rsid w:val="00977F51"/>
    <w:rsid w:val="00983AAA"/>
    <w:rsid w:val="009852DD"/>
    <w:rsid w:val="00987977"/>
    <w:rsid w:val="00994220"/>
    <w:rsid w:val="009A0A22"/>
    <w:rsid w:val="009A3363"/>
    <w:rsid w:val="009A34F7"/>
    <w:rsid w:val="009A4C24"/>
    <w:rsid w:val="009A7688"/>
    <w:rsid w:val="009A769C"/>
    <w:rsid w:val="009A7E10"/>
    <w:rsid w:val="009B3EAA"/>
    <w:rsid w:val="009B495E"/>
    <w:rsid w:val="009B65F3"/>
    <w:rsid w:val="009D2243"/>
    <w:rsid w:val="009F08EA"/>
    <w:rsid w:val="009F125D"/>
    <w:rsid w:val="009F3700"/>
    <w:rsid w:val="009F73C2"/>
    <w:rsid w:val="00A0256C"/>
    <w:rsid w:val="00A04F30"/>
    <w:rsid w:val="00A102D5"/>
    <w:rsid w:val="00A163BC"/>
    <w:rsid w:val="00A1750E"/>
    <w:rsid w:val="00A2058F"/>
    <w:rsid w:val="00A22E70"/>
    <w:rsid w:val="00A24F6C"/>
    <w:rsid w:val="00A25856"/>
    <w:rsid w:val="00A25BCD"/>
    <w:rsid w:val="00A266BE"/>
    <w:rsid w:val="00A34979"/>
    <w:rsid w:val="00A3661F"/>
    <w:rsid w:val="00A42F82"/>
    <w:rsid w:val="00A43E6C"/>
    <w:rsid w:val="00A62FE2"/>
    <w:rsid w:val="00A80C02"/>
    <w:rsid w:val="00A91F17"/>
    <w:rsid w:val="00AB3BD4"/>
    <w:rsid w:val="00AC497D"/>
    <w:rsid w:val="00AC65DC"/>
    <w:rsid w:val="00AD2D9D"/>
    <w:rsid w:val="00AE439F"/>
    <w:rsid w:val="00AF0758"/>
    <w:rsid w:val="00AF21E5"/>
    <w:rsid w:val="00B03209"/>
    <w:rsid w:val="00B05F5F"/>
    <w:rsid w:val="00B10A39"/>
    <w:rsid w:val="00B24669"/>
    <w:rsid w:val="00B45069"/>
    <w:rsid w:val="00B4754A"/>
    <w:rsid w:val="00B5371D"/>
    <w:rsid w:val="00B53FB6"/>
    <w:rsid w:val="00B54203"/>
    <w:rsid w:val="00B61B3D"/>
    <w:rsid w:val="00B6660F"/>
    <w:rsid w:val="00B73C80"/>
    <w:rsid w:val="00B81E71"/>
    <w:rsid w:val="00B837E4"/>
    <w:rsid w:val="00B8383A"/>
    <w:rsid w:val="00B843CF"/>
    <w:rsid w:val="00B87082"/>
    <w:rsid w:val="00B921CA"/>
    <w:rsid w:val="00B950DF"/>
    <w:rsid w:val="00B96055"/>
    <w:rsid w:val="00BA5383"/>
    <w:rsid w:val="00BB1A3E"/>
    <w:rsid w:val="00BB56B9"/>
    <w:rsid w:val="00BB5B63"/>
    <w:rsid w:val="00BC3E1E"/>
    <w:rsid w:val="00BC5020"/>
    <w:rsid w:val="00BC73B1"/>
    <w:rsid w:val="00BD0F02"/>
    <w:rsid w:val="00BE07F9"/>
    <w:rsid w:val="00BE0813"/>
    <w:rsid w:val="00BE3EC0"/>
    <w:rsid w:val="00BF06E3"/>
    <w:rsid w:val="00BF6167"/>
    <w:rsid w:val="00C03BF2"/>
    <w:rsid w:val="00C03DE5"/>
    <w:rsid w:val="00C057B3"/>
    <w:rsid w:val="00C243E8"/>
    <w:rsid w:val="00C2466E"/>
    <w:rsid w:val="00C34016"/>
    <w:rsid w:val="00C40F27"/>
    <w:rsid w:val="00C45C2C"/>
    <w:rsid w:val="00C645D9"/>
    <w:rsid w:val="00C65D1E"/>
    <w:rsid w:val="00C660F0"/>
    <w:rsid w:val="00C713FA"/>
    <w:rsid w:val="00C93F51"/>
    <w:rsid w:val="00C94537"/>
    <w:rsid w:val="00CA2B2E"/>
    <w:rsid w:val="00CB47B4"/>
    <w:rsid w:val="00CB6B4A"/>
    <w:rsid w:val="00CC0848"/>
    <w:rsid w:val="00CC437E"/>
    <w:rsid w:val="00CC4C21"/>
    <w:rsid w:val="00CC7975"/>
    <w:rsid w:val="00CD09C7"/>
    <w:rsid w:val="00CD33DA"/>
    <w:rsid w:val="00CD4154"/>
    <w:rsid w:val="00CD67A5"/>
    <w:rsid w:val="00CD7565"/>
    <w:rsid w:val="00D01A26"/>
    <w:rsid w:val="00D05100"/>
    <w:rsid w:val="00D2005C"/>
    <w:rsid w:val="00D22F07"/>
    <w:rsid w:val="00D23076"/>
    <w:rsid w:val="00D31F1B"/>
    <w:rsid w:val="00D33DBF"/>
    <w:rsid w:val="00D34FD9"/>
    <w:rsid w:val="00D44341"/>
    <w:rsid w:val="00D54252"/>
    <w:rsid w:val="00D63092"/>
    <w:rsid w:val="00D63708"/>
    <w:rsid w:val="00D710E7"/>
    <w:rsid w:val="00D75FFC"/>
    <w:rsid w:val="00D81333"/>
    <w:rsid w:val="00D8338F"/>
    <w:rsid w:val="00D94D04"/>
    <w:rsid w:val="00DA28D0"/>
    <w:rsid w:val="00DC5C7F"/>
    <w:rsid w:val="00DD0013"/>
    <w:rsid w:val="00DD0855"/>
    <w:rsid w:val="00DD1261"/>
    <w:rsid w:val="00DD1F51"/>
    <w:rsid w:val="00DF6C12"/>
    <w:rsid w:val="00DF78C2"/>
    <w:rsid w:val="00E11829"/>
    <w:rsid w:val="00E1575C"/>
    <w:rsid w:val="00E1659A"/>
    <w:rsid w:val="00E32520"/>
    <w:rsid w:val="00E409F3"/>
    <w:rsid w:val="00E5501F"/>
    <w:rsid w:val="00E65792"/>
    <w:rsid w:val="00E65F6A"/>
    <w:rsid w:val="00E74A43"/>
    <w:rsid w:val="00E80C7F"/>
    <w:rsid w:val="00E82C79"/>
    <w:rsid w:val="00E868F3"/>
    <w:rsid w:val="00E90267"/>
    <w:rsid w:val="00E9769A"/>
    <w:rsid w:val="00EA4875"/>
    <w:rsid w:val="00EA6048"/>
    <w:rsid w:val="00EA76DC"/>
    <w:rsid w:val="00EB7E00"/>
    <w:rsid w:val="00EC0DF2"/>
    <w:rsid w:val="00EC2665"/>
    <w:rsid w:val="00ED0BFC"/>
    <w:rsid w:val="00EE0020"/>
    <w:rsid w:val="00EE033B"/>
    <w:rsid w:val="00EE2F90"/>
    <w:rsid w:val="00EF02CC"/>
    <w:rsid w:val="00EF13E2"/>
    <w:rsid w:val="00EF6D79"/>
    <w:rsid w:val="00F0283C"/>
    <w:rsid w:val="00F11205"/>
    <w:rsid w:val="00F1782C"/>
    <w:rsid w:val="00F24182"/>
    <w:rsid w:val="00F33B83"/>
    <w:rsid w:val="00F35190"/>
    <w:rsid w:val="00F35EE5"/>
    <w:rsid w:val="00F360C5"/>
    <w:rsid w:val="00F43258"/>
    <w:rsid w:val="00F5049E"/>
    <w:rsid w:val="00F54152"/>
    <w:rsid w:val="00F5494C"/>
    <w:rsid w:val="00F6715B"/>
    <w:rsid w:val="00F67C42"/>
    <w:rsid w:val="00F75B9C"/>
    <w:rsid w:val="00F900E0"/>
    <w:rsid w:val="00F93864"/>
    <w:rsid w:val="00FA3EDD"/>
    <w:rsid w:val="00FB2DA9"/>
    <w:rsid w:val="00FC174B"/>
    <w:rsid w:val="00FC4304"/>
    <w:rsid w:val="00FC7FD8"/>
    <w:rsid w:val="00FD1BC6"/>
    <w:rsid w:val="00FD3E30"/>
    <w:rsid w:val="00FD4B0D"/>
    <w:rsid w:val="00FD7157"/>
    <w:rsid w:val="00FE3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F0A07863-FB15-41A8-BC2C-00CDC2D2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hanging="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paragraph" w:styleId="EndnoteText">
    <w:name w:val="endnote text"/>
    <w:basedOn w:val="Normal"/>
    <w:link w:val="EndnoteTextChar"/>
    <w:uiPriority w:val="99"/>
    <w:semiHidden/>
    <w:unhideWhenUsed/>
    <w:rsid w:val="00FA3E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3EDD"/>
    <w:rPr>
      <w:sz w:val="20"/>
      <w:szCs w:val="20"/>
      <w:lang w:val="en-GB"/>
    </w:rPr>
  </w:style>
  <w:style w:type="character" w:styleId="EndnoteReference">
    <w:name w:val="endnote reference"/>
    <w:basedOn w:val="DefaultParagraphFont"/>
    <w:uiPriority w:val="99"/>
    <w:semiHidden/>
    <w:unhideWhenUsed/>
    <w:rsid w:val="00FA3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15EA-986B-46F9-BD25-2C9885F0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Marie-Claire Julie</cp:lastModifiedBy>
  <cp:revision>8</cp:revision>
  <cp:lastPrinted>2021-09-03T03:49:00Z</cp:lastPrinted>
  <dcterms:created xsi:type="dcterms:W3CDTF">2022-04-19T10:41:00Z</dcterms:created>
  <dcterms:modified xsi:type="dcterms:W3CDTF">2022-04-29T05:41:00Z</dcterms:modified>
</cp:coreProperties>
</file>