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5DE8B" w14:textId="77777777" w:rsidR="001D33D2" w:rsidRPr="001B5017" w:rsidRDefault="00AE25A3" w:rsidP="00FE6657">
      <w:pPr>
        <w:tabs>
          <w:tab w:val="left" w:pos="4092"/>
        </w:tabs>
        <w:spacing w:after="0" w:line="480" w:lineRule="auto"/>
        <w:jc w:val="center"/>
        <w:rPr>
          <w:rFonts w:ascii="Times New Roman" w:hAnsi="Times New Roman" w:cs="Times New Roman"/>
          <w:b/>
          <w:sz w:val="24"/>
          <w:szCs w:val="24"/>
        </w:rPr>
      </w:pPr>
      <w:r w:rsidRPr="001B5017">
        <w:rPr>
          <w:rFonts w:ascii="Times New Roman" w:hAnsi="Times New Roman" w:cs="Times New Roman"/>
          <w:b/>
          <w:sz w:val="24"/>
          <w:szCs w:val="24"/>
        </w:rPr>
        <w:t>IN THE SEYCHELLES</w:t>
      </w:r>
      <w:r w:rsidR="001D33D2" w:rsidRPr="001B5017">
        <w:rPr>
          <w:rFonts w:ascii="Times New Roman" w:hAnsi="Times New Roman" w:cs="Times New Roman"/>
          <w:b/>
          <w:sz w:val="24"/>
          <w:szCs w:val="24"/>
        </w:rPr>
        <w:t xml:space="preserve"> COURT OF </w:t>
      </w:r>
      <w:r w:rsidRPr="001B5017">
        <w:rPr>
          <w:rFonts w:ascii="Times New Roman" w:hAnsi="Times New Roman" w:cs="Times New Roman"/>
          <w:b/>
          <w:sz w:val="24"/>
          <w:szCs w:val="24"/>
        </w:rPr>
        <w:t>A</w:t>
      </w:r>
      <w:r w:rsidR="00DB1C6C" w:rsidRPr="001B5017">
        <w:rPr>
          <w:rFonts w:ascii="Times New Roman" w:hAnsi="Times New Roman" w:cs="Times New Roman"/>
          <w:b/>
          <w:sz w:val="24"/>
          <w:szCs w:val="24"/>
        </w:rPr>
        <w:t>P</w:t>
      </w:r>
      <w:r w:rsidRPr="001B5017">
        <w:rPr>
          <w:rFonts w:ascii="Times New Roman" w:hAnsi="Times New Roman" w:cs="Times New Roman"/>
          <w:b/>
          <w:sz w:val="24"/>
          <w:szCs w:val="24"/>
        </w:rPr>
        <w:t>PEAL</w:t>
      </w:r>
    </w:p>
    <w:p w14:paraId="21F7724F" w14:textId="77777777" w:rsidR="009539C2" w:rsidRPr="001B5017"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2CE9052F" w14:textId="77777777" w:rsidR="00ED0BFC" w:rsidRPr="001B5017" w:rsidRDefault="00ED0BFC" w:rsidP="00214DB4">
      <w:pPr>
        <w:spacing w:after="0" w:line="240" w:lineRule="auto"/>
        <w:ind w:left="5580"/>
        <w:rPr>
          <w:rFonts w:ascii="Times New Roman" w:hAnsi="Times New Roman" w:cs="Times New Roman"/>
          <w:b/>
          <w:sz w:val="24"/>
          <w:szCs w:val="24"/>
          <w:u w:val="single"/>
        </w:rPr>
      </w:pPr>
      <w:r w:rsidRPr="001B5017">
        <w:rPr>
          <w:rFonts w:ascii="Times New Roman" w:hAnsi="Times New Roman" w:cs="Times New Roman"/>
          <w:b/>
          <w:sz w:val="24"/>
          <w:szCs w:val="24"/>
          <w:u w:val="single"/>
        </w:rPr>
        <w:t>Reportable</w:t>
      </w:r>
    </w:p>
    <w:p w14:paraId="0278B6AB" w14:textId="506BE560" w:rsidR="00AE25A3" w:rsidRPr="001B5017" w:rsidRDefault="00BC73B1" w:rsidP="00214DB4">
      <w:pPr>
        <w:spacing w:after="0" w:line="240" w:lineRule="auto"/>
        <w:ind w:left="5580"/>
        <w:rPr>
          <w:rFonts w:ascii="Times New Roman" w:hAnsi="Times New Roman" w:cs="Times New Roman"/>
          <w:sz w:val="24"/>
          <w:szCs w:val="24"/>
        </w:rPr>
      </w:pPr>
      <w:r w:rsidRPr="001B5017">
        <w:rPr>
          <w:rFonts w:ascii="Times New Roman" w:hAnsi="Times New Roman" w:cs="Times New Roman"/>
          <w:sz w:val="24"/>
          <w:szCs w:val="24"/>
        </w:rPr>
        <w:t>[20</w:t>
      </w:r>
      <w:r w:rsidR="00AE25A3" w:rsidRPr="001B5017">
        <w:rPr>
          <w:rFonts w:ascii="Times New Roman" w:hAnsi="Times New Roman" w:cs="Times New Roman"/>
          <w:sz w:val="24"/>
          <w:szCs w:val="24"/>
        </w:rPr>
        <w:t>2</w:t>
      </w:r>
      <w:r w:rsidR="00696D04">
        <w:rPr>
          <w:rFonts w:ascii="Times New Roman" w:hAnsi="Times New Roman" w:cs="Times New Roman"/>
          <w:sz w:val="24"/>
          <w:szCs w:val="24"/>
        </w:rPr>
        <w:t>2</w:t>
      </w:r>
      <w:r w:rsidR="00AE25A3" w:rsidRPr="001B5017">
        <w:rPr>
          <w:rFonts w:ascii="Times New Roman" w:hAnsi="Times New Roman" w:cs="Times New Roman"/>
          <w:sz w:val="24"/>
          <w:szCs w:val="24"/>
        </w:rPr>
        <w:t>]</w:t>
      </w:r>
      <w:r w:rsidRPr="001B5017">
        <w:rPr>
          <w:rFonts w:ascii="Times New Roman" w:hAnsi="Times New Roman" w:cs="Times New Roman"/>
          <w:sz w:val="24"/>
          <w:szCs w:val="24"/>
        </w:rPr>
        <w:t xml:space="preserve"> SC</w:t>
      </w:r>
      <w:r w:rsidR="00AE25A3" w:rsidRPr="001B5017">
        <w:rPr>
          <w:rFonts w:ascii="Times New Roman" w:hAnsi="Times New Roman" w:cs="Times New Roman"/>
          <w:sz w:val="24"/>
          <w:szCs w:val="24"/>
        </w:rPr>
        <w:t xml:space="preserve">CA </w:t>
      </w:r>
      <w:r w:rsidR="00696D04">
        <w:rPr>
          <w:rFonts w:ascii="Times New Roman" w:hAnsi="Times New Roman" w:cs="Times New Roman"/>
          <w:sz w:val="24"/>
          <w:szCs w:val="24"/>
        </w:rPr>
        <w:t>2</w:t>
      </w:r>
      <w:r w:rsidR="008B3BC5" w:rsidRPr="001B5017">
        <w:rPr>
          <w:rFonts w:ascii="Times New Roman" w:hAnsi="Times New Roman" w:cs="Times New Roman"/>
          <w:sz w:val="24"/>
          <w:szCs w:val="24"/>
        </w:rPr>
        <w:t xml:space="preserve">     </w:t>
      </w:r>
      <w:r w:rsidR="006A55D1" w:rsidRPr="001B5017">
        <w:rPr>
          <w:rFonts w:ascii="Times New Roman" w:hAnsi="Times New Roman" w:cs="Times New Roman"/>
          <w:sz w:val="24"/>
          <w:szCs w:val="24"/>
        </w:rPr>
        <w:t>(</w:t>
      </w:r>
      <w:r w:rsidR="00F858F9">
        <w:rPr>
          <w:rFonts w:ascii="Times New Roman" w:hAnsi="Times New Roman" w:cs="Times New Roman"/>
          <w:sz w:val="24"/>
          <w:szCs w:val="24"/>
        </w:rPr>
        <w:t>31 January</w:t>
      </w:r>
      <w:r w:rsidR="00A72D3A" w:rsidRPr="001B5017">
        <w:rPr>
          <w:rFonts w:ascii="Times New Roman" w:hAnsi="Times New Roman" w:cs="Times New Roman"/>
          <w:sz w:val="24"/>
          <w:szCs w:val="24"/>
        </w:rPr>
        <w:t xml:space="preserve"> 202</w:t>
      </w:r>
      <w:r w:rsidR="00F858F9">
        <w:rPr>
          <w:rFonts w:ascii="Times New Roman" w:hAnsi="Times New Roman" w:cs="Times New Roman"/>
          <w:sz w:val="24"/>
          <w:szCs w:val="24"/>
        </w:rPr>
        <w:t>2</w:t>
      </w:r>
      <w:r w:rsidR="006A55D1" w:rsidRPr="001B5017">
        <w:rPr>
          <w:rFonts w:ascii="Times New Roman" w:hAnsi="Times New Roman" w:cs="Times New Roman"/>
          <w:sz w:val="24"/>
          <w:szCs w:val="24"/>
        </w:rPr>
        <w:t>)</w:t>
      </w:r>
      <w:r w:rsidR="00C66776" w:rsidRPr="001B5017">
        <w:rPr>
          <w:rFonts w:ascii="Times New Roman" w:hAnsi="Times New Roman" w:cs="Times New Roman"/>
          <w:sz w:val="24"/>
          <w:szCs w:val="24"/>
        </w:rPr>
        <w:t xml:space="preserve"> </w:t>
      </w:r>
    </w:p>
    <w:p w14:paraId="6C046262" w14:textId="1DEC5218" w:rsidR="00AE25A3" w:rsidRPr="001B5017" w:rsidRDefault="00C66776" w:rsidP="009F35F6">
      <w:pPr>
        <w:spacing w:after="0" w:line="240" w:lineRule="auto"/>
        <w:ind w:left="5580"/>
        <w:rPr>
          <w:rFonts w:ascii="Times New Roman" w:hAnsi="Times New Roman" w:cs="Times New Roman"/>
          <w:sz w:val="24"/>
          <w:szCs w:val="24"/>
        </w:rPr>
      </w:pPr>
      <w:r w:rsidRPr="001B5017">
        <w:rPr>
          <w:rFonts w:ascii="Times New Roman" w:hAnsi="Times New Roman" w:cs="Times New Roman"/>
          <w:sz w:val="24"/>
          <w:szCs w:val="24"/>
        </w:rPr>
        <w:t>SCA</w:t>
      </w:r>
      <w:r w:rsidR="009F35F6" w:rsidRPr="001B5017">
        <w:rPr>
          <w:rFonts w:ascii="Times New Roman" w:hAnsi="Times New Roman" w:cs="Times New Roman"/>
          <w:sz w:val="24"/>
          <w:szCs w:val="24"/>
        </w:rPr>
        <w:t xml:space="preserve"> </w:t>
      </w:r>
      <w:r w:rsidR="00006AA2" w:rsidRPr="001B5017">
        <w:rPr>
          <w:rFonts w:ascii="Times New Roman" w:hAnsi="Times New Roman" w:cs="Times New Roman"/>
          <w:sz w:val="24"/>
          <w:szCs w:val="24"/>
        </w:rPr>
        <w:t>3</w:t>
      </w:r>
      <w:r w:rsidR="00CF7B94" w:rsidRPr="001B5017">
        <w:rPr>
          <w:rFonts w:ascii="Times New Roman" w:hAnsi="Times New Roman" w:cs="Times New Roman"/>
          <w:sz w:val="24"/>
          <w:szCs w:val="24"/>
        </w:rPr>
        <w:t>0</w:t>
      </w:r>
      <w:r w:rsidRPr="001B5017">
        <w:rPr>
          <w:rFonts w:ascii="Times New Roman" w:hAnsi="Times New Roman" w:cs="Times New Roman"/>
          <w:sz w:val="24"/>
          <w:szCs w:val="24"/>
        </w:rPr>
        <w:t>/</w:t>
      </w:r>
      <w:r w:rsidR="009F35F6" w:rsidRPr="001B5017">
        <w:rPr>
          <w:rFonts w:ascii="Times New Roman" w:hAnsi="Times New Roman" w:cs="Times New Roman"/>
          <w:sz w:val="24"/>
          <w:szCs w:val="24"/>
        </w:rPr>
        <w:t>2</w:t>
      </w:r>
      <w:r w:rsidR="006A55D1" w:rsidRPr="001B5017">
        <w:rPr>
          <w:rFonts w:ascii="Times New Roman" w:hAnsi="Times New Roman" w:cs="Times New Roman"/>
          <w:sz w:val="24"/>
          <w:szCs w:val="24"/>
        </w:rPr>
        <w:t>0</w:t>
      </w:r>
      <w:r w:rsidR="00A72D3A" w:rsidRPr="001B5017">
        <w:rPr>
          <w:rFonts w:ascii="Times New Roman" w:hAnsi="Times New Roman" w:cs="Times New Roman"/>
          <w:sz w:val="24"/>
          <w:szCs w:val="24"/>
        </w:rPr>
        <w:t>1</w:t>
      </w:r>
      <w:r w:rsidR="00006AA2" w:rsidRPr="001B5017">
        <w:rPr>
          <w:rFonts w:ascii="Times New Roman" w:hAnsi="Times New Roman" w:cs="Times New Roman"/>
          <w:sz w:val="24"/>
          <w:szCs w:val="24"/>
        </w:rPr>
        <w:t>9</w:t>
      </w:r>
      <w:r w:rsidR="009F35F6" w:rsidRPr="001B5017">
        <w:rPr>
          <w:rFonts w:ascii="Times New Roman" w:hAnsi="Times New Roman" w:cs="Times New Roman"/>
          <w:sz w:val="24"/>
          <w:szCs w:val="24"/>
        </w:rPr>
        <w:t xml:space="preserve"> </w:t>
      </w:r>
      <w:r w:rsidR="00CF7B94" w:rsidRPr="001B5017">
        <w:rPr>
          <w:rFonts w:ascii="Times New Roman" w:hAnsi="Times New Roman" w:cs="Times New Roman"/>
          <w:sz w:val="24"/>
          <w:szCs w:val="24"/>
        </w:rPr>
        <w:t>and SCA 36/2019 (Consolidated)</w:t>
      </w:r>
    </w:p>
    <w:p w14:paraId="7F3F4681" w14:textId="44A1D823" w:rsidR="002E2AE3" w:rsidRPr="001B5017" w:rsidRDefault="006A55D1" w:rsidP="00FE6657">
      <w:pPr>
        <w:spacing w:after="0" w:line="240" w:lineRule="auto"/>
        <w:ind w:left="5580"/>
        <w:rPr>
          <w:rFonts w:ascii="Times New Roman" w:hAnsi="Times New Roman" w:cs="Times New Roman"/>
          <w:sz w:val="24"/>
          <w:szCs w:val="24"/>
        </w:rPr>
      </w:pPr>
      <w:r w:rsidRPr="001B5017">
        <w:rPr>
          <w:rFonts w:ascii="Times New Roman" w:hAnsi="Times New Roman" w:cs="Times New Roman"/>
          <w:sz w:val="24"/>
          <w:szCs w:val="24"/>
        </w:rPr>
        <w:t>Appeal from</w:t>
      </w:r>
      <w:r w:rsidR="00C66776" w:rsidRPr="001B5017">
        <w:rPr>
          <w:rFonts w:ascii="Times New Roman" w:hAnsi="Times New Roman" w:cs="Times New Roman"/>
          <w:sz w:val="24"/>
          <w:szCs w:val="24"/>
        </w:rPr>
        <w:t xml:space="preserve"> C</w:t>
      </w:r>
      <w:r w:rsidR="00623933" w:rsidRPr="001B5017">
        <w:rPr>
          <w:rFonts w:ascii="Times New Roman" w:hAnsi="Times New Roman" w:cs="Times New Roman"/>
          <w:sz w:val="24"/>
          <w:szCs w:val="24"/>
        </w:rPr>
        <w:t xml:space="preserve">S </w:t>
      </w:r>
      <w:r w:rsidR="00CF7B94" w:rsidRPr="001B5017">
        <w:rPr>
          <w:rFonts w:ascii="Times New Roman" w:hAnsi="Times New Roman" w:cs="Times New Roman"/>
          <w:sz w:val="24"/>
          <w:szCs w:val="24"/>
        </w:rPr>
        <w:t>114/</w:t>
      </w:r>
      <w:r w:rsidR="00C66776" w:rsidRPr="001B5017">
        <w:rPr>
          <w:rFonts w:ascii="Times New Roman" w:hAnsi="Times New Roman" w:cs="Times New Roman"/>
          <w:sz w:val="24"/>
          <w:szCs w:val="24"/>
        </w:rPr>
        <w:t>201</w:t>
      </w:r>
      <w:r w:rsidR="00CF7B94" w:rsidRPr="001B5017">
        <w:rPr>
          <w:rFonts w:ascii="Times New Roman" w:hAnsi="Times New Roman" w:cs="Times New Roman"/>
          <w:sz w:val="24"/>
          <w:szCs w:val="24"/>
        </w:rPr>
        <w:t>7</w:t>
      </w:r>
      <w:r w:rsidR="00AE25A3" w:rsidRPr="001B5017">
        <w:rPr>
          <w:rFonts w:ascii="Times New Roman" w:hAnsi="Times New Roman" w:cs="Times New Roman"/>
          <w:sz w:val="24"/>
          <w:szCs w:val="24"/>
        </w:rPr>
        <w:t>)</w:t>
      </w:r>
      <w:r w:rsidR="00B328F1" w:rsidRPr="001B5017">
        <w:rPr>
          <w:rFonts w:ascii="Times New Roman" w:hAnsi="Times New Roman" w:cs="Times New Roman"/>
          <w:sz w:val="24"/>
          <w:szCs w:val="24"/>
        </w:rPr>
        <w:t xml:space="preserve"> </w:t>
      </w:r>
      <w:r w:rsidRPr="001B5017">
        <w:rPr>
          <w:rFonts w:ascii="Times New Roman" w:hAnsi="Times New Roman" w:cs="Times New Roman"/>
          <w:sz w:val="24"/>
          <w:szCs w:val="24"/>
        </w:rPr>
        <w:t>[201</w:t>
      </w:r>
      <w:r w:rsidR="00D65DC8" w:rsidRPr="001B5017">
        <w:rPr>
          <w:rFonts w:ascii="Times New Roman" w:hAnsi="Times New Roman" w:cs="Times New Roman"/>
          <w:sz w:val="24"/>
          <w:szCs w:val="24"/>
        </w:rPr>
        <w:t>9</w:t>
      </w:r>
      <w:r w:rsidRPr="001B5017">
        <w:rPr>
          <w:rFonts w:ascii="Times New Roman" w:hAnsi="Times New Roman" w:cs="Times New Roman"/>
          <w:sz w:val="24"/>
          <w:szCs w:val="24"/>
        </w:rPr>
        <w:t xml:space="preserve">] </w:t>
      </w:r>
      <w:r w:rsidR="00B328F1" w:rsidRPr="001B5017">
        <w:rPr>
          <w:rFonts w:ascii="Times New Roman" w:hAnsi="Times New Roman" w:cs="Times New Roman"/>
          <w:sz w:val="24"/>
          <w:szCs w:val="24"/>
        </w:rPr>
        <w:t xml:space="preserve">SCSC </w:t>
      </w:r>
      <w:r w:rsidR="00CF7B94" w:rsidRPr="001B5017">
        <w:rPr>
          <w:rFonts w:ascii="Times New Roman" w:hAnsi="Times New Roman" w:cs="Times New Roman"/>
          <w:sz w:val="24"/>
          <w:szCs w:val="24"/>
        </w:rPr>
        <w:t>421</w:t>
      </w:r>
    </w:p>
    <w:p w14:paraId="3980D234" w14:textId="77777777" w:rsidR="006A68E2" w:rsidRPr="001B5017" w:rsidRDefault="006A68E2" w:rsidP="00214DB4">
      <w:pPr>
        <w:spacing w:after="0" w:line="240" w:lineRule="auto"/>
        <w:ind w:left="5580"/>
        <w:rPr>
          <w:rFonts w:ascii="Times New Roman" w:hAnsi="Times New Roman" w:cs="Times New Roman"/>
          <w:sz w:val="24"/>
          <w:szCs w:val="24"/>
        </w:rPr>
      </w:pPr>
    </w:p>
    <w:p w14:paraId="1E0CDACD" w14:textId="77777777" w:rsidR="002D4EB8" w:rsidRPr="001B5017" w:rsidRDefault="002D4EB8" w:rsidP="00214DB4">
      <w:pPr>
        <w:tabs>
          <w:tab w:val="left" w:pos="540"/>
          <w:tab w:val="left" w:pos="4092"/>
        </w:tabs>
        <w:spacing w:after="0" w:line="240" w:lineRule="auto"/>
        <w:rPr>
          <w:rFonts w:ascii="Times New Roman" w:hAnsi="Times New Roman" w:cs="Times New Roman"/>
          <w:sz w:val="24"/>
          <w:szCs w:val="24"/>
        </w:rPr>
      </w:pPr>
      <w:r w:rsidRPr="001B5017">
        <w:rPr>
          <w:rFonts w:ascii="Times New Roman" w:hAnsi="Times New Roman" w:cs="Times New Roman"/>
          <w:sz w:val="24"/>
          <w:szCs w:val="24"/>
        </w:rPr>
        <w:t>In the matter between</w:t>
      </w:r>
      <w:r w:rsidR="008577B7" w:rsidRPr="001B5017">
        <w:rPr>
          <w:rFonts w:ascii="Times New Roman" w:hAnsi="Times New Roman" w:cs="Times New Roman"/>
          <w:sz w:val="24"/>
          <w:szCs w:val="24"/>
        </w:rPr>
        <w:t xml:space="preserve"> </w:t>
      </w:r>
    </w:p>
    <w:p w14:paraId="6E32B001" w14:textId="47665674" w:rsidR="002E2AE3" w:rsidRPr="001B5017" w:rsidRDefault="00CF7B94" w:rsidP="00214DB4">
      <w:pPr>
        <w:pStyle w:val="Partynames"/>
      </w:pPr>
      <w:r w:rsidRPr="001B5017">
        <w:t>SUZANNE MUSSARD JEAN-BAPTISTE</w:t>
      </w:r>
      <w:r w:rsidRPr="001B5017">
        <w:tab/>
      </w:r>
      <w:r w:rsidR="00AE25A3" w:rsidRPr="001B5017">
        <w:t>App</w:t>
      </w:r>
      <w:r w:rsidR="00B328F1" w:rsidRPr="001B5017">
        <w:t>ellant</w:t>
      </w:r>
    </w:p>
    <w:p w14:paraId="299705C9" w14:textId="391D9FFA" w:rsidR="002E2AE3" w:rsidRPr="001B5017" w:rsidRDefault="002E2AE3" w:rsidP="00214DB4">
      <w:pPr>
        <w:pStyle w:val="Attorneysnames"/>
      </w:pPr>
      <w:r w:rsidRPr="001B5017">
        <w:t>(</w:t>
      </w:r>
      <w:proofErr w:type="gramStart"/>
      <w:r w:rsidRPr="001B5017">
        <w:t>rep</w:t>
      </w:r>
      <w:proofErr w:type="gramEnd"/>
      <w:r w:rsidRPr="001B5017">
        <w:t>. by</w:t>
      </w:r>
      <w:r w:rsidR="00C66776" w:rsidRPr="001B5017">
        <w:t xml:space="preserve"> </w:t>
      </w:r>
      <w:r w:rsidR="00CF7B94" w:rsidRPr="001B5017">
        <w:t>Basil Hoareau</w:t>
      </w:r>
      <w:r w:rsidR="003814FD" w:rsidRPr="001B5017">
        <w:t>)</w:t>
      </w:r>
      <w:r w:rsidR="0070371E" w:rsidRPr="001B5017">
        <w:t xml:space="preserve"> </w:t>
      </w:r>
    </w:p>
    <w:p w14:paraId="21C5A765" w14:textId="77777777" w:rsidR="00380619" w:rsidRPr="001B5017"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36B38A16" w14:textId="19EB1AB4" w:rsidR="009539C2" w:rsidRPr="001B5017" w:rsidRDefault="00CF7B94" w:rsidP="00214DB4">
      <w:pPr>
        <w:tabs>
          <w:tab w:val="left" w:pos="540"/>
          <w:tab w:val="left" w:pos="4092"/>
          <w:tab w:val="left" w:pos="5580"/>
        </w:tabs>
        <w:spacing w:after="0" w:line="240" w:lineRule="auto"/>
        <w:rPr>
          <w:rFonts w:ascii="Times New Roman" w:hAnsi="Times New Roman" w:cs="Times New Roman"/>
          <w:sz w:val="24"/>
          <w:szCs w:val="24"/>
        </w:rPr>
      </w:pPr>
      <w:r w:rsidRPr="001B5017">
        <w:rPr>
          <w:rFonts w:ascii="Times New Roman" w:hAnsi="Times New Roman" w:cs="Times New Roman"/>
          <w:sz w:val="24"/>
          <w:szCs w:val="24"/>
        </w:rPr>
        <w:t>A</w:t>
      </w:r>
      <w:r w:rsidR="002D4EB8" w:rsidRPr="001B5017">
        <w:rPr>
          <w:rFonts w:ascii="Times New Roman" w:hAnsi="Times New Roman" w:cs="Times New Roman"/>
          <w:sz w:val="24"/>
          <w:szCs w:val="24"/>
        </w:rPr>
        <w:t>nd</w:t>
      </w:r>
    </w:p>
    <w:p w14:paraId="2ED5E964" w14:textId="77777777" w:rsidR="00006AA2" w:rsidRPr="001B5017" w:rsidRDefault="00006AA2" w:rsidP="00214DB4">
      <w:pPr>
        <w:tabs>
          <w:tab w:val="left" w:pos="540"/>
          <w:tab w:val="left" w:pos="4092"/>
          <w:tab w:val="left" w:pos="5580"/>
        </w:tabs>
        <w:spacing w:after="0" w:line="240" w:lineRule="auto"/>
        <w:rPr>
          <w:rFonts w:ascii="Times New Roman" w:hAnsi="Times New Roman" w:cs="Times New Roman"/>
          <w:sz w:val="24"/>
          <w:szCs w:val="24"/>
        </w:rPr>
      </w:pPr>
    </w:p>
    <w:p w14:paraId="20C530E8" w14:textId="48619872" w:rsidR="00F33B83" w:rsidRPr="001B5017" w:rsidRDefault="00CF7B94" w:rsidP="00214DB4">
      <w:pPr>
        <w:tabs>
          <w:tab w:val="left" w:pos="540"/>
          <w:tab w:val="left" w:pos="5580"/>
          <w:tab w:val="left" w:pos="6480"/>
        </w:tabs>
        <w:spacing w:after="0" w:line="240" w:lineRule="auto"/>
        <w:rPr>
          <w:rFonts w:ascii="Times New Roman" w:hAnsi="Times New Roman" w:cs="Times New Roman"/>
          <w:b/>
          <w:sz w:val="24"/>
          <w:szCs w:val="24"/>
        </w:rPr>
      </w:pPr>
      <w:r w:rsidRPr="001B5017">
        <w:rPr>
          <w:rFonts w:ascii="Times New Roman" w:hAnsi="Times New Roman" w:cs="Times New Roman"/>
          <w:b/>
          <w:sz w:val="24"/>
          <w:szCs w:val="24"/>
        </w:rPr>
        <w:t>DERMOT HUGHS PADAYACHY</w:t>
      </w:r>
      <w:r w:rsidR="00006AA2" w:rsidRPr="001B5017">
        <w:rPr>
          <w:rFonts w:ascii="Times New Roman" w:hAnsi="Times New Roman" w:cs="Times New Roman"/>
          <w:b/>
          <w:sz w:val="24"/>
          <w:szCs w:val="24"/>
        </w:rPr>
        <w:tab/>
        <w:t>Respondent</w:t>
      </w:r>
    </w:p>
    <w:p w14:paraId="7249E7D3" w14:textId="712E2C41" w:rsidR="002E2AE3" w:rsidRPr="001B5017" w:rsidRDefault="00006AA2" w:rsidP="00006AA2">
      <w:pPr>
        <w:pStyle w:val="Partynames"/>
        <w:spacing w:before="0"/>
        <w:rPr>
          <w:b w:val="0"/>
          <w:i/>
        </w:rPr>
      </w:pPr>
      <w:r w:rsidRPr="001B5017">
        <w:rPr>
          <w:b w:val="0"/>
          <w:i/>
        </w:rPr>
        <w:t>(</w:t>
      </w:r>
      <w:proofErr w:type="gramStart"/>
      <w:r w:rsidRPr="001B5017">
        <w:rPr>
          <w:b w:val="0"/>
          <w:i/>
        </w:rPr>
        <w:t>rep</w:t>
      </w:r>
      <w:proofErr w:type="gramEnd"/>
      <w:r w:rsidRPr="001B5017">
        <w:rPr>
          <w:b w:val="0"/>
          <w:i/>
        </w:rPr>
        <w:t xml:space="preserve">. by </w:t>
      </w:r>
      <w:r w:rsidR="00CF7B94" w:rsidRPr="001B5017">
        <w:rPr>
          <w:b w:val="0"/>
          <w:i/>
        </w:rPr>
        <w:t>Kieran Shah SC</w:t>
      </w:r>
      <w:r w:rsidRPr="001B5017">
        <w:rPr>
          <w:b w:val="0"/>
          <w:i/>
        </w:rPr>
        <w:t>)</w:t>
      </w:r>
    </w:p>
    <w:p w14:paraId="2A45DEE9" w14:textId="77777777" w:rsidR="00CF7B94" w:rsidRPr="001B5017" w:rsidRDefault="00CF7B94" w:rsidP="00006AA2">
      <w:pPr>
        <w:pStyle w:val="Partynames"/>
        <w:spacing w:before="0"/>
        <w:rPr>
          <w:b w:val="0"/>
        </w:rPr>
      </w:pPr>
    </w:p>
    <w:p w14:paraId="5585646A" w14:textId="796A1331" w:rsidR="00CF7B94" w:rsidRPr="001B5017" w:rsidRDefault="00CF7B94" w:rsidP="00006AA2">
      <w:pPr>
        <w:pStyle w:val="Partynames"/>
        <w:spacing w:before="0"/>
        <w:rPr>
          <w:b w:val="0"/>
        </w:rPr>
      </w:pPr>
      <w:r w:rsidRPr="001B5017">
        <w:rPr>
          <w:b w:val="0"/>
        </w:rPr>
        <w:t>And</w:t>
      </w:r>
    </w:p>
    <w:p w14:paraId="0931928F" w14:textId="35CA0172" w:rsidR="00CF7B94" w:rsidRPr="001B5017" w:rsidRDefault="00CF7B94" w:rsidP="00CF7B94">
      <w:pPr>
        <w:pStyle w:val="Partynames"/>
      </w:pPr>
      <w:r w:rsidRPr="001B5017">
        <w:t>DERMOT HUGHS PADAYACHY</w:t>
      </w:r>
      <w:r w:rsidRPr="001B5017">
        <w:tab/>
        <w:t>Appellant</w:t>
      </w:r>
    </w:p>
    <w:p w14:paraId="4DD034DE" w14:textId="7C410A16" w:rsidR="00CF7B94" w:rsidRPr="001B5017" w:rsidRDefault="00CF7B94" w:rsidP="00CF7B94">
      <w:pPr>
        <w:pStyle w:val="Attorneysnames"/>
      </w:pPr>
      <w:r w:rsidRPr="001B5017">
        <w:t>(</w:t>
      </w:r>
      <w:proofErr w:type="gramStart"/>
      <w:r w:rsidRPr="001B5017">
        <w:t>rep</w:t>
      </w:r>
      <w:proofErr w:type="gramEnd"/>
      <w:r w:rsidRPr="001B5017">
        <w:t xml:space="preserve">. by Kieran Shah SC) </w:t>
      </w:r>
    </w:p>
    <w:p w14:paraId="4788F5F9" w14:textId="77777777" w:rsidR="00CF7B94" w:rsidRPr="001B5017" w:rsidRDefault="00CF7B94" w:rsidP="00CF7B94">
      <w:pPr>
        <w:tabs>
          <w:tab w:val="left" w:pos="540"/>
          <w:tab w:val="left" w:pos="4092"/>
          <w:tab w:val="left" w:pos="5580"/>
        </w:tabs>
        <w:spacing w:after="0" w:line="240" w:lineRule="auto"/>
        <w:rPr>
          <w:rFonts w:ascii="Times New Roman" w:hAnsi="Times New Roman" w:cs="Times New Roman"/>
          <w:sz w:val="24"/>
          <w:szCs w:val="24"/>
        </w:rPr>
      </w:pPr>
    </w:p>
    <w:p w14:paraId="6C513CAD" w14:textId="77777777" w:rsidR="00CF7B94" w:rsidRPr="001B5017" w:rsidRDefault="00CF7B94" w:rsidP="00CF7B94">
      <w:pPr>
        <w:tabs>
          <w:tab w:val="left" w:pos="540"/>
          <w:tab w:val="left" w:pos="4092"/>
          <w:tab w:val="left" w:pos="5580"/>
        </w:tabs>
        <w:spacing w:after="0" w:line="240" w:lineRule="auto"/>
        <w:rPr>
          <w:rFonts w:ascii="Times New Roman" w:hAnsi="Times New Roman" w:cs="Times New Roman"/>
          <w:sz w:val="24"/>
          <w:szCs w:val="24"/>
        </w:rPr>
      </w:pPr>
      <w:r w:rsidRPr="001B5017">
        <w:rPr>
          <w:rFonts w:ascii="Times New Roman" w:hAnsi="Times New Roman" w:cs="Times New Roman"/>
          <w:sz w:val="24"/>
          <w:szCs w:val="24"/>
        </w:rPr>
        <w:t>And</w:t>
      </w:r>
    </w:p>
    <w:p w14:paraId="0391B648" w14:textId="77777777" w:rsidR="00CF7B94" w:rsidRPr="001B5017" w:rsidRDefault="00CF7B94" w:rsidP="00CF7B94">
      <w:pPr>
        <w:tabs>
          <w:tab w:val="left" w:pos="540"/>
          <w:tab w:val="left" w:pos="4092"/>
          <w:tab w:val="left" w:pos="5580"/>
        </w:tabs>
        <w:spacing w:after="0" w:line="240" w:lineRule="auto"/>
        <w:rPr>
          <w:rFonts w:ascii="Times New Roman" w:hAnsi="Times New Roman" w:cs="Times New Roman"/>
          <w:sz w:val="24"/>
          <w:szCs w:val="24"/>
        </w:rPr>
      </w:pPr>
    </w:p>
    <w:p w14:paraId="080A9E55" w14:textId="2BDD87CC" w:rsidR="00CF7B94" w:rsidRPr="001B5017" w:rsidRDefault="00CF7B94" w:rsidP="00CF7B94">
      <w:pPr>
        <w:tabs>
          <w:tab w:val="left" w:pos="540"/>
          <w:tab w:val="left" w:pos="5580"/>
          <w:tab w:val="left" w:pos="6480"/>
        </w:tabs>
        <w:spacing w:after="0" w:line="240" w:lineRule="auto"/>
        <w:rPr>
          <w:rFonts w:ascii="Times New Roman" w:hAnsi="Times New Roman" w:cs="Times New Roman"/>
          <w:b/>
          <w:sz w:val="24"/>
          <w:szCs w:val="24"/>
        </w:rPr>
      </w:pPr>
      <w:r w:rsidRPr="001B5017">
        <w:rPr>
          <w:rFonts w:ascii="Times New Roman" w:hAnsi="Times New Roman" w:cs="Times New Roman"/>
          <w:b/>
          <w:sz w:val="24"/>
          <w:szCs w:val="24"/>
        </w:rPr>
        <w:t xml:space="preserve">SUZANNE MUSSARD JEAN-BAPTISTE </w:t>
      </w:r>
      <w:r w:rsidRPr="001B5017">
        <w:rPr>
          <w:rFonts w:ascii="Times New Roman" w:hAnsi="Times New Roman" w:cs="Times New Roman"/>
          <w:b/>
          <w:sz w:val="24"/>
          <w:szCs w:val="24"/>
        </w:rPr>
        <w:tab/>
        <w:t>Respondent</w:t>
      </w:r>
    </w:p>
    <w:p w14:paraId="1A68E2DF" w14:textId="61A72958" w:rsidR="00CF7B94" w:rsidRPr="001B5017" w:rsidRDefault="00CF7B94" w:rsidP="00CF7B94">
      <w:pPr>
        <w:pStyle w:val="Partynames"/>
        <w:spacing w:before="0"/>
        <w:rPr>
          <w:b w:val="0"/>
          <w:i/>
        </w:rPr>
      </w:pPr>
      <w:r w:rsidRPr="001B5017">
        <w:rPr>
          <w:b w:val="0"/>
          <w:i/>
        </w:rPr>
        <w:t>(</w:t>
      </w:r>
      <w:proofErr w:type="gramStart"/>
      <w:r w:rsidRPr="001B5017">
        <w:rPr>
          <w:b w:val="0"/>
          <w:i/>
        </w:rPr>
        <w:t>rep</w:t>
      </w:r>
      <w:proofErr w:type="gramEnd"/>
      <w:r w:rsidRPr="001B5017">
        <w:rPr>
          <w:b w:val="0"/>
          <w:i/>
        </w:rPr>
        <w:t>. by Basil Hoareau)</w:t>
      </w:r>
    </w:p>
    <w:p w14:paraId="3A0D1A7C" w14:textId="77777777" w:rsidR="002E2AE3" w:rsidRPr="001B5017" w:rsidRDefault="00A72D3A" w:rsidP="00AE25A3">
      <w:pPr>
        <w:pStyle w:val="Partynames"/>
        <w:rPr>
          <w:i/>
        </w:rPr>
      </w:pPr>
      <w:r w:rsidRPr="001B5017">
        <w:t>_____________________________________________________________________________</w:t>
      </w:r>
      <w:r w:rsidR="00B328F1" w:rsidRPr="001B5017">
        <w:tab/>
      </w:r>
    </w:p>
    <w:p w14:paraId="23BDDB1E" w14:textId="0441604F" w:rsidR="00FE6657" w:rsidRPr="001B5017" w:rsidRDefault="00405958" w:rsidP="00A72D3A">
      <w:pPr>
        <w:spacing w:before="120" w:after="0" w:line="240" w:lineRule="auto"/>
        <w:ind w:left="1886" w:hanging="1886"/>
        <w:rPr>
          <w:rFonts w:ascii="Times New Roman" w:hAnsi="Times New Roman" w:cs="Times New Roman"/>
          <w:sz w:val="24"/>
          <w:szCs w:val="24"/>
        </w:rPr>
      </w:pPr>
      <w:r w:rsidRPr="001B5017">
        <w:rPr>
          <w:rFonts w:ascii="Times New Roman" w:hAnsi="Times New Roman" w:cs="Times New Roman"/>
          <w:b/>
          <w:sz w:val="24"/>
          <w:szCs w:val="24"/>
        </w:rPr>
        <w:t>Neutral Citation:</w:t>
      </w:r>
      <w:r w:rsidR="004A2599" w:rsidRPr="001B5017">
        <w:rPr>
          <w:rFonts w:ascii="Times New Roman" w:hAnsi="Times New Roman" w:cs="Times New Roman"/>
          <w:sz w:val="24"/>
          <w:szCs w:val="24"/>
        </w:rPr>
        <w:t xml:space="preserve"> </w:t>
      </w:r>
      <w:r w:rsidR="00A51F9A" w:rsidRPr="001B5017">
        <w:rPr>
          <w:rFonts w:ascii="Times New Roman" w:hAnsi="Times New Roman" w:cs="Times New Roman"/>
          <w:sz w:val="24"/>
          <w:szCs w:val="24"/>
        </w:rPr>
        <w:t xml:space="preserve"> </w:t>
      </w:r>
      <w:proofErr w:type="spellStart"/>
      <w:r w:rsidR="00CF7B94" w:rsidRPr="001B5017">
        <w:rPr>
          <w:rFonts w:ascii="Times New Roman" w:hAnsi="Times New Roman" w:cs="Times New Roman"/>
          <w:i/>
          <w:sz w:val="24"/>
          <w:szCs w:val="24"/>
        </w:rPr>
        <w:t>Mussard</w:t>
      </w:r>
      <w:proofErr w:type="spellEnd"/>
      <w:r w:rsidR="00CF7B94" w:rsidRPr="001B5017">
        <w:rPr>
          <w:rFonts w:ascii="Times New Roman" w:hAnsi="Times New Roman" w:cs="Times New Roman"/>
          <w:i/>
          <w:sz w:val="24"/>
          <w:szCs w:val="24"/>
        </w:rPr>
        <w:t xml:space="preserve">-Jean-Baptiste v </w:t>
      </w:r>
      <w:proofErr w:type="spellStart"/>
      <w:r w:rsidR="00CF7B94" w:rsidRPr="001B5017">
        <w:rPr>
          <w:rFonts w:ascii="Times New Roman" w:hAnsi="Times New Roman" w:cs="Times New Roman"/>
          <w:i/>
          <w:sz w:val="24"/>
          <w:szCs w:val="24"/>
        </w:rPr>
        <w:t>Padayachy</w:t>
      </w:r>
      <w:proofErr w:type="spellEnd"/>
      <w:r w:rsidR="00CF7B94" w:rsidRPr="001B5017">
        <w:rPr>
          <w:rFonts w:ascii="Times New Roman" w:hAnsi="Times New Roman" w:cs="Times New Roman"/>
          <w:i/>
          <w:sz w:val="24"/>
          <w:szCs w:val="24"/>
        </w:rPr>
        <w:t xml:space="preserve"> </w:t>
      </w:r>
      <w:r w:rsidR="00FE6657" w:rsidRPr="001B5017">
        <w:rPr>
          <w:rFonts w:ascii="Times New Roman" w:hAnsi="Times New Roman" w:cs="Times New Roman"/>
          <w:sz w:val="24"/>
          <w:szCs w:val="24"/>
        </w:rPr>
        <w:t>[202</w:t>
      </w:r>
      <w:r w:rsidR="00696D04">
        <w:rPr>
          <w:rFonts w:ascii="Times New Roman" w:hAnsi="Times New Roman" w:cs="Times New Roman"/>
          <w:sz w:val="24"/>
          <w:szCs w:val="24"/>
        </w:rPr>
        <w:t>2</w:t>
      </w:r>
      <w:r w:rsidR="00FE6657" w:rsidRPr="001B5017">
        <w:rPr>
          <w:rFonts w:ascii="Times New Roman" w:hAnsi="Times New Roman" w:cs="Times New Roman"/>
          <w:sz w:val="24"/>
          <w:szCs w:val="24"/>
        </w:rPr>
        <w:t>] SCCA</w:t>
      </w:r>
      <w:r w:rsidR="00F858F9">
        <w:rPr>
          <w:rFonts w:ascii="Times New Roman" w:hAnsi="Times New Roman" w:cs="Times New Roman"/>
          <w:sz w:val="24"/>
          <w:szCs w:val="24"/>
        </w:rPr>
        <w:t xml:space="preserve"> </w:t>
      </w:r>
      <w:r w:rsidR="00696D04">
        <w:rPr>
          <w:rFonts w:ascii="Times New Roman" w:hAnsi="Times New Roman" w:cs="Times New Roman"/>
          <w:sz w:val="24"/>
          <w:szCs w:val="24"/>
        </w:rPr>
        <w:t>2</w:t>
      </w:r>
      <w:bookmarkStart w:id="0" w:name="_GoBack"/>
      <w:bookmarkEnd w:id="0"/>
      <w:r w:rsidR="00FE6657" w:rsidRPr="001B5017">
        <w:rPr>
          <w:rFonts w:ascii="Times New Roman" w:hAnsi="Times New Roman" w:cs="Times New Roman"/>
          <w:sz w:val="24"/>
          <w:szCs w:val="24"/>
        </w:rPr>
        <w:t xml:space="preserve"> </w:t>
      </w:r>
      <w:r w:rsidR="00F858F9">
        <w:rPr>
          <w:rFonts w:ascii="Times New Roman" w:hAnsi="Times New Roman" w:cs="Times New Roman"/>
          <w:sz w:val="24"/>
          <w:szCs w:val="24"/>
        </w:rPr>
        <w:t>(31 January 2022)</w:t>
      </w:r>
      <w:r w:rsidR="00FE6657" w:rsidRPr="001B5017">
        <w:rPr>
          <w:rFonts w:ascii="Times New Roman" w:hAnsi="Times New Roman" w:cs="Times New Roman"/>
          <w:sz w:val="24"/>
          <w:szCs w:val="24"/>
        </w:rPr>
        <w:t xml:space="preserve"> SCA </w:t>
      </w:r>
      <w:r w:rsidR="00CF7B94" w:rsidRPr="001B5017">
        <w:rPr>
          <w:rFonts w:ascii="Times New Roman" w:hAnsi="Times New Roman" w:cs="Times New Roman"/>
          <w:sz w:val="24"/>
          <w:szCs w:val="24"/>
        </w:rPr>
        <w:t>30</w:t>
      </w:r>
      <w:r w:rsidR="00FE6657" w:rsidRPr="001B5017">
        <w:rPr>
          <w:rFonts w:ascii="Times New Roman" w:hAnsi="Times New Roman" w:cs="Times New Roman"/>
          <w:sz w:val="24"/>
          <w:szCs w:val="24"/>
        </w:rPr>
        <w:t>/20</w:t>
      </w:r>
      <w:r w:rsidR="00623933" w:rsidRPr="001B5017">
        <w:rPr>
          <w:rFonts w:ascii="Times New Roman" w:hAnsi="Times New Roman" w:cs="Times New Roman"/>
          <w:sz w:val="24"/>
          <w:szCs w:val="24"/>
        </w:rPr>
        <w:t>1</w:t>
      </w:r>
      <w:r w:rsidR="00CF7B94" w:rsidRPr="001B5017">
        <w:rPr>
          <w:rFonts w:ascii="Times New Roman" w:hAnsi="Times New Roman" w:cs="Times New Roman"/>
          <w:sz w:val="24"/>
          <w:szCs w:val="24"/>
        </w:rPr>
        <w:t>7 and SCA 36/2017 (Consolidated)</w:t>
      </w:r>
      <w:r w:rsidR="00A72D3A" w:rsidRPr="001B5017">
        <w:rPr>
          <w:rFonts w:ascii="Times New Roman" w:hAnsi="Times New Roman" w:cs="Times New Roman"/>
          <w:sz w:val="24"/>
          <w:szCs w:val="24"/>
        </w:rPr>
        <w:t xml:space="preserve"> </w:t>
      </w:r>
      <w:r w:rsidR="00FE6657" w:rsidRPr="001B5017">
        <w:rPr>
          <w:rFonts w:ascii="Times New Roman" w:hAnsi="Times New Roman" w:cs="Times New Roman"/>
          <w:sz w:val="24"/>
          <w:szCs w:val="24"/>
        </w:rPr>
        <w:t>Arising in C</w:t>
      </w:r>
      <w:r w:rsidR="00623933" w:rsidRPr="001B5017">
        <w:rPr>
          <w:rFonts w:ascii="Times New Roman" w:hAnsi="Times New Roman" w:cs="Times New Roman"/>
          <w:sz w:val="24"/>
          <w:szCs w:val="24"/>
        </w:rPr>
        <w:t>S</w:t>
      </w:r>
      <w:r w:rsidR="00FE6657" w:rsidRPr="001B5017">
        <w:rPr>
          <w:rFonts w:ascii="Times New Roman" w:hAnsi="Times New Roman" w:cs="Times New Roman"/>
          <w:sz w:val="24"/>
          <w:szCs w:val="24"/>
        </w:rPr>
        <w:t xml:space="preserve"> </w:t>
      </w:r>
      <w:r w:rsidR="00CF7B94" w:rsidRPr="001B5017">
        <w:rPr>
          <w:rFonts w:ascii="Times New Roman" w:hAnsi="Times New Roman" w:cs="Times New Roman"/>
          <w:sz w:val="24"/>
          <w:szCs w:val="24"/>
        </w:rPr>
        <w:t>114</w:t>
      </w:r>
      <w:r w:rsidR="00FE6657" w:rsidRPr="001B5017">
        <w:rPr>
          <w:rFonts w:ascii="Times New Roman" w:hAnsi="Times New Roman" w:cs="Times New Roman"/>
          <w:sz w:val="24"/>
          <w:szCs w:val="24"/>
        </w:rPr>
        <w:t>/201</w:t>
      </w:r>
      <w:r w:rsidR="00CF7B94" w:rsidRPr="001B5017">
        <w:rPr>
          <w:rFonts w:ascii="Times New Roman" w:hAnsi="Times New Roman" w:cs="Times New Roman"/>
          <w:sz w:val="24"/>
          <w:szCs w:val="24"/>
        </w:rPr>
        <w:t>7</w:t>
      </w:r>
      <w:r w:rsidR="00FE6657" w:rsidRPr="001B5017">
        <w:rPr>
          <w:rFonts w:ascii="Times New Roman" w:hAnsi="Times New Roman" w:cs="Times New Roman"/>
          <w:sz w:val="24"/>
          <w:szCs w:val="24"/>
        </w:rPr>
        <w:t xml:space="preserve">) SCSC </w:t>
      </w:r>
    </w:p>
    <w:p w14:paraId="458BE018" w14:textId="2307019F" w:rsidR="002E2AE3" w:rsidRPr="001B5017" w:rsidRDefault="009F125D" w:rsidP="00FE6657">
      <w:pPr>
        <w:tabs>
          <w:tab w:val="left" w:pos="1890"/>
        </w:tabs>
        <w:spacing w:after="0" w:line="240" w:lineRule="auto"/>
        <w:rPr>
          <w:rFonts w:ascii="Times New Roman" w:hAnsi="Times New Roman" w:cs="Times New Roman"/>
          <w:sz w:val="24"/>
          <w:szCs w:val="24"/>
        </w:rPr>
      </w:pPr>
      <w:r w:rsidRPr="001B5017">
        <w:rPr>
          <w:rFonts w:ascii="Times New Roman" w:hAnsi="Times New Roman" w:cs="Times New Roman"/>
          <w:b/>
          <w:sz w:val="24"/>
          <w:szCs w:val="24"/>
        </w:rPr>
        <w:t>Before</w:t>
      </w:r>
      <w:r w:rsidR="00405958" w:rsidRPr="001B5017">
        <w:rPr>
          <w:rFonts w:ascii="Times New Roman" w:hAnsi="Times New Roman" w:cs="Times New Roman"/>
          <w:b/>
          <w:sz w:val="24"/>
          <w:szCs w:val="24"/>
        </w:rPr>
        <w:t xml:space="preserve">: </w:t>
      </w:r>
      <w:r w:rsidR="004A2599" w:rsidRPr="001B5017">
        <w:rPr>
          <w:rFonts w:ascii="Times New Roman" w:hAnsi="Times New Roman" w:cs="Times New Roman"/>
          <w:b/>
          <w:sz w:val="24"/>
          <w:szCs w:val="24"/>
        </w:rPr>
        <w:tab/>
      </w:r>
      <w:r w:rsidR="002E2AE3" w:rsidRPr="001B5017">
        <w:rPr>
          <w:rFonts w:ascii="Times New Roman" w:hAnsi="Times New Roman" w:cs="Times New Roman"/>
          <w:sz w:val="24"/>
          <w:szCs w:val="24"/>
        </w:rPr>
        <w:t>Twomey</w:t>
      </w:r>
      <w:r w:rsidR="00CB05F8" w:rsidRPr="001B5017">
        <w:rPr>
          <w:rFonts w:ascii="Times New Roman" w:hAnsi="Times New Roman" w:cs="Times New Roman"/>
          <w:sz w:val="24"/>
          <w:szCs w:val="24"/>
        </w:rPr>
        <w:t>,</w:t>
      </w:r>
      <w:r w:rsidR="00373EDC" w:rsidRPr="001B5017">
        <w:rPr>
          <w:rFonts w:ascii="Times New Roman" w:hAnsi="Times New Roman" w:cs="Times New Roman"/>
          <w:sz w:val="24"/>
          <w:szCs w:val="24"/>
        </w:rPr>
        <w:t xml:space="preserve"> JA</w:t>
      </w:r>
      <w:r w:rsidR="00D65DC8" w:rsidRPr="001B5017">
        <w:rPr>
          <w:rFonts w:ascii="Times New Roman" w:hAnsi="Times New Roman" w:cs="Times New Roman"/>
          <w:sz w:val="24"/>
          <w:szCs w:val="24"/>
        </w:rPr>
        <w:t>,</w:t>
      </w:r>
      <w:r w:rsidR="001D166D" w:rsidRPr="001B5017">
        <w:rPr>
          <w:rFonts w:ascii="Times New Roman" w:hAnsi="Times New Roman" w:cs="Times New Roman"/>
          <w:sz w:val="24"/>
          <w:szCs w:val="24"/>
        </w:rPr>
        <w:t xml:space="preserve"> </w:t>
      </w:r>
      <w:r w:rsidR="00623933" w:rsidRPr="001B5017">
        <w:rPr>
          <w:rFonts w:ascii="Times New Roman" w:hAnsi="Times New Roman" w:cs="Times New Roman"/>
          <w:sz w:val="24"/>
          <w:szCs w:val="24"/>
        </w:rPr>
        <w:t xml:space="preserve">Robinson </w:t>
      </w:r>
      <w:r w:rsidR="001D166D" w:rsidRPr="001B5017">
        <w:rPr>
          <w:rFonts w:ascii="Times New Roman" w:hAnsi="Times New Roman" w:cs="Times New Roman"/>
          <w:sz w:val="24"/>
          <w:szCs w:val="24"/>
        </w:rPr>
        <w:t>JA</w:t>
      </w:r>
      <w:r w:rsidR="00CB05F8" w:rsidRPr="001B5017">
        <w:rPr>
          <w:rFonts w:ascii="Times New Roman" w:hAnsi="Times New Roman" w:cs="Times New Roman"/>
          <w:sz w:val="24"/>
          <w:szCs w:val="24"/>
        </w:rPr>
        <w:t xml:space="preserve"> </w:t>
      </w:r>
      <w:r w:rsidR="00D65DC8" w:rsidRPr="001B5017">
        <w:rPr>
          <w:rFonts w:ascii="Times New Roman" w:hAnsi="Times New Roman" w:cs="Times New Roman"/>
          <w:sz w:val="24"/>
          <w:szCs w:val="24"/>
        </w:rPr>
        <w:t xml:space="preserve">and Tibatemwa- </w:t>
      </w:r>
      <w:proofErr w:type="spellStart"/>
      <w:r w:rsidR="00D65DC8" w:rsidRPr="001B5017">
        <w:rPr>
          <w:rFonts w:ascii="Times New Roman" w:hAnsi="Times New Roman" w:cs="Times New Roman"/>
          <w:sz w:val="24"/>
          <w:szCs w:val="24"/>
        </w:rPr>
        <w:t>Ekirikubinza</w:t>
      </w:r>
      <w:proofErr w:type="spellEnd"/>
      <w:r w:rsidR="00501725" w:rsidRPr="001B5017">
        <w:rPr>
          <w:rFonts w:ascii="Times New Roman" w:hAnsi="Times New Roman" w:cs="Times New Roman"/>
          <w:sz w:val="24"/>
          <w:szCs w:val="24"/>
        </w:rPr>
        <w:t xml:space="preserve"> JA</w:t>
      </w:r>
    </w:p>
    <w:p w14:paraId="2220DC86" w14:textId="044425E6" w:rsidR="00344425" w:rsidRPr="001B5017" w:rsidRDefault="00346D7F" w:rsidP="00214DB4">
      <w:pPr>
        <w:spacing w:after="0" w:line="240" w:lineRule="auto"/>
        <w:ind w:left="1890" w:hanging="1890"/>
        <w:rPr>
          <w:rFonts w:ascii="Times New Roman" w:hAnsi="Times New Roman" w:cs="Times New Roman"/>
          <w:sz w:val="24"/>
          <w:szCs w:val="24"/>
        </w:rPr>
      </w:pPr>
      <w:r w:rsidRPr="001B5017">
        <w:rPr>
          <w:rFonts w:ascii="Times New Roman" w:hAnsi="Times New Roman" w:cs="Times New Roman"/>
          <w:b/>
          <w:sz w:val="24"/>
          <w:szCs w:val="24"/>
        </w:rPr>
        <w:t xml:space="preserve">Summary: </w:t>
      </w:r>
      <w:r w:rsidR="00F33B83" w:rsidRPr="001B5017">
        <w:rPr>
          <w:rFonts w:ascii="Times New Roman" w:hAnsi="Times New Roman" w:cs="Times New Roman"/>
          <w:b/>
          <w:sz w:val="24"/>
          <w:szCs w:val="24"/>
        </w:rPr>
        <w:tab/>
      </w:r>
      <w:r w:rsidR="00CF7B94" w:rsidRPr="001B5017">
        <w:rPr>
          <w:rFonts w:ascii="Times New Roman" w:hAnsi="Times New Roman" w:cs="Times New Roman"/>
          <w:sz w:val="24"/>
          <w:szCs w:val="24"/>
        </w:rPr>
        <w:t xml:space="preserve">Power of attorney- when </w:t>
      </w:r>
      <w:proofErr w:type="gramStart"/>
      <w:r w:rsidR="00CF7B94" w:rsidRPr="001B5017">
        <w:rPr>
          <w:rFonts w:ascii="Times New Roman" w:hAnsi="Times New Roman" w:cs="Times New Roman"/>
          <w:sz w:val="24"/>
          <w:szCs w:val="24"/>
        </w:rPr>
        <w:t>null and void</w:t>
      </w:r>
      <w:proofErr w:type="gramEnd"/>
      <w:r w:rsidR="001B5017">
        <w:rPr>
          <w:rFonts w:ascii="Times New Roman" w:hAnsi="Times New Roman" w:cs="Times New Roman"/>
          <w:sz w:val="24"/>
          <w:szCs w:val="24"/>
        </w:rPr>
        <w:t xml:space="preserve"> –sections 20, 70, 88, 89 of the Land Registration Act. </w:t>
      </w:r>
    </w:p>
    <w:p w14:paraId="61B8D86B" w14:textId="148494C8" w:rsidR="00344425" w:rsidRPr="001B5017"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1B5017">
        <w:rPr>
          <w:rFonts w:ascii="Times New Roman" w:hAnsi="Times New Roman" w:cs="Times New Roman"/>
          <w:b/>
          <w:sz w:val="24"/>
          <w:szCs w:val="24"/>
        </w:rPr>
        <w:t xml:space="preserve">Heard: </w:t>
      </w:r>
      <w:r w:rsidR="005B12AA" w:rsidRPr="001B5017">
        <w:rPr>
          <w:rFonts w:ascii="Times New Roman" w:hAnsi="Times New Roman" w:cs="Times New Roman"/>
          <w:sz w:val="24"/>
          <w:szCs w:val="24"/>
        </w:rPr>
        <w:tab/>
      </w:r>
      <w:r w:rsidR="005B12AA" w:rsidRPr="001B5017">
        <w:rPr>
          <w:rFonts w:ascii="Times New Roman" w:hAnsi="Times New Roman" w:cs="Times New Roman"/>
          <w:sz w:val="24"/>
          <w:szCs w:val="24"/>
        </w:rPr>
        <w:tab/>
      </w:r>
      <w:r w:rsidR="00AE7EC9">
        <w:rPr>
          <w:rFonts w:ascii="Times New Roman" w:hAnsi="Times New Roman" w:cs="Times New Roman"/>
          <w:sz w:val="24"/>
          <w:szCs w:val="24"/>
        </w:rPr>
        <w:t>2</w:t>
      </w:r>
      <w:r w:rsidR="0003172C" w:rsidRPr="001B5017">
        <w:rPr>
          <w:rFonts w:ascii="Times New Roman" w:hAnsi="Times New Roman" w:cs="Times New Roman"/>
          <w:sz w:val="24"/>
          <w:szCs w:val="24"/>
        </w:rPr>
        <w:t xml:space="preserve"> </w:t>
      </w:r>
      <w:r w:rsidR="00501725" w:rsidRPr="001B5017">
        <w:rPr>
          <w:rFonts w:ascii="Times New Roman" w:hAnsi="Times New Roman" w:cs="Times New Roman"/>
          <w:sz w:val="24"/>
          <w:szCs w:val="24"/>
        </w:rPr>
        <w:t>December 2021</w:t>
      </w:r>
    </w:p>
    <w:p w14:paraId="664C59CC" w14:textId="6798F8BC" w:rsidR="0003172C" w:rsidRPr="001B5017"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1B5017">
        <w:rPr>
          <w:rFonts w:ascii="Times New Roman" w:hAnsi="Times New Roman" w:cs="Times New Roman"/>
          <w:b/>
          <w:sz w:val="24"/>
          <w:szCs w:val="24"/>
        </w:rPr>
        <w:t>Delivered:</w:t>
      </w:r>
      <w:r w:rsidR="004A2599" w:rsidRPr="001B5017">
        <w:rPr>
          <w:rFonts w:ascii="Times New Roman" w:hAnsi="Times New Roman" w:cs="Times New Roman"/>
          <w:b/>
          <w:sz w:val="24"/>
          <w:szCs w:val="24"/>
        </w:rPr>
        <w:tab/>
      </w:r>
      <w:r w:rsidR="00CF7B94" w:rsidRPr="001B5017">
        <w:rPr>
          <w:rFonts w:ascii="Times New Roman" w:hAnsi="Times New Roman" w:cs="Times New Roman"/>
          <w:sz w:val="24"/>
          <w:szCs w:val="24"/>
        </w:rPr>
        <w:t>31 January</w:t>
      </w:r>
      <w:r w:rsidR="00641FE5" w:rsidRPr="001B5017">
        <w:rPr>
          <w:rFonts w:ascii="Times New Roman" w:hAnsi="Times New Roman" w:cs="Times New Roman"/>
          <w:sz w:val="24"/>
          <w:szCs w:val="24"/>
        </w:rPr>
        <w:t xml:space="preserve"> 202</w:t>
      </w:r>
      <w:r w:rsidR="00CF7B94" w:rsidRPr="001B5017">
        <w:rPr>
          <w:rFonts w:ascii="Times New Roman" w:hAnsi="Times New Roman" w:cs="Times New Roman"/>
          <w:sz w:val="24"/>
          <w:szCs w:val="24"/>
        </w:rPr>
        <w:t>2</w:t>
      </w:r>
    </w:p>
    <w:p w14:paraId="1BD3BB5D" w14:textId="77777777" w:rsidR="00ED0BFC" w:rsidRPr="001B5017" w:rsidRDefault="00ED0BFC" w:rsidP="00214DB4">
      <w:pPr>
        <w:tabs>
          <w:tab w:val="left" w:pos="2892"/>
        </w:tabs>
        <w:spacing w:before="120" w:after="0" w:line="240" w:lineRule="auto"/>
        <w:jc w:val="center"/>
        <w:rPr>
          <w:rFonts w:ascii="Times New Roman" w:hAnsi="Times New Roman" w:cs="Times New Roman"/>
          <w:b/>
          <w:sz w:val="24"/>
          <w:szCs w:val="24"/>
        </w:rPr>
      </w:pPr>
      <w:r w:rsidRPr="001B5017">
        <w:rPr>
          <w:rFonts w:ascii="Times New Roman" w:hAnsi="Times New Roman" w:cs="Times New Roman"/>
          <w:b/>
          <w:sz w:val="24"/>
          <w:szCs w:val="24"/>
        </w:rPr>
        <w:t xml:space="preserve">ORDER </w:t>
      </w:r>
    </w:p>
    <w:p w14:paraId="24C7A286" w14:textId="40A2D3A9" w:rsidR="00373EDC" w:rsidRPr="001B5017" w:rsidRDefault="0003172C" w:rsidP="00635D3C">
      <w:pPr>
        <w:spacing w:line="240" w:lineRule="auto"/>
        <w:rPr>
          <w:rFonts w:ascii="Times New Roman" w:hAnsi="Times New Roman" w:cs="Times New Roman"/>
          <w:sz w:val="24"/>
          <w:szCs w:val="24"/>
        </w:rPr>
      </w:pPr>
      <w:r w:rsidRPr="001B5017">
        <w:rPr>
          <w:rFonts w:ascii="Times New Roman" w:hAnsi="Times New Roman" w:cs="Times New Roman"/>
          <w:sz w:val="24"/>
          <w:szCs w:val="24"/>
        </w:rPr>
        <w:t xml:space="preserve">The </w:t>
      </w:r>
      <w:r w:rsidR="001B5017">
        <w:rPr>
          <w:rFonts w:ascii="Times New Roman" w:hAnsi="Times New Roman" w:cs="Times New Roman"/>
          <w:sz w:val="24"/>
          <w:szCs w:val="24"/>
        </w:rPr>
        <w:t xml:space="preserve">cross appeal is partly allowed and the </w:t>
      </w:r>
      <w:r w:rsidR="00D65DC8" w:rsidRPr="001B5017">
        <w:rPr>
          <w:rFonts w:ascii="Times New Roman" w:hAnsi="Times New Roman" w:cs="Times New Roman"/>
          <w:sz w:val="24"/>
          <w:szCs w:val="24"/>
        </w:rPr>
        <w:t xml:space="preserve">appeal is </w:t>
      </w:r>
      <w:r w:rsidR="001B5017">
        <w:rPr>
          <w:rFonts w:ascii="Times New Roman" w:hAnsi="Times New Roman" w:cs="Times New Roman"/>
          <w:sz w:val="24"/>
          <w:szCs w:val="24"/>
        </w:rPr>
        <w:t xml:space="preserve">dismissed with costs. </w:t>
      </w:r>
      <w:r w:rsidR="00373EDC" w:rsidRPr="001B5017">
        <w:rPr>
          <w:rFonts w:ascii="Times New Roman" w:hAnsi="Times New Roman" w:cs="Times New Roman"/>
          <w:sz w:val="24"/>
          <w:szCs w:val="24"/>
        </w:rPr>
        <w:t>_____________________________________________________________________________</w:t>
      </w:r>
    </w:p>
    <w:p w14:paraId="4A8114BC" w14:textId="77777777" w:rsidR="00F30ED0" w:rsidRPr="001B5017" w:rsidRDefault="00F30ED0" w:rsidP="00F30ED0">
      <w:pPr>
        <w:spacing w:line="240" w:lineRule="auto"/>
        <w:jc w:val="center"/>
        <w:rPr>
          <w:rFonts w:ascii="Times New Roman" w:hAnsi="Times New Roman" w:cs="Times New Roman"/>
          <w:b/>
          <w:sz w:val="24"/>
          <w:szCs w:val="24"/>
        </w:rPr>
      </w:pPr>
      <w:r w:rsidRPr="001B5017">
        <w:rPr>
          <w:rFonts w:ascii="Times New Roman" w:hAnsi="Times New Roman" w:cs="Times New Roman"/>
          <w:b/>
          <w:sz w:val="24"/>
          <w:szCs w:val="24"/>
        </w:rPr>
        <w:t>JUDGMENT</w:t>
      </w:r>
    </w:p>
    <w:p w14:paraId="6FC9F300" w14:textId="6D693478" w:rsidR="00AA6A48" w:rsidRPr="001B5017" w:rsidRDefault="00AA6A48" w:rsidP="00F30ED0">
      <w:pPr>
        <w:pStyle w:val="JudgmentText"/>
        <w:numPr>
          <w:ilvl w:val="0"/>
          <w:numId w:val="0"/>
        </w:numPr>
        <w:spacing w:after="0" w:line="480" w:lineRule="auto"/>
      </w:pPr>
      <w:r w:rsidRPr="001B5017">
        <w:t>_________________________________________________________________________</w:t>
      </w:r>
      <w:r w:rsidR="00F30ED0" w:rsidRPr="001B5017">
        <w:t>____</w:t>
      </w:r>
    </w:p>
    <w:p w14:paraId="19B2A9F3" w14:textId="4CB62AB6" w:rsidR="00E001F8" w:rsidRPr="001B5017" w:rsidRDefault="00373EDC" w:rsidP="00E001F8">
      <w:pPr>
        <w:pStyle w:val="JudgmentText"/>
        <w:numPr>
          <w:ilvl w:val="0"/>
          <w:numId w:val="0"/>
        </w:numPr>
        <w:spacing w:after="0" w:line="480" w:lineRule="auto"/>
        <w:ind w:left="720" w:hanging="720"/>
        <w:rPr>
          <w:b/>
        </w:rPr>
      </w:pPr>
      <w:r w:rsidRPr="001B5017">
        <w:rPr>
          <w:b/>
        </w:rPr>
        <w:t>T</w:t>
      </w:r>
      <w:r w:rsidR="005B12AA" w:rsidRPr="001B5017">
        <w:rPr>
          <w:b/>
        </w:rPr>
        <w:t xml:space="preserve">WOMEY </w:t>
      </w:r>
      <w:r w:rsidR="00CB05F8" w:rsidRPr="001B5017">
        <w:rPr>
          <w:b/>
        </w:rPr>
        <w:t>JA</w:t>
      </w:r>
      <w:r w:rsidR="005B12AA" w:rsidRPr="001B5017">
        <w:rPr>
          <w:b/>
        </w:rPr>
        <w:t xml:space="preserve"> </w:t>
      </w:r>
    </w:p>
    <w:p w14:paraId="762E9CC0" w14:textId="77777777" w:rsidR="00A23115" w:rsidRPr="001B5017" w:rsidRDefault="00913944" w:rsidP="00E001F8">
      <w:pPr>
        <w:pStyle w:val="JudgmentText"/>
        <w:numPr>
          <w:ilvl w:val="0"/>
          <w:numId w:val="0"/>
        </w:numPr>
        <w:spacing w:after="0" w:line="480" w:lineRule="auto"/>
        <w:ind w:left="720" w:hanging="720"/>
        <w:rPr>
          <w:b/>
        </w:rPr>
      </w:pPr>
      <w:r w:rsidRPr="001B5017">
        <w:rPr>
          <w:b/>
        </w:rPr>
        <w:lastRenderedPageBreak/>
        <w:t>Introduction</w:t>
      </w:r>
    </w:p>
    <w:p w14:paraId="5A4A2217" w14:textId="46D62126" w:rsidR="00D65DC8" w:rsidRPr="001B5017" w:rsidRDefault="00CF7B94" w:rsidP="00676075">
      <w:pPr>
        <w:pStyle w:val="JudgmentText"/>
      </w:pPr>
      <w:r w:rsidRPr="001B5017">
        <w:t xml:space="preserve">Antonia </w:t>
      </w:r>
      <w:proofErr w:type="spellStart"/>
      <w:r w:rsidRPr="001B5017">
        <w:t>Mu</w:t>
      </w:r>
      <w:r w:rsidR="00663D25" w:rsidRPr="001B5017">
        <w:t>ssard</w:t>
      </w:r>
      <w:proofErr w:type="spellEnd"/>
      <w:r w:rsidR="00663D25" w:rsidRPr="001B5017">
        <w:t xml:space="preserve"> had two daughters: Marie-</w:t>
      </w:r>
      <w:r w:rsidRPr="001B5017">
        <w:t>Fran</w:t>
      </w:r>
      <w:r w:rsidR="004F6123" w:rsidRPr="001B5017">
        <w:t xml:space="preserve">ce </w:t>
      </w:r>
      <w:proofErr w:type="spellStart"/>
      <w:r w:rsidR="004F6123" w:rsidRPr="001B5017">
        <w:t>Padayachy</w:t>
      </w:r>
      <w:proofErr w:type="spellEnd"/>
      <w:r w:rsidRPr="001B5017">
        <w:t xml:space="preserve"> and Suzanne </w:t>
      </w:r>
      <w:proofErr w:type="spellStart"/>
      <w:r w:rsidRPr="001B5017">
        <w:t>Mussard</w:t>
      </w:r>
      <w:proofErr w:type="spellEnd"/>
      <w:r w:rsidR="004F6123" w:rsidRPr="001B5017">
        <w:t>-Jean-Baptiste</w:t>
      </w:r>
      <w:r w:rsidR="00EC3A81" w:rsidRPr="001B5017">
        <w:t xml:space="preserve"> </w:t>
      </w:r>
      <w:r w:rsidRPr="001B5017">
        <w:t xml:space="preserve">(the </w:t>
      </w:r>
      <w:r w:rsidR="00EC3A81" w:rsidRPr="001B5017">
        <w:t xml:space="preserve">latter being the </w:t>
      </w:r>
      <w:r w:rsidRPr="001B5017">
        <w:t>Appellant and Cross-Respondent</w:t>
      </w:r>
      <w:r w:rsidR="004F6123" w:rsidRPr="001B5017">
        <w:t>, hereinafter, Mrs. Jean-Baptiste</w:t>
      </w:r>
      <w:r w:rsidR="00663D25" w:rsidRPr="001B5017">
        <w:t>)</w:t>
      </w:r>
      <w:r w:rsidRPr="001B5017">
        <w:t xml:space="preserve">. Antonia passed away </w:t>
      </w:r>
      <w:r w:rsidR="00663D25" w:rsidRPr="001B5017">
        <w:t>on 19 September 2001. During her lifetime</w:t>
      </w:r>
      <w:r w:rsidR="00E83C39" w:rsidRPr="001B5017">
        <w:t>,</w:t>
      </w:r>
      <w:r w:rsidR="00663D25" w:rsidRPr="001B5017">
        <w:t xml:space="preserve"> she owned </w:t>
      </w:r>
      <w:r w:rsidR="001B5017" w:rsidRPr="001B5017">
        <w:t xml:space="preserve">land, namely </w:t>
      </w:r>
      <w:r w:rsidR="00663D25" w:rsidRPr="001B5017">
        <w:t xml:space="preserve">Parcel V2062 at </w:t>
      </w:r>
      <w:proofErr w:type="spellStart"/>
      <w:r w:rsidR="00663D25" w:rsidRPr="001B5017">
        <w:t>Hangard</w:t>
      </w:r>
      <w:proofErr w:type="spellEnd"/>
      <w:r w:rsidR="00663D25" w:rsidRPr="001B5017">
        <w:t xml:space="preserve"> Street, Victoria, </w:t>
      </w:r>
      <w:proofErr w:type="spellStart"/>
      <w:r w:rsidR="00663D25" w:rsidRPr="001B5017">
        <w:t>Mahé</w:t>
      </w:r>
      <w:proofErr w:type="spellEnd"/>
      <w:r w:rsidR="00663D25" w:rsidRPr="001B5017">
        <w:t xml:space="preserve">, Seychelles. On 6 April </w:t>
      </w:r>
      <w:r w:rsidR="007B0B43" w:rsidRPr="001B5017">
        <w:t>19</w:t>
      </w:r>
      <w:r w:rsidR="004F6123" w:rsidRPr="001B5017">
        <w:t>9</w:t>
      </w:r>
      <w:r w:rsidR="007B0B43" w:rsidRPr="001B5017">
        <w:t>3</w:t>
      </w:r>
      <w:r w:rsidR="00663D25" w:rsidRPr="001B5017">
        <w:t xml:space="preserve">, </w:t>
      </w:r>
      <w:r w:rsidR="00BE78BC" w:rsidRPr="001B5017">
        <w:t xml:space="preserve">prior to her death, </w:t>
      </w:r>
      <w:r w:rsidR="00663D25" w:rsidRPr="001B5017">
        <w:t xml:space="preserve">Antonia transferred the said parcel of land to Marie-France. </w:t>
      </w:r>
      <w:r w:rsidR="004F6123" w:rsidRPr="001B5017">
        <w:t>This</w:t>
      </w:r>
      <w:r w:rsidR="00663D25" w:rsidRPr="001B5017">
        <w:t xml:space="preserve"> transfer was executed by Marie-France </w:t>
      </w:r>
      <w:r w:rsidR="001B5017" w:rsidRPr="001B5017">
        <w:t>under</w:t>
      </w:r>
      <w:r w:rsidR="00663D25" w:rsidRPr="001B5017">
        <w:t xml:space="preserve"> a </w:t>
      </w:r>
      <w:r w:rsidR="00EE3C50" w:rsidRPr="001B5017">
        <w:t xml:space="preserve">general </w:t>
      </w:r>
      <w:r w:rsidR="00663D25" w:rsidRPr="001B5017">
        <w:t>power of attorney granted to her by Antonia registered</w:t>
      </w:r>
      <w:r w:rsidR="007B0B43" w:rsidRPr="001B5017">
        <w:t xml:space="preserve"> on 16 November 1978</w:t>
      </w:r>
      <w:r w:rsidR="00AA7894" w:rsidRPr="001B5017">
        <w:t xml:space="preserve"> at the Registry of Deeds</w:t>
      </w:r>
      <w:r w:rsidR="00EC3A81" w:rsidRPr="001B5017">
        <w:t>.</w:t>
      </w:r>
    </w:p>
    <w:p w14:paraId="4BEE79EF" w14:textId="474EFA33" w:rsidR="00450475" w:rsidRPr="001B5017" w:rsidRDefault="007B0B43" w:rsidP="00AA37B3">
      <w:pPr>
        <w:pStyle w:val="JudgmentText"/>
      </w:pPr>
      <w:r w:rsidRPr="001B5017">
        <w:t>It bears mentioning that Parcel V2062</w:t>
      </w:r>
      <w:r w:rsidR="003C1A99" w:rsidRPr="001B5017">
        <w:t>,</w:t>
      </w:r>
      <w:r w:rsidRPr="001B5017">
        <w:t xml:space="preserve"> as </w:t>
      </w:r>
      <w:r w:rsidR="003C1A99" w:rsidRPr="001B5017">
        <w:t>other</w:t>
      </w:r>
      <w:r w:rsidRPr="001B5017">
        <w:t xml:space="preserve"> parcels </w:t>
      </w:r>
      <w:r w:rsidR="003C1A99" w:rsidRPr="001B5017">
        <w:t>of land in S</w:t>
      </w:r>
      <w:r w:rsidRPr="001B5017">
        <w:t>eych</w:t>
      </w:r>
      <w:r w:rsidR="003C1A99" w:rsidRPr="001B5017">
        <w:t>e</w:t>
      </w:r>
      <w:r w:rsidRPr="001B5017">
        <w:t>lles</w:t>
      </w:r>
      <w:r w:rsidR="003C1A99" w:rsidRPr="001B5017">
        <w:t>,</w:t>
      </w:r>
      <w:r w:rsidRPr="001B5017">
        <w:t xml:space="preserve"> was originally</w:t>
      </w:r>
      <w:r w:rsidR="003C1A99" w:rsidRPr="001B5017">
        <w:t xml:space="preserve"> registered in the Register of D</w:t>
      </w:r>
      <w:r w:rsidRPr="001B5017">
        <w:t xml:space="preserve">eeds under the </w:t>
      </w:r>
      <w:r w:rsidR="00EC3A81" w:rsidRPr="001B5017">
        <w:t xml:space="preserve">(Old) </w:t>
      </w:r>
      <w:r w:rsidRPr="001B5017">
        <w:t>Mortgage and Registration Act</w:t>
      </w:r>
      <w:r w:rsidR="003C1A99" w:rsidRPr="001B5017">
        <w:t xml:space="preserve"> 1927 (MRA). It was transferred to the </w:t>
      </w:r>
      <w:r w:rsidR="00EC3A81" w:rsidRPr="001B5017">
        <w:t xml:space="preserve">(New) </w:t>
      </w:r>
      <w:r w:rsidR="003C1A99" w:rsidRPr="001B5017">
        <w:t>Land Register pursuant to the Land Registration Act 1967 (LRA)</w:t>
      </w:r>
      <w:r w:rsidR="00AA7894" w:rsidRPr="001B5017">
        <w:t xml:space="preserve"> on 21 June 1983</w:t>
      </w:r>
      <w:r w:rsidR="003C1A99" w:rsidRPr="001B5017">
        <w:t xml:space="preserve">. It further bears </w:t>
      </w:r>
      <w:r w:rsidR="00450475" w:rsidRPr="001B5017">
        <w:t>noting</w:t>
      </w:r>
      <w:r w:rsidR="003C1A99" w:rsidRPr="001B5017">
        <w:t xml:space="preserve"> that </w:t>
      </w:r>
      <w:r w:rsidR="00450475" w:rsidRPr="001B5017">
        <w:t>agents</w:t>
      </w:r>
      <w:r w:rsidR="003C1A99" w:rsidRPr="001B5017">
        <w:t xml:space="preserve"> can </w:t>
      </w:r>
      <w:r w:rsidR="00923E22" w:rsidRPr="001B5017">
        <w:t>only</w:t>
      </w:r>
      <w:r w:rsidR="003C1A99" w:rsidRPr="001B5017">
        <w:t xml:space="preserve"> </w:t>
      </w:r>
      <w:r w:rsidR="00923E22" w:rsidRPr="001B5017">
        <w:t>transfer</w:t>
      </w:r>
      <w:r w:rsidR="003C1A99" w:rsidRPr="001B5017">
        <w:t xml:space="preserve"> p</w:t>
      </w:r>
      <w:r w:rsidR="00923E22" w:rsidRPr="001B5017">
        <w:t>ro</w:t>
      </w:r>
      <w:r w:rsidR="003C1A99" w:rsidRPr="001B5017">
        <w:t>p</w:t>
      </w:r>
      <w:r w:rsidR="00923E22" w:rsidRPr="001B5017">
        <w:t>e</w:t>
      </w:r>
      <w:r w:rsidR="003C1A99" w:rsidRPr="001B5017">
        <w:t xml:space="preserve">rty under the LRA by </w:t>
      </w:r>
      <w:r w:rsidR="00450475" w:rsidRPr="001B5017">
        <w:t>“</w:t>
      </w:r>
      <w:r w:rsidR="00450475" w:rsidRPr="001B5017">
        <w:rPr>
          <w:lang w:val="en-US"/>
        </w:rPr>
        <w:t>an instrument in the prescribed form or in such other form as the Registrar may in any particular case approve” (see section</w:t>
      </w:r>
      <w:r w:rsidR="00FB62C2" w:rsidRPr="001B5017">
        <w:rPr>
          <w:lang w:val="en-US"/>
        </w:rPr>
        <w:t>s 60 and</w:t>
      </w:r>
      <w:r w:rsidR="00450475" w:rsidRPr="001B5017">
        <w:rPr>
          <w:lang w:val="en-US"/>
        </w:rPr>
        <w:t xml:space="preserve"> 70(2) of the LRA).</w:t>
      </w:r>
      <w:r w:rsidR="00EE3C50" w:rsidRPr="001B5017">
        <w:rPr>
          <w:lang w:val="en-US"/>
        </w:rPr>
        <w:t xml:space="preserve"> The prescribed form referred to </w:t>
      </w:r>
      <w:proofErr w:type="gramStart"/>
      <w:r w:rsidR="00EE3C50" w:rsidRPr="001B5017">
        <w:rPr>
          <w:lang w:val="en-US"/>
        </w:rPr>
        <w:t>is</w:t>
      </w:r>
      <w:proofErr w:type="gramEnd"/>
      <w:r w:rsidR="00EE3C50" w:rsidRPr="001B5017">
        <w:rPr>
          <w:lang w:val="en-US"/>
        </w:rPr>
        <w:t xml:space="preserve"> Form LR13 as contained in the LRA.</w:t>
      </w:r>
      <w:r w:rsidR="00AA37B3" w:rsidRPr="001B5017">
        <w:rPr>
          <w:lang w:val="en-US"/>
        </w:rPr>
        <w:t xml:space="preserve"> </w:t>
      </w:r>
      <w:r w:rsidR="00AA37B3" w:rsidRPr="001B5017">
        <w:t xml:space="preserve">It is emphasised </w:t>
      </w:r>
      <w:proofErr w:type="gramStart"/>
      <w:r w:rsidR="00EC3A81" w:rsidRPr="001B5017">
        <w:t>at this juncture</w:t>
      </w:r>
      <w:proofErr w:type="gramEnd"/>
      <w:r w:rsidR="00EC3A81" w:rsidRPr="001B5017">
        <w:t xml:space="preserve"> </w:t>
      </w:r>
      <w:r w:rsidR="00AA37B3" w:rsidRPr="001B5017">
        <w:t>that it is not in contention that at the time the Power of Attorney was granted, Parcel V 2062 was registered under the MRA.</w:t>
      </w:r>
    </w:p>
    <w:p w14:paraId="1C35386A" w14:textId="4F19C935" w:rsidR="004A0DC9" w:rsidRPr="001B5017" w:rsidRDefault="00567F5B" w:rsidP="00115E86">
      <w:pPr>
        <w:pStyle w:val="JudgmentText"/>
      </w:pPr>
      <w:r w:rsidRPr="001B5017">
        <w:t>Marie France died intestate on 28 November 2013. She had two surviving heirs: her two children, Rachel</w:t>
      </w:r>
      <w:r w:rsidR="004F6123" w:rsidRPr="001B5017">
        <w:t xml:space="preserve"> Duncan née </w:t>
      </w:r>
      <w:proofErr w:type="spellStart"/>
      <w:r w:rsidR="004F6123" w:rsidRPr="001B5017">
        <w:t>Padayachy</w:t>
      </w:r>
      <w:proofErr w:type="spellEnd"/>
      <w:r w:rsidRPr="001B5017">
        <w:t xml:space="preserve"> and Dermot</w:t>
      </w:r>
      <w:r w:rsidR="004F6123" w:rsidRPr="001B5017">
        <w:t xml:space="preserve"> </w:t>
      </w:r>
      <w:proofErr w:type="spellStart"/>
      <w:r w:rsidR="004F6123" w:rsidRPr="001B5017">
        <w:t>Padayachy</w:t>
      </w:r>
      <w:proofErr w:type="spellEnd"/>
      <w:r w:rsidRPr="001B5017">
        <w:t xml:space="preserve"> (the latter being the Respondent and Cross-Appellant</w:t>
      </w:r>
      <w:r w:rsidR="006767AB" w:rsidRPr="001B5017">
        <w:t xml:space="preserve">, hereinafter Mr. </w:t>
      </w:r>
      <w:proofErr w:type="spellStart"/>
      <w:r w:rsidR="006767AB" w:rsidRPr="001B5017">
        <w:t>Padayachy</w:t>
      </w:r>
      <w:proofErr w:type="spellEnd"/>
      <w:r w:rsidR="00EC3A81" w:rsidRPr="001B5017">
        <w:t xml:space="preserve">). </w:t>
      </w:r>
      <w:r w:rsidRPr="001B5017">
        <w:t xml:space="preserve">Parcel V2062 </w:t>
      </w:r>
      <w:proofErr w:type="gramStart"/>
      <w:r w:rsidRPr="001B5017">
        <w:t>was transmitted</w:t>
      </w:r>
      <w:proofErr w:type="gramEnd"/>
      <w:r w:rsidRPr="001B5017">
        <w:t xml:space="preserve"> after Marie-France’s death to </w:t>
      </w:r>
      <w:r w:rsidR="006767AB" w:rsidRPr="001B5017">
        <w:t xml:space="preserve">Mr. </w:t>
      </w:r>
      <w:proofErr w:type="spellStart"/>
      <w:r w:rsidR="006767AB" w:rsidRPr="001B5017">
        <w:t>Padayachy</w:t>
      </w:r>
      <w:proofErr w:type="spellEnd"/>
      <w:r w:rsidRPr="001B5017">
        <w:t xml:space="preserve"> and registered in his sole name on 8 June 2016, his sister Rachel having renounced all her legal rights and interests therein.</w:t>
      </w:r>
    </w:p>
    <w:p w14:paraId="39D0E5D3" w14:textId="1E0DB422" w:rsidR="00ED1867" w:rsidRPr="001B5017" w:rsidRDefault="00ED1867" w:rsidP="00ED1867">
      <w:pPr>
        <w:pStyle w:val="Jjmntheading1"/>
      </w:pPr>
      <w:r w:rsidRPr="001B5017">
        <w:t>The court proceedings</w:t>
      </w:r>
    </w:p>
    <w:p w14:paraId="63950C10" w14:textId="0AD45EF6" w:rsidR="00567F5B" w:rsidRPr="001B5017" w:rsidRDefault="00FB62C2" w:rsidP="00115E86">
      <w:pPr>
        <w:pStyle w:val="JudgmentText"/>
      </w:pPr>
      <w:r w:rsidRPr="001B5017">
        <w:t xml:space="preserve">Shortly </w:t>
      </w:r>
      <w:r w:rsidR="001B5017" w:rsidRPr="001B5017">
        <w:t>after Marie-France</w:t>
      </w:r>
      <w:r w:rsidR="00D83BC4">
        <w:t>’s</w:t>
      </w:r>
      <w:r w:rsidR="001B5017" w:rsidRPr="001B5017">
        <w:t xml:space="preserve"> death and after the transmission of the land to Mr. </w:t>
      </w:r>
      <w:proofErr w:type="spellStart"/>
      <w:r w:rsidR="001B5017" w:rsidRPr="001B5017">
        <w:t>Padayachy</w:t>
      </w:r>
      <w:proofErr w:type="spellEnd"/>
      <w:r w:rsidR="001B5017">
        <w:t>,</w:t>
      </w:r>
      <w:r w:rsidR="001B5017" w:rsidRPr="001B5017">
        <w:t xml:space="preserve"> Mrs.</w:t>
      </w:r>
      <w:r w:rsidR="006767AB" w:rsidRPr="001B5017">
        <w:t xml:space="preserve"> Jean-Baptiste</w:t>
      </w:r>
      <w:r w:rsidRPr="001B5017">
        <w:t xml:space="preserve"> filed a Plaint praying for a declaration that she was e</w:t>
      </w:r>
      <w:r w:rsidR="00BE78BC" w:rsidRPr="001B5017">
        <w:t>ntitled to half of Parcel V2062, as an heir to her mother’s estate.</w:t>
      </w:r>
      <w:r w:rsidRPr="001B5017">
        <w:t xml:space="preserve"> </w:t>
      </w:r>
      <w:proofErr w:type="gramStart"/>
      <w:r w:rsidRPr="001B5017">
        <w:t>She averred that the transfer of the property f</w:t>
      </w:r>
      <w:r w:rsidR="004F6123" w:rsidRPr="001B5017">
        <w:t>ro</w:t>
      </w:r>
      <w:r w:rsidRPr="001B5017">
        <w:t xml:space="preserve">m </w:t>
      </w:r>
      <w:r w:rsidR="00BE78BC" w:rsidRPr="001B5017">
        <w:t>her mother</w:t>
      </w:r>
      <w:r w:rsidRPr="001B5017">
        <w:t xml:space="preserve"> to </w:t>
      </w:r>
      <w:r w:rsidR="004F6123" w:rsidRPr="001B5017">
        <w:t>Marie</w:t>
      </w:r>
      <w:r w:rsidRPr="001B5017">
        <w:t>-France was null and void as a</w:t>
      </w:r>
      <w:r w:rsidR="004F6123" w:rsidRPr="001B5017">
        <w:t xml:space="preserve"> </w:t>
      </w:r>
      <w:r w:rsidRPr="001B5017">
        <w:t xml:space="preserve">result of the fact that the power of attorney </w:t>
      </w:r>
      <w:r w:rsidR="00EC3A81" w:rsidRPr="001B5017">
        <w:t>utilised</w:t>
      </w:r>
      <w:r w:rsidRPr="001B5017">
        <w:t xml:space="preserve"> for the transfer of the property was neither in the form prescribed by the LRA nor executed before a legal practitioner and in any event not in accordance with </w:t>
      </w:r>
      <w:r w:rsidRPr="001B5017">
        <w:lastRenderedPageBreak/>
        <w:t>section 60 of the LRA.</w:t>
      </w:r>
      <w:proofErr w:type="gramEnd"/>
      <w:r w:rsidRPr="001B5017">
        <w:t xml:space="preserve"> She further averred that no original certified copy of the power of attorney </w:t>
      </w:r>
      <w:proofErr w:type="gramStart"/>
      <w:r w:rsidRPr="001B5017">
        <w:t>was filed</w:t>
      </w:r>
      <w:proofErr w:type="gramEnd"/>
      <w:r w:rsidRPr="001B5017">
        <w:t xml:space="preserve"> in </w:t>
      </w:r>
      <w:r w:rsidR="00BE78BC" w:rsidRPr="001B5017">
        <w:t xml:space="preserve">the </w:t>
      </w:r>
      <w:r w:rsidRPr="001B5017">
        <w:t>File of Powers of Attorney in contravention of the LRA.</w:t>
      </w:r>
    </w:p>
    <w:p w14:paraId="5A10F8E6" w14:textId="1FBCE701" w:rsidR="004F6123" w:rsidRPr="001B5017" w:rsidRDefault="006767AB" w:rsidP="00115E86">
      <w:pPr>
        <w:pStyle w:val="JudgmentText"/>
      </w:pPr>
      <w:proofErr w:type="gramStart"/>
      <w:r w:rsidRPr="001B5017">
        <w:t xml:space="preserve">In his Statement of Defence, Mr. </w:t>
      </w:r>
      <w:proofErr w:type="spellStart"/>
      <w:r w:rsidRPr="001B5017">
        <w:t>Padayachy</w:t>
      </w:r>
      <w:proofErr w:type="spellEnd"/>
      <w:r w:rsidRPr="001B5017">
        <w:t xml:space="preserve"> pleaded inter alia, that the cause of action was barr</w:t>
      </w:r>
      <w:r w:rsidR="00041E97" w:rsidRPr="001B5017">
        <w:t>ed by prescription - first under A</w:t>
      </w:r>
      <w:r w:rsidRPr="001B5017">
        <w:t>rticle 2262 of the</w:t>
      </w:r>
      <w:r w:rsidR="00041E97" w:rsidRPr="001B5017">
        <w:t xml:space="preserve"> Civil C</w:t>
      </w:r>
      <w:r w:rsidRPr="001B5017">
        <w:t>ode of Seyche</w:t>
      </w:r>
      <w:r w:rsidR="00041E97" w:rsidRPr="001B5017">
        <w:t>lle</w:t>
      </w:r>
      <w:r w:rsidRPr="001B5017">
        <w:t>s as his mother</w:t>
      </w:r>
      <w:r w:rsidR="00041E97" w:rsidRPr="001B5017">
        <w:t xml:space="preserve"> had purchased the property by a deed of transfer, which had been duly registered, secondly, under Article 2265 of the Code, as his mother, his predecessor in title had purchased the property in good faith which deed of transfer had been duly registered</w:t>
      </w:r>
      <w:r w:rsidR="00EC3A81" w:rsidRPr="001B5017">
        <w:t>,</w:t>
      </w:r>
      <w:r w:rsidR="00041E97" w:rsidRPr="001B5017">
        <w:t xml:space="preserve"> and thirdly if indeed Mrs. Jean-Baptiste could impugn the transfer</w:t>
      </w:r>
      <w:r w:rsidR="001B5017" w:rsidRPr="001B5017">
        <w:t>,</w:t>
      </w:r>
      <w:r w:rsidR="00041E97" w:rsidRPr="001B5017">
        <w:t xml:space="preserve"> her action should have been brought within 5 years of the date of transfer.</w:t>
      </w:r>
      <w:proofErr w:type="gramEnd"/>
      <w:r w:rsidR="00041E97" w:rsidRPr="001B5017">
        <w:t xml:space="preserve"> </w:t>
      </w:r>
    </w:p>
    <w:p w14:paraId="56AE4C1E" w14:textId="2F69A44C" w:rsidR="00041E97" w:rsidRPr="001B5017" w:rsidRDefault="00AA7894" w:rsidP="00115E86">
      <w:pPr>
        <w:pStyle w:val="JudgmentText"/>
      </w:pPr>
      <w:r w:rsidRPr="001B5017">
        <w:t xml:space="preserve">He further pleaded that the Land Registrar was empowered to accept a document different from the prescribed forms under the </w:t>
      </w:r>
      <w:r w:rsidR="00EC3A81" w:rsidRPr="001B5017">
        <w:t xml:space="preserve">provisions of the </w:t>
      </w:r>
      <w:r w:rsidRPr="001B5017">
        <w:t>LRA</w:t>
      </w:r>
      <w:r w:rsidR="00EC3A81" w:rsidRPr="001B5017">
        <w:t>,</w:t>
      </w:r>
      <w:r w:rsidRPr="001B5017">
        <w:t xml:space="preserve"> and denied that the transfer was illegal.</w:t>
      </w:r>
    </w:p>
    <w:p w14:paraId="1842FC39" w14:textId="3FF72500" w:rsidR="00AA7894" w:rsidRPr="001B5017" w:rsidRDefault="00AA7894" w:rsidP="00AA7894">
      <w:pPr>
        <w:pStyle w:val="JudgmentText"/>
      </w:pPr>
      <w:r w:rsidRPr="001B5017">
        <w:t xml:space="preserve">He further pleaded that he and his predecessor in title had been in continuous and uninterrupted, peaceful, public, unequivocal and </w:t>
      </w:r>
      <w:r w:rsidRPr="001B5017">
        <w:rPr>
          <w:i/>
        </w:rPr>
        <w:t xml:space="preserve">animus </w:t>
      </w:r>
      <w:proofErr w:type="spellStart"/>
      <w:r w:rsidRPr="001B5017">
        <w:rPr>
          <w:i/>
        </w:rPr>
        <w:t>domini</w:t>
      </w:r>
      <w:proofErr w:type="spellEnd"/>
      <w:r w:rsidRPr="001B5017">
        <w:t xml:space="preserve"> possession of Title V2062 for more than twenty years and ha</w:t>
      </w:r>
      <w:r w:rsidR="00EC3A81" w:rsidRPr="001B5017">
        <w:t>d</w:t>
      </w:r>
      <w:r w:rsidRPr="001B5017">
        <w:t xml:space="preserve"> prescribed the same. </w:t>
      </w:r>
      <w:r w:rsidR="001B5017" w:rsidRPr="001B5017">
        <w:t>A</w:t>
      </w:r>
      <w:r w:rsidR="00ED1867" w:rsidRPr="001B5017">
        <w:t>lternatively</w:t>
      </w:r>
      <w:r w:rsidR="001B5017" w:rsidRPr="001B5017">
        <w:t>,</w:t>
      </w:r>
      <w:r w:rsidRPr="001B5017">
        <w:t xml:space="preserve"> that the </w:t>
      </w:r>
      <w:r w:rsidR="00ED1867" w:rsidRPr="001B5017">
        <w:t>title</w:t>
      </w:r>
      <w:r w:rsidRPr="001B5017">
        <w:t xml:space="preserve"> </w:t>
      </w:r>
      <w:proofErr w:type="gramStart"/>
      <w:r w:rsidRPr="001B5017">
        <w:t>had been acquired</w:t>
      </w:r>
      <w:proofErr w:type="gramEnd"/>
      <w:r w:rsidRPr="001B5017">
        <w:t xml:space="preserve"> for value an</w:t>
      </w:r>
      <w:r w:rsidR="00ED1867" w:rsidRPr="001B5017">
        <w:t xml:space="preserve">d </w:t>
      </w:r>
      <w:r w:rsidR="00EC3A81" w:rsidRPr="001B5017">
        <w:t>in g</w:t>
      </w:r>
      <w:r w:rsidRPr="001B5017">
        <w:t xml:space="preserve">ood faith </w:t>
      </w:r>
      <w:r w:rsidR="00ED1867" w:rsidRPr="001B5017">
        <w:t>and</w:t>
      </w:r>
      <w:r w:rsidRPr="001B5017">
        <w:t xml:space="preserve"> </w:t>
      </w:r>
      <w:r w:rsidR="00ED1867" w:rsidRPr="001B5017">
        <w:t xml:space="preserve">having been in their continuous and uninterrupted, peaceful, public, unequivocal and </w:t>
      </w:r>
      <w:r w:rsidR="00ED1867" w:rsidRPr="001B5017">
        <w:rPr>
          <w:i/>
        </w:rPr>
        <w:t xml:space="preserve">animus </w:t>
      </w:r>
      <w:proofErr w:type="spellStart"/>
      <w:r w:rsidR="00ED1867" w:rsidRPr="001B5017">
        <w:rPr>
          <w:i/>
        </w:rPr>
        <w:t>domini</w:t>
      </w:r>
      <w:proofErr w:type="spellEnd"/>
      <w:r w:rsidR="00ED1867" w:rsidRPr="001B5017">
        <w:t xml:space="preserve"> possession for more than ten years </w:t>
      </w:r>
      <w:r w:rsidRPr="001B5017">
        <w:t>ha</w:t>
      </w:r>
      <w:r w:rsidR="00EC3A81" w:rsidRPr="001B5017">
        <w:t>d</w:t>
      </w:r>
      <w:r w:rsidRPr="001B5017">
        <w:t xml:space="preserve"> prescribed the same under a </w:t>
      </w:r>
      <w:proofErr w:type="spellStart"/>
      <w:r w:rsidRPr="001B5017">
        <w:rPr>
          <w:i/>
        </w:rPr>
        <w:t>juste</w:t>
      </w:r>
      <w:proofErr w:type="spellEnd"/>
      <w:r w:rsidRPr="001B5017">
        <w:rPr>
          <w:i/>
        </w:rPr>
        <w:t xml:space="preserve"> titre.</w:t>
      </w:r>
      <w:r w:rsidRPr="001B5017">
        <w:t xml:space="preserve"> </w:t>
      </w:r>
    </w:p>
    <w:p w14:paraId="5AA5733E" w14:textId="2A6E4353" w:rsidR="00AA7894" w:rsidRPr="001B5017" w:rsidRDefault="00ED1867" w:rsidP="00115E86">
      <w:pPr>
        <w:pStyle w:val="JudgmentText"/>
      </w:pPr>
      <w:r w:rsidRPr="001B5017">
        <w:t xml:space="preserve">He prayed for </w:t>
      </w:r>
      <w:r w:rsidR="001B5017" w:rsidRPr="001B5017">
        <w:t xml:space="preserve">the </w:t>
      </w:r>
      <w:r w:rsidRPr="001B5017">
        <w:t>dismissal of the suit with costs.</w:t>
      </w:r>
    </w:p>
    <w:p w14:paraId="1D732D08" w14:textId="3AB6C9D9" w:rsidR="00ED1867" w:rsidRPr="001B5017" w:rsidRDefault="00ED1867" w:rsidP="00115E86">
      <w:pPr>
        <w:pStyle w:val="JudgmentText"/>
      </w:pPr>
      <w:proofErr w:type="gramStart"/>
      <w:r w:rsidRPr="001B5017">
        <w:t xml:space="preserve">The court </w:t>
      </w:r>
      <w:r w:rsidRPr="001B5017">
        <w:rPr>
          <w:i/>
        </w:rPr>
        <w:t>a quo</w:t>
      </w:r>
      <w:r w:rsidRPr="001B5017">
        <w:t xml:space="preserve"> after hearing evidence and submissions from the parties dismissed the Plaint</w:t>
      </w:r>
      <w:r w:rsidR="00EC3A81" w:rsidRPr="001B5017">
        <w:t>,</w:t>
      </w:r>
      <w:r w:rsidRPr="001B5017">
        <w:t xml:space="preserve"> finding that although the power of attorney by which Marie-France had purported to transfer Parcel V2062 was null and void for not having been in the prescribed form and not being registered pursuant to the provisions of the LRA, that </w:t>
      </w:r>
      <w:r w:rsidR="00BE78BC" w:rsidRPr="001B5017">
        <w:t xml:space="preserve">the </w:t>
      </w:r>
      <w:r w:rsidRPr="001B5017">
        <w:t xml:space="preserve">action brought by Mrs. Jean Baptiste was barred as it could not be </w:t>
      </w:r>
      <w:r w:rsidR="00F012F7" w:rsidRPr="001B5017">
        <w:t xml:space="preserve">said that she was exercising a </w:t>
      </w:r>
      <w:r w:rsidR="001B5017" w:rsidRPr="001B5017">
        <w:t>property right</w:t>
      </w:r>
      <w:r w:rsidR="00F012F7" w:rsidRPr="001B5017">
        <w:t xml:space="preserve"> but rather a personal claim against a titleholder which is prescribed after 5 years.</w:t>
      </w:r>
      <w:proofErr w:type="gramEnd"/>
    </w:p>
    <w:p w14:paraId="31E35D49" w14:textId="2F6AC244" w:rsidR="00F012F7" w:rsidRPr="001B5017" w:rsidRDefault="00F012F7" w:rsidP="00F012F7">
      <w:pPr>
        <w:pStyle w:val="Jjmntheading1"/>
      </w:pPr>
      <w:r w:rsidRPr="001B5017">
        <w:t>The appeal and cross</w:t>
      </w:r>
      <w:r w:rsidR="001B5017" w:rsidRPr="001B5017">
        <w:t>-</w:t>
      </w:r>
      <w:r w:rsidRPr="001B5017">
        <w:t>appeal</w:t>
      </w:r>
    </w:p>
    <w:p w14:paraId="67A05049" w14:textId="24B89CD1" w:rsidR="00F012F7" w:rsidRPr="001B5017" w:rsidRDefault="00F012F7" w:rsidP="00115E86">
      <w:pPr>
        <w:pStyle w:val="JudgmentText"/>
      </w:pPr>
      <w:r w:rsidRPr="001B5017">
        <w:t xml:space="preserve">Both parties being dissatisfied with the decision of the court </w:t>
      </w:r>
      <w:r w:rsidRPr="001B5017">
        <w:rPr>
          <w:i/>
        </w:rPr>
        <w:t>a quo</w:t>
      </w:r>
      <w:r w:rsidRPr="001B5017">
        <w:t xml:space="preserve"> have appealed. Mrs Jean-Baptiste has appealed on the following grounds</w:t>
      </w:r>
      <w:r w:rsidR="00B70E27" w:rsidRPr="001B5017">
        <w:t>:</w:t>
      </w:r>
    </w:p>
    <w:p w14:paraId="0C1C51A1" w14:textId="1F64EEEC" w:rsidR="00B70E27" w:rsidRPr="001B5017" w:rsidRDefault="00B70E27" w:rsidP="000C1903">
      <w:pPr>
        <w:pStyle w:val="NumberedQuotationindent1"/>
        <w:ind w:left="1843" w:hanging="425"/>
      </w:pPr>
      <w:r w:rsidRPr="001B5017">
        <w:lastRenderedPageBreak/>
        <w:t>The learned tr</w:t>
      </w:r>
      <w:r w:rsidR="0001209A" w:rsidRPr="001B5017">
        <w:t>ia</w:t>
      </w:r>
      <w:r w:rsidRPr="001B5017">
        <w:t xml:space="preserve">l judge erred in law in holding that the cause of action instituted by the Appellant was not an action </w:t>
      </w:r>
      <w:proofErr w:type="spellStart"/>
      <w:r w:rsidRPr="001B5017">
        <w:t>en</w:t>
      </w:r>
      <w:proofErr w:type="spellEnd"/>
      <w:r w:rsidRPr="001B5017">
        <w:t xml:space="preserve"> </w:t>
      </w:r>
      <w:proofErr w:type="spellStart"/>
      <w:r w:rsidRPr="001B5017">
        <w:t>revendication</w:t>
      </w:r>
      <w:proofErr w:type="spellEnd"/>
      <w:r w:rsidR="0001209A" w:rsidRPr="001B5017">
        <w:t>.</w:t>
      </w:r>
    </w:p>
    <w:p w14:paraId="77DDBC85" w14:textId="77777777" w:rsidR="0001209A" w:rsidRPr="001B5017" w:rsidRDefault="0001209A" w:rsidP="0001209A">
      <w:pPr>
        <w:pStyle w:val="NumberedQuotationindent1"/>
        <w:numPr>
          <w:ilvl w:val="0"/>
          <w:numId w:val="0"/>
        </w:numPr>
        <w:ind w:left="1800" w:hanging="360"/>
      </w:pPr>
    </w:p>
    <w:p w14:paraId="072BB0E9" w14:textId="793F2F74" w:rsidR="0001209A" w:rsidRPr="001B5017" w:rsidRDefault="0001209A" w:rsidP="000C1903">
      <w:pPr>
        <w:pStyle w:val="NumberedQuotationindent1"/>
        <w:ind w:left="1843" w:hanging="425"/>
      </w:pPr>
      <w:r w:rsidRPr="001B5017">
        <w:t xml:space="preserve">The learned trial judge erred in law in holding that the cause of action instituted by the Appellant </w:t>
      </w:r>
      <w:proofErr w:type="gramStart"/>
      <w:r w:rsidRPr="001B5017">
        <w:t>was prescribed</w:t>
      </w:r>
      <w:proofErr w:type="gramEnd"/>
      <w:r w:rsidRPr="001B5017">
        <w:t xml:space="preserve"> under Article 2271 of the Civil Code. </w:t>
      </w:r>
    </w:p>
    <w:p w14:paraId="31748A93" w14:textId="77777777" w:rsidR="0001209A" w:rsidRPr="001B5017" w:rsidRDefault="0001209A" w:rsidP="0001209A">
      <w:pPr>
        <w:pStyle w:val="NumberedQuotationindent1"/>
        <w:numPr>
          <w:ilvl w:val="0"/>
          <w:numId w:val="0"/>
        </w:numPr>
        <w:ind w:left="1800"/>
      </w:pPr>
    </w:p>
    <w:p w14:paraId="2CE8D3E5" w14:textId="60188D0F" w:rsidR="00B70E27" w:rsidRPr="001B5017" w:rsidRDefault="0001209A" w:rsidP="00115E86">
      <w:pPr>
        <w:pStyle w:val="JudgmentText"/>
      </w:pPr>
      <w:r w:rsidRPr="001B5017">
        <w:t xml:space="preserve">Mr. </w:t>
      </w:r>
      <w:proofErr w:type="spellStart"/>
      <w:r w:rsidRPr="001B5017">
        <w:t>Padayachy</w:t>
      </w:r>
      <w:proofErr w:type="spellEnd"/>
      <w:r w:rsidRPr="001B5017">
        <w:t xml:space="preserve"> has appealed on the following grounds:</w:t>
      </w:r>
    </w:p>
    <w:p w14:paraId="28E86F96" w14:textId="288821C5" w:rsidR="0001209A" w:rsidRPr="001B5017" w:rsidRDefault="0001209A" w:rsidP="0001209A">
      <w:pPr>
        <w:pStyle w:val="NumberedQuotationindent1"/>
        <w:numPr>
          <w:ilvl w:val="0"/>
          <w:numId w:val="18"/>
        </w:numPr>
      </w:pPr>
      <w:r w:rsidRPr="001B5017">
        <w:t xml:space="preserve">The learned trial judge was in error to hold that the notarial power of attorney dated 30 October 1978 registered on 16 November 1978 in Register A37 No </w:t>
      </w:r>
      <w:r w:rsidR="00517AAF" w:rsidRPr="001B5017">
        <w:t>1</w:t>
      </w:r>
      <w:r w:rsidRPr="001B5017">
        <w:t>989</w:t>
      </w:r>
      <w:r w:rsidR="00517AAF" w:rsidRPr="001B5017">
        <w:t xml:space="preserve"> at the Registry o</w:t>
      </w:r>
      <w:r w:rsidRPr="001B5017">
        <w:t xml:space="preserve">f Deeds </w:t>
      </w:r>
      <w:r w:rsidR="00517AAF" w:rsidRPr="001B5017">
        <w:t>in</w:t>
      </w:r>
      <w:r w:rsidRPr="001B5017">
        <w:t xml:space="preserve"> </w:t>
      </w:r>
      <w:r w:rsidR="00517AAF" w:rsidRPr="001B5017">
        <w:t>t</w:t>
      </w:r>
      <w:r w:rsidRPr="001B5017">
        <w:t>e</w:t>
      </w:r>
      <w:r w:rsidR="00517AAF" w:rsidRPr="001B5017">
        <w:t>r</w:t>
      </w:r>
      <w:r w:rsidRPr="001B5017">
        <w:t>ms of section 12</w:t>
      </w:r>
      <w:r w:rsidR="00517AAF" w:rsidRPr="001B5017">
        <w:t>(</w:t>
      </w:r>
      <w:r w:rsidRPr="001B5017">
        <w:t xml:space="preserve">1) of the Mortgage and Registration Act was void as </w:t>
      </w:r>
    </w:p>
    <w:p w14:paraId="439D17BC" w14:textId="25C11CB6" w:rsidR="0001209A" w:rsidRPr="001B5017" w:rsidRDefault="0001209A" w:rsidP="0001209A">
      <w:pPr>
        <w:pStyle w:val="NumberedQuotationindent1"/>
        <w:numPr>
          <w:ilvl w:val="1"/>
          <w:numId w:val="18"/>
        </w:numPr>
      </w:pPr>
      <w:r w:rsidRPr="001B5017">
        <w:t>It was not filed in the Register a</w:t>
      </w:r>
      <w:r w:rsidR="001332ED" w:rsidRPr="001B5017">
        <w:t>n</w:t>
      </w:r>
      <w:r w:rsidR="00EC3A81" w:rsidRPr="001B5017">
        <w:t>d F</w:t>
      </w:r>
      <w:r w:rsidRPr="001B5017">
        <w:t>ile of Powers of Attorney</w:t>
      </w:r>
    </w:p>
    <w:p w14:paraId="7F51A047" w14:textId="1B3CEB6E" w:rsidR="0001209A" w:rsidRPr="001B5017" w:rsidRDefault="0001209A" w:rsidP="0001209A">
      <w:pPr>
        <w:pStyle w:val="NumberedQuotationindent1"/>
        <w:numPr>
          <w:ilvl w:val="1"/>
          <w:numId w:val="18"/>
        </w:numPr>
      </w:pPr>
      <w:r w:rsidRPr="001B5017">
        <w:t xml:space="preserve">That in consequence, the transfer made pursuant to this power of Attorney was </w:t>
      </w:r>
      <w:proofErr w:type="gramStart"/>
      <w:r w:rsidRPr="001B5017">
        <w:t>null and void</w:t>
      </w:r>
      <w:proofErr w:type="gramEnd"/>
      <w:r w:rsidRPr="001B5017">
        <w:t>.</w:t>
      </w:r>
    </w:p>
    <w:p w14:paraId="1D039F26" w14:textId="77777777" w:rsidR="0001209A" w:rsidRPr="001B5017" w:rsidRDefault="0001209A" w:rsidP="0001209A">
      <w:pPr>
        <w:pStyle w:val="NumberedQuotationindent1"/>
        <w:numPr>
          <w:ilvl w:val="0"/>
          <w:numId w:val="0"/>
        </w:numPr>
        <w:ind w:left="1861"/>
      </w:pPr>
      <w:proofErr w:type="gramStart"/>
      <w:r w:rsidRPr="001B5017">
        <w:t>in</w:t>
      </w:r>
      <w:proofErr w:type="gramEnd"/>
      <w:r w:rsidRPr="001B5017">
        <w:t xml:space="preserve"> that</w:t>
      </w:r>
    </w:p>
    <w:p w14:paraId="54F45F9B" w14:textId="57C45BE7" w:rsidR="0001209A" w:rsidRPr="001B5017" w:rsidRDefault="000C6B63" w:rsidP="000C6B63">
      <w:pPr>
        <w:pStyle w:val="NumberedQuotationindent1"/>
        <w:numPr>
          <w:ilvl w:val="0"/>
          <w:numId w:val="21"/>
        </w:numPr>
      </w:pPr>
      <w:r w:rsidRPr="001B5017">
        <w:t>both the Power of Attorney</w:t>
      </w:r>
      <w:r w:rsidR="0001209A" w:rsidRPr="001B5017">
        <w:t xml:space="preserve"> an</w:t>
      </w:r>
      <w:r w:rsidRPr="001B5017">
        <w:t xml:space="preserve">d </w:t>
      </w:r>
      <w:r w:rsidR="0001209A" w:rsidRPr="001B5017">
        <w:t>the land in question in the year 1979 was register</w:t>
      </w:r>
      <w:r w:rsidRPr="001B5017">
        <w:t>e</w:t>
      </w:r>
      <w:r w:rsidR="0001209A" w:rsidRPr="001B5017">
        <w:t xml:space="preserve">d under the Mortgage and Registration Act and in any event form cannot take precedence over the substance of the Power </w:t>
      </w:r>
      <w:r w:rsidRPr="001B5017">
        <w:t>of Attorney</w:t>
      </w:r>
      <w:r w:rsidR="0001209A" w:rsidRPr="001B5017">
        <w:t xml:space="preserve"> </w:t>
      </w:r>
    </w:p>
    <w:p w14:paraId="650CA897" w14:textId="344485B0" w:rsidR="000C6B63" w:rsidRPr="001B5017" w:rsidRDefault="000C6B63" w:rsidP="000C6B63">
      <w:pPr>
        <w:pStyle w:val="NumberedQuotationindent1"/>
        <w:numPr>
          <w:ilvl w:val="0"/>
          <w:numId w:val="21"/>
        </w:numPr>
      </w:pPr>
      <w:proofErr w:type="gramStart"/>
      <w:r w:rsidRPr="001B5017">
        <w:t>the</w:t>
      </w:r>
      <w:proofErr w:type="gramEnd"/>
      <w:r w:rsidRPr="001B5017">
        <w:t xml:space="preserve"> Grantee of a Power of attorney cannot be held liable for the non-performance of an administrative function of the Registry of Deeds</w:t>
      </w:r>
      <w:r w:rsidR="00517AAF" w:rsidRPr="001B5017">
        <w:t>.</w:t>
      </w:r>
    </w:p>
    <w:p w14:paraId="7EADA73D" w14:textId="77777777" w:rsidR="00517AAF" w:rsidRPr="001B5017" w:rsidRDefault="00517AAF" w:rsidP="00517AAF">
      <w:pPr>
        <w:pStyle w:val="NumberedQuotationindent1"/>
        <w:numPr>
          <w:ilvl w:val="0"/>
          <w:numId w:val="0"/>
        </w:numPr>
        <w:ind w:left="2221" w:hanging="360"/>
      </w:pPr>
    </w:p>
    <w:p w14:paraId="5B5F7DFE" w14:textId="1E4E8733" w:rsidR="00517AAF" w:rsidRPr="001B5017" w:rsidRDefault="007606CC" w:rsidP="00517AAF">
      <w:pPr>
        <w:pStyle w:val="NumberedQuotationindent1"/>
        <w:numPr>
          <w:ilvl w:val="0"/>
          <w:numId w:val="0"/>
        </w:numPr>
        <w:ind w:left="1440"/>
      </w:pPr>
      <w:r w:rsidRPr="001B5017">
        <w:t>(2) The learned tr</w:t>
      </w:r>
      <w:r w:rsidR="00517AAF" w:rsidRPr="001B5017">
        <w:t>i</w:t>
      </w:r>
      <w:r w:rsidRPr="001B5017">
        <w:t>a</w:t>
      </w:r>
      <w:r w:rsidR="00517AAF" w:rsidRPr="001B5017">
        <w:t xml:space="preserve">l judge was in error not to consider and hold that </w:t>
      </w:r>
    </w:p>
    <w:p w14:paraId="098451D8" w14:textId="691ADAC5" w:rsidR="00517AAF" w:rsidRPr="001B5017" w:rsidRDefault="00517AAF" w:rsidP="007606CC">
      <w:pPr>
        <w:pStyle w:val="NumberedQuotationindent1"/>
        <w:numPr>
          <w:ilvl w:val="0"/>
          <w:numId w:val="0"/>
        </w:numPr>
        <w:ind w:left="1861"/>
      </w:pPr>
      <w:proofErr w:type="gramStart"/>
      <w:r w:rsidRPr="001B5017">
        <w:t>alternatively</w:t>
      </w:r>
      <w:proofErr w:type="gramEnd"/>
      <w:r w:rsidRPr="001B5017">
        <w:t>, the Respondent had acquired the property by acquisitive prescription of 20 years and/or 10 years, or its claim defeated by the prescription of 20 years and/or 10 years.</w:t>
      </w:r>
    </w:p>
    <w:p w14:paraId="1EABDA8E" w14:textId="7A265EE5" w:rsidR="000C6B63" w:rsidRPr="001B5017" w:rsidRDefault="000C6B63" w:rsidP="000C6B63">
      <w:pPr>
        <w:pStyle w:val="NumberedQuotationindent1"/>
        <w:numPr>
          <w:ilvl w:val="0"/>
          <w:numId w:val="0"/>
        </w:numPr>
        <w:ind w:left="2160"/>
      </w:pPr>
    </w:p>
    <w:p w14:paraId="663952AC" w14:textId="32F11584" w:rsidR="00C43ED8" w:rsidRPr="001B5017" w:rsidRDefault="00C43ED8" w:rsidP="00C43ED8">
      <w:pPr>
        <w:pStyle w:val="Jjmntheading1"/>
      </w:pPr>
      <w:r w:rsidRPr="001B5017">
        <w:t>The validity of the power of attorney to effect the transfer of Parcel V2062</w:t>
      </w:r>
    </w:p>
    <w:p w14:paraId="5EF4FA40" w14:textId="2C6D7E6E" w:rsidR="0001209A" w:rsidRPr="001B5017" w:rsidRDefault="001B5017" w:rsidP="00115E86">
      <w:pPr>
        <w:pStyle w:val="JudgmentText"/>
      </w:pPr>
      <w:proofErr w:type="gramStart"/>
      <w:r w:rsidRPr="001B5017">
        <w:t>Notwithstanding the grounds appeal relating to causes of action and prescription, it</w:t>
      </w:r>
      <w:r w:rsidR="00517AAF" w:rsidRPr="001B5017">
        <w:t xml:space="preserve"> seems to me that the burning issue to be resolved in the present appeals </w:t>
      </w:r>
      <w:r w:rsidR="001332ED" w:rsidRPr="001B5017">
        <w:t xml:space="preserve">is whether a Power of Attorney filed in the Register </w:t>
      </w:r>
      <w:r w:rsidR="00C43ED8" w:rsidRPr="001B5017">
        <w:t xml:space="preserve">with the Registrar of Deeds under the MRA in </w:t>
      </w:r>
      <w:r w:rsidR="001332ED" w:rsidRPr="001B5017">
        <w:t>respect of property registered under the MRA can be used to effect</w:t>
      </w:r>
      <w:r w:rsidR="00C43ED8" w:rsidRPr="001B5017">
        <w:t xml:space="preserve"> the</w:t>
      </w:r>
      <w:r w:rsidR="001332ED" w:rsidRPr="001B5017">
        <w:t xml:space="preserve"> transfer of property </w:t>
      </w:r>
      <w:r w:rsidR="00C43ED8" w:rsidRPr="001B5017">
        <w:t xml:space="preserve">after the same property has been transferred to the (New) Land Register </w:t>
      </w:r>
      <w:r w:rsidR="001332ED" w:rsidRPr="001B5017">
        <w:t>under the LRA.</w:t>
      </w:r>
      <w:proofErr w:type="gramEnd"/>
      <w:r w:rsidR="00C43ED8" w:rsidRPr="001B5017">
        <w:t xml:space="preserve"> </w:t>
      </w:r>
      <w:proofErr w:type="gramStart"/>
      <w:r w:rsidR="00C43ED8" w:rsidRPr="001B5017">
        <w:t xml:space="preserve">The other issues raised in the grounds of appeal are peripheral to the validity of the transfer of V2062 from Antonia to Marie-France </w:t>
      </w:r>
      <w:r w:rsidR="00D83BC4">
        <w:t>and indeed the validity of the Power of A</w:t>
      </w:r>
      <w:r w:rsidR="00C43ED8" w:rsidRPr="001B5017">
        <w:t xml:space="preserve">ttorney and </w:t>
      </w:r>
      <w:r w:rsidR="00AA37B3" w:rsidRPr="001B5017">
        <w:t xml:space="preserve">need </w:t>
      </w:r>
      <w:r w:rsidR="00C43ED8" w:rsidRPr="001B5017">
        <w:t xml:space="preserve">not be addressed if I </w:t>
      </w:r>
      <w:r w:rsidR="00AA37B3" w:rsidRPr="001B5017">
        <w:t>find</w:t>
      </w:r>
      <w:r w:rsidR="00C43ED8" w:rsidRPr="001B5017">
        <w:t xml:space="preserve"> tha</w:t>
      </w:r>
      <w:r w:rsidR="00AA37B3" w:rsidRPr="001B5017">
        <w:t>t t</w:t>
      </w:r>
      <w:r w:rsidR="00C43ED8" w:rsidRPr="001B5017">
        <w:t>h</w:t>
      </w:r>
      <w:r w:rsidR="00AA37B3" w:rsidRPr="001B5017">
        <w:t>e P</w:t>
      </w:r>
      <w:r w:rsidR="00C43ED8" w:rsidRPr="001B5017">
        <w:t>ower o</w:t>
      </w:r>
      <w:r w:rsidR="00AA37B3" w:rsidRPr="001B5017">
        <w:t>f</w:t>
      </w:r>
      <w:r w:rsidR="00C43ED8" w:rsidRPr="001B5017">
        <w:t xml:space="preserve"> </w:t>
      </w:r>
      <w:r w:rsidR="00AA37B3" w:rsidRPr="001B5017">
        <w:t>Attorney</w:t>
      </w:r>
      <w:r w:rsidR="00C43ED8" w:rsidRPr="001B5017">
        <w:t xml:space="preserve"> was legal and </w:t>
      </w:r>
      <w:r w:rsidR="00AA37B3" w:rsidRPr="001B5017">
        <w:t>valid</w:t>
      </w:r>
      <w:r w:rsidR="00C43ED8" w:rsidRPr="001B5017">
        <w:t xml:space="preserve"> to effect </w:t>
      </w:r>
      <w:r w:rsidR="00180E54" w:rsidRPr="001B5017">
        <w:t xml:space="preserve">a </w:t>
      </w:r>
      <w:r w:rsidR="00C43ED8" w:rsidRPr="001B5017">
        <w:t>t</w:t>
      </w:r>
      <w:r w:rsidR="00AA37B3" w:rsidRPr="001B5017">
        <w:t>r</w:t>
      </w:r>
      <w:r w:rsidR="00C43ED8" w:rsidRPr="001B5017">
        <w:t>an</w:t>
      </w:r>
      <w:r w:rsidR="00AA37B3" w:rsidRPr="001B5017">
        <w:t>s</w:t>
      </w:r>
      <w:r w:rsidR="00C43ED8" w:rsidRPr="001B5017">
        <w:t xml:space="preserve">fer of land under the LRA in the </w:t>
      </w:r>
      <w:r w:rsidR="00AA37B3" w:rsidRPr="001B5017">
        <w:t>circumstances</w:t>
      </w:r>
      <w:r w:rsidR="00C43ED8" w:rsidRPr="001B5017">
        <w:t xml:space="preserve"> </w:t>
      </w:r>
      <w:r w:rsidR="00AA37B3" w:rsidRPr="001B5017">
        <w:t>of</w:t>
      </w:r>
      <w:r w:rsidR="00C43ED8" w:rsidRPr="001B5017">
        <w:t xml:space="preserve"> this ca</w:t>
      </w:r>
      <w:r w:rsidR="00AA37B3" w:rsidRPr="001B5017">
        <w:t>se.</w:t>
      </w:r>
      <w:proofErr w:type="gramEnd"/>
      <w:r w:rsidR="00AA37B3" w:rsidRPr="001B5017">
        <w:t xml:space="preserve"> </w:t>
      </w:r>
    </w:p>
    <w:p w14:paraId="3CF60D43" w14:textId="6D29244E" w:rsidR="00C43ED8" w:rsidRPr="001B5017" w:rsidRDefault="00AA37B3" w:rsidP="00115E86">
      <w:pPr>
        <w:pStyle w:val="JudgmentText"/>
      </w:pPr>
      <w:r w:rsidRPr="001B5017">
        <w:lastRenderedPageBreak/>
        <w:t xml:space="preserve">It is the submission of </w:t>
      </w:r>
      <w:r w:rsidR="00135A3A" w:rsidRPr="001B5017">
        <w:t xml:space="preserve">Mr. Hoareau, Counsel </w:t>
      </w:r>
      <w:r w:rsidR="001B5017">
        <w:t xml:space="preserve">for </w:t>
      </w:r>
      <w:r w:rsidR="00135A3A" w:rsidRPr="001B5017">
        <w:t>Mrs. Jean Baptiste</w:t>
      </w:r>
      <w:r w:rsidRPr="001B5017">
        <w:t xml:space="preserve"> </w:t>
      </w:r>
      <w:r w:rsidR="00135A3A" w:rsidRPr="001B5017">
        <w:t xml:space="preserve">that </w:t>
      </w:r>
      <w:r w:rsidR="00BA78B1" w:rsidRPr="001B5017">
        <w:t xml:space="preserve">the provisions of the LRA in respect of Powers of Attorney are mandatory and failure to comply with them or to execute transfers of property using legally deficient Powers of Attorney would nullify such transactions. </w:t>
      </w:r>
    </w:p>
    <w:p w14:paraId="1D70BE63" w14:textId="77288B64" w:rsidR="00BA78B1" w:rsidRPr="001B5017" w:rsidRDefault="00BA78B1" w:rsidP="00BA78B1">
      <w:pPr>
        <w:pStyle w:val="JudgmentText"/>
      </w:pPr>
      <w:r w:rsidRPr="001B5017">
        <w:t>It is at this stage important to bring these provisions to light. Section</w:t>
      </w:r>
      <w:r w:rsidR="000C1903" w:rsidRPr="001B5017">
        <w:t>s</w:t>
      </w:r>
      <w:r w:rsidRPr="001B5017">
        <w:t xml:space="preserve"> 60</w:t>
      </w:r>
      <w:r w:rsidR="000C1903" w:rsidRPr="001B5017">
        <w:t xml:space="preserve"> and 70</w:t>
      </w:r>
      <w:r w:rsidR="007606CC" w:rsidRPr="001B5017">
        <w:t xml:space="preserve"> of the LRA provide</w:t>
      </w:r>
      <w:r w:rsidRPr="001B5017">
        <w:t xml:space="preserve"> in relevant part: </w:t>
      </w:r>
    </w:p>
    <w:p w14:paraId="693DFFA9" w14:textId="7C941CE5" w:rsidR="000C1903" w:rsidRPr="001B5017" w:rsidRDefault="007606CC" w:rsidP="000C1903">
      <w:pPr>
        <w:pStyle w:val="NumberedQuotationindent1"/>
        <w:numPr>
          <w:ilvl w:val="0"/>
          <w:numId w:val="0"/>
        </w:numPr>
        <w:ind w:left="1123"/>
      </w:pPr>
      <w:r w:rsidRPr="001B5017">
        <w:t xml:space="preserve">“Section </w:t>
      </w:r>
      <w:r w:rsidR="000C1903" w:rsidRPr="001B5017">
        <w:t xml:space="preserve">60 (1) Every instrument evidencing a disposition and executed in Seychelles shall be executed in the presence of a notary, barrister, attorney, magistrate, Justice of the Peace, a duly appointed Government Representative, or the Registrar, </w:t>
      </w:r>
      <w:r w:rsidR="000C1903" w:rsidRPr="001B5017">
        <w:rPr>
          <w:u w:val="single"/>
        </w:rPr>
        <w:t>who shall attest the execution in the prescribed form</w:t>
      </w:r>
      <w:r w:rsidR="000C1903" w:rsidRPr="001B5017">
        <w:t>…</w:t>
      </w:r>
    </w:p>
    <w:p w14:paraId="03C99F68" w14:textId="77777777" w:rsidR="000C1903" w:rsidRPr="001B5017" w:rsidRDefault="000C1903" w:rsidP="000C1903">
      <w:pPr>
        <w:pStyle w:val="NumberedQuotationindent1"/>
        <w:numPr>
          <w:ilvl w:val="0"/>
          <w:numId w:val="0"/>
        </w:numPr>
        <w:ind w:left="1123"/>
      </w:pPr>
    </w:p>
    <w:p w14:paraId="7DCF7453" w14:textId="49703054" w:rsidR="000C1903" w:rsidRPr="001B5017" w:rsidRDefault="000C1903" w:rsidP="000C1903">
      <w:pPr>
        <w:pStyle w:val="Quote"/>
        <w:ind w:left="1134" w:hanging="1134"/>
        <w:rPr>
          <w:rFonts w:ascii="Times New Roman" w:hAnsi="Times New Roman" w:cs="Times New Roman"/>
          <w:sz w:val="24"/>
          <w:szCs w:val="24"/>
        </w:rPr>
      </w:pPr>
      <w:r w:rsidRPr="001B5017">
        <w:rPr>
          <w:rFonts w:ascii="Times New Roman" w:hAnsi="Times New Roman" w:cs="Times New Roman"/>
          <w:sz w:val="24"/>
          <w:szCs w:val="24"/>
        </w:rPr>
        <w:tab/>
      </w:r>
      <w:proofErr w:type="gramStart"/>
      <w:r w:rsidRPr="001B5017">
        <w:rPr>
          <w:rFonts w:ascii="Times New Roman" w:hAnsi="Times New Roman" w:cs="Times New Roman"/>
          <w:sz w:val="24"/>
          <w:szCs w:val="24"/>
        </w:rPr>
        <w:t xml:space="preserve">70 (1) Upon the application of the donor or the </w:t>
      </w:r>
      <w:proofErr w:type="spellStart"/>
      <w:r w:rsidRPr="001B5017">
        <w:rPr>
          <w:rFonts w:ascii="Times New Roman" w:hAnsi="Times New Roman" w:cs="Times New Roman"/>
          <w:sz w:val="24"/>
          <w:szCs w:val="24"/>
        </w:rPr>
        <w:t>donee</w:t>
      </w:r>
      <w:proofErr w:type="spellEnd"/>
      <w:r w:rsidRPr="001B5017">
        <w:rPr>
          <w:rFonts w:ascii="Times New Roman" w:hAnsi="Times New Roman" w:cs="Times New Roman"/>
          <w:sz w:val="24"/>
          <w:szCs w:val="24"/>
        </w:rPr>
        <w:t xml:space="preserve"> of a power of attorney which contains any power to dispose of any interest in land, such power of attorney </w:t>
      </w:r>
      <w:r w:rsidRPr="001B5017">
        <w:rPr>
          <w:rFonts w:ascii="Times New Roman" w:hAnsi="Times New Roman" w:cs="Times New Roman"/>
          <w:sz w:val="24"/>
          <w:szCs w:val="24"/>
          <w:u w:val="single"/>
        </w:rPr>
        <w:t>shall</w:t>
      </w:r>
      <w:r w:rsidRPr="001B5017">
        <w:rPr>
          <w:rFonts w:ascii="Times New Roman" w:hAnsi="Times New Roman" w:cs="Times New Roman"/>
          <w:sz w:val="24"/>
          <w:szCs w:val="24"/>
        </w:rPr>
        <w:t xml:space="preserve"> be entered in the register of powers of attorney and the original, or with the consent of the Registrar a copy thereof certified by the Registrar, shall be filed in the file of powers of attorney.</w:t>
      </w:r>
      <w:proofErr w:type="gramEnd"/>
    </w:p>
    <w:p w14:paraId="7BD98043" w14:textId="67F17F3E" w:rsidR="000C1903" w:rsidRPr="001B5017" w:rsidRDefault="000C1903" w:rsidP="000C1903">
      <w:pPr>
        <w:pStyle w:val="Quote"/>
        <w:ind w:left="1134"/>
        <w:rPr>
          <w:rFonts w:ascii="Times New Roman" w:hAnsi="Times New Roman" w:cs="Times New Roman"/>
          <w:sz w:val="24"/>
          <w:szCs w:val="24"/>
        </w:rPr>
      </w:pPr>
      <w:r w:rsidRPr="001B5017">
        <w:rPr>
          <w:rFonts w:ascii="Times New Roman" w:hAnsi="Times New Roman" w:cs="Times New Roman"/>
          <w:sz w:val="24"/>
          <w:szCs w:val="24"/>
        </w:rPr>
        <w:t>(2) Every such power of attorney shall be in the prescribed form</w:t>
      </w:r>
      <w:r w:rsidRPr="001B5017">
        <w:rPr>
          <w:rFonts w:ascii="Times New Roman" w:hAnsi="Times New Roman" w:cs="Times New Roman"/>
          <w:sz w:val="24"/>
          <w:szCs w:val="24"/>
          <w:u w:val="single"/>
        </w:rPr>
        <w:t xml:space="preserve"> or such other form as the Registrar may in any particular case approve</w:t>
      </w:r>
      <w:r w:rsidRPr="001B5017">
        <w:rPr>
          <w:rFonts w:ascii="Times New Roman" w:hAnsi="Times New Roman" w:cs="Times New Roman"/>
          <w:sz w:val="24"/>
          <w:szCs w:val="24"/>
        </w:rPr>
        <w:t>, and shall be executed and attested in accordance with section 60.</w:t>
      </w:r>
      <w:r w:rsidR="007606CC" w:rsidRPr="001B5017">
        <w:rPr>
          <w:rFonts w:ascii="Times New Roman" w:hAnsi="Times New Roman" w:cs="Times New Roman"/>
          <w:sz w:val="24"/>
          <w:szCs w:val="24"/>
        </w:rPr>
        <w:t>” (Emphasis added)</w:t>
      </w:r>
    </w:p>
    <w:p w14:paraId="407E7FB2" w14:textId="77777777" w:rsidR="00275649" w:rsidRPr="001B5017" w:rsidRDefault="00275649" w:rsidP="00275649">
      <w:pPr>
        <w:rPr>
          <w:rFonts w:ascii="Times New Roman" w:hAnsi="Times New Roman" w:cs="Times New Roman"/>
          <w:sz w:val="24"/>
          <w:szCs w:val="24"/>
        </w:rPr>
      </w:pPr>
    </w:p>
    <w:p w14:paraId="255B9210" w14:textId="05C08391" w:rsidR="00275649" w:rsidRPr="001B5017" w:rsidRDefault="001B5017" w:rsidP="00115E86">
      <w:pPr>
        <w:pStyle w:val="JudgmentText"/>
      </w:pPr>
      <w:proofErr w:type="gramStart"/>
      <w:r>
        <w:t xml:space="preserve">In Mr. </w:t>
      </w:r>
      <w:proofErr w:type="spellStart"/>
      <w:r>
        <w:t>Hoareau’s</w:t>
      </w:r>
      <w:proofErr w:type="spellEnd"/>
      <w:r>
        <w:t xml:space="preserve"> submissions, wh</w:t>
      </w:r>
      <w:r w:rsidR="00275649" w:rsidRPr="001B5017">
        <w:t xml:space="preserve">at can be gleaned from the above </w:t>
      </w:r>
      <w:r>
        <w:t xml:space="preserve">provisions with </w:t>
      </w:r>
      <w:r w:rsidR="00275649" w:rsidRPr="001B5017">
        <w:t xml:space="preserve">respect </w:t>
      </w:r>
      <w:r>
        <w:t>to</w:t>
      </w:r>
      <w:r w:rsidR="00275649" w:rsidRPr="001B5017">
        <w:t xml:space="preserve"> the particular circumstances of the present appeal</w:t>
      </w:r>
      <w:r w:rsidR="00135A3A" w:rsidRPr="001B5017">
        <w:t>,</w:t>
      </w:r>
      <w:r w:rsidR="00275649" w:rsidRPr="001B5017">
        <w:t xml:space="preserve"> is that if a transfer was to be effected in respect of Parcel V2062, both the </w:t>
      </w:r>
      <w:r w:rsidR="00135A3A" w:rsidRPr="001B5017">
        <w:t xml:space="preserve">instrument of </w:t>
      </w:r>
      <w:r w:rsidR="00275649" w:rsidRPr="001B5017">
        <w:t xml:space="preserve">transfer and the Power of Attorney permitting Marie-France to execute the transfer on behalf of Antonia would have to be signed before one of the legal practitioners listed in section </w:t>
      </w:r>
      <w:r w:rsidR="002A5477" w:rsidRPr="001B5017">
        <w:t xml:space="preserve">60 and that the Power of Attorney would have to </w:t>
      </w:r>
      <w:r w:rsidR="00135A3A" w:rsidRPr="001B5017">
        <w:t xml:space="preserve">be </w:t>
      </w:r>
      <w:r w:rsidR="002A5477" w:rsidRPr="001B5017">
        <w:t>entered in the Register of Powers of Attorney with an original or duly certified copy of the original filed in the register</w:t>
      </w:r>
      <w:r w:rsidR="00135A3A" w:rsidRPr="001B5017">
        <w:t xml:space="preserve"> under the LRA</w:t>
      </w:r>
      <w:r w:rsidR="002A5477" w:rsidRPr="001B5017">
        <w:t>.</w:t>
      </w:r>
      <w:proofErr w:type="gramEnd"/>
      <w:r w:rsidR="002A5477" w:rsidRPr="001B5017">
        <w:t xml:space="preserve"> The Power of Attorney filed would have to be in the prescribed form, (namely Form LR13</w:t>
      </w:r>
      <w:r w:rsidR="00D83BC4">
        <w:t>) or in a form approved by the R</w:t>
      </w:r>
      <w:r w:rsidR="002A5477" w:rsidRPr="001B5017">
        <w:t xml:space="preserve">egistrar. </w:t>
      </w:r>
    </w:p>
    <w:p w14:paraId="7A16B5DE" w14:textId="085FF74F" w:rsidR="001B5017" w:rsidRPr="001B5017" w:rsidRDefault="001B5017" w:rsidP="003C0D7A">
      <w:pPr>
        <w:pStyle w:val="JudgmentText"/>
      </w:pPr>
      <w:r>
        <w:t>After having</w:t>
      </w:r>
      <w:r w:rsidR="002A5477" w:rsidRPr="001B5017">
        <w:t xml:space="preserve"> </w:t>
      </w:r>
      <w:r>
        <w:t>scrutinised</w:t>
      </w:r>
      <w:r w:rsidR="002A5477" w:rsidRPr="001B5017">
        <w:t xml:space="preserve"> the transcript of proceedings of the court </w:t>
      </w:r>
      <w:r w:rsidR="002A5477" w:rsidRPr="001B5017">
        <w:rPr>
          <w:i/>
        </w:rPr>
        <w:t>a quo</w:t>
      </w:r>
      <w:r w:rsidR="002A5477" w:rsidRPr="001B5017">
        <w:t xml:space="preserve"> and the exhibits </w:t>
      </w:r>
      <w:r>
        <w:t xml:space="preserve">therein, </w:t>
      </w:r>
      <w:r w:rsidR="002A5477" w:rsidRPr="001B5017">
        <w:t xml:space="preserve">I note that Exhibit P5, a general Power of Attorney </w:t>
      </w:r>
      <w:proofErr w:type="gramStart"/>
      <w:r w:rsidR="002A5477" w:rsidRPr="001B5017">
        <w:t xml:space="preserve">was signed before Notary </w:t>
      </w:r>
      <w:proofErr w:type="spellStart"/>
      <w:r w:rsidR="002A5477" w:rsidRPr="001B5017">
        <w:t>Ramnikal</w:t>
      </w:r>
      <w:proofErr w:type="spellEnd"/>
      <w:r w:rsidR="002A5477" w:rsidRPr="001B5017">
        <w:t xml:space="preserve"> </w:t>
      </w:r>
      <w:proofErr w:type="spellStart"/>
      <w:r w:rsidR="002A5477" w:rsidRPr="001B5017">
        <w:t>Valabji</w:t>
      </w:r>
      <w:proofErr w:type="spellEnd"/>
      <w:r w:rsidR="002A5477" w:rsidRPr="001B5017">
        <w:t xml:space="preserve"> on 30</w:t>
      </w:r>
      <w:r w:rsidR="002A5477" w:rsidRPr="001B5017">
        <w:rPr>
          <w:vertAlign w:val="superscript"/>
        </w:rPr>
        <w:t>th</w:t>
      </w:r>
      <w:r w:rsidR="002A5477" w:rsidRPr="001B5017">
        <w:t xml:space="preserve"> October 1978 and registered on 16 November 1978 in Register A37 No 1989 at the Registry of Deeds</w:t>
      </w:r>
      <w:proofErr w:type="gramEnd"/>
      <w:r w:rsidR="002A5477" w:rsidRPr="001B5017">
        <w:t>. I also note that the said re</w:t>
      </w:r>
      <w:r w:rsidR="00180E54" w:rsidRPr="001B5017">
        <w:t>gistered P</w:t>
      </w:r>
      <w:r w:rsidR="002A5477" w:rsidRPr="001B5017">
        <w:t xml:space="preserve">ower of Attorney </w:t>
      </w:r>
      <w:r w:rsidR="002A5477" w:rsidRPr="001B5017">
        <w:lastRenderedPageBreak/>
        <w:t xml:space="preserve">is cited in the </w:t>
      </w:r>
      <w:r w:rsidR="00180E54" w:rsidRPr="001B5017">
        <w:t xml:space="preserve">instrument of </w:t>
      </w:r>
      <w:r w:rsidR="002A5477" w:rsidRPr="001B5017">
        <w:t>T</w:t>
      </w:r>
      <w:r w:rsidR="00180E54" w:rsidRPr="001B5017">
        <w:t>r</w:t>
      </w:r>
      <w:r w:rsidR="002A5477" w:rsidRPr="001B5017">
        <w:t>an</w:t>
      </w:r>
      <w:r w:rsidR="00180E54" w:rsidRPr="001B5017">
        <w:t>s</w:t>
      </w:r>
      <w:r w:rsidR="002A5477" w:rsidRPr="001B5017">
        <w:t xml:space="preserve">fer </w:t>
      </w:r>
      <w:r w:rsidR="00180E54" w:rsidRPr="001B5017">
        <w:t>of Title V2062</w:t>
      </w:r>
      <w:r w:rsidR="003C0D7A" w:rsidRPr="001B5017">
        <w:rPr>
          <w:rFonts w:eastAsia="Calibri"/>
        </w:rPr>
        <w:t xml:space="preserve"> </w:t>
      </w:r>
      <w:r w:rsidR="00AA6683" w:rsidRPr="001B5017">
        <w:rPr>
          <w:rFonts w:eastAsia="Calibri"/>
        </w:rPr>
        <w:t>signed before Attorney Anthony Juliette on 6 April 1993</w:t>
      </w:r>
      <w:r>
        <w:rPr>
          <w:rFonts w:eastAsia="Calibri"/>
        </w:rPr>
        <w:t xml:space="preserve"> namely:</w:t>
      </w:r>
    </w:p>
    <w:p w14:paraId="03D12607" w14:textId="7567F4E8" w:rsidR="001B5017" w:rsidRDefault="001B5017" w:rsidP="001B5017">
      <w:pPr>
        <w:pStyle w:val="NumberedQuotationindent1"/>
        <w:numPr>
          <w:ilvl w:val="0"/>
          <w:numId w:val="0"/>
        </w:numPr>
        <w:ind w:left="1861"/>
        <w:jc w:val="center"/>
      </w:pPr>
      <w:r>
        <w:t>THE LAND REGISTRATION ACT</w:t>
      </w:r>
    </w:p>
    <w:p w14:paraId="375F5D0C" w14:textId="7EDE70D6" w:rsidR="001B5017" w:rsidRDefault="001B5017" w:rsidP="001B5017">
      <w:pPr>
        <w:pStyle w:val="NumberedQuotationindent1"/>
        <w:numPr>
          <w:ilvl w:val="0"/>
          <w:numId w:val="0"/>
        </w:numPr>
        <w:ind w:left="1861"/>
        <w:jc w:val="center"/>
      </w:pPr>
      <w:r>
        <w:t>TRANSFER OF LAND</w:t>
      </w:r>
    </w:p>
    <w:p w14:paraId="369BB030" w14:textId="47628168" w:rsidR="001B5017" w:rsidRDefault="001B5017" w:rsidP="001B5017">
      <w:pPr>
        <w:pStyle w:val="NumberedQuotationindent1"/>
        <w:numPr>
          <w:ilvl w:val="0"/>
          <w:numId w:val="0"/>
        </w:numPr>
        <w:ind w:left="1861"/>
        <w:jc w:val="left"/>
      </w:pPr>
      <w:r>
        <w:t>TITLE No V2067</w:t>
      </w:r>
    </w:p>
    <w:p w14:paraId="7F8FB532" w14:textId="77777777" w:rsidR="001B5017" w:rsidRDefault="001B5017" w:rsidP="001B5017">
      <w:pPr>
        <w:pStyle w:val="NumberedQuotationindent1"/>
        <w:numPr>
          <w:ilvl w:val="0"/>
          <w:numId w:val="0"/>
        </w:numPr>
        <w:ind w:left="1861"/>
      </w:pPr>
    </w:p>
    <w:p w14:paraId="41A28B41" w14:textId="2CF3239A" w:rsidR="001B5017" w:rsidRDefault="001B5017" w:rsidP="001B5017">
      <w:pPr>
        <w:pStyle w:val="NumberedQuotationindent1"/>
        <w:numPr>
          <w:ilvl w:val="0"/>
          <w:numId w:val="0"/>
        </w:numPr>
        <w:ind w:left="1861"/>
      </w:pPr>
      <w:r>
        <w:t xml:space="preserve">Mrs. Antonia </w:t>
      </w:r>
      <w:proofErr w:type="spellStart"/>
      <w:r>
        <w:t>Mussard</w:t>
      </w:r>
      <w:proofErr w:type="spellEnd"/>
      <w:r>
        <w:t xml:space="preserve"> of </w:t>
      </w:r>
      <w:proofErr w:type="spellStart"/>
      <w:r>
        <w:t>Hangard</w:t>
      </w:r>
      <w:proofErr w:type="spellEnd"/>
      <w:r>
        <w:t xml:space="preserve"> Street, </w:t>
      </w:r>
      <w:proofErr w:type="spellStart"/>
      <w:r>
        <w:t>Mahe</w:t>
      </w:r>
      <w:proofErr w:type="spellEnd"/>
      <w:r>
        <w:t xml:space="preserve">, Seychelles, herein duly represented by Mrs. Marie-France </w:t>
      </w:r>
      <w:proofErr w:type="spellStart"/>
      <w:r>
        <w:t>Mussard</w:t>
      </w:r>
      <w:proofErr w:type="spellEnd"/>
      <w:r>
        <w:t xml:space="preserve">, of the same address, </w:t>
      </w:r>
      <w:r w:rsidRPr="001B5017">
        <w:rPr>
          <w:u w:val="single"/>
        </w:rPr>
        <w:t xml:space="preserve">in virtue of a power of attorney conferred upon her by the said Mrs. Antonia </w:t>
      </w:r>
      <w:proofErr w:type="spellStart"/>
      <w:r w:rsidRPr="001B5017">
        <w:rPr>
          <w:u w:val="single"/>
        </w:rPr>
        <w:t>Mussard</w:t>
      </w:r>
      <w:proofErr w:type="spellEnd"/>
      <w:r w:rsidRPr="001B5017">
        <w:rPr>
          <w:u w:val="single"/>
        </w:rPr>
        <w:t xml:space="preserve"> dated the thirtieth day of October one thousand nine hundred and seventy-eight registered in Reg. A 37 No 1989</w:t>
      </w:r>
      <w:r>
        <w:t xml:space="preserve">, hereinafter referred to as the Transferor in\ consideration of the price of Rupees thirty thousand which sum has been paid) hereby transfer to Marie-France </w:t>
      </w:r>
      <w:proofErr w:type="spellStart"/>
      <w:r>
        <w:t>Mussard</w:t>
      </w:r>
      <w:proofErr w:type="spellEnd"/>
      <w:r>
        <w:t xml:space="preserve"> of </w:t>
      </w:r>
      <w:proofErr w:type="spellStart"/>
      <w:r>
        <w:t>Hangard</w:t>
      </w:r>
      <w:proofErr w:type="spellEnd"/>
      <w:r>
        <w:t xml:space="preserve"> Street, </w:t>
      </w:r>
      <w:proofErr w:type="spellStart"/>
      <w:r>
        <w:t>Mahe</w:t>
      </w:r>
      <w:proofErr w:type="spellEnd"/>
      <w:r>
        <w:t>, Seychelles hereinafter referred to as the Transferee the land comprised in the above-mentioned title.</w:t>
      </w:r>
    </w:p>
    <w:p w14:paraId="501FB608" w14:textId="77777777" w:rsidR="001B5017" w:rsidRDefault="001B5017" w:rsidP="001B5017">
      <w:pPr>
        <w:pStyle w:val="NumberedQuotationindent1"/>
        <w:numPr>
          <w:ilvl w:val="0"/>
          <w:numId w:val="0"/>
        </w:numPr>
        <w:ind w:left="1861"/>
      </w:pPr>
    </w:p>
    <w:p w14:paraId="1364D76B" w14:textId="660D4918" w:rsidR="001B5017" w:rsidRDefault="001B5017" w:rsidP="001B5017">
      <w:pPr>
        <w:pStyle w:val="NumberedQuotationindent1"/>
        <w:numPr>
          <w:ilvl w:val="0"/>
          <w:numId w:val="0"/>
        </w:numPr>
        <w:ind w:left="1861"/>
      </w:pPr>
      <w:r>
        <w:t>Dated this 6</w:t>
      </w:r>
      <w:r w:rsidRPr="001B5017">
        <w:rPr>
          <w:vertAlign w:val="superscript"/>
        </w:rPr>
        <w:t>th</w:t>
      </w:r>
      <w:r>
        <w:t xml:space="preserve"> day of April 1993.  </w:t>
      </w:r>
    </w:p>
    <w:p w14:paraId="5C44AD86" w14:textId="77777777" w:rsidR="001B5017" w:rsidRPr="001B5017" w:rsidRDefault="001B5017" w:rsidP="001B5017">
      <w:pPr>
        <w:pStyle w:val="NumberedQuotationindent1"/>
        <w:numPr>
          <w:ilvl w:val="0"/>
          <w:numId w:val="0"/>
        </w:numPr>
        <w:ind w:left="1861"/>
      </w:pPr>
    </w:p>
    <w:p w14:paraId="2C12F1F9" w14:textId="1E44ADAB" w:rsidR="00AA6683" w:rsidRPr="001B5017" w:rsidRDefault="001B5017" w:rsidP="003C0D7A">
      <w:pPr>
        <w:pStyle w:val="JudgmentText"/>
      </w:pPr>
      <w:r>
        <w:t>Further, t</w:t>
      </w:r>
      <w:r w:rsidR="00AA6683" w:rsidRPr="001B5017">
        <w:t xml:space="preserve">he Power of Attorney relied on for the transfer </w:t>
      </w:r>
      <w:r>
        <w:t>above</w:t>
      </w:r>
      <w:r w:rsidR="000B60CC" w:rsidRPr="001B5017">
        <w:t>, a copy of which was produced in court by Mrs. Jean-Baptiste, contains</w:t>
      </w:r>
      <w:r w:rsidR="00AA6683" w:rsidRPr="001B5017">
        <w:t xml:space="preserve"> the following </w:t>
      </w:r>
      <w:r w:rsidR="000B60CC" w:rsidRPr="001B5017">
        <w:t>grant</w:t>
      </w:r>
      <w:r w:rsidR="00AA6683" w:rsidRPr="001B5017">
        <w:t xml:space="preserve"> of power</w:t>
      </w:r>
      <w:r w:rsidR="000B60CC" w:rsidRPr="001B5017">
        <w:t xml:space="preserve"> from the donor to the </w:t>
      </w:r>
      <w:proofErr w:type="spellStart"/>
      <w:r w:rsidR="000B60CC" w:rsidRPr="001B5017">
        <w:t>donee</w:t>
      </w:r>
      <w:proofErr w:type="spellEnd"/>
      <w:r w:rsidR="00AA6683" w:rsidRPr="001B5017">
        <w:t>:</w:t>
      </w:r>
    </w:p>
    <w:p w14:paraId="31DCDB74" w14:textId="2EB4316A" w:rsidR="00AA6683" w:rsidRPr="001B5017" w:rsidRDefault="00AA6683" w:rsidP="00AA6683">
      <w:pPr>
        <w:pStyle w:val="NumberedQuotationindent1"/>
        <w:numPr>
          <w:ilvl w:val="0"/>
          <w:numId w:val="0"/>
        </w:numPr>
        <w:ind w:left="1134"/>
      </w:pPr>
      <w:r w:rsidRPr="001B5017">
        <w:t>“</w:t>
      </w:r>
      <w:proofErr w:type="gramStart"/>
      <w:r w:rsidRPr="001B5017">
        <w:t>to</w:t>
      </w:r>
      <w:proofErr w:type="gramEnd"/>
      <w:r w:rsidRPr="001B5017">
        <w:t xml:space="preserve"> buy and sell movable or immovable property or properties; also to appear at the office of the Land Registration </w:t>
      </w:r>
      <w:r w:rsidR="000B60CC" w:rsidRPr="001B5017">
        <w:t>…”</w:t>
      </w:r>
    </w:p>
    <w:p w14:paraId="51D86DB3" w14:textId="77777777" w:rsidR="000B60CC" w:rsidRPr="001B5017" w:rsidRDefault="000B60CC" w:rsidP="00AA6683">
      <w:pPr>
        <w:pStyle w:val="NumberedQuotationindent1"/>
        <w:numPr>
          <w:ilvl w:val="0"/>
          <w:numId w:val="0"/>
        </w:numPr>
        <w:ind w:left="1134"/>
      </w:pPr>
    </w:p>
    <w:p w14:paraId="5E251D19" w14:textId="04BFF485" w:rsidR="000B60CC" w:rsidRPr="001B5017" w:rsidRDefault="000B60CC" w:rsidP="003C0D7A">
      <w:pPr>
        <w:pStyle w:val="JudgmentText"/>
      </w:pPr>
      <w:r w:rsidRPr="001B5017">
        <w:rPr>
          <w:rFonts w:eastAsia="Calibri"/>
        </w:rPr>
        <w:t xml:space="preserve">The Senior Registration Officer, </w:t>
      </w:r>
      <w:r w:rsidR="003C0D7A" w:rsidRPr="001B5017">
        <w:rPr>
          <w:rFonts w:eastAsia="Calibri"/>
        </w:rPr>
        <w:t xml:space="preserve">Ms. </w:t>
      </w:r>
      <w:proofErr w:type="spellStart"/>
      <w:r w:rsidRPr="001B5017">
        <w:rPr>
          <w:rFonts w:eastAsia="Calibri"/>
        </w:rPr>
        <w:t>Rosemay</w:t>
      </w:r>
      <w:proofErr w:type="spellEnd"/>
      <w:r w:rsidRPr="001B5017">
        <w:rPr>
          <w:rFonts w:eastAsia="Calibri"/>
        </w:rPr>
        <w:t xml:space="preserve"> </w:t>
      </w:r>
      <w:proofErr w:type="spellStart"/>
      <w:r w:rsidR="003C0D7A" w:rsidRPr="001B5017">
        <w:rPr>
          <w:rFonts w:eastAsia="Calibri"/>
        </w:rPr>
        <w:t>Carol</w:t>
      </w:r>
      <w:r w:rsidR="00966680" w:rsidRPr="001B5017">
        <w:rPr>
          <w:rFonts w:eastAsia="Calibri"/>
        </w:rPr>
        <w:t>l</w:t>
      </w:r>
      <w:r w:rsidR="003C0D7A" w:rsidRPr="001B5017">
        <w:rPr>
          <w:rFonts w:eastAsia="Calibri"/>
        </w:rPr>
        <w:t>a</w:t>
      </w:r>
      <w:proofErr w:type="spellEnd"/>
      <w:r w:rsidR="003C0D7A" w:rsidRPr="001B5017">
        <w:rPr>
          <w:rFonts w:eastAsia="Calibri"/>
        </w:rPr>
        <w:t xml:space="preserve">, produced an Index of the MRA in which she testified that the names of persons giving powers to others </w:t>
      </w:r>
      <w:proofErr w:type="gramStart"/>
      <w:r w:rsidR="003C0D7A" w:rsidRPr="001B5017">
        <w:rPr>
          <w:rFonts w:eastAsia="Calibri"/>
        </w:rPr>
        <w:t>are entered</w:t>
      </w:r>
      <w:proofErr w:type="gramEnd"/>
      <w:r w:rsidR="003C0D7A" w:rsidRPr="001B5017">
        <w:rPr>
          <w:rFonts w:eastAsia="Calibri"/>
        </w:rPr>
        <w:t xml:space="preserve">. She further testified that Register 837 (the </w:t>
      </w:r>
      <w:proofErr w:type="spellStart"/>
      <w:r w:rsidR="003C0D7A" w:rsidRPr="001B5017">
        <w:rPr>
          <w:rFonts w:eastAsia="Calibri"/>
          <w:i/>
        </w:rPr>
        <w:t>R</w:t>
      </w:r>
      <w:r w:rsidR="00135A3A" w:rsidRPr="001B5017">
        <w:rPr>
          <w:rFonts w:eastAsia="Calibri"/>
          <w:i/>
        </w:rPr>
        <w:t>é</w:t>
      </w:r>
      <w:r w:rsidR="003C0D7A" w:rsidRPr="001B5017">
        <w:rPr>
          <w:rFonts w:eastAsia="Calibri"/>
          <w:i/>
        </w:rPr>
        <w:t>pertoire</w:t>
      </w:r>
      <w:proofErr w:type="spellEnd"/>
      <w:r w:rsidR="003C0D7A" w:rsidRPr="001B5017">
        <w:rPr>
          <w:rFonts w:eastAsia="Calibri"/>
        </w:rPr>
        <w:t xml:space="preserve">) in which </w:t>
      </w:r>
      <w:r w:rsidR="00966680" w:rsidRPr="001B5017">
        <w:rPr>
          <w:rFonts w:eastAsia="Calibri"/>
        </w:rPr>
        <w:t xml:space="preserve">the Power of Attorney </w:t>
      </w:r>
      <w:r w:rsidR="001B5017">
        <w:rPr>
          <w:rFonts w:eastAsia="Calibri"/>
        </w:rPr>
        <w:t xml:space="preserve">referred to above </w:t>
      </w:r>
      <w:r w:rsidR="00966680" w:rsidRPr="001B5017">
        <w:rPr>
          <w:rFonts w:eastAsia="Calibri"/>
        </w:rPr>
        <w:t xml:space="preserve">had been registered </w:t>
      </w:r>
      <w:r w:rsidR="003C0D7A" w:rsidRPr="001B5017">
        <w:rPr>
          <w:rFonts w:eastAsia="Calibri"/>
        </w:rPr>
        <w:t xml:space="preserve">was not available as </w:t>
      </w:r>
      <w:r w:rsidR="001B5017">
        <w:rPr>
          <w:rFonts w:eastAsia="Calibri"/>
        </w:rPr>
        <w:t>according to her:</w:t>
      </w:r>
    </w:p>
    <w:p w14:paraId="6AC20A15" w14:textId="6CF4B02E" w:rsidR="003C0D7A" w:rsidRPr="001B5017" w:rsidRDefault="003C0D7A" w:rsidP="000B60CC">
      <w:pPr>
        <w:pStyle w:val="Unnumberedquote"/>
        <w:numPr>
          <w:ilvl w:val="0"/>
          <w:numId w:val="0"/>
        </w:numPr>
        <w:ind w:left="720" w:firstLine="720"/>
        <w:rPr>
          <w:rFonts w:ascii="Times New Roman" w:eastAsia="Calibri" w:hAnsi="Times New Roman"/>
        </w:rPr>
      </w:pPr>
      <w:r w:rsidRPr="001B5017">
        <w:rPr>
          <w:rFonts w:ascii="Times New Roman" w:eastAsia="Calibri" w:hAnsi="Times New Roman"/>
          <w:i/>
        </w:rPr>
        <w:t>“</w:t>
      </w:r>
      <w:r w:rsidR="001B5017">
        <w:rPr>
          <w:rFonts w:ascii="Times New Roman" w:eastAsia="Calibri" w:hAnsi="Times New Roman"/>
          <w:i/>
        </w:rPr>
        <w:t>[I]</w:t>
      </w:r>
      <w:r w:rsidRPr="001B5017">
        <w:rPr>
          <w:rFonts w:ascii="Times New Roman" w:eastAsia="Calibri" w:hAnsi="Times New Roman"/>
          <w:i/>
        </w:rPr>
        <w:t>t is falling apart and is being treated</w:t>
      </w:r>
      <w:r w:rsidR="001B5017">
        <w:rPr>
          <w:rFonts w:ascii="Times New Roman" w:eastAsia="Calibri" w:hAnsi="Times New Roman"/>
          <w:i/>
        </w:rPr>
        <w:t>…</w:t>
      </w:r>
      <w:r w:rsidRPr="001B5017">
        <w:rPr>
          <w:rFonts w:ascii="Times New Roman" w:eastAsia="Calibri" w:hAnsi="Times New Roman"/>
          <w:i/>
        </w:rPr>
        <w:t>”</w:t>
      </w:r>
      <w:r w:rsidR="00966680" w:rsidRPr="001B5017">
        <w:rPr>
          <w:rFonts w:ascii="Times New Roman" w:eastAsia="Calibri" w:hAnsi="Times New Roman"/>
        </w:rPr>
        <w:t xml:space="preserve"> (Transcript of proceedings, p. 44).</w:t>
      </w:r>
    </w:p>
    <w:p w14:paraId="69443101" w14:textId="77777777" w:rsidR="000B60CC" w:rsidRPr="001B5017" w:rsidRDefault="000B60CC" w:rsidP="000B60CC">
      <w:pPr>
        <w:pStyle w:val="Unnumberedquote"/>
        <w:numPr>
          <w:ilvl w:val="0"/>
          <w:numId w:val="0"/>
        </w:numPr>
        <w:ind w:left="720" w:firstLine="720"/>
        <w:rPr>
          <w:rFonts w:ascii="Times New Roman" w:hAnsi="Times New Roman"/>
        </w:rPr>
      </w:pPr>
    </w:p>
    <w:p w14:paraId="6C395037" w14:textId="671924C6" w:rsidR="003C0D7A" w:rsidRPr="001B5017" w:rsidRDefault="001B5017" w:rsidP="003C0D7A">
      <w:pPr>
        <w:pStyle w:val="JudgmentText"/>
      </w:pPr>
      <w:proofErr w:type="gramStart"/>
      <w:r>
        <w:t xml:space="preserve">There was </w:t>
      </w:r>
      <w:r w:rsidR="00D83BC4">
        <w:t xml:space="preserve">in fact </w:t>
      </w:r>
      <w:r>
        <w:t>no contention that this power of attorney indeed existed</w:t>
      </w:r>
      <w:r w:rsidR="00D83BC4">
        <w:t>,</w:t>
      </w:r>
      <w:r>
        <w:t xml:space="preserve"> was filed in the register of Powers of Attorney under the MRA and correctly referred to in the deed of transfer but Mr. Hoareau submits</w:t>
      </w:r>
      <w:r w:rsidR="00966680" w:rsidRPr="001B5017">
        <w:t xml:space="preserve"> that th</w:t>
      </w:r>
      <w:r w:rsidR="000B60CC" w:rsidRPr="001B5017">
        <w:t>is</w:t>
      </w:r>
      <w:r w:rsidR="00966680" w:rsidRPr="001B5017">
        <w:t xml:space="preserve"> Power of Attorney filed under section 12 of the MRA </w:t>
      </w:r>
      <w:r w:rsidR="00135A3A" w:rsidRPr="001B5017">
        <w:t xml:space="preserve">in the </w:t>
      </w:r>
      <w:proofErr w:type="spellStart"/>
      <w:r w:rsidR="00135A3A" w:rsidRPr="001B5017">
        <w:rPr>
          <w:i/>
        </w:rPr>
        <w:t>R</w:t>
      </w:r>
      <w:r w:rsidR="00135A3A" w:rsidRPr="001B5017">
        <w:rPr>
          <w:rFonts w:eastAsia="Calibri"/>
          <w:i/>
        </w:rPr>
        <w:t>épertoire</w:t>
      </w:r>
      <w:proofErr w:type="spellEnd"/>
      <w:r w:rsidR="00135A3A" w:rsidRPr="001B5017">
        <w:rPr>
          <w:rFonts w:eastAsia="Calibri"/>
        </w:rPr>
        <w:t xml:space="preserve"> </w:t>
      </w:r>
      <w:r w:rsidR="000B60CC" w:rsidRPr="001B5017">
        <w:t xml:space="preserve">could </w:t>
      </w:r>
      <w:r w:rsidR="00966680" w:rsidRPr="001B5017">
        <w:t xml:space="preserve">not be used </w:t>
      </w:r>
      <w:r w:rsidR="000B60CC" w:rsidRPr="001B5017">
        <w:t>to transfer property in terms of the LRA.</w:t>
      </w:r>
      <w:proofErr w:type="gramEnd"/>
      <w:r w:rsidR="000B60CC" w:rsidRPr="001B5017">
        <w:t xml:space="preserve"> </w:t>
      </w:r>
      <w:r w:rsidR="005947CC" w:rsidRPr="001B5017">
        <w:t xml:space="preserve">He </w:t>
      </w:r>
      <w:r>
        <w:lastRenderedPageBreak/>
        <w:t>contends</w:t>
      </w:r>
      <w:r w:rsidR="005947CC" w:rsidRPr="001B5017">
        <w:t xml:space="preserve"> that while the Land Registrar has discretion as to the </w:t>
      </w:r>
      <w:r w:rsidR="005947CC" w:rsidRPr="001B5017">
        <w:rPr>
          <w:i/>
        </w:rPr>
        <w:t>form</w:t>
      </w:r>
      <w:r w:rsidR="005947CC" w:rsidRPr="001B5017">
        <w:t xml:space="preserve"> of the instrument, she holds no discretion in respect of the </w:t>
      </w:r>
      <w:r>
        <w:t>mandatory provision of filing an original of</w:t>
      </w:r>
      <w:r w:rsidR="00D83BC4">
        <w:t xml:space="preserve"> the Power of Attorney in the Register of the LRA</w:t>
      </w:r>
      <w:r w:rsidR="005947CC" w:rsidRPr="001B5017">
        <w:rPr>
          <w:rFonts w:eastAsia="Calibri"/>
        </w:rPr>
        <w:t>.</w:t>
      </w:r>
      <w:r w:rsidR="00135A3A" w:rsidRPr="001B5017">
        <w:rPr>
          <w:rFonts w:eastAsia="Calibri"/>
        </w:rPr>
        <w:t xml:space="preserve"> In brief, if I understand him correctly, he contends that a Power of Attorney registered in the </w:t>
      </w:r>
      <w:proofErr w:type="spellStart"/>
      <w:r w:rsidR="00135A3A" w:rsidRPr="001B5017">
        <w:rPr>
          <w:rFonts w:eastAsia="Calibri"/>
          <w:i/>
        </w:rPr>
        <w:t>Répertoire</w:t>
      </w:r>
      <w:proofErr w:type="spellEnd"/>
      <w:r w:rsidR="00135A3A" w:rsidRPr="001B5017">
        <w:rPr>
          <w:rFonts w:eastAsia="Calibri"/>
        </w:rPr>
        <w:t xml:space="preserve"> is not good for the transfer of property under the L</w:t>
      </w:r>
      <w:r>
        <w:rPr>
          <w:rFonts w:eastAsia="Calibri"/>
        </w:rPr>
        <w:t>R</w:t>
      </w:r>
      <w:r w:rsidR="00135A3A" w:rsidRPr="001B5017">
        <w:rPr>
          <w:rFonts w:eastAsia="Calibri"/>
        </w:rPr>
        <w:t xml:space="preserve">A unless the same Power of Attorney or a different one </w:t>
      </w:r>
      <w:proofErr w:type="gramStart"/>
      <w:r>
        <w:rPr>
          <w:rFonts w:eastAsia="Calibri"/>
        </w:rPr>
        <w:t>was again</w:t>
      </w:r>
      <w:r w:rsidR="00135A3A" w:rsidRPr="001B5017">
        <w:rPr>
          <w:rFonts w:eastAsia="Calibri"/>
        </w:rPr>
        <w:t xml:space="preserve"> registered</w:t>
      </w:r>
      <w:proofErr w:type="gramEnd"/>
      <w:r w:rsidR="00135A3A" w:rsidRPr="001B5017">
        <w:rPr>
          <w:rFonts w:eastAsia="Calibri"/>
        </w:rPr>
        <w:t xml:space="preserve"> in the Register of the LRA.</w:t>
      </w:r>
    </w:p>
    <w:p w14:paraId="63E0FDB1" w14:textId="45B55F46" w:rsidR="001B5017" w:rsidRPr="001B5017" w:rsidRDefault="001B5017" w:rsidP="001B5017">
      <w:pPr>
        <w:pStyle w:val="JudgmentText"/>
      </w:pPr>
      <w:proofErr w:type="gramStart"/>
      <w:r w:rsidRPr="001B5017">
        <w:t>Mr. Hoareau has further contended that the Land Registrar’s evidence that he had accepted the Power of Attorney as was his discretion, could not be relied on as after him leaving the post of Land Registrar and practising as an Attorney, some twenty-three years after the impugned transfer was conflicted in the evidence he gave as he was now acting as attorney for the heir of the proprietor.</w:t>
      </w:r>
      <w:proofErr w:type="gramEnd"/>
      <w:r w:rsidRPr="001B5017">
        <w:t xml:space="preserve"> I cannot overemphasise how far-fetched that contention is. There is, in any case, no evidence that the court </w:t>
      </w:r>
      <w:r w:rsidRPr="00D83BC4">
        <w:rPr>
          <w:i/>
        </w:rPr>
        <w:t>a quo</w:t>
      </w:r>
      <w:r w:rsidRPr="001B5017">
        <w:t xml:space="preserve"> disbelieved the former Land Registrar- the learned trial judge only states that he should</w:t>
      </w:r>
      <w:r w:rsidR="00D83BC4">
        <w:t xml:space="preserve"> have registered and filed the Power of </w:t>
      </w:r>
      <w:r w:rsidR="00F858F9">
        <w:t>A</w:t>
      </w:r>
      <w:r w:rsidRPr="001B5017">
        <w:t xml:space="preserve">ttorney in the correct register. </w:t>
      </w:r>
      <w:r>
        <w:t xml:space="preserve">There is no basis to support this allegation and it </w:t>
      </w:r>
      <w:proofErr w:type="gramStart"/>
      <w:r>
        <w:t>is rejected</w:t>
      </w:r>
      <w:proofErr w:type="gramEnd"/>
      <w:r>
        <w:t xml:space="preserve"> outright. </w:t>
      </w:r>
    </w:p>
    <w:p w14:paraId="1A0C6181" w14:textId="4C62CA26" w:rsidR="00D33E0E" w:rsidRDefault="00D33E0E" w:rsidP="00D33E0E">
      <w:pPr>
        <w:pStyle w:val="JudgmentText"/>
        <w:widowControl w:val="0"/>
        <w:autoSpaceDE w:val="0"/>
        <w:autoSpaceDN w:val="0"/>
        <w:adjustRightInd w:val="0"/>
        <w:spacing w:after="0"/>
        <w:rPr>
          <w:rFonts w:eastAsia="Calibri"/>
        </w:rPr>
      </w:pPr>
      <w:r w:rsidRPr="001B5017">
        <w:t xml:space="preserve">Mr. Shah, Counsel for Mr. </w:t>
      </w:r>
      <w:proofErr w:type="spellStart"/>
      <w:r w:rsidRPr="001B5017">
        <w:t>Padayachy</w:t>
      </w:r>
      <w:proofErr w:type="spellEnd"/>
      <w:r w:rsidRPr="001B5017">
        <w:t xml:space="preserve"> has submitted that </w:t>
      </w:r>
      <w:r w:rsidRPr="001B5017">
        <w:rPr>
          <w:rFonts w:eastAsia="Calibri"/>
        </w:rPr>
        <w:t xml:space="preserve">the execution and attestation of the Power of Attorney </w:t>
      </w:r>
      <w:proofErr w:type="gramStart"/>
      <w:r w:rsidRPr="001B5017">
        <w:rPr>
          <w:rFonts w:eastAsia="Calibri"/>
        </w:rPr>
        <w:t>w</w:t>
      </w:r>
      <w:r w:rsidR="001B5017">
        <w:rPr>
          <w:rFonts w:eastAsia="Calibri"/>
        </w:rPr>
        <w:t>ere</w:t>
      </w:r>
      <w:r w:rsidRPr="001B5017">
        <w:rPr>
          <w:rFonts w:eastAsia="Calibri"/>
        </w:rPr>
        <w:t xml:space="preserve"> correctly done</w:t>
      </w:r>
      <w:proofErr w:type="gramEnd"/>
      <w:r w:rsidRPr="001B5017">
        <w:rPr>
          <w:rFonts w:eastAsia="Calibri"/>
        </w:rPr>
        <w:t xml:space="preserve"> before a Notary Public. He further contends that unlike other forms under the LRA, which if not followed, does not transfer </w:t>
      </w:r>
      <w:r w:rsidR="001B5017">
        <w:rPr>
          <w:rFonts w:eastAsia="Calibri"/>
        </w:rPr>
        <w:t>t</w:t>
      </w:r>
      <w:r w:rsidRPr="001B5017">
        <w:rPr>
          <w:rFonts w:eastAsia="Calibri"/>
        </w:rPr>
        <w:t>itle, there is no absolute requirement that it has</w:t>
      </w:r>
      <w:r w:rsidR="00135A3A" w:rsidRPr="001B5017">
        <w:rPr>
          <w:rFonts w:eastAsia="Calibri"/>
        </w:rPr>
        <w:t xml:space="preserve"> to be in the prescribed form. </w:t>
      </w:r>
      <w:r w:rsidRPr="001B5017">
        <w:rPr>
          <w:rFonts w:eastAsia="Calibri"/>
        </w:rPr>
        <w:t>It can be in an</w:t>
      </w:r>
      <w:r w:rsidR="001B5017">
        <w:rPr>
          <w:rFonts w:eastAsia="Calibri"/>
        </w:rPr>
        <w:t>y</w:t>
      </w:r>
      <w:r w:rsidRPr="001B5017">
        <w:rPr>
          <w:rFonts w:eastAsia="Calibri"/>
        </w:rPr>
        <w:t xml:space="preserve"> form if </w:t>
      </w:r>
      <w:r w:rsidR="001B5017" w:rsidRPr="001B5017">
        <w:rPr>
          <w:rFonts w:eastAsia="Calibri"/>
        </w:rPr>
        <w:t>approve</w:t>
      </w:r>
      <w:r w:rsidR="001B5017">
        <w:rPr>
          <w:rFonts w:eastAsia="Calibri"/>
        </w:rPr>
        <w:t>d by</w:t>
      </w:r>
      <w:r w:rsidR="001B5017" w:rsidRPr="001B5017">
        <w:rPr>
          <w:rFonts w:eastAsia="Calibri"/>
        </w:rPr>
        <w:t xml:space="preserve"> </w:t>
      </w:r>
      <w:r w:rsidR="001B5017">
        <w:rPr>
          <w:rFonts w:eastAsia="Calibri"/>
        </w:rPr>
        <w:t>t</w:t>
      </w:r>
      <w:r w:rsidRPr="001B5017">
        <w:rPr>
          <w:rFonts w:eastAsia="Calibri"/>
        </w:rPr>
        <w:t xml:space="preserve">he Registrar. The Power of Attorney </w:t>
      </w:r>
      <w:r w:rsidR="001B5017">
        <w:rPr>
          <w:rFonts w:eastAsia="Calibri"/>
        </w:rPr>
        <w:t xml:space="preserve">conferred authority on Marie France </w:t>
      </w:r>
      <w:r w:rsidR="00D37A16" w:rsidRPr="001B5017">
        <w:rPr>
          <w:rFonts w:eastAsia="Calibri"/>
        </w:rPr>
        <w:t xml:space="preserve">to sell the </w:t>
      </w:r>
      <w:proofErr w:type="gramStart"/>
      <w:r w:rsidR="00D37A16" w:rsidRPr="001B5017">
        <w:rPr>
          <w:rFonts w:eastAsia="Calibri"/>
        </w:rPr>
        <w:t xml:space="preserve">property </w:t>
      </w:r>
      <w:r w:rsidRPr="001B5017">
        <w:rPr>
          <w:rFonts w:eastAsia="Calibri"/>
        </w:rPr>
        <w:t>which</w:t>
      </w:r>
      <w:proofErr w:type="gramEnd"/>
      <w:r w:rsidRPr="001B5017">
        <w:rPr>
          <w:rFonts w:eastAsia="Calibri"/>
        </w:rPr>
        <w:t xml:space="preserve"> </w:t>
      </w:r>
      <w:r w:rsidR="001B5017">
        <w:rPr>
          <w:rFonts w:eastAsia="Calibri"/>
        </w:rPr>
        <w:t>she</w:t>
      </w:r>
      <w:r w:rsidRPr="001B5017">
        <w:rPr>
          <w:rFonts w:eastAsia="Calibri"/>
        </w:rPr>
        <w:t xml:space="preserve"> </w:t>
      </w:r>
      <w:r w:rsidR="00135A3A" w:rsidRPr="001B5017">
        <w:rPr>
          <w:rFonts w:eastAsia="Calibri"/>
        </w:rPr>
        <w:t>did</w:t>
      </w:r>
      <w:r w:rsidRPr="001B5017">
        <w:rPr>
          <w:rFonts w:eastAsia="Calibri"/>
        </w:rPr>
        <w:t xml:space="preserve">. </w:t>
      </w:r>
      <w:r w:rsidR="00D37A16" w:rsidRPr="001B5017">
        <w:rPr>
          <w:rFonts w:eastAsia="Calibri"/>
        </w:rPr>
        <w:t xml:space="preserve">Mr. Shah also submits that both the form and substance argument raised by Mr. Hoareau have no application as under section 70(2) of the LRA the Registrar had the discretion to accept a Power of Attorney that was not in the format prescribed. </w:t>
      </w:r>
    </w:p>
    <w:p w14:paraId="04F1E7BA" w14:textId="77777777" w:rsidR="001B5017" w:rsidRPr="001B5017" w:rsidRDefault="001B5017" w:rsidP="001B5017">
      <w:pPr>
        <w:pStyle w:val="JudgmentText"/>
        <w:widowControl w:val="0"/>
        <w:numPr>
          <w:ilvl w:val="0"/>
          <w:numId w:val="0"/>
        </w:numPr>
        <w:autoSpaceDE w:val="0"/>
        <w:autoSpaceDN w:val="0"/>
        <w:adjustRightInd w:val="0"/>
        <w:spacing w:after="0"/>
        <w:rPr>
          <w:rFonts w:eastAsia="Calibri"/>
        </w:rPr>
      </w:pPr>
    </w:p>
    <w:p w14:paraId="65A03129" w14:textId="4B94C308" w:rsidR="00D648A6" w:rsidRPr="001B5017" w:rsidRDefault="00D648A6" w:rsidP="00D37A16">
      <w:pPr>
        <w:pStyle w:val="JudgmentText"/>
      </w:pPr>
      <w:r w:rsidRPr="001B5017">
        <w:t xml:space="preserve">Having considered the submissions of both counsel and the evidence on </w:t>
      </w:r>
      <w:proofErr w:type="gramStart"/>
      <w:r w:rsidRPr="001B5017">
        <w:t>record</w:t>
      </w:r>
      <w:proofErr w:type="gramEnd"/>
      <w:r w:rsidRPr="001B5017">
        <w:t xml:space="preserve"> it </w:t>
      </w:r>
      <w:r w:rsidR="001B5017">
        <w:t>is clear</w:t>
      </w:r>
      <w:r w:rsidRPr="001B5017">
        <w:t xml:space="preserve"> </w:t>
      </w:r>
      <w:r w:rsidR="001B5017">
        <w:t xml:space="preserve">that Marie France had the power to transfer the property. This fact </w:t>
      </w:r>
      <w:proofErr w:type="gramStart"/>
      <w:r w:rsidR="001B5017">
        <w:t>is indeed not contested</w:t>
      </w:r>
      <w:proofErr w:type="gramEnd"/>
      <w:r w:rsidR="001B5017">
        <w:t>. The power of attorney giving her such agency subsisted</w:t>
      </w:r>
      <w:r w:rsidR="001B5017" w:rsidRPr="001B5017">
        <w:t xml:space="preserve"> and </w:t>
      </w:r>
      <w:r w:rsidR="001B5017">
        <w:t xml:space="preserve">was </w:t>
      </w:r>
      <w:r w:rsidR="001B5017" w:rsidRPr="001B5017">
        <w:t>correctly referr</w:t>
      </w:r>
      <w:r w:rsidR="001B5017">
        <w:t>ed</w:t>
      </w:r>
      <w:r w:rsidR="001B5017" w:rsidRPr="001B5017">
        <w:t xml:space="preserve"> to in the instrument of transfer but remained filed and listed in the Register of the MRA</w:t>
      </w:r>
      <w:r w:rsidR="001B5017">
        <w:t xml:space="preserve">. </w:t>
      </w:r>
      <w:r w:rsidRPr="001B5017">
        <w:t>What is in</w:t>
      </w:r>
      <w:r w:rsidR="00340DBD" w:rsidRPr="001B5017">
        <w:t xml:space="preserve"> contention</w:t>
      </w:r>
      <w:r w:rsidRPr="001B5017">
        <w:t xml:space="preserve"> is that it </w:t>
      </w:r>
      <w:proofErr w:type="gramStart"/>
      <w:r w:rsidRPr="001B5017">
        <w:t>was not filed</w:t>
      </w:r>
      <w:proofErr w:type="gramEnd"/>
      <w:r w:rsidR="001B5017">
        <w:t xml:space="preserve"> anew</w:t>
      </w:r>
      <w:r w:rsidRPr="001B5017">
        <w:t xml:space="preserve"> in the </w:t>
      </w:r>
      <w:r w:rsidR="001B5017">
        <w:t xml:space="preserve">correct </w:t>
      </w:r>
      <w:r w:rsidRPr="001B5017">
        <w:t>Register under the LRA.</w:t>
      </w:r>
      <w:r w:rsidR="00340DBD" w:rsidRPr="001B5017">
        <w:t xml:space="preserve"> Should </w:t>
      </w:r>
      <w:r w:rsidR="00340DBD" w:rsidRPr="001B5017">
        <w:lastRenderedPageBreak/>
        <w:t xml:space="preserve">this mistake or inadvertence on the part of the Land Registrar result in the transfer being </w:t>
      </w:r>
      <w:r w:rsidR="001B5017">
        <w:t xml:space="preserve">declared </w:t>
      </w:r>
      <w:r w:rsidR="00340DBD" w:rsidRPr="001B5017">
        <w:t xml:space="preserve">illegal, </w:t>
      </w:r>
      <w:proofErr w:type="gramStart"/>
      <w:r w:rsidR="00340DBD" w:rsidRPr="001B5017">
        <w:t>null and void</w:t>
      </w:r>
      <w:proofErr w:type="gramEnd"/>
      <w:r w:rsidR="00340DBD" w:rsidRPr="001B5017">
        <w:t>?</w:t>
      </w:r>
    </w:p>
    <w:p w14:paraId="6BD96967" w14:textId="2BBEFFDB" w:rsidR="001B5017" w:rsidRPr="001B5017" w:rsidRDefault="001B5017" w:rsidP="001B5017">
      <w:pPr>
        <w:pStyle w:val="JudgmentText"/>
      </w:pPr>
      <w:r w:rsidRPr="001B5017">
        <w:t xml:space="preserve">I am acutely aware as I consider </w:t>
      </w:r>
      <w:proofErr w:type="gramStart"/>
      <w:r w:rsidRPr="001B5017">
        <w:t>this</w:t>
      </w:r>
      <w:proofErr w:type="gramEnd"/>
      <w:r w:rsidRPr="001B5017">
        <w:t xml:space="preserve"> issue that there may be </w:t>
      </w:r>
      <w:r>
        <w:t>several</w:t>
      </w:r>
      <w:r w:rsidRPr="001B5017">
        <w:t xml:space="preserve"> properties in the New Land Register transferred from the Old Register through instruments similar to the one in the present appeal. </w:t>
      </w:r>
      <w:proofErr w:type="gramStart"/>
      <w:r w:rsidRPr="001B5017">
        <w:t xml:space="preserve">There is no </w:t>
      </w:r>
      <w:r w:rsidR="00D83BC4">
        <w:t xml:space="preserve">provision of the law nor </w:t>
      </w:r>
      <w:r w:rsidRPr="001B5017">
        <w:t xml:space="preserve">evidence before this Court that when land was transferred from the Old Register to the New Register, Powers of Attorney </w:t>
      </w:r>
      <w:r>
        <w:t xml:space="preserve">relating to these transfers </w:t>
      </w:r>
      <w:r w:rsidRPr="001B5017">
        <w:t>not in the prescribed form with respect to the LRA but registered in the file of Powers of Attorney under the MRA were made redundant in respect of any potential transfers of land under the LRA.</w:t>
      </w:r>
      <w:proofErr w:type="gramEnd"/>
      <w:r w:rsidRPr="001B5017">
        <w:t xml:space="preserve"> </w:t>
      </w:r>
    </w:p>
    <w:p w14:paraId="66D6BDBE" w14:textId="16D7363B" w:rsidR="00D37A16" w:rsidRPr="001B5017" w:rsidRDefault="00D37A16" w:rsidP="00D37A16">
      <w:pPr>
        <w:pStyle w:val="JudgmentText"/>
      </w:pPr>
      <w:r w:rsidRPr="001B5017">
        <w:t xml:space="preserve">I am </w:t>
      </w:r>
      <w:r w:rsidR="001B5017">
        <w:t xml:space="preserve">also </w:t>
      </w:r>
      <w:r w:rsidRPr="001B5017">
        <w:t xml:space="preserve">concerned </w:t>
      </w:r>
      <w:r w:rsidR="001B5017">
        <w:t xml:space="preserve">that </w:t>
      </w:r>
      <w:r w:rsidR="001B5017" w:rsidRPr="001B5017">
        <w:t>mistake</w:t>
      </w:r>
      <w:r w:rsidR="001B5017">
        <w:t>s</w:t>
      </w:r>
      <w:r w:rsidR="001B5017" w:rsidRPr="001B5017">
        <w:t xml:space="preserve"> made by the Land Registrar in the process of registering title </w:t>
      </w:r>
      <w:r w:rsidR="001B5017">
        <w:t xml:space="preserve">would result in land ownership being precarious. </w:t>
      </w:r>
      <w:r w:rsidRPr="001B5017">
        <w:t xml:space="preserve">It is my view that section 20 of the LRA in </w:t>
      </w:r>
      <w:r w:rsidR="00D648A6" w:rsidRPr="001B5017">
        <w:t xml:space="preserve">providing for </w:t>
      </w:r>
      <w:r w:rsidR="001B5017">
        <w:t xml:space="preserve">the </w:t>
      </w:r>
      <w:r w:rsidR="00D648A6" w:rsidRPr="001B5017">
        <w:t>security of title</w:t>
      </w:r>
      <w:r w:rsidRPr="001B5017">
        <w:t xml:space="preserve"> of the </w:t>
      </w:r>
      <w:r w:rsidR="001B5017">
        <w:t xml:space="preserve">land proprietor </w:t>
      </w:r>
      <w:r w:rsidRPr="001B5017">
        <w:t xml:space="preserve">guarded against just </w:t>
      </w:r>
      <w:r w:rsidR="00D648A6" w:rsidRPr="001B5017">
        <w:t>such occurrences</w:t>
      </w:r>
      <w:r w:rsidRPr="001B5017">
        <w:t xml:space="preserve">. It provides in relevant part: </w:t>
      </w:r>
    </w:p>
    <w:p w14:paraId="5206234F" w14:textId="01FF1231" w:rsidR="00D37A16" w:rsidRPr="001B5017" w:rsidRDefault="00D648A6" w:rsidP="00D648A6">
      <w:pPr>
        <w:pStyle w:val="Unnumberedquote"/>
        <w:numPr>
          <w:ilvl w:val="0"/>
          <w:numId w:val="0"/>
        </w:numPr>
        <w:ind w:left="720" w:firstLine="720"/>
        <w:rPr>
          <w:rFonts w:ascii="Times New Roman" w:hAnsi="Times New Roman"/>
          <w:i/>
        </w:rPr>
      </w:pPr>
      <w:r w:rsidRPr="001B5017">
        <w:rPr>
          <w:rFonts w:ascii="Times New Roman" w:hAnsi="Times New Roman"/>
          <w:i/>
        </w:rPr>
        <w:t>“</w:t>
      </w:r>
      <w:r w:rsidR="00D37A16" w:rsidRPr="001B5017">
        <w:rPr>
          <w:rFonts w:ascii="Times New Roman" w:hAnsi="Times New Roman"/>
          <w:i/>
        </w:rPr>
        <w:t>Subject to the provisions of this Act-</w:t>
      </w:r>
    </w:p>
    <w:p w14:paraId="570F848E" w14:textId="423D2E8D" w:rsidR="00D33E0E" w:rsidRPr="001B5017" w:rsidRDefault="00D37A16" w:rsidP="00340DBD">
      <w:pPr>
        <w:pStyle w:val="JudgmentText"/>
        <w:numPr>
          <w:ilvl w:val="0"/>
          <w:numId w:val="0"/>
        </w:numPr>
        <w:ind w:left="1440"/>
        <w:rPr>
          <w:i/>
        </w:rPr>
      </w:pPr>
      <w:r w:rsidRPr="001B5017">
        <w:rPr>
          <w:i/>
        </w:rPr>
        <w:t>(a) the registration of a person as the proprietor of land with an absolute title shall vest in him the absolute ownership of that land, together with all rights, privileges and appurtenances belonging or appurtenant thereto</w:t>
      </w:r>
      <w:r w:rsidR="00D648A6" w:rsidRPr="001B5017">
        <w:rPr>
          <w:i/>
        </w:rPr>
        <w:t>…”</w:t>
      </w:r>
    </w:p>
    <w:p w14:paraId="600AF540" w14:textId="58FAB90F" w:rsidR="00D648A6" w:rsidRPr="001B5017" w:rsidRDefault="00D648A6" w:rsidP="00D33E0E">
      <w:pPr>
        <w:pStyle w:val="JudgmentText"/>
      </w:pPr>
      <w:r w:rsidRPr="001B5017">
        <w:rPr>
          <w:rFonts w:eastAsia="Calibri"/>
        </w:rPr>
        <w:t xml:space="preserve">The LRA makes provision for the rectification of the </w:t>
      </w:r>
      <w:r w:rsidR="00340DBD" w:rsidRPr="001B5017">
        <w:rPr>
          <w:rFonts w:eastAsia="Calibri"/>
        </w:rPr>
        <w:t xml:space="preserve">Register </w:t>
      </w:r>
      <w:r w:rsidR="001B5017">
        <w:rPr>
          <w:rFonts w:eastAsia="Calibri"/>
        </w:rPr>
        <w:t xml:space="preserve">only in specific </w:t>
      </w:r>
      <w:r w:rsidR="00340DBD" w:rsidRPr="001B5017">
        <w:rPr>
          <w:rFonts w:eastAsia="Calibri"/>
        </w:rPr>
        <w:t>circumstances</w:t>
      </w:r>
      <w:r w:rsidR="001B5017">
        <w:rPr>
          <w:rFonts w:eastAsia="Calibri"/>
        </w:rPr>
        <w:t>.</w:t>
      </w:r>
      <w:r w:rsidR="00340DBD" w:rsidRPr="001B5017">
        <w:rPr>
          <w:rFonts w:eastAsia="Calibri"/>
        </w:rPr>
        <w:t xml:space="preserve"> In this respect, sections 88 and 89 provide in relevant form:</w:t>
      </w:r>
    </w:p>
    <w:p w14:paraId="0F4AE0BC" w14:textId="098D4548" w:rsidR="00340DBD" w:rsidRPr="001B5017" w:rsidRDefault="00280FA6" w:rsidP="00340DBD">
      <w:pPr>
        <w:pStyle w:val="Unnumberedquote"/>
        <w:numPr>
          <w:ilvl w:val="0"/>
          <w:numId w:val="0"/>
        </w:numPr>
        <w:spacing w:before="100" w:beforeAutospacing="1" w:after="100" w:afterAutospacing="1" w:line="240" w:lineRule="auto"/>
        <w:ind w:left="1440"/>
        <w:rPr>
          <w:rFonts w:ascii="Times New Roman" w:hAnsi="Times New Roman"/>
          <w:i/>
          <w:color w:val="000000"/>
          <w:lang w:val="en-US"/>
        </w:rPr>
      </w:pPr>
      <w:r w:rsidRPr="001B5017">
        <w:rPr>
          <w:rFonts w:ascii="Times New Roman" w:hAnsi="Times New Roman"/>
          <w:i/>
        </w:rPr>
        <w:t>88</w:t>
      </w:r>
      <w:r w:rsidR="00340DBD" w:rsidRPr="001B5017">
        <w:rPr>
          <w:rFonts w:ascii="Times New Roman" w:hAnsi="Times New Roman"/>
          <w:i/>
        </w:rPr>
        <w:t>(1) The Registrar may rectify the register or any instrument presented for</w:t>
      </w:r>
      <w:r w:rsidR="00340DBD" w:rsidRPr="001B5017">
        <w:rPr>
          <w:rFonts w:ascii="Times New Roman" w:hAnsi="Times New Roman"/>
          <w:i/>
          <w:color w:val="000000"/>
        </w:rPr>
        <w:t xml:space="preserve"> registration in the following cases:</w:t>
      </w:r>
    </w:p>
    <w:p w14:paraId="469C5128" w14:textId="11C6CF7C" w:rsidR="00340DBD" w:rsidRPr="001B5017" w:rsidRDefault="00340DBD" w:rsidP="00340DBD">
      <w:pPr>
        <w:pStyle w:val="Unnumberedquote"/>
        <w:numPr>
          <w:ilvl w:val="0"/>
          <w:numId w:val="0"/>
        </w:numPr>
        <w:spacing w:before="100" w:beforeAutospacing="1" w:after="100" w:afterAutospacing="1" w:line="240" w:lineRule="auto"/>
        <w:ind w:left="1440"/>
        <w:rPr>
          <w:rFonts w:ascii="Times New Roman" w:hAnsi="Times New Roman"/>
          <w:color w:val="000000"/>
          <w:lang w:val="en-US"/>
        </w:rPr>
      </w:pPr>
      <w:r w:rsidRPr="001B5017">
        <w:rPr>
          <w:rFonts w:ascii="Times New Roman" w:hAnsi="Times New Roman"/>
          <w:i/>
          <w:color w:val="000000"/>
        </w:rPr>
        <w:t xml:space="preserve">(a) </w:t>
      </w:r>
      <w:proofErr w:type="gramStart"/>
      <w:r w:rsidRPr="001B5017">
        <w:rPr>
          <w:rFonts w:ascii="Times New Roman" w:hAnsi="Times New Roman"/>
          <w:i/>
          <w:color w:val="000000"/>
        </w:rPr>
        <w:t>in</w:t>
      </w:r>
      <w:proofErr w:type="gramEnd"/>
      <w:r w:rsidRPr="001B5017">
        <w:rPr>
          <w:rFonts w:ascii="Times New Roman" w:hAnsi="Times New Roman"/>
          <w:i/>
          <w:color w:val="000000"/>
        </w:rPr>
        <w:t xml:space="preserve"> formal matters and in the case of errors or omissions not materially affecting the interests of any proprietor…</w:t>
      </w:r>
    </w:p>
    <w:p w14:paraId="0A062A42" w14:textId="0BA793F5" w:rsidR="00340DBD" w:rsidRPr="001B5017" w:rsidRDefault="00340DBD" w:rsidP="00340DBD">
      <w:pPr>
        <w:pStyle w:val="Unnumberedquote"/>
        <w:numPr>
          <w:ilvl w:val="0"/>
          <w:numId w:val="0"/>
        </w:numPr>
        <w:spacing w:before="100" w:beforeAutospacing="1" w:after="100" w:afterAutospacing="1" w:line="240" w:lineRule="auto"/>
        <w:ind w:left="1440"/>
        <w:rPr>
          <w:rFonts w:ascii="Times New Roman" w:hAnsi="Times New Roman"/>
          <w:i/>
          <w:color w:val="000000"/>
          <w:lang w:val="en-US"/>
        </w:rPr>
      </w:pPr>
      <w:proofErr w:type="gramStart"/>
      <w:r w:rsidRPr="001B5017">
        <w:rPr>
          <w:rFonts w:ascii="Times New Roman" w:hAnsi="Times New Roman"/>
          <w:i/>
          <w:color w:val="000000"/>
        </w:rPr>
        <w:t>89</w:t>
      </w:r>
      <w:proofErr w:type="gramEnd"/>
      <w:r w:rsidR="00280FA6" w:rsidRPr="001B5017">
        <w:rPr>
          <w:rFonts w:ascii="Times New Roman" w:hAnsi="Times New Roman"/>
          <w:i/>
          <w:color w:val="000000"/>
        </w:rPr>
        <w:t xml:space="preserve"> </w:t>
      </w:r>
      <w:r w:rsidRPr="001B5017">
        <w:rPr>
          <w:rFonts w:ascii="Times New Roman" w:hAnsi="Times New Roman"/>
          <w:i/>
          <w:color w:val="000000"/>
        </w:rPr>
        <w:t>(1) Subject to subsection (2), the court may order rectification of the register by directing that any registration be cancelled or amended where it is satisfied that any registration has been obtained, made or omitted by fraud or </w:t>
      </w:r>
      <w:r w:rsidRPr="001B5017">
        <w:rPr>
          <w:rFonts w:ascii="Times New Roman" w:hAnsi="Times New Roman"/>
          <w:i/>
        </w:rPr>
        <w:t>mistake.</w:t>
      </w:r>
    </w:p>
    <w:p w14:paraId="298FD45C" w14:textId="77777777" w:rsidR="00340DBD" w:rsidRPr="001B5017" w:rsidRDefault="00340DBD" w:rsidP="00340DBD">
      <w:pPr>
        <w:pStyle w:val="Unnumberedquote"/>
        <w:numPr>
          <w:ilvl w:val="0"/>
          <w:numId w:val="0"/>
        </w:numPr>
        <w:spacing w:before="100" w:beforeAutospacing="1" w:after="100" w:afterAutospacing="1" w:line="240" w:lineRule="auto"/>
        <w:ind w:left="1440"/>
        <w:rPr>
          <w:rFonts w:ascii="Times New Roman" w:hAnsi="Times New Roman"/>
          <w:i/>
          <w:color w:val="000000"/>
          <w:lang w:val="en-US"/>
        </w:rPr>
      </w:pPr>
      <w:proofErr w:type="gramStart"/>
      <w:r w:rsidRPr="001B5017">
        <w:rPr>
          <w:rFonts w:ascii="Times New Roman" w:hAnsi="Times New Roman"/>
          <w:i/>
          <w:color w:val="000000"/>
        </w:rPr>
        <w:t>(2) The register shall not be rectified so as to affect the title of a proprietor who is in possession and acquired the land, lease or charge for valuable consideration, unless such proprietor had knowledge of the omission, fraud or </w:t>
      </w:r>
      <w:r w:rsidRPr="001B5017">
        <w:rPr>
          <w:rFonts w:ascii="Times New Roman" w:hAnsi="Times New Roman"/>
          <w:i/>
        </w:rPr>
        <w:t>mistake</w:t>
      </w:r>
      <w:r w:rsidRPr="001B5017">
        <w:rPr>
          <w:rFonts w:ascii="Times New Roman" w:hAnsi="Times New Roman"/>
          <w:i/>
          <w:color w:val="000000"/>
        </w:rPr>
        <w:t xml:space="preserve"> in </w:t>
      </w:r>
      <w:r w:rsidRPr="001B5017">
        <w:rPr>
          <w:rFonts w:ascii="Times New Roman" w:hAnsi="Times New Roman"/>
          <w:i/>
          <w:color w:val="000000"/>
        </w:rPr>
        <w:lastRenderedPageBreak/>
        <w:t>consequence of which rectification is sought, or caused such omission, fraud or </w:t>
      </w:r>
      <w:r w:rsidRPr="001B5017">
        <w:rPr>
          <w:rFonts w:ascii="Times New Roman" w:hAnsi="Times New Roman"/>
          <w:i/>
        </w:rPr>
        <w:t>mistake</w:t>
      </w:r>
      <w:r w:rsidRPr="001B5017">
        <w:rPr>
          <w:rFonts w:ascii="Times New Roman" w:hAnsi="Times New Roman"/>
          <w:i/>
          <w:color w:val="000000"/>
        </w:rPr>
        <w:t> or substantially contributed to it by his act, neglect or default.</w:t>
      </w:r>
      <w:proofErr w:type="gramEnd"/>
    </w:p>
    <w:p w14:paraId="75E24298" w14:textId="323F597B" w:rsidR="00340DBD" w:rsidRPr="002421D5" w:rsidRDefault="00280FA6" w:rsidP="00280FA6">
      <w:pPr>
        <w:pStyle w:val="JudgmentText"/>
        <w:spacing w:after="0"/>
        <w:rPr>
          <w:color w:val="FF0000"/>
          <w:lang w:val="en-US"/>
        </w:rPr>
      </w:pPr>
      <w:r w:rsidRPr="001B5017">
        <w:rPr>
          <w:lang w:val="en-US"/>
        </w:rPr>
        <w:t xml:space="preserve">It is clear from </w:t>
      </w:r>
      <w:proofErr w:type="gramStart"/>
      <w:r w:rsidRPr="001B5017">
        <w:rPr>
          <w:lang w:val="en-US"/>
        </w:rPr>
        <w:t>these</w:t>
      </w:r>
      <w:proofErr w:type="gramEnd"/>
      <w:r w:rsidRPr="001B5017">
        <w:rPr>
          <w:lang w:val="en-US"/>
        </w:rPr>
        <w:t xml:space="preserve"> provisions that unless an allegation of omission, fraud or </w:t>
      </w:r>
      <w:r w:rsidRPr="00D83BC4">
        <w:rPr>
          <w:lang w:val="en-US"/>
        </w:rPr>
        <w:t xml:space="preserve">mistake is made and such omission, fraud or mistake was in the knowledge of the proprietor </w:t>
      </w:r>
      <w:r w:rsidR="00D83BC4" w:rsidRPr="00D83BC4">
        <w:rPr>
          <w:lang w:val="en-US"/>
        </w:rPr>
        <w:t xml:space="preserve">or </w:t>
      </w:r>
      <w:r w:rsidRPr="00D83BC4">
        <w:rPr>
          <w:lang w:val="en-US"/>
        </w:rPr>
        <w:t>contributed substantially to it by the proprietor that the Register will not be rectified.</w:t>
      </w:r>
      <w:r w:rsidR="002421D5" w:rsidRPr="00D83BC4">
        <w:rPr>
          <w:lang w:val="en-US"/>
        </w:rPr>
        <w:t xml:space="preserve"> </w:t>
      </w:r>
    </w:p>
    <w:p w14:paraId="4E9B1B8D" w14:textId="77777777" w:rsidR="001B5017" w:rsidRPr="001B5017" w:rsidRDefault="001B5017" w:rsidP="001B5017">
      <w:pPr>
        <w:pStyle w:val="JudgmentText"/>
        <w:numPr>
          <w:ilvl w:val="0"/>
          <w:numId w:val="0"/>
        </w:numPr>
        <w:spacing w:after="0"/>
        <w:ind w:left="720" w:hanging="720"/>
        <w:rPr>
          <w:lang w:val="en-US"/>
        </w:rPr>
      </w:pPr>
    </w:p>
    <w:p w14:paraId="035F76ED" w14:textId="35AEFCBF" w:rsidR="001B5017" w:rsidRDefault="001B5017" w:rsidP="00280FA6">
      <w:pPr>
        <w:pStyle w:val="JudgmentText"/>
        <w:spacing w:after="0"/>
        <w:rPr>
          <w:lang w:val="en-US"/>
        </w:rPr>
      </w:pPr>
      <w:r>
        <w:rPr>
          <w:lang w:val="en-US"/>
        </w:rPr>
        <w:t xml:space="preserve">In the present case, </w:t>
      </w:r>
      <w:r w:rsidRPr="001B5017">
        <w:rPr>
          <w:lang w:val="en-US"/>
        </w:rPr>
        <w:t>the pleadings</w:t>
      </w:r>
      <w:r>
        <w:rPr>
          <w:lang w:val="en-US"/>
        </w:rPr>
        <w:t xml:space="preserve"> made</w:t>
      </w:r>
      <w:r w:rsidR="00280FA6" w:rsidRPr="001B5017">
        <w:rPr>
          <w:lang w:val="en-US"/>
        </w:rPr>
        <w:t xml:space="preserve"> no allegation of omission, fraud or mistake nor </w:t>
      </w:r>
      <w:r>
        <w:rPr>
          <w:lang w:val="en-US"/>
        </w:rPr>
        <w:t xml:space="preserve">were </w:t>
      </w:r>
      <w:r w:rsidR="00280FA6" w:rsidRPr="001B5017">
        <w:rPr>
          <w:lang w:val="en-US"/>
        </w:rPr>
        <w:t xml:space="preserve">evidence of such adduced. </w:t>
      </w:r>
      <w:r>
        <w:rPr>
          <w:lang w:val="en-US"/>
        </w:rPr>
        <w:t>There is no basis therefore for thi</w:t>
      </w:r>
      <w:r w:rsidR="00D83BC4">
        <w:rPr>
          <w:lang w:val="en-US"/>
        </w:rPr>
        <w:t>s Court to cancel or amend the R</w:t>
      </w:r>
      <w:r>
        <w:rPr>
          <w:lang w:val="en-US"/>
        </w:rPr>
        <w:t xml:space="preserve">egister to change the title in respect to Parcel V2062. The appeal has no merit whatsoever and </w:t>
      </w:r>
      <w:proofErr w:type="gramStart"/>
      <w:r>
        <w:rPr>
          <w:lang w:val="en-US"/>
        </w:rPr>
        <w:t>is dismissed</w:t>
      </w:r>
      <w:proofErr w:type="gramEnd"/>
      <w:r>
        <w:rPr>
          <w:lang w:val="en-US"/>
        </w:rPr>
        <w:t xml:space="preserve">. Ground 1 of the cross-appeal succeeds.  </w:t>
      </w:r>
    </w:p>
    <w:p w14:paraId="1CA6B46A" w14:textId="77777777" w:rsidR="001B5017" w:rsidRDefault="001B5017" w:rsidP="001B5017">
      <w:pPr>
        <w:pStyle w:val="JudgmentText"/>
        <w:numPr>
          <w:ilvl w:val="0"/>
          <w:numId w:val="0"/>
        </w:numPr>
        <w:spacing w:after="0"/>
        <w:ind w:left="720" w:hanging="720"/>
        <w:rPr>
          <w:lang w:val="en-US"/>
        </w:rPr>
      </w:pPr>
    </w:p>
    <w:p w14:paraId="3857FD5F" w14:textId="22673C1A" w:rsidR="001B5017" w:rsidRDefault="001B5017" w:rsidP="00280FA6">
      <w:pPr>
        <w:pStyle w:val="JudgmentText"/>
        <w:spacing w:after="0"/>
        <w:rPr>
          <w:lang w:val="en-US"/>
        </w:rPr>
      </w:pPr>
      <w:r>
        <w:rPr>
          <w:lang w:val="en-US"/>
        </w:rPr>
        <w:t>That being the case I see no reason to consider the other grounds of appeal relating to the prescription of the action.</w:t>
      </w:r>
    </w:p>
    <w:p w14:paraId="6D796405" w14:textId="77777777" w:rsidR="001B5017" w:rsidRPr="001B5017" w:rsidRDefault="001B5017" w:rsidP="001B5017">
      <w:pPr>
        <w:pStyle w:val="JudgmentText"/>
        <w:numPr>
          <w:ilvl w:val="0"/>
          <w:numId w:val="0"/>
        </w:numPr>
        <w:spacing w:after="0"/>
        <w:rPr>
          <w:lang w:val="en-US"/>
        </w:rPr>
      </w:pPr>
    </w:p>
    <w:p w14:paraId="4346DCF4" w14:textId="77777777" w:rsidR="00FE66C6" w:rsidRPr="001B5017" w:rsidRDefault="00FE66C6" w:rsidP="00FE66C6">
      <w:pPr>
        <w:pStyle w:val="Jjmntheading1"/>
      </w:pPr>
      <w:r w:rsidRPr="001B5017">
        <w:t>Order</w:t>
      </w:r>
    </w:p>
    <w:p w14:paraId="79D281E1" w14:textId="15631358" w:rsidR="006A7262" w:rsidRDefault="00FE66C6" w:rsidP="001B5017">
      <w:pPr>
        <w:pStyle w:val="JudgmentText"/>
      </w:pPr>
      <w:r w:rsidRPr="001B5017">
        <w:t xml:space="preserve">In the </w:t>
      </w:r>
      <w:r w:rsidR="001B5017" w:rsidRPr="001B5017">
        <w:t>circumstances</w:t>
      </w:r>
      <w:r w:rsidR="001B5017">
        <w:t xml:space="preserve">, </w:t>
      </w:r>
      <w:r w:rsidR="001B5017" w:rsidRPr="001B5017">
        <w:t>I</w:t>
      </w:r>
      <w:r w:rsidR="001B5017">
        <w:t xml:space="preserve"> make the following orders:</w:t>
      </w:r>
    </w:p>
    <w:p w14:paraId="26FE5844" w14:textId="0EEC3902" w:rsidR="001B5017" w:rsidRPr="001B5017" w:rsidRDefault="001B5017" w:rsidP="001B5017">
      <w:pPr>
        <w:pStyle w:val="NumberedQuotationindent1"/>
        <w:numPr>
          <w:ilvl w:val="0"/>
          <w:numId w:val="23"/>
        </w:numPr>
      </w:pPr>
      <w:r>
        <w:t xml:space="preserve">The cross-appeal </w:t>
      </w:r>
      <w:proofErr w:type="gramStart"/>
      <w:r>
        <w:t>is partly allowed</w:t>
      </w:r>
      <w:proofErr w:type="gramEnd"/>
      <w:r>
        <w:t xml:space="preserve">. </w:t>
      </w:r>
    </w:p>
    <w:p w14:paraId="75C909D8" w14:textId="147AD443" w:rsidR="001B5017" w:rsidRDefault="001B5017" w:rsidP="001B5017">
      <w:pPr>
        <w:pStyle w:val="NumberedQuotationindent1"/>
        <w:numPr>
          <w:ilvl w:val="0"/>
          <w:numId w:val="23"/>
        </w:numPr>
      </w:pPr>
      <w:r>
        <w:t xml:space="preserve">The appeal </w:t>
      </w:r>
      <w:proofErr w:type="gramStart"/>
      <w:r>
        <w:t>is dismissed</w:t>
      </w:r>
      <w:proofErr w:type="gramEnd"/>
      <w:r>
        <w:t xml:space="preserve"> with costs.</w:t>
      </w:r>
    </w:p>
    <w:p w14:paraId="5D091E72" w14:textId="6BE4E5B8" w:rsidR="006A7262" w:rsidRPr="001B5017" w:rsidRDefault="006A7262" w:rsidP="006A7262">
      <w:pPr>
        <w:pStyle w:val="NumberedQuotationindent1"/>
        <w:numPr>
          <w:ilvl w:val="0"/>
          <w:numId w:val="0"/>
        </w:numPr>
        <w:ind w:left="1800" w:hanging="360"/>
      </w:pPr>
    </w:p>
    <w:p w14:paraId="474DA2C7" w14:textId="77777777" w:rsidR="006A7262" w:rsidRPr="001B5017" w:rsidRDefault="006A7262" w:rsidP="006A7262">
      <w:pPr>
        <w:pStyle w:val="NumberedQuotationindent1"/>
        <w:numPr>
          <w:ilvl w:val="0"/>
          <w:numId w:val="0"/>
        </w:numPr>
        <w:ind w:left="1800" w:hanging="360"/>
      </w:pPr>
    </w:p>
    <w:p w14:paraId="4E78951B" w14:textId="30468894" w:rsidR="006A68E2" w:rsidRPr="001B5017" w:rsidRDefault="00722761" w:rsidP="0003172C">
      <w:pPr>
        <w:pStyle w:val="Jjmntheading1"/>
        <w:rPr>
          <w:b w:val="0"/>
        </w:rPr>
      </w:pPr>
      <w:r w:rsidRPr="001B5017">
        <w:rPr>
          <w:b w:val="0"/>
        </w:rPr>
        <w:t>Signed, dated and delivered at Ile du Port</w:t>
      </w:r>
      <w:r w:rsidR="0070371E" w:rsidRPr="001B5017">
        <w:rPr>
          <w:b w:val="0"/>
        </w:rPr>
        <w:t xml:space="preserve"> </w:t>
      </w:r>
      <w:r w:rsidRPr="001B5017">
        <w:rPr>
          <w:b w:val="0"/>
        </w:rPr>
        <w:t xml:space="preserve">on </w:t>
      </w:r>
      <w:r w:rsidR="00D83BC4">
        <w:rPr>
          <w:b w:val="0"/>
        </w:rPr>
        <w:t xml:space="preserve">31 </w:t>
      </w:r>
      <w:r w:rsidR="001B5017">
        <w:rPr>
          <w:b w:val="0"/>
        </w:rPr>
        <w:t>January 2022</w:t>
      </w:r>
      <w:r w:rsidR="00BF58C8" w:rsidRPr="001B5017">
        <w:rPr>
          <w:b w:val="0"/>
        </w:rPr>
        <w:t>.</w:t>
      </w:r>
    </w:p>
    <w:p w14:paraId="02FD1D81" w14:textId="400044C4" w:rsidR="008A4932" w:rsidRPr="001B5017" w:rsidRDefault="008A4932" w:rsidP="00CC437E">
      <w:pPr>
        <w:keepNext/>
        <w:rPr>
          <w:rFonts w:ascii="Times New Roman" w:hAnsi="Times New Roman" w:cs="Times New Roman"/>
          <w:sz w:val="24"/>
          <w:szCs w:val="24"/>
        </w:rPr>
      </w:pPr>
    </w:p>
    <w:p w14:paraId="655ADFDA" w14:textId="31B1C88E" w:rsidR="006A7262" w:rsidRDefault="006A7262" w:rsidP="00CC437E">
      <w:pPr>
        <w:keepNext/>
        <w:rPr>
          <w:rFonts w:ascii="Times New Roman" w:hAnsi="Times New Roman" w:cs="Times New Roman"/>
          <w:sz w:val="10"/>
          <w:szCs w:val="10"/>
        </w:rPr>
      </w:pPr>
    </w:p>
    <w:p w14:paraId="0C67C6BB" w14:textId="77777777" w:rsidR="00F858F9" w:rsidRPr="00F858F9" w:rsidRDefault="00F858F9" w:rsidP="00CC437E">
      <w:pPr>
        <w:keepNext/>
        <w:rPr>
          <w:rFonts w:ascii="Times New Roman" w:hAnsi="Times New Roman" w:cs="Times New Roman"/>
          <w:sz w:val="10"/>
          <w:szCs w:val="10"/>
        </w:rPr>
      </w:pPr>
    </w:p>
    <w:p w14:paraId="12257BDE" w14:textId="77777777" w:rsidR="00CB69C5" w:rsidRPr="001B5017" w:rsidRDefault="0070371E" w:rsidP="00CB69C5">
      <w:pPr>
        <w:keepNext/>
        <w:rPr>
          <w:rFonts w:ascii="Times New Roman" w:hAnsi="Times New Roman" w:cs="Times New Roman"/>
          <w:sz w:val="24"/>
          <w:szCs w:val="24"/>
        </w:rPr>
      </w:pPr>
      <w:r w:rsidRPr="001B5017">
        <w:rPr>
          <w:rFonts w:ascii="Times New Roman" w:hAnsi="Times New Roman" w:cs="Times New Roman"/>
          <w:sz w:val="24"/>
          <w:szCs w:val="24"/>
        </w:rPr>
        <w:t>____________</w:t>
      </w:r>
      <w:r w:rsidRPr="001B5017">
        <w:rPr>
          <w:rFonts w:ascii="Times New Roman" w:hAnsi="Times New Roman" w:cs="Times New Roman"/>
          <w:sz w:val="24"/>
          <w:szCs w:val="24"/>
        </w:rPr>
        <w:tab/>
      </w:r>
    </w:p>
    <w:p w14:paraId="430DB1B0" w14:textId="3D2650C0" w:rsidR="0070371E" w:rsidRDefault="00545879" w:rsidP="00CB69C5">
      <w:pPr>
        <w:keepNext/>
        <w:rPr>
          <w:rFonts w:ascii="Times New Roman" w:hAnsi="Times New Roman" w:cs="Times New Roman"/>
          <w:sz w:val="24"/>
          <w:szCs w:val="24"/>
        </w:rPr>
      </w:pPr>
      <w:proofErr w:type="spellStart"/>
      <w:r w:rsidRPr="001B5017">
        <w:rPr>
          <w:rFonts w:ascii="Times New Roman" w:hAnsi="Times New Roman" w:cs="Times New Roman"/>
          <w:sz w:val="24"/>
          <w:szCs w:val="24"/>
        </w:rPr>
        <w:t>Dr.</w:t>
      </w:r>
      <w:proofErr w:type="spellEnd"/>
      <w:r w:rsidRPr="001B5017">
        <w:rPr>
          <w:rFonts w:ascii="Times New Roman" w:hAnsi="Times New Roman" w:cs="Times New Roman"/>
          <w:sz w:val="24"/>
          <w:szCs w:val="24"/>
        </w:rPr>
        <w:t xml:space="preserve"> </w:t>
      </w:r>
      <w:r w:rsidR="00716597" w:rsidRPr="001B5017">
        <w:rPr>
          <w:rFonts w:ascii="Times New Roman" w:hAnsi="Times New Roman" w:cs="Times New Roman"/>
          <w:sz w:val="24"/>
          <w:szCs w:val="24"/>
        </w:rPr>
        <w:t xml:space="preserve">Mathilda </w:t>
      </w:r>
      <w:r w:rsidR="0070371E" w:rsidRPr="001B5017">
        <w:rPr>
          <w:rFonts w:ascii="Times New Roman" w:hAnsi="Times New Roman" w:cs="Times New Roman"/>
          <w:sz w:val="24"/>
          <w:szCs w:val="24"/>
        </w:rPr>
        <w:t xml:space="preserve">Twomey </w:t>
      </w:r>
      <w:r w:rsidR="00716597" w:rsidRPr="001B5017">
        <w:rPr>
          <w:rFonts w:ascii="Times New Roman" w:hAnsi="Times New Roman" w:cs="Times New Roman"/>
          <w:sz w:val="24"/>
          <w:szCs w:val="24"/>
        </w:rPr>
        <w:t>JA</w:t>
      </w:r>
      <w:r w:rsidR="0070371E" w:rsidRPr="001B5017">
        <w:rPr>
          <w:rFonts w:ascii="Times New Roman" w:hAnsi="Times New Roman" w:cs="Times New Roman"/>
          <w:sz w:val="24"/>
          <w:szCs w:val="24"/>
        </w:rPr>
        <w:t xml:space="preserve"> </w:t>
      </w:r>
    </w:p>
    <w:p w14:paraId="315B3B8D" w14:textId="5ECDC7A3" w:rsidR="001B5017" w:rsidRDefault="00F858F9" w:rsidP="00F858F9">
      <w:pPr>
        <w:spacing w:line="480" w:lineRule="auto"/>
        <w:ind w:left="4860"/>
        <w:jc w:val="both"/>
        <w:rPr>
          <w:rFonts w:ascii="Times New Roman" w:hAnsi="Times New Roman" w:cs="Times New Roman"/>
          <w:b/>
          <w:sz w:val="24"/>
          <w:szCs w:val="24"/>
        </w:rPr>
      </w:pPr>
      <w:r>
        <w:rPr>
          <w:rFonts w:ascii="Times New Roman" w:hAnsi="Times New Roman" w:cs="Times New Roman"/>
          <w:b/>
          <w:sz w:val="24"/>
          <w:szCs w:val="24"/>
        </w:rPr>
        <w:t xml:space="preserve">               </w:t>
      </w:r>
      <w:r w:rsidRPr="00F858F9">
        <w:rPr>
          <w:rFonts w:ascii="Times New Roman" w:hAnsi="Times New Roman" w:cs="Times New Roman"/>
          <w:b/>
          <w:noProof/>
          <w:sz w:val="24"/>
          <w:szCs w:val="24"/>
          <w:lang w:val="en-US"/>
        </w:rPr>
        <w:drawing>
          <wp:inline distT="0" distB="0" distL="0" distR="0" wp14:anchorId="64E76215" wp14:editId="29AC3D89">
            <wp:extent cx="1781175" cy="361950"/>
            <wp:effectExtent l="0" t="0" r="9525" b="0"/>
            <wp:docPr id="1" name="Picture 1" descr="C:\Users\mc.julie\Documents\COURT OF APPEAL DOCS\JUSTICES OF APPEAL FOLDERS\Justice Tibatemwa's DOCS\2019 DOCS\L T-E Spec Sig - 2\DarkSignatureLil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julie\Documents\COURT OF APPEAL DOCS\JUSTICES OF APPEAL FOLDERS\Justice Tibatemwa's DOCS\2019 DOCS\L T-E Spec Sig - 2\DarkSignatureLilia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361950"/>
                    </a:xfrm>
                    <a:prstGeom prst="rect">
                      <a:avLst/>
                    </a:prstGeom>
                    <a:noFill/>
                    <a:ln>
                      <a:noFill/>
                    </a:ln>
                  </pic:spPr>
                </pic:pic>
              </a:graphicData>
            </a:graphic>
          </wp:inline>
        </w:drawing>
      </w:r>
    </w:p>
    <w:p w14:paraId="7498D0A0" w14:textId="59EE3091" w:rsidR="00635D3C" w:rsidRDefault="00E5334B" w:rsidP="00F85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Times New Roman" w:hAnsi="Times New Roman" w:cs="Times New Roman"/>
          <w:sz w:val="24"/>
          <w:szCs w:val="24"/>
        </w:rPr>
      </w:pPr>
      <w:r w:rsidRPr="001B5017">
        <w:rPr>
          <w:rFonts w:ascii="Times New Roman" w:hAnsi="Times New Roman" w:cs="Times New Roman"/>
          <w:sz w:val="24"/>
          <w:szCs w:val="24"/>
        </w:rPr>
        <w:t>I concur</w:t>
      </w:r>
      <w:r w:rsidRPr="001B5017">
        <w:rPr>
          <w:rFonts w:ascii="Times New Roman" w:hAnsi="Times New Roman" w:cs="Times New Roman"/>
          <w:sz w:val="24"/>
          <w:szCs w:val="24"/>
        </w:rPr>
        <w:tab/>
      </w:r>
      <w:r w:rsidRPr="001B5017">
        <w:rPr>
          <w:rFonts w:ascii="Times New Roman" w:hAnsi="Times New Roman" w:cs="Times New Roman"/>
          <w:sz w:val="24"/>
          <w:szCs w:val="24"/>
        </w:rPr>
        <w:tab/>
      </w:r>
      <w:r w:rsidRPr="001B5017">
        <w:rPr>
          <w:rFonts w:ascii="Times New Roman" w:hAnsi="Times New Roman" w:cs="Times New Roman"/>
          <w:sz w:val="24"/>
          <w:szCs w:val="24"/>
        </w:rPr>
        <w:tab/>
      </w:r>
      <w:r w:rsidR="005132E9" w:rsidRPr="001B5017">
        <w:rPr>
          <w:rFonts w:ascii="Times New Roman" w:hAnsi="Times New Roman" w:cs="Times New Roman"/>
          <w:sz w:val="24"/>
          <w:szCs w:val="24"/>
        </w:rPr>
        <w:tab/>
      </w:r>
      <w:r w:rsidR="005132E9" w:rsidRPr="001B5017">
        <w:rPr>
          <w:rFonts w:ascii="Times New Roman" w:hAnsi="Times New Roman" w:cs="Times New Roman"/>
          <w:sz w:val="24"/>
          <w:szCs w:val="24"/>
        </w:rPr>
        <w:tab/>
      </w:r>
      <w:r w:rsidR="005132E9" w:rsidRPr="001B5017">
        <w:rPr>
          <w:rFonts w:ascii="Times New Roman" w:hAnsi="Times New Roman" w:cs="Times New Roman"/>
          <w:sz w:val="24"/>
          <w:szCs w:val="24"/>
        </w:rPr>
        <w:tab/>
      </w:r>
      <w:r w:rsidR="005132E9" w:rsidRPr="001B5017">
        <w:rPr>
          <w:rFonts w:ascii="Times New Roman" w:hAnsi="Times New Roman" w:cs="Times New Roman"/>
          <w:sz w:val="24"/>
          <w:szCs w:val="24"/>
        </w:rPr>
        <w:tab/>
      </w:r>
      <w:proofErr w:type="spellStart"/>
      <w:r w:rsidR="005132E9" w:rsidRPr="001B5017">
        <w:rPr>
          <w:rFonts w:ascii="Times New Roman" w:hAnsi="Times New Roman" w:cs="Times New Roman"/>
          <w:sz w:val="24"/>
          <w:szCs w:val="24"/>
        </w:rPr>
        <w:t>Dr.</w:t>
      </w:r>
      <w:proofErr w:type="spellEnd"/>
      <w:r w:rsidR="005132E9" w:rsidRPr="001B5017">
        <w:rPr>
          <w:rFonts w:ascii="Times New Roman" w:hAnsi="Times New Roman" w:cs="Times New Roman"/>
          <w:sz w:val="24"/>
          <w:szCs w:val="24"/>
        </w:rPr>
        <w:t xml:space="preserve"> L Tibatemwa-</w:t>
      </w:r>
      <w:proofErr w:type="spellStart"/>
      <w:r w:rsidR="005132E9" w:rsidRPr="001B5017">
        <w:rPr>
          <w:rFonts w:ascii="Times New Roman" w:hAnsi="Times New Roman" w:cs="Times New Roman"/>
          <w:sz w:val="24"/>
          <w:szCs w:val="24"/>
        </w:rPr>
        <w:t>Ekirikubinza</w:t>
      </w:r>
      <w:proofErr w:type="spellEnd"/>
      <w:r w:rsidR="00F858F9">
        <w:rPr>
          <w:rFonts w:ascii="Times New Roman" w:hAnsi="Times New Roman" w:cs="Times New Roman"/>
          <w:sz w:val="24"/>
          <w:szCs w:val="24"/>
        </w:rPr>
        <w:tab/>
      </w:r>
    </w:p>
    <w:sectPr w:rsidR="00635D3C" w:rsidSect="00E001F8">
      <w:footerReference w:type="default" r:id="rId9"/>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07A67" w14:textId="77777777" w:rsidR="009409BC" w:rsidRDefault="009409BC" w:rsidP="006A68E2">
      <w:pPr>
        <w:spacing w:after="0" w:line="240" w:lineRule="auto"/>
      </w:pPr>
      <w:r>
        <w:separator/>
      </w:r>
    </w:p>
  </w:endnote>
  <w:endnote w:type="continuationSeparator" w:id="0">
    <w:p w14:paraId="1C255BAC" w14:textId="77777777" w:rsidR="009409BC" w:rsidRDefault="009409B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727472"/>
      <w:docPartObj>
        <w:docPartGallery w:val="Page Numbers (Bottom of Page)"/>
        <w:docPartUnique/>
      </w:docPartObj>
    </w:sdtPr>
    <w:sdtEndPr>
      <w:rPr>
        <w:noProof/>
      </w:rPr>
    </w:sdtEndPr>
    <w:sdtContent>
      <w:p w14:paraId="49A1037F" w14:textId="37ABFA32" w:rsidR="00D83BC4" w:rsidRDefault="00D83BC4">
        <w:pPr>
          <w:pStyle w:val="Footer"/>
          <w:jc w:val="center"/>
        </w:pPr>
        <w:r>
          <w:fldChar w:fldCharType="begin"/>
        </w:r>
        <w:r>
          <w:instrText xml:space="preserve"> PAGE   \* MERGEFORMAT </w:instrText>
        </w:r>
        <w:r>
          <w:fldChar w:fldCharType="separate"/>
        </w:r>
        <w:r w:rsidR="00696D04">
          <w:rPr>
            <w:noProof/>
          </w:rPr>
          <w:t>2</w:t>
        </w:r>
        <w:r>
          <w:rPr>
            <w:noProof/>
          </w:rPr>
          <w:fldChar w:fldCharType="end"/>
        </w:r>
      </w:p>
    </w:sdtContent>
  </w:sdt>
  <w:p w14:paraId="410FFCF2" w14:textId="77777777" w:rsidR="00D83BC4" w:rsidRDefault="00D8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7DD11" w14:textId="77777777" w:rsidR="009409BC" w:rsidRDefault="009409BC" w:rsidP="006A68E2">
      <w:pPr>
        <w:spacing w:after="0" w:line="240" w:lineRule="auto"/>
      </w:pPr>
      <w:r>
        <w:separator/>
      </w:r>
    </w:p>
  </w:footnote>
  <w:footnote w:type="continuationSeparator" w:id="0">
    <w:p w14:paraId="1C000330" w14:textId="77777777" w:rsidR="009409BC" w:rsidRDefault="009409BC"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pStyle w:val="Unnumberedquote"/>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47F52"/>
    <w:multiLevelType w:val="hybridMultilevel"/>
    <w:tmpl w:val="2E9A529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460D1854"/>
    <w:multiLevelType w:val="hybridMultilevel"/>
    <w:tmpl w:val="20501E06"/>
    <w:lvl w:ilvl="0" w:tplc="0409001B">
      <w:start w:val="1"/>
      <w:numFmt w:val="lowerRoman"/>
      <w:lvlText w:val="%1."/>
      <w:lvlJc w:val="right"/>
      <w:pPr>
        <w:ind w:left="2581" w:hanging="360"/>
      </w:pPr>
    </w:lvl>
    <w:lvl w:ilvl="1" w:tplc="04090019" w:tentative="1">
      <w:start w:val="1"/>
      <w:numFmt w:val="lowerLetter"/>
      <w:lvlText w:val="%2."/>
      <w:lvlJc w:val="left"/>
      <w:pPr>
        <w:ind w:left="3301" w:hanging="360"/>
      </w:pPr>
    </w:lvl>
    <w:lvl w:ilvl="2" w:tplc="0409001B" w:tentative="1">
      <w:start w:val="1"/>
      <w:numFmt w:val="lowerRoman"/>
      <w:lvlText w:val="%3."/>
      <w:lvlJc w:val="right"/>
      <w:pPr>
        <w:ind w:left="4021" w:hanging="180"/>
      </w:pPr>
    </w:lvl>
    <w:lvl w:ilvl="3" w:tplc="0409000F" w:tentative="1">
      <w:start w:val="1"/>
      <w:numFmt w:val="decimal"/>
      <w:lvlText w:val="%4."/>
      <w:lvlJc w:val="left"/>
      <w:pPr>
        <w:ind w:left="4741" w:hanging="360"/>
      </w:pPr>
    </w:lvl>
    <w:lvl w:ilvl="4" w:tplc="04090019" w:tentative="1">
      <w:start w:val="1"/>
      <w:numFmt w:val="lowerLetter"/>
      <w:lvlText w:val="%5."/>
      <w:lvlJc w:val="left"/>
      <w:pPr>
        <w:ind w:left="5461" w:hanging="360"/>
      </w:pPr>
    </w:lvl>
    <w:lvl w:ilvl="5" w:tplc="0409001B" w:tentative="1">
      <w:start w:val="1"/>
      <w:numFmt w:val="lowerRoman"/>
      <w:lvlText w:val="%6."/>
      <w:lvlJc w:val="right"/>
      <w:pPr>
        <w:ind w:left="6181" w:hanging="180"/>
      </w:pPr>
    </w:lvl>
    <w:lvl w:ilvl="6" w:tplc="0409000F" w:tentative="1">
      <w:start w:val="1"/>
      <w:numFmt w:val="decimal"/>
      <w:lvlText w:val="%7."/>
      <w:lvlJc w:val="left"/>
      <w:pPr>
        <w:ind w:left="6901" w:hanging="360"/>
      </w:pPr>
    </w:lvl>
    <w:lvl w:ilvl="7" w:tplc="04090019" w:tentative="1">
      <w:start w:val="1"/>
      <w:numFmt w:val="lowerLetter"/>
      <w:lvlText w:val="%8."/>
      <w:lvlJc w:val="left"/>
      <w:pPr>
        <w:ind w:left="7621" w:hanging="360"/>
      </w:pPr>
    </w:lvl>
    <w:lvl w:ilvl="8" w:tplc="0409001B" w:tentative="1">
      <w:start w:val="1"/>
      <w:numFmt w:val="lowerRoman"/>
      <w:lvlText w:val="%9."/>
      <w:lvlJc w:val="right"/>
      <w:pPr>
        <w:ind w:left="8341" w:hanging="180"/>
      </w:pPr>
    </w:lvl>
  </w:abstractNum>
  <w:abstractNum w:abstractNumId="9" w15:restartNumberingAfterBreak="0">
    <w:nsid w:val="482A421A"/>
    <w:multiLevelType w:val="hybridMultilevel"/>
    <w:tmpl w:val="2BDE38A6"/>
    <w:lvl w:ilvl="0" w:tplc="F1DAEFA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12421E4"/>
    <w:multiLevelType w:val="hybridMultilevel"/>
    <w:tmpl w:val="A99A278E"/>
    <w:lvl w:ilvl="0" w:tplc="C8A4D338">
      <w:start w:val="1"/>
      <w:numFmt w:val="decimal"/>
      <w:pStyle w:val="NumberedQuotationindent1"/>
      <w:lvlText w:val="%1"/>
      <w:lvlJc w:val="left"/>
      <w:pPr>
        <w:ind w:left="2221" w:hanging="360"/>
      </w:pPr>
      <w:rPr>
        <w:rFonts w:hint="default"/>
      </w:rPr>
    </w:lvl>
    <w:lvl w:ilvl="1" w:tplc="04090019" w:tentative="1">
      <w:start w:val="1"/>
      <w:numFmt w:val="lowerLetter"/>
      <w:lvlText w:val="%2."/>
      <w:lvlJc w:val="left"/>
      <w:pPr>
        <w:ind w:left="2941" w:hanging="360"/>
      </w:pPr>
    </w:lvl>
    <w:lvl w:ilvl="2" w:tplc="0409001B" w:tentative="1">
      <w:start w:val="1"/>
      <w:numFmt w:val="lowerRoman"/>
      <w:lvlText w:val="%3."/>
      <w:lvlJc w:val="right"/>
      <w:pPr>
        <w:ind w:left="3661" w:hanging="180"/>
      </w:pPr>
    </w:lvl>
    <w:lvl w:ilvl="3" w:tplc="0409000F" w:tentative="1">
      <w:start w:val="1"/>
      <w:numFmt w:val="decimal"/>
      <w:lvlText w:val="%4."/>
      <w:lvlJc w:val="left"/>
      <w:pPr>
        <w:ind w:left="4381" w:hanging="360"/>
      </w:pPr>
    </w:lvl>
    <w:lvl w:ilvl="4" w:tplc="04090019" w:tentative="1">
      <w:start w:val="1"/>
      <w:numFmt w:val="lowerLetter"/>
      <w:lvlText w:val="%5."/>
      <w:lvlJc w:val="left"/>
      <w:pPr>
        <w:ind w:left="5101" w:hanging="360"/>
      </w:pPr>
    </w:lvl>
    <w:lvl w:ilvl="5" w:tplc="0409001B" w:tentative="1">
      <w:start w:val="1"/>
      <w:numFmt w:val="lowerRoman"/>
      <w:lvlText w:val="%6."/>
      <w:lvlJc w:val="right"/>
      <w:pPr>
        <w:ind w:left="5821" w:hanging="180"/>
      </w:pPr>
    </w:lvl>
    <w:lvl w:ilvl="6" w:tplc="0409000F" w:tentative="1">
      <w:start w:val="1"/>
      <w:numFmt w:val="decimal"/>
      <w:lvlText w:val="%7."/>
      <w:lvlJc w:val="left"/>
      <w:pPr>
        <w:ind w:left="6541" w:hanging="360"/>
      </w:pPr>
    </w:lvl>
    <w:lvl w:ilvl="7" w:tplc="04090019" w:tentative="1">
      <w:start w:val="1"/>
      <w:numFmt w:val="lowerLetter"/>
      <w:lvlText w:val="%8."/>
      <w:lvlJc w:val="left"/>
      <w:pPr>
        <w:ind w:left="7261" w:hanging="360"/>
      </w:pPr>
    </w:lvl>
    <w:lvl w:ilvl="8" w:tplc="0409001B" w:tentative="1">
      <w:start w:val="1"/>
      <w:numFmt w:val="lowerRoman"/>
      <w:lvlText w:val="%9."/>
      <w:lvlJc w:val="right"/>
      <w:pPr>
        <w:ind w:left="7981" w:hanging="180"/>
      </w:pPr>
    </w:lvl>
  </w:abstractNum>
  <w:abstractNum w:abstractNumId="11" w15:restartNumberingAfterBreak="0">
    <w:nsid w:val="521C41CC"/>
    <w:multiLevelType w:val="hybridMultilevel"/>
    <w:tmpl w:val="4FA25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E92235"/>
    <w:multiLevelType w:val="hybridMultilevel"/>
    <w:tmpl w:val="A99A278E"/>
    <w:lvl w:ilvl="0" w:tplc="C8A4D338">
      <w:start w:val="1"/>
      <w:numFmt w:val="decimal"/>
      <w:lvlText w:val="%1"/>
      <w:lvlJc w:val="left"/>
      <w:pPr>
        <w:ind w:left="2221" w:hanging="360"/>
      </w:pPr>
      <w:rPr>
        <w:rFonts w:hint="default"/>
      </w:rPr>
    </w:lvl>
    <w:lvl w:ilvl="1" w:tplc="04090019" w:tentative="1">
      <w:start w:val="1"/>
      <w:numFmt w:val="lowerLetter"/>
      <w:lvlText w:val="%2."/>
      <w:lvlJc w:val="left"/>
      <w:pPr>
        <w:ind w:left="2941" w:hanging="360"/>
      </w:pPr>
    </w:lvl>
    <w:lvl w:ilvl="2" w:tplc="0409001B" w:tentative="1">
      <w:start w:val="1"/>
      <w:numFmt w:val="lowerRoman"/>
      <w:lvlText w:val="%3."/>
      <w:lvlJc w:val="right"/>
      <w:pPr>
        <w:ind w:left="3661" w:hanging="180"/>
      </w:pPr>
    </w:lvl>
    <w:lvl w:ilvl="3" w:tplc="0409000F" w:tentative="1">
      <w:start w:val="1"/>
      <w:numFmt w:val="decimal"/>
      <w:lvlText w:val="%4."/>
      <w:lvlJc w:val="left"/>
      <w:pPr>
        <w:ind w:left="4381" w:hanging="360"/>
      </w:pPr>
    </w:lvl>
    <w:lvl w:ilvl="4" w:tplc="04090019" w:tentative="1">
      <w:start w:val="1"/>
      <w:numFmt w:val="lowerLetter"/>
      <w:lvlText w:val="%5."/>
      <w:lvlJc w:val="left"/>
      <w:pPr>
        <w:ind w:left="5101" w:hanging="360"/>
      </w:pPr>
    </w:lvl>
    <w:lvl w:ilvl="5" w:tplc="0409001B" w:tentative="1">
      <w:start w:val="1"/>
      <w:numFmt w:val="lowerRoman"/>
      <w:lvlText w:val="%6."/>
      <w:lvlJc w:val="right"/>
      <w:pPr>
        <w:ind w:left="5821" w:hanging="180"/>
      </w:pPr>
    </w:lvl>
    <w:lvl w:ilvl="6" w:tplc="0409000F" w:tentative="1">
      <w:start w:val="1"/>
      <w:numFmt w:val="decimal"/>
      <w:lvlText w:val="%7."/>
      <w:lvlJc w:val="left"/>
      <w:pPr>
        <w:ind w:left="6541" w:hanging="360"/>
      </w:pPr>
    </w:lvl>
    <w:lvl w:ilvl="7" w:tplc="04090019" w:tentative="1">
      <w:start w:val="1"/>
      <w:numFmt w:val="lowerLetter"/>
      <w:lvlText w:val="%8."/>
      <w:lvlJc w:val="left"/>
      <w:pPr>
        <w:ind w:left="7261" w:hanging="360"/>
      </w:pPr>
    </w:lvl>
    <w:lvl w:ilvl="8" w:tplc="0409001B" w:tentative="1">
      <w:start w:val="1"/>
      <w:numFmt w:val="lowerRoman"/>
      <w:lvlText w:val="%9."/>
      <w:lvlJc w:val="right"/>
      <w:pPr>
        <w:ind w:left="7981" w:hanging="180"/>
      </w:pPr>
    </w:lvl>
  </w:abstractNum>
  <w:abstractNum w:abstractNumId="13"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DB6221"/>
    <w:multiLevelType w:val="hybridMultilevel"/>
    <w:tmpl w:val="343C4782"/>
    <w:lvl w:ilvl="0" w:tplc="B0C4FB46">
      <w:start w:val="2"/>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777B0231"/>
    <w:multiLevelType w:val="hybridMultilevel"/>
    <w:tmpl w:val="62B65598"/>
    <w:lvl w:ilvl="0" w:tplc="0409001B">
      <w:start w:val="1"/>
      <w:numFmt w:val="lowerRoman"/>
      <w:lvlText w:val="%1."/>
      <w:lvlJc w:val="right"/>
      <w:pPr>
        <w:ind w:left="3661" w:hanging="360"/>
      </w:pPr>
    </w:lvl>
    <w:lvl w:ilvl="1" w:tplc="04090019" w:tentative="1">
      <w:start w:val="1"/>
      <w:numFmt w:val="lowerLetter"/>
      <w:lvlText w:val="%2."/>
      <w:lvlJc w:val="left"/>
      <w:pPr>
        <w:ind w:left="4381" w:hanging="360"/>
      </w:pPr>
    </w:lvl>
    <w:lvl w:ilvl="2" w:tplc="0409001B" w:tentative="1">
      <w:start w:val="1"/>
      <w:numFmt w:val="lowerRoman"/>
      <w:lvlText w:val="%3."/>
      <w:lvlJc w:val="right"/>
      <w:pPr>
        <w:ind w:left="5101" w:hanging="180"/>
      </w:pPr>
    </w:lvl>
    <w:lvl w:ilvl="3" w:tplc="0409000F" w:tentative="1">
      <w:start w:val="1"/>
      <w:numFmt w:val="decimal"/>
      <w:lvlText w:val="%4."/>
      <w:lvlJc w:val="left"/>
      <w:pPr>
        <w:ind w:left="5821" w:hanging="360"/>
      </w:pPr>
    </w:lvl>
    <w:lvl w:ilvl="4" w:tplc="04090019" w:tentative="1">
      <w:start w:val="1"/>
      <w:numFmt w:val="lowerLetter"/>
      <w:lvlText w:val="%5."/>
      <w:lvlJc w:val="left"/>
      <w:pPr>
        <w:ind w:left="6541" w:hanging="360"/>
      </w:pPr>
    </w:lvl>
    <w:lvl w:ilvl="5" w:tplc="0409001B" w:tentative="1">
      <w:start w:val="1"/>
      <w:numFmt w:val="lowerRoman"/>
      <w:lvlText w:val="%6."/>
      <w:lvlJc w:val="right"/>
      <w:pPr>
        <w:ind w:left="7261" w:hanging="180"/>
      </w:pPr>
    </w:lvl>
    <w:lvl w:ilvl="6" w:tplc="0409000F" w:tentative="1">
      <w:start w:val="1"/>
      <w:numFmt w:val="decimal"/>
      <w:lvlText w:val="%7."/>
      <w:lvlJc w:val="left"/>
      <w:pPr>
        <w:ind w:left="7981" w:hanging="360"/>
      </w:pPr>
    </w:lvl>
    <w:lvl w:ilvl="7" w:tplc="04090019" w:tentative="1">
      <w:start w:val="1"/>
      <w:numFmt w:val="lowerLetter"/>
      <w:lvlText w:val="%8."/>
      <w:lvlJc w:val="left"/>
      <w:pPr>
        <w:ind w:left="8701" w:hanging="360"/>
      </w:pPr>
    </w:lvl>
    <w:lvl w:ilvl="8" w:tplc="0409001B" w:tentative="1">
      <w:start w:val="1"/>
      <w:numFmt w:val="lowerRoman"/>
      <w:lvlText w:val="%9."/>
      <w:lvlJc w:val="right"/>
      <w:pPr>
        <w:ind w:left="9421"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color w:val="auto"/>
          <w:sz w:val="24"/>
        </w:rPr>
      </w:lvl>
    </w:lvlOverride>
    <w:lvlOverride w:ilvl="1">
      <w:lvl w:ilvl="1">
        <w:start w:val="1"/>
        <w:numFmt w:val="lowerLetter"/>
        <w:pStyle w:val="Unnumberedquote"/>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3"/>
  </w:num>
  <w:num w:numId="7">
    <w:abstractNumId w:val="1"/>
  </w:num>
  <w:num w:numId="8">
    <w:abstractNumId w:val="9"/>
  </w:num>
  <w:num w:numId="9">
    <w:abstractNumId w:val="0"/>
  </w:num>
  <w:num w:numId="10">
    <w:abstractNumId w:val="9"/>
  </w:num>
  <w:num w:numId="11">
    <w:abstractNumId w:val="9"/>
  </w:num>
  <w:num w:numId="12">
    <w:abstractNumId w:val="7"/>
  </w:num>
  <w:num w:numId="13">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pStyle w:val="Unnumberedquote"/>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11"/>
  </w:num>
  <w:num w:numId="15">
    <w:abstractNumId w:val="3"/>
    <w:lvlOverride w:ilvl="0">
      <w:startOverride w:val="3"/>
      <w:lvl w:ilvl="0">
        <w:start w:val="3"/>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pStyle w:val="Unnumberedquote"/>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6">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pStyle w:val="Unnumberedquote"/>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7">
    <w:abstractNumId w:val="9"/>
  </w:num>
  <w:num w:numId="18">
    <w:abstractNumId w:val="9"/>
    <w:lvlOverride w:ilvl="0">
      <w:startOverride w:val="1"/>
    </w:lvlOverride>
  </w:num>
  <w:num w:numId="19">
    <w:abstractNumId w:val="10"/>
  </w:num>
  <w:num w:numId="20">
    <w:abstractNumId w:val="15"/>
  </w:num>
  <w:num w:numId="21">
    <w:abstractNumId w:val="8"/>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CyMDE1NjQ3NbWwsDRV0lEKTi0uzszPAykwNK8FALNRzF0tAAAA"/>
  </w:docVars>
  <w:rsids>
    <w:rsidRoot w:val="000C3AD3"/>
    <w:rsid w:val="00005D33"/>
    <w:rsid w:val="00006AA2"/>
    <w:rsid w:val="0001209A"/>
    <w:rsid w:val="00020313"/>
    <w:rsid w:val="00020EEE"/>
    <w:rsid w:val="00025CDF"/>
    <w:rsid w:val="00027A72"/>
    <w:rsid w:val="00027BE5"/>
    <w:rsid w:val="00030248"/>
    <w:rsid w:val="0003172C"/>
    <w:rsid w:val="000323C9"/>
    <w:rsid w:val="00034061"/>
    <w:rsid w:val="00035C3A"/>
    <w:rsid w:val="00036C00"/>
    <w:rsid w:val="00040193"/>
    <w:rsid w:val="00041E97"/>
    <w:rsid w:val="000446C1"/>
    <w:rsid w:val="000459A8"/>
    <w:rsid w:val="00047114"/>
    <w:rsid w:val="00056F1B"/>
    <w:rsid w:val="00064593"/>
    <w:rsid w:val="000647BB"/>
    <w:rsid w:val="00071B84"/>
    <w:rsid w:val="000746BD"/>
    <w:rsid w:val="0008560D"/>
    <w:rsid w:val="0009242F"/>
    <w:rsid w:val="00097068"/>
    <w:rsid w:val="00097D19"/>
    <w:rsid w:val="000A0CB9"/>
    <w:rsid w:val="000A60A6"/>
    <w:rsid w:val="000B60CC"/>
    <w:rsid w:val="000C1903"/>
    <w:rsid w:val="000C3AD3"/>
    <w:rsid w:val="000C6818"/>
    <w:rsid w:val="000C6B63"/>
    <w:rsid w:val="000E2755"/>
    <w:rsid w:val="000E4710"/>
    <w:rsid w:val="000F34F5"/>
    <w:rsid w:val="00110B0E"/>
    <w:rsid w:val="00110B89"/>
    <w:rsid w:val="001135C2"/>
    <w:rsid w:val="00115E86"/>
    <w:rsid w:val="00122F07"/>
    <w:rsid w:val="001237DA"/>
    <w:rsid w:val="0012397E"/>
    <w:rsid w:val="00126FD8"/>
    <w:rsid w:val="001332ED"/>
    <w:rsid w:val="00135A3A"/>
    <w:rsid w:val="001428B9"/>
    <w:rsid w:val="00142B71"/>
    <w:rsid w:val="0015250F"/>
    <w:rsid w:val="00165CCF"/>
    <w:rsid w:val="00167379"/>
    <w:rsid w:val="00171C4D"/>
    <w:rsid w:val="001723B1"/>
    <w:rsid w:val="00180E54"/>
    <w:rsid w:val="00186472"/>
    <w:rsid w:val="001A4F35"/>
    <w:rsid w:val="001B5017"/>
    <w:rsid w:val="001C14A5"/>
    <w:rsid w:val="001C2FB3"/>
    <w:rsid w:val="001C5465"/>
    <w:rsid w:val="001C78EC"/>
    <w:rsid w:val="001D166D"/>
    <w:rsid w:val="001D33D2"/>
    <w:rsid w:val="001D470B"/>
    <w:rsid w:val="001E3D91"/>
    <w:rsid w:val="001E65F0"/>
    <w:rsid w:val="001E773E"/>
    <w:rsid w:val="001F2354"/>
    <w:rsid w:val="002015F8"/>
    <w:rsid w:val="002028AA"/>
    <w:rsid w:val="00212006"/>
    <w:rsid w:val="00212BFC"/>
    <w:rsid w:val="0021402A"/>
    <w:rsid w:val="00214DB4"/>
    <w:rsid w:val="002173B3"/>
    <w:rsid w:val="00230201"/>
    <w:rsid w:val="00232607"/>
    <w:rsid w:val="00235626"/>
    <w:rsid w:val="00240ACA"/>
    <w:rsid w:val="002421D5"/>
    <w:rsid w:val="00243AE1"/>
    <w:rsid w:val="00244791"/>
    <w:rsid w:val="00247087"/>
    <w:rsid w:val="00250266"/>
    <w:rsid w:val="002530BF"/>
    <w:rsid w:val="002564EF"/>
    <w:rsid w:val="00256E65"/>
    <w:rsid w:val="002674D6"/>
    <w:rsid w:val="00275649"/>
    <w:rsid w:val="00280FA6"/>
    <w:rsid w:val="002937E2"/>
    <w:rsid w:val="00293CBD"/>
    <w:rsid w:val="002A5477"/>
    <w:rsid w:val="002A5B60"/>
    <w:rsid w:val="002A7D7A"/>
    <w:rsid w:val="002C41FB"/>
    <w:rsid w:val="002C517A"/>
    <w:rsid w:val="002D3611"/>
    <w:rsid w:val="002D4EB8"/>
    <w:rsid w:val="002D703A"/>
    <w:rsid w:val="002E2AE3"/>
    <w:rsid w:val="00300B76"/>
    <w:rsid w:val="00303783"/>
    <w:rsid w:val="003137B8"/>
    <w:rsid w:val="0032365C"/>
    <w:rsid w:val="00331500"/>
    <w:rsid w:val="00334430"/>
    <w:rsid w:val="00340DBD"/>
    <w:rsid w:val="00344425"/>
    <w:rsid w:val="00346D7F"/>
    <w:rsid w:val="003615E7"/>
    <w:rsid w:val="00370C5B"/>
    <w:rsid w:val="00373EDC"/>
    <w:rsid w:val="00380619"/>
    <w:rsid w:val="003814FD"/>
    <w:rsid w:val="0038379B"/>
    <w:rsid w:val="00397B29"/>
    <w:rsid w:val="003A1B72"/>
    <w:rsid w:val="003A394B"/>
    <w:rsid w:val="003A6C9E"/>
    <w:rsid w:val="003B5D89"/>
    <w:rsid w:val="003B63A5"/>
    <w:rsid w:val="003C0D7A"/>
    <w:rsid w:val="003C1A99"/>
    <w:rsid w:val="003D4619"/>
    <w:rsid w:val="003E2E94"/>
    <w:rsid w:val="003E78DE"/>
    <w:rsid w:val="003F2ADF"/>
    <w:rsid w:val="003F33F0"/>
    <w:rsid w:val="003F4D17"/>
    <w:rsid w:val="003F760D"/>
    <w:rsid w:val="00401ACC"/>
    <w:rsid w:val="00403E7D"/>
    <w:rsid w:val="00403F4C"/>
    <w:rsid w:val="00404D64"/>
    <w:rsid w:val="00405958"/>
    <w:rsid w:val="00412994"/>
    <w:rsid w:val="00413BEB"/>
    <w:rsid w:val="004150BD"/>
    <w:rsid w:val="004172D3"/>
    <w:rsid w:val="00421404"/>
    <w:rsid w:val="0042289A"/>
    <w:rsid w:val="00426BA9"/>
    <w:rsid w:val="00433F2F"/>
    <w:rsid w:val="00437BD3"/>
    <w:rsid w:val="004400C8"/>
    <w:rsid w:val="00450475"/>
    <w:rsid w:val="00461828"/>
    <w:rsid w:val="00463B4E"/>
    <w:rsid w:val="0046700A"/>
    <w:rsid w:val="00472219"/>
    <w:rsid w:val="00474804"/>
    <w:rsid w:val="00476E77"/>
    <w:rsid w:val="00480A69"/>
    <w:rsid w:val="004A0DC9"/>
    <w:rsid w:val="004A2599"/>
    <w:rsid w:val="004B509A"/>
    <w:rsid w:val="004C16E0"/>
    <w:rsid w:val="004D09B0"/>
    <w:rsid w:val="004D09C6"/>
    <w:rsid w:val="004D3011"/>
    <w:rsid w:val="004D7D42"/>
    <w:rsid w:val="004F6123"/>
    <w:rsid w:val="004F7606"/>
    <w:rsid w:val="00501725"/>
    <w:rsid w:val="005132E9"/>
    <w:rsid w:val="00514200"/>
    <w:rsid w:val="00517AAF"/>
    <w:rsid w:val="00545879"/>
    <w:rsid w:val="00554DA3"/>
    <w:rsid w:val="00562CC4"/>
    <w:rsid w:val="00567727"/>
    <w:rsid w:val="00567F5B"/>
    <w:rsid w:val="005711F6"/>
    <w:rsid w:val="0057425C"/>
    <w:rsid w:val="005861AF"/>
    <w:rsid w:val="00587C99"/>
    <w:rsid w:val="005947CC"/>
    <w:rsid w:val="00597FD0"/>
    <w:rsid w:val="005A52A0"/>
    <w:rsid w:val="005A5FCB"/>
    <w:rsid w:val="005B12AA"/>
    <w:rsid w:val="005D4336"/>
    <w:rsid w:val="005E4975"/>
    <w:rsid w:val="005F7181"/>
    <w:rsid w:val="006117A4"/>
    <w:rsid w:val="0061354A"/>
    <w:rsid w:val="00613A0E"/>
    <w:rsid w:val="00620B9A"/>
    <w:rsid w:val="00623933"/>
    <w:rsid w:val="006319E8"/>
    <w:rsid w:val="006321A3"/>
    <w:rsid w:val="00635504"/>
    <w:rsid w:val="00635D3C"/>
    <w:rsid w:val="00636B95"/>
    <w:rsid w:val="00641FE5"/>
    <w:rsid w:val="00652326"/>
    <w:rsid w:val="00661163"/>
    <w:rsid w:val="00662CEA"/>
    <w:rsid w:val="00663D25"/>
    <w:rsid w:val="00663E9A"/>
    <w:rsid w:val="00676075"/>
    <w:rsid w:val="006767AB"/>
    <w:rsid w:val="00676ED9"/>
    <w:rsid w:val="006849D0"/>
    <w:rsid w:val="00696D04"/>
    <w:rsid w:val="006A55D1"/>
    <w:rsid w:val="006A68E2"/>
    <w:rsid w:val="006A7262"/>
    <w:rsid w:val="006B5874"/>
    <w:rsid w:val="006C3C9C"/>
    <w:rsid w:val="006C5D93"/>
    <w:rsid w:val="006C7B45"/>
    <w:rsid w:val="006D1A1D"/>
    <w:rsid w:val="006D53E5"/>
    <w:rsid w:val="006D5704"/>
    <w:rsid w:val="006E252D"/>
    <w:rsid w:val="006E279A"/>
    <w:rsid w:val="006E5D56"/>
    <w:rsid w:val="006F0B58"/>
    <w:rsid w:val="00700E8D"/>
    <w:rsid w:val="0070371E"/>
    <w:rsid w:val="007046F0"/>
    <w:rsid w:val="00707620"/>
    <w:rsid w:val="00716597"/>
    <w:rsid w:val="00721E8B"/>
    <w:rsid w:val="00722761"/>
    <w:rsid w:val="00731315"/>
    <w:rsid w:val="00732A71"/>
    <w:rsid w:val="007503D8"/>
    <w:rsid w:val="007554FB"/>
    <w:rsid w:val="007606CC"/>
    <w:rsid w:val="0078086C"/>
    <w:rsid w:val="00782122"/>
    <w:rsid w:val="0079618B"/>
    <w:rsid w:val="00796B89"/>
    <w:rsid w:val="007979DD"/>
    <w:rsid w:val="007A02F7"/>
    <w:rsid w:val="007B0B43"/>
    <w:rsid w:val="007B1E05"/>
    <w:rsid w:val="007B2600"/>
    <w:rsid w:val="007C1343"/>
    <w:rsid w:val="007D22AB"/>
    <w:rsid w:val="007D25FE"/>
    <w:rsid w:val="007D2C2A"/>
    <w:rsid w:val="007D2C6E"/>
    <w:rsid w:val="007D4476"/>
    <w:rsid w:val="008001C8"/>
    <w:rsid w:val="00804AA9"/>
    <w:rsid w:val="0080599E"/>
    <w:rsid w:val="00811CB7"/>
    <w:rsid w:val="008146E0"/>
    <w:rsid w:val="00822B6A"/>
    <w:rsid w:val="00847A3A"/>
    <w:rsid w:val="008522BC"/>
    <w:rsid w:val="00856AE2"/>
    <w:rsid w:val="008574FC"/>
    <w:rsid w:val="008577B7"/>
    <w:rsid w:val="008611E4"/>
    <w:rsid w:val="0086525A"/>
    <w:rsid w:val="00870A34"/>
    <w:rsid w:val="00874462"/>
    <w:rsid w:val="008851CB"/>
    <w:rsid w:val="0089016A"/>
    <w:rsid w:val="008972F0"/>
    <w:rsid w:val="008A1010"/>
    <w:rsid w:val="008A11E6"/>
    <w:rsid w:val="008A4932"/>
    <w:rsid w:val="008B0DD1"/>
    <w:rsid w:val="008B13A9"/>
    <w:rsid w:val="008B3BC5"/>
    <w:rsid w:val="008C0FEC"/>
    <w:rsid w:val="008D0C4F"/>
    <w:rsid w:val="008D1D34"/>
    <w:rsid w:val="008E771B"/>
    <w:rsid w:val="00903240"/>
    <w:rsid w:val="009123A3"/>
    <w:rsid w:val="00913944"/>
    <w:rsid w:val="009209B9"/>
    <w:rsid w:val="00922D33"/>
    <w:rsid w:val="00923E22"/>
    <w:rsid w:val="00931E7B"/>
    <w:rsid w:val="009323A5"/>
    <w:rsid w:val="009409BC"/>
    <w:rsid w:val="00942FC2"/>
    <w:rsid w:val="00946EA2"/>
    <w:rsid w:val="009539C2"/>
    <w:rsid w:val="00962242"/>
    <w:rsid w:val="00966680"/>
    <w:rsid w:val="00987F86"/>
    <w:rsid w:val="009912CE"/>
    <w:rsid w:val="009919F9"/>
    <w:rsid w:val="009926CB"/>
    <w:rsid w:val="009A0315"/>
    <w:rsid w:val="009A0A89"/>
    <w:rsid w:val="009A769C"/>
    <w:rsid w:val="009B495E"/>
    <w:rsid w:val="009C63E5"/>
    <w:rsid w:val="009D2002"/>
    <w:rsid w:val="009F125D"/>
    <w:rsid w:val="009F1660"/>
    <w:rsid w:val="009F35F6"/>
    <w:rsid w:val="00A121F6"/>
    <w:rsid w:val="00A2058F"/>
    <w:rsid w:val="00A21533"/>
    <w:rsid w:val="00A23115"/>
    <w:rsid w:val="00A340CC"/>
    <w:rsid w:val="00A44DA7"/>
    <w:rsid w:val="00A44FC8"/>
    <w:rsid w:val="00A51F9A"/>
    <w:rsid w:val="00A62A64"/>
    <w:rsid w:val="00A72D3A"/>
    <w:rsid w:val="00A94794"/>
    <w:rsid w:val="00AA0EE2"/>
    <w:rsid w:val="00AA2594"/>
    <w:rsid w:val="00AA37B3"/>
    <w:rsid w:val="00AA6683"/>
    <w:rsid w:val="00AA6A48"/>
    <w:rsid w:val="00AA7894"/>
    <w:rsid w:val="00AD3028"/>
    <w:rsid w:val="00AD4495"/>
    <w:rsid w:val="00AD4C1B"/>
    <w:rsid w:val="00AD4E89"/>
    <w:rsid w:val="00AE0E61"/>
    <w:rsid w:val="00AE25A3"/>
    <w:rsid w:val="00AE729D"/>
    <w:rsid w:val="00AE7EC9"/>
    <w:rsid w:val="00B03209"/>
    <w:rsid w:val="00B03E76"/>
    <w:rsid w:val="00B04573"/>
    <w:rsid w:val="00B06780"/>
    <w:rsid w:val="00B12E47"/>
    <w:rsid w:val="00B15E0C"/>
    <w:rsid w:val="00B200C8"/>
    <w:rsid w:val="00B2340D"/>
    <w:rsid w:val="00B328F1"/>
    <w:rsid w:val="00B45E21"/>
    <w:rsid w:val="00B47941"/>
    <w:rsid w:val="00B549CB"/>
    <w:rsid w:val="00B60BD5"/>
    <w:rsid w:val="00B632AC"/>
    <w:rsid w:val="00B635A9"/>
    <w:rsid w:val="00B70E27"/>
    <w:rsid w:val="00B75D52"/>
    <w:rsid w:val="00B76920"/>
    <w:rsid w:val="00B76D46"/>
    <w:rsid w:val="00B77BC3"/>
    <w:rsid w:val="00B83CF8"/>
    <w:rsid w:val="00B840F5"/>
    <w:rsid w:val="00B916A8"/>
    <w:rsid w:val="00B950DF"/>
    <w:rsid w:val="00B956AC"/>
    <w:rsid w:val="00B97D25"/>
    <w:rsid w:val="00BA1200"/>
    <w:rsid w:val="00BA4BEA"/>
    <w:rsid w:val="00BA78B1"/>
    <w:rsid w:val="00BB075B"/>
    <w:rsid w:val="00BB0A78"/>
    <w:rsid w:val="00BB1A3E"/>
    <w:rsid w:val="00BC73B1"/>
    <w:rsid w:val="00BD3F92"/>
    <w:rsid w:val="00BE0A16"/>
    <w:rsid w:val="00BE0F3C"/>
    <w:rsid w:val="00BE78BC"/>
    <w:rsid w:val="00BF58C8"/>
    <w:rsid w:val="00C0074C"/>
    <w:rsid w:val="00C2466E"/>
    <w:rsid w:val="00C43ED8"/>
    <w:rsid w:val="00C45E84"/>
    <w:rsid w:val="00C510B9"/>
    <w:rsid w:val="00C55510"/>
    <w:rsid w:val="00C56E22"/>
    <w:rsid w:val="00C66776"/>
    <w:rsid w:val="00C74169"/>
    <w:rsid w:val="00C81B4C"/>
    <w:rsid w:val="00C861CD"/>
    <w:rsid w:val="00CB05F8"/>
    <w:rsid w:val="00CB62D0"/>
    <w:rsid w:val="00CB69C5"/>
    <w:rsid w:val="00CC0340"/>
    <w:rsid w:val="00CC437E"/>
    <w:rsid w:val="00CD09C7"/>
    <w:rsid w:val="00CD4847"/>
    <w:rsid w:val="00CD504B"/>
    <w:rsid w:val="00CE4E54"/>
    <w:rsid w:val="00CE61BC"/>
    <w:rsid w:val="00CF7B94"/>
    <w:rsid w:val="00CF7F26"/>
    <w:rsid w:val="00D07914"/>
    <w:rsid w:val="00D1574F"/>
    <w:rsid w:val="00D30179"/>
    <w:rsid w:val="00D31F1B"/>
    <w:rsid w:val="00D33DBF"/>
    <w:rsid w:val="00D33E0E"/>
    <w:rsid w:val="00D37A16"/>
    <w:rsid w:val="00D41274"/>
    <w:rsid w:val="00D4415E"/>
    <w:rsid w:val="00D44DC4"/>
    <w:rsid w:val="00D60F55"/>
    <w:rsid w:val="00D61629"/>
    <w:rsid w:val="00D63A96"/>
    <w:rsid w:val="00D648A6"/>
    <w:rsid w:val="00D65DC8"/>
    <w:rsid w:val="00D7077E"/>
    <w:rsid w:val="00D710E7"/>
    <w:rsid w:val="00D74FB3"/>
    <w:rsid w:val="00D83BC4"/>
    <w:rsid w:val="00D9311E"/>
    <w:rsid w:val="00DA3422"/>
    <w:rsid w:val="00DA6A72"/>
    <w:rsid w:val="00DB1C6C"/>
    <w:rsid w:val="00DC1D84"/>
    <w:rsid w:val="00DC4503"/>
    <w:rsid w:val="00DD01DD"/>
    <w:rsid w:val="00DD4477"/>
    <w:rsid w:val="00DE59D6"/>
    <w:rsid w:val="00DE7515"/>
    <w:rsid w:val="00DF52E6"/>
    <w:rsid w:val="00E001F8"/>
    <w:rsid w:val="00E04DAA"/>
    <w:rsid w:val="00E147BD"/>
    <w:rsid w:val="00E1659A"/>
    <w:rsid w:val="00E16ED1"/>
    <w:rsid w:val="00E17B63"/>
    <w:rsid w:val="00E21E55"/>
    <w:rsid w:val="00E258FE"/>
    <w:rsid w:val="00E36342"/>
    <w:rsid w:val="00E40087"/>
    <w:rsid w:val="00E5334B"/>
    <w:rsid w:val="00E57A8C"/>
    <w:rsid w:val="00E83C39"/>
    <w:rsid w:val="00EA0E96"/>
    <w:rsid w:val="00EA4807"/>
    <w:rsid w:val="00EB34D4"/>
    <w:rsid w:val="00EC3A81"/>
    <w:rsid w:val="00ED0BFC"/>
    <w:rsid w:val="00ED1867"/>
    <w:rsid w:val="00EE3C50"/>
    <w:rsid w:val="00EF0AB0"/>
    <w:rsid w:val="00EF13E2"/>
    <w:rsid w:val="00EF3DDE"/>
    <w:rsid w:val="00F012F7"/>
    <w:rsid w:val="00F0790A"/>
    <w:rsid w:val="00F21CA1"/>
    <w:rsid w:val="00F30ED0"/>
    <w:rsid w:val="00F32661"/>
    <w:rsid w:val="00F33B83"/>
    <w:rsid w:val="00F43B70"/>
    <w:rsid w:val="00F4644D"/>
    <w:rsid w:val="00F5152F"/>
    <w:rsid w:val="00F733C8"/>
    <w:rsid w:val="00F850EC"/>
    <w:rsid w:val="00F858F9"/>
    <w:rsid w:val="00F8745D"/>
    <w:rsid w:val="00F87DC5"/>
    <w:rsid w:val="00F97C26"/>
    <w:rsid w:val="00FA1F94"/>
    <w:rsid w:val="00FA4295"/>
    <w:rsid w:val="00FB0B4E"/>
    <w:rsid w:val="00FB62C2"/>
    <w:rsid w:val="00FC17AB"/>
    <w:rsid w:val="00FC1805"/>
    <w:rsid w:val="00FC44FA"/>
    <w:rsid w:val="00FC5A74"/>
    <w:rsid w:val="00FD38E3"/>
    <w:rsid w:val="00FE0255"/>
    <w:rsid w:val="00FE6657"/>
    <w:rsid w:val="00FE66C6"/>
    <w:rsid w:val="00FF47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EDCF0"/>
  <w15:docId w15:val="{CDDACEAB-CC43-436F-B776-E8BA1A13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856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19"/>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JudgmentText"/>
    <w:link w:val="UnnumberedquoteChar"/>
    <w:qFormat/>
    <w:rsid w:val="002D3611"/>
    <w:pPr>
      <w:numPr>
        <w:ilvl w:val="1"/>
      </w:numPr>
      <w:shd w:val="clear" w:color="auto" w:fill="FFFFFF"/>
      <w:spacing w:after="0"/>
      <w:textAlignment w:val="baseline"/>
    </w:pPr>
    <w:rPr>
      <w:rFonts w:ascii="Times" w:hAnsi="Times"/>
      <w:color w:val="333333"/>
      <w:bdr w:val="none" w:sz="0" w:space="0" w:color="auto" w:frame="1"/>
    </w:r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rPr>
  </w:style>
  <w:style w:type="character" w:customStyle="1" w:styleId="UnnumberedquoteChar">
    <w:name w:val="Unnumbered quote Char"/>
    <w:basedOn w:val="NumberedQuotationindent1Char"/>
    <w:link w:val="Unnumberedquote"/>
    <w:rsid w:val="002D3611"/>
    <w:rPr>
      <w:rFonts w:ascii="Times" w:eastAsia="Times New Roman" w:hAnsi="Times" w:cs="Times New Roman"/>
      <w:i w:val="0"/>
      <w:color w:val="333333"/>
      <w:sz w:val="24"/>
      <w:szCs w:val="24"/>
      <w:bdr w:val="none" w:sz="0" w:space="0" w:color="auto" w:frame="1"/>
      <w:shd w:val="clear" w:color="auto" w:fill="FFFFFF"/>
      <w:lang w:val="en-GB"/>
    </w:rPr>
  </w:style>
  <w:style w:type="character" w:customStyle="1" w:styleId="UnnumberedjjmntparagraphChar">
    <w:name w:val="Unnumbered jjmnt paragraph Char"/>
    <w:basedOn w:val="UnnumberedquoteChar"/>
    <w:link w:val="Unnumberedjjmntparagraph"/>
    <w:rsid w:val="003A6C9E"/>
    <w:rPr>
      <w:rFonts w:ascii="Times New Roman" w:eastAsia="Times New Roman" w:hAnsi="Times New Roman" w:cs="Times New Roman"/>
      <w:i/>
      <w:color w:val="333333"/>
      <w:sz w:val="24"/>
      <w:szCs w:val="24"/>
      <w:bdr w:val="none" w:sz="0" w:space="0" w:color="auto" w:frame="1"/>
      <w:shd w:val="clear" w:color="auto" w:fill="FFFFFF"/>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856AE2"/>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6F0B58"/>
    <w:rPr>
      <w:color w:val="0563C1" w:themeColor="hyperlink"/>
      <w:u w:val="single"/>
    </w:rPr>
  </w:style>
  <w:style w:type="paragraph" w:styleId="FootnoteText">
    <w:name w:val="footnote text"/>
    <w:basedOn w:val="Normal"/>
    <w:link w:val="FootnoteTextChar"/>
    <w:uiPriority w:val="99"/>
    <w:semiHidden/>
    <w:unhideWhenUsed/>
    <w:rsid w:val="00E533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34B"/>
    <w:rPr>
      <w:sz w:val="20"/>
      <w:szCs w:val="20"/>
      <w:lang w:val="en-GB"/>
    </w:rPr>
  </w:style>
  <w:style w:type="character" w:styleId="FootnoteReference">
    <w:name w:val="footnote reference"/>
    <w:basedOn w:val="DefaultParagraphFont"/>
    <w:uiPriority w:val="99"/>
    <w:semiHidden/>
    <w:unhideWhenUsed/>
    <w:rsid w:val="00E5334B"/>
    <w:rPr>
      <w:vertAlign w:val="superscript"/>
    </w:rPr>
  </w:style>
  <w:style w:type="character" w:styleId="Emphasis">
    <w:name w:val="Emphasis"/>
    <w:basedOn w:val="DefaultParagraphFont"/>
    <w:uiPriority w:val="20"/>
    <w:qFormat/>
    <w:rsid w:val="00676075"/>
    <w:rPr>
      <w:i/>
      <w:iCs/>
    </w:rPr>
  </w:style>
  <w:style w:type="paragraph" w:styleId="NormalWeb">
    <w:name w:val="Normal (Web)"/>
    <w:basedOn w:val="Normal"/>
    <w:uiPriority w:val="99"/>
    <w:semiHidden/>
    <w:unhideWhenUsed/>
    <w:rsid w:val="00676075"/>
    <w:pPr>
      <w:spacing w:before="100" w:beforeAutospacing="1" w:after="100" w:afterAutospacing="1" w:line="240" w:lineRule="auto"/>
    </w:pPr>
    <w:rPr>
      <w:rFonts w:ascii="Times" w:hAnsi="Times" w:cs="Times New Roman"/>
      <w:sz w:val="20"/>
      <w:szCs w:val="20"/>
      <w:lang w:val="en-US"/>
    </w:rPr>
  </w:style>
  <w:style w:type="character" w:styleId="SubtleEmphasis">
    <w:name w:val="Subtle Emphasis"/>
    <w:basedOn w:val="DefaultParagraphFont"/>
    <w:uiPriority w:val="19"/>
    <w:qFormat/>
    <w:rsid w:val="00BA78B1"/>
    <w:rPr>
      <w:i/>
      <w:iCs/>
      <w:color w:val="808080" w:themeColor="text1" w:themeTint="7F"/>
    </w:rPr>
  </w:style>
  <w:style w:type="paragraph" w:styleId="Quote">
    <w:name w:val="Quote"/>
    <w:basedOn w:val="Normal"/>
    <w:next w:val="Normal"/>
    <w:link w:val="QuoteChar"/>
    <w:uiPriority w:val="29"/>
    <w:qFormat/>
    <w:rsid w:val="00BA78B1"/>
    <w:rPr>
      <w:i/>
      <w:iCs/>
      <w:color w:val="000000" w:themeColor="text1"/>
    </w:rPr>
  </w:style>
  <w:style w:type="character" w:customStyle="1" w:styleId="QuoteChar">
    <w:name w:val="Quote Char"/>
    <w:basedOn w:val="DefaultParagraphFont"/>
    <w:link w:val="Quote"/>
    <w:uiPriority w:val="29"/>
    <w:rsid w:val="00BA78B1"/>
    <w:rPr>
      <w:i/>
      <w:iCs/>
      <w:color w:val="000000" w:themeColor="text1"/>
      <w:lang w:val="en-GB"/>
    </w:rPr>
  </w:style>
  <w:style w:type="paragraph" w:customStyle="1" w:styleId="estatutes-1-section">
    <w:name w:val="estatutes-1-section"/>
    <w:basedOn w:val="Normal"/>
    <w:rsid w:val="00340DBD"/>
    <w:pPr>
      <w:spacing w:before="100" w:beforeAutospacing="1" w:after="100" w:afterAutospacing="1" w:line="240" w:lineRule="auto"/>
    </w:pPr>
    <w:rPr>
      <w:rFonts w:ascii="Times" w:hAnsi="Times"/>
      <w:sz w:val="20"/>
      <w:szCs w:val="20"/>
      <w:lang w:val="en-US"/>
    </w:rPr>
  </w:style>
  <w:style w:type="paragraph" w:customStyle="1" w:styleId="estatutes-3-paragraph">
    <w:name w:val="estatutes-3-paragraph"/>
    <w:basedOn w:val="Normal"/>
    <w:rsid w:val="00340DBD"/>
    <w:pPr>
      <w:spacing w:before="100" w:beforeAutospacing="1" w:after="100" w:afterAutospacing="1" w:line="240" w:lineRule="auto"/>
    </w:pPr>
    <w:rPr>
      <w:rFonts w:ascii="Times" w:hAnsi="Times"/>
      <w:sz w:val="20"/>
      <w:szCs w:val="20"/>
      <w:lang w:val="en-US"/>
    </w:rPr>
  </w:style>
  <w:style w:type="character" w:customStyle="1" w:styleId="solexhl">
    <w:name w:val="solexhl"/>
    <w:basedOn w:val="DefaultParagraphFont"/>
    <w:rsid w:val="00340DBD"/>
  </w:style>
  <w:style w:type="paragraph" w:customStyle="1" w:styleId="estatutes-2-subsection">
    <w:name w:val="estatutes-2-subsection"/>
    <w:basedOn w:val="Normal"/>
    <w:rsid w:val="00340DBD"/>
    <w:pPr>
      <w:spacing w:before="100" w:beforeAutospacing="1" w:after="100" w:afterAutospacing="1" w:line="240" w:lineRule="auto"/>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9509">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17184125">
      <w:bodyDiv w:val="1"/>
      <w:marLeft w:val="0"/>
      <w:marRight w:val="0"/>
      <w:marTop w:val="0"/>
      <w:marBottom w:val="0"/>
      <w:divBdr>
        <w:top w:val="none" w:sz="0" w:space="0" w:color="auto"/>
        <w:left w:val="none" w:sz="0" w:space="0" w:color="auto"/>
        <w:bottom w:val="none" w:sz="0" w:space="0" w:color="auto"/>
        <w:right w:val="none" w:sz="0" w:space="0" w:color="auto"/>
      </w:divBdr>
    </w:div>
    <w:div w:id="168253279">
      <w:bodyDiv w:val="1"/>
      <w:marLeft w:val="0"/>
      <w:marRight w:val="0"/>
      <w:marTop w:val="0"/>
      <w:marBottom w:val="0"/>
      <w:divBdr>
        <w:top w:val="none" w:sz="0" w:space="0" w:color="auto"/>
        <w:left w:val="none" w:sz="0" w:space="0" w:color="auto"/>
        <w:bottom w:val="none" w:sz="0" w:space="0" w:color="auto"/>
        <w:right w:val="none" w:sz="0" w:space="0" w:color="auto"/>
      </w:divBdr>
    </w:div>
    <w:div w:id="204097347">
      <w:bodyDiv w:val="1"/>
      <w:marLeft w:val="0"/>
      <w:marRight w:val="0"/>
      <w:marTop w:val="0"/>
      <w:marBottom w:val="0"/>
      <w:divBdr>
        <w:top w:val="none" w:sz="0" w:space="0" w:color="auto"/>
        <w:left w:val="none" w:sz="0" w:space="0" w:color="auto"/>
        <w:bottom w:val="none" w:sz="0" w:space="0" w:color="auto"/>
        <w:right w:val="none" w:sz="0" w:space="0" w:color="auto"/>
      </w:divBdr>
    </w:div>
    <w:div w:id="292833389">
      <w:bodyDiv w:val="1"/>
      <w:marLeft w:val="0"/>
      <w:marRight w:val="0"/>
      <w:marTop w:val="0"/>
      <w:marBottom w:val="0"/>
      <w:divBdr>
        <w:top w:val="none" w:sz="0" w:space="0" w:color="auto"/>
        <w:left w:val="none" w:sz="0" w:space="0" w:color="auto"/>
        <w:bottom w:val="none" w:sz="0" w:space="0" w:color="auto"/>
        <w:right w:val="none" w:sz="0" w:space="0" w:color="auto"/>
      </w:divBdr>
    </w:div>
    <w:div w:id="426463313">
      <w:bodyDiv w:val="1"/>
      <w:marLeft w:val="0"/>
      <w:marRight w:val="0"/>
      <w:marTop w:val="0"/>
      <w:marBottom w:val="0"/>
      <w:divBdr>
        <w:top w:val="none" w:sz="0" w:space="0" w:color="auto"/>
        <w:left w:val="none" w:sz="0" w:space="0" w:color="auto"/>
        <w:bottom w:val="none" w:sz="0" w:space="0" w:color="auto"/>
        <w:right w:val="none" w:sz="0" w:space="0" w:color="auto"/>
      </w:divBdr>
    </w:div>
    <w:div w:id="545724051">
      <w:bodyDiv w:val="1"/>
      <w:marLeft w:val="0"/>
      <w:marRight w:val="0"/>
      <w:marTop w:val="0"/>
      <w:marBottom w:val="0"/>
      <w:divBdr>
        <w:top w:val="none" w:sz="0" w:space="0" w:color="auto"/>
        <w:left w:val="none" w:sz="0" w:space="0" w:color="auto"/>
        <w:bottom w:val="none" w:sz="0" w:space="0" w:color="auto"/>
        <w:right w:val="none" w:sz="0" w:space="0" w:color="auto"/>
      </w:divBdr>
    </w:div>
    <w:div w:id="821583394">
      <w:bodyDiv w:val="1"/>
      <w:marLeft w:val="0"/>
      <w:marRight w:val="0"/>
      <w:marTop w:val="0"/>
      <w:marBottom w:val="0"/>
      <w:divBdr>
        <w:top w:val="none" w:sz="0" w:space="0" w:color="auto"/>
        <w:left w:val="none" w:sz="0" w:space="0" w:color="auto"/>
        <w:bottom w:val="none" w:sz="0" w:space="0" w:color="auto"/>
        <w:right w:val="none" w:sz="0" w:space="0" w:color="auto"/>
      </w:divBdr>
    </w:div>
    <w:div w:id="856499837">
      <w:bodyDiv w:val="1"/>
      <w:marLeft w:val="0"/>
      <w:marRight w:val="0"/>
      <w:marTop w:val="0"/>
      <w:marBottom w:val="0"/>
      <w:divBdr>
        <w:top w:val="none" w:sz="0" w:space="0" w:color="auto"/>
        <w:left w:val="none" w:sz="0" w:space="0" w:color="auto"/>
        <w:bottom w:val="none" w:sz="0" w:space="0" w:color="auto"/>
        <w:right w:val="none" w:sz="0" w:space="0" w:color="auto"/>
      </w:divBdr>
    </w:div>
    <w:div w:id="908266494">
      <w:bodyDiv w:val="1"/>
      <w:marLeft w:val="0"/>
      <w:marRight w:val="0"/>
      <w:marTop w:val="0"/>
      <w:marBottom w:val="0"/>
      <w:divBdr>
        <w:top w:val="none" w:sz="0" w:space="0" w:color="auto"/>
        <w:left w:val="none" w:sz="0" w:space="0" w:color="auto"/>
        <w:bottom w:val="none" w:sz="0" w:space="0" w:color="auto"/>
        <w:right w:val="none" w:sz="0" w:space="0" w:color="auto"/>
      </w:divBdr>
    </w:div>
    <w:div w:id="929193712">
      <w:bodyDiv w:val="1"/>
      <w:marLeft w:val="0"/>
      <w:marRight w:val="0"/>
      <w:marTop w:val="0"/>
      <w:marBottom w:val="0"/>
      <w:divBdr>
        <w:top w:val="none" w:sz="0" w:space="0" w:color="auto"/>
        <w:left w:val="none" w:sz="0" w:space="0" w:color="auto"/>
        <w:bottom w:val="none" w:sz="0" w:space="0" w:color="auto"/>
        <w:right w:val="none" w:sz="0" w:space="0" w:color="auto"/>
      </w:divBdr>
    </w:div>
    <w:div w:id="1109084798">
      <w:bodyDiv w:val="1"/>
      <w:marLeft w:val="0"/>
      <w:marRight w:val="0"/>
      <w:marTop w:val="0"/>
      <w:marBottom w:val="0"/>
      <w:divBdr>
        <w:top w:val="none" w:sz="0" w:space="0" w:color="auto"/>
        <w:left w:val="none" w:sz="0" w:space="0" w:color="auto"/>
        <w:bottom w:val="none" w:sz="0" w:space="0" w:color="auto"/>
        <w:right w:val="none" w:sz="0" w:space="0" w:color="auto"/>
      </w:divBdr>
    </w:div>
    <w:div w:id="1207379027">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28690781">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580289646">
      <w:bodyDiv w:val="1"/>
      <w:marLeft w:val="0"/>
      <w:marRight w:val="0"/>
      <w:marTop w:val="0"/>
      <w:marBottom w:val="0"/>
      <w:divBdr>
        <w:top w:val="none" w:sz="0" w:space="0" w:color="auto"/>
        <w:left w:val="none" w:sz="0" w:space="0" w:color="auto"/>
        <w:bottom w:val="none" w:sz="0" w:space="0" w:color="auto"/>
        <w:right w:val="none" w:sz="0" w:space="0" w:color="auto"/>
      </w:divBdr>
    </w:div>
    <w:div w:id="1611277232">
      <w:bodyDiv w:val="1"/>
      <w:marLeft w:val="0"/>
      <w:marRight w:val="0"/>
      <w:marTop w:val="0"/>
      <w:marBottom w:val="0"/>
      <w:divBdr>
        <w:top w:val="none" w:sz="0" w:space="0" w:color="auto"/>
        <w:left w:val="none" w:sz="0" w:space="0" w:color="auto"/>
        <w:bottom w:val="none" w:sz="0" w:space="0" w:color="auto"/>
        <w:right w:val="none" w:sz="0" w:space="0" w:color="auto"/>
      </w:divBdr>
    </w:div>
    <w:div w:id="1616597209">
      <w:bodyDiv w:val="1"/>
      <w:marLeft w:val="0"/>
      <w:marRight w:val="0"/>
      <w:marTop w:val="0"/>
      <w:marBottom w:val="0"/>
      <w:divBdr>
        <w:top w:val="none" w:sz="0" w:space="0" w:color="auto"/>
        <w:left w:val="none" w:sz="0" w:space="0" w:color="auto"/>
        <w:bottom w:val="none" w:sz="0" w:space="0" w:color="auto"/>
        <w:right w:val="none" w:sz="0" w:space="0" w:color="auto"/>
      </w:divBdr>
    </w:div>
    <w:div w:id="1684817878">
      <w:bodyDiv w:val="1"/>
      <w:marLeft w:val="0"/>
      <w:marRight w:val="0"/>
      <w:marTop w:val="0"/>
      <w:marBottom w:val="0"/>
      <w:divBdr>
        <w:top w:val="none" w:sz="0" w:space="0" w:color="auto"/>
        <w:left w:val="none" w:sz="0" w:space="0" w:color="auto"/>
        <w:bottom w:val="none" w:sz="0" w:space="0" w:color="auto"/>
        <w:right w:val="none" w:sz="0" w:space="0" w:color="auto"/>
      </w:divBdr>
    </w:div>
    <w:div w:id="1776362047">
      <w:bodyDiv w:val="1"/>
      <w:marLeft w:val="0"/>
      <w:marRight w:val="0"/>
      <w:marTop w:val="0"/>
      <w:marBottom w:val="0"/>
      <w:divBdr>
        <w:top w:val="none" w:sz="0" w:space="0" w:color="auto"/>
        <w:left w:val="none" w:sz="0" w:space="0" w:color="auto"/>
        <w:bottom w:val="none" w:sz="0" w:space="0" w:color="auto"/>
        <w:right w:val="none" w:sz="0" w:space="0" w:color="auto"/>
      </w:divBdr>
    </w:div>
    <w:div w:id="1960257283">
      <w:bodyDiv w:val="1"/>
      <w:marLeft w:val="0"/>
      <w:marRight w:val="0"/>
      <w:marTop w:val="0"/>
      <w:marBottom w:val="0"/>
      <w:divBdr>
        <w:top w:val="none" w:sz="0" w:space="0" w:color="auto"/>
        <w:left w:val="none" w:sz="0" w:space="0" w:color="auto"/>
        <w:bottom w:val="none" w:sz="0" w:space="0" w:color="auto"/>
        <w:right w:val="none" w:sz="0" w:space="0" w:color="auto"/>
      </w:divBdr>
    </w:div>
    <w:div w:id="208614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2B13C-D1A0-461C-83D8-E2750CAB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3</TotalTime>
  <Pages>9</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Marie-Claire Julie</cp:lastModifiedBy>
  <cp:revision>3</cp:revision>
  <cp:lastPrinted>2022-01-31T09:59:00Z</cp:lastPrinted>
  <dcterms:created xsi:type="dcterms:W3CDTF">2022-02-01T02:53:00Z</dcterms:created>
  <dcterms:modified xsi:type="dcterms:W3CDTF">2022-02-01T04:38:00Z</dcterms:modified>
</cp:coreProperties>
</file>