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77777777" w:rsidR="001D33D2" w:rsidRPr="004A2599" w:rsidRDefault="008D0CD6" w:rsidP="005B5D7A">
      <w:pPr>
        <w:tabs>
          <w:tab w:val="left" w:pos="40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4A60D824"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050C322"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55AB1F7" w14:textId="56634A86" w:rsidR="002E2AE3" w:rsidRPr="004A2599" w:rsidRDefault="008D0CD6"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22]</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3E3345">
        <w:rPr>
          <w:rFonts w:ascii="Times New Roman" w:hAnsi="Times New Roman" w:cs="Times New Roman"/>
          <w:sz w:val="24"/>
          <w:szCs w:val="24"/>
        </w:rPr>
        <w:t>39</w:t>
      </w:r>
      <w:r w:rsidR="00D874E5">
        <w:rPr>
          <w:rFonts w:ascii="Times New Roman" w:hAnsi="Times New Roman" w:cs="Times New Roman"/>
          <w:sz w:val="24"/>
          <w:szCs w:val="24"/>
        </w:rPr>
        <w:t xml:space="preserve"> (</w:t>
      </w:r>
      <w:r w:rsidR="005232F7">
        <w:rPr>
          <w:rFonts w:ascii="Times New Roman" w:hAnsi="Times New Roman" w:cs="Times New Roman"/>
          <w:sz w:val="24"/>
          <w:szCs w:val="24"/>
        </w:rPr>
        <w:t>19 August</w:t>
      </w:r>
      <w:r w:rsidR="00D874E5">
        <w:rPr>
          <w:rFonts w:ascii="Times New Roman" w:hAnsi="Times New Roman" w:cs="Times New Roman"/>
          <w:sz w:val="24"/>
          <w:szCs w:val="24"/>
        </w:rPr>
        <w:t xml:space="preserve"> 2022)</w:t>
      </w:r>
    </w:p>
    <w:p w14:paraId="736A1690" w14:textId="196F3F25" w:rsidR="002E2AE3" w:rsidRPr="004A2599" w:rsidRDefault="00D874E5"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8D0CD6">
        <w:rPr>
          <w:rFonts w:ascii="Times New Roman" w:hAnsi="Times New Roman" w:cs="Times New Roman"/>
          <w:sz w:val="24"/>
          <w:szCs w:val="24"/>
        </w:rPr>
        <w:t>C</w:t>
      </w:r>
      <w:r w:rsidR="0006084B">
        <w:rPr>
          <w:rFonts w:ascii="Times New Roman" w:hAnsi="Times New Roman" w:cs="Times New Roman"/>
          <w:sz w:val="24"/>
          <w:szCs w:val="24"/>
        </w:rPr>
        <w:t xml:space="preserve">R </w:t>
      </w:r>
      <w:r w:rsidR="002B7612">
        <w:rPr>
          <w:rFonts w:ascii="Times New Roman" w:hAnsi="Times New Roman" w:cs="Times New Roman"/>
          <w:sz w:val="24"/>
          <w:szCs w:val="24"/>
        </w:rPr>
        <w:t>20</w:t>
      </w:r>
      <w:r>
        <w:rPr>
          <w:rFonts w:ascii="Times New Roman" w:hAnsi="Times New Roman" w:cs="Times New Roman"/>
          <w:sz w:val="24"/>
          <w:szCs w:val="24"/>
        </w:rPr>
        <w:t>/202</w:t>
      </w:r>
      <w:r w:rsidR="005232F7">
        <w:rPr>
          <w:rFonts w:ascii="Times New Roman" w:hAnsi="Times New Roman" w:cs="Times New Roman"/>
          <w:sz w:val="24"/>
          <w:szCs w:val="24"/>
        </w:rPr>
        <w:t>1</w:t>
      </w:r>
    </w:p>
    <w:p w14:paraId="47F085A1" w14:textId="0E41B5E9" w:rsidR="002E2AE3" w:rsidRPr="004A2599" w:rsidRDefault="002E2AE3" w:rsidP="005B5D7A">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D874E5">
        <w:rPr>
          <w:rFonts w:ascii="Times New Roman" w:hAnsi="Times New Roman" w:cs="Times New Roman"/>
          <w:sz w:val="24"/>
          <w:szCs w:val="24"/>
        </w:rPr>
        <w:t>C</w:t>
      </w:r>
      <w:r w:rsidR="002B7612">
        <w:rPr>
          <w:rFonts w:ascii="Times New Roman" w:hAnsi="Times New Roman" w:cs="Times New Roman"/>
          <w:sz w:val="24"/>
          <w:szCs w:val="24"/>
        </w:rPr>
        <w:t>O 71</w:t>
      </w:r>
      <w:r w:rsidR="0006084B">
        <w:rPr>
          <w:rFonts w:ascii="Times New Roman" w:hAnsi="Times New Roman" w:cs="Times New Roman"/>
          <w:sz w:val="24"/>
          <w:szCs w:val="24"/>
        </w:rPr>
        <w:t>/20</w:t>
      </w:r>
      <w:r w:rsidR="002B7612">
        <w:rPr>
          <w:rFonts w:ascii="Times New Roman" w:hAnsi="Times New Roman" w:cs="Times New Roman"/>
          <w:sz w:val="24"/>
          <w:szCs w:val="24"/>
        </w:rPr>
        <w:t>21</w:t>
      </w:r>
      <w:r w:rsidR="00D874E5">
        <w:rPr>
          <w:rFonts w:ascii="Times New Roman" w:hAnsi="Times New Roman" w:cs="Times New Roman"/>
          <w:sz w:val="24"/>
          <w:szCs w:val="24"/>
        </w:rPr>
        <w:t>)</w:t>
      </w:r>
    </w:p>
    <w:p w14:paraId="3B12C531" w14:textId="77777777" w:rsidR="002D4EB8" w:rsidRPr="004A2599" w:rsidRDefault="002D4EB8" w:rsidP="00650C31">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5A23BF57" w14:textId="1ED123F2" w:rsidR="002E2AE3" w:rsidRPr="00214DB4" w:rsidRDefault="002B7612" w:rsidP="00650C31">
      <w:pPr>
        <w:pStyle w:val="Partynames"/>
      </w:pPr>
      <w:r>
        <w:t>Michael Andy Fred</w:t>
      </w:r>
      <w:r w:rsidR="00D874E5">
        <w:tab/>
      </w:r>
      <w:r w:rsidR="007B1F36">
        <w:t>Appellant</w:t>
      </w:r>
    </w:p>
    <w:p w14:paraId="287064F1" w14:textId="7DC571AE" w:rsidR="002E2AE3" w:rsidRDefault="002E2AE3" w:rsidP="00650C31">
      <w:pPr>
        <w:pStyle w:val="Attorneysnames"/>
      </w:pPr>
      <w:r w:rsidRPr="00214DB4">
        <w:t>(</w:t>
      </w:r>
      <w:proofErr w:type="gramStart"/>
      <w:r w:rsidRPr="00214DB4">
        <w:t>rep</w:t>
      </w:r>
      <w:proofErr w:type="gramEnd"/>
      <w:r w:rsidRPr="00214DB4">
        <w:t xml:space="preserve">. by </w:t>
      </w:r>
      <w:r w:rsidR="00D874E5">
        <w:t>M</w:t>
      </w:r>
      <w:r w:rsidR="005232F7">
        <w:t xml:space="preserve">r </w:t>
      </w:r>
      <w:r w:rsidR="002B7612">
        <w:t>Basil Hoareau</w:t>
      </w:r>
      <w:r w:rsidR="0006084B">
        <w:t>)</w:t>
      </w:r>
    </w:p>
    <w:p w14:paraId="2D3C5036" w14:textId="77777777" w:rsidR="00650C31" w:rsidRPr="00650C31" w:rsidRDefault="00650C31" w:rsidP="00650C31">
      <w:pPr>
        <w:pStyle w:val="Attorneysnames"/>
        <w:rPr>
          <w:sz w:val="10"/>
          <w:szCs w:val="10"/>
        </w:rPr>
      </w:pPr>
    </w:p>
    <w:p w14:paraId="7ADD4072" w14:textId="77777777" w:rsidR="00380619" w:rsidRPr="005232F7" w:rsidRDefault="00380619" w:rsidP="00650C31">
      <w:pPr>
        <w:tabs>
          <w:tab w:val="left" w:pos="540"/>
          <w:tab w:val="left" w:pos="4092"/>
          <w:tab w:val="left" w:pos="5580"/>
        </w:tabs>
        <w:spacing w:after="0" w:line="240" w:lineRule="auto"/>
        <w:rPr>
          <w:rFonts w:ascii="Times New Roman" w:hAnsi="Times New Roman" w:cs="Times New Roman"/>
          <w:sz w:val="8"/>
          <w:szCs w:val="8"/>
        </w:rPr>
      </w:pPr>
    </w:p>
    <w:p w14:paraId="14FE5FE2" w14:textId="13FD62A3" w:rsidR="009539C2" w:rsidRDefault="00650C31" w:rsidP="00650C31">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w:t>
      </w:r>
      <w:r w:rsidR="002D4EB8" w:rsidRPr="004A2599">
        <w:rPr>
          <w:rFonts w:ascii="Times New Roman" w:hAnsi="Times New Roman" w:cs="Times New Roman"/>
          <w:sz w:val="24"/>
          <w:szCs w:val="24"/>
        </w:rPr>
        <w:t>nd</w:t>
      </w:r>
    </w:p>
    <w:p w14:paraId="265DAB71" w14:textId="77777777" w:rsidR="00650C31" w:rsidRPr="00650C31" w:rsidRDefault="00650C31" w:rsidP="00650C31">
      <w:pPr>
        <w:tabs>
          <w:tab w:val="left" w:pos="540"/>
          <w:tab w:val="left" w:pos="4092"/>
          <w:tab w:val="left" w:pos="5580"/>
        </w:tabs>
        <w:spacing w:after="0" w:line="240" w:lineRule="auto"/>
        <w:rPr>
          <w:rFonts w:ascii="Times New Roman" w:hAnsi="Times New Roman" w:cs="Times New Roman"/>
          <w:sz w:val="10"/>
          <w:szCs w:val="10"/>
        </w:rPr>
      </w:pPr>
    </w:p>
    <w:p w14:paraId="114C16F4" w14:textId="77777777" w:rsidR="002E2AE3" w:rsidRPr="004A2599" w:rsidRDefault="00D874E5" w:rsidP="00650C31">
      <w:pPr>
        <w:pStyle w:val="Partynames"/>
      </w:pPr>
      <w:r>
        <w:t xml:space="preserve">The </w:t>
      </w:r>
      <w:r w:rsidR="0006084B">
        <w:t>Republic</w:t>
      </w:r>
      <w:r w:rsidR="002E2AE3" w:rsidRPr="004A2599">
        <w:tab/>
        <w:t>Respondent</w:t>
      </w:r>
    </w:p>
    <w:p w14:paraId="2F19439E" w14:textId="4F03583A" w:rsidR="002E2AE3" w:rsidRDefault="002E2AE3" w:rsidP="00650C31">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F80B9A">
        <w:rPr>
          <w:rFonts w:ascii="Times New Roman" w:hAnsi="Times New Roman" w:cs="Times New Roman"/>
          <w:i/>
          <w:sz w:val="24"/>
          <w:szCs w:val="24"/>
        </w:rPr>
        <w:t>M</w:t>
      </w:r>
      <w:r w:rsidR="002B7612">
        <w:rPr>
          <w:rFonts w:ascii="Times New Roman" w:hAnsi="Times New Roman" w:cs="Times New Roman"/>
          <w:i/>
          <w:sz w:val="24"/>
          <w:szCs w:val="24"/>
        </w:rPr>
        <w:t xml:space="preserve">s. </w:t>
      </w:r>
      <w:proofErr w:type="spellStart"/>
      <w:r w:rsidR="00E75DF6">
        <w:rPr>
          <w:rFonts w:ascii="Times New Roman" w:hAnsi="Times New Roman" w:cs="Times New Roman"/>
          <w:i/>
          <w:sz w:val="24"/>
          <w:szCs w:val="24"/>
        </w:rPr>
        <w:t>Shireen</w:t>
      </w:r>
      <w:proofErr w:type="spellEnd"/>
      <w:r w:rsidR="00E75DF6">
        <w:rPr>
          <w:rFonts w:ascii="Times New Roman" w:hAnsi="Times New Roman" w:cs="Times New Roman"/>
          <w:i/>
          <w:sz w:val="24"/>
          <w:szCs w:val="24"/>
        </w:rPr>
        <w:t xml:space="preserve"> Denys</w:t>
      </w:r>
      <w:r w:rsidRPr="004A2599">
        <w:rPr>
          <w:rFonts w:ascii="Times New Roman" w:hAnsi="Times New Roman" w:cs="Times New Roman"/>
          <w:i/>
          <w:sz w:val="24"/>
          <w:szCs w:val="24"/>
        </w:rPr>
        <w:t>)</w:t>
      </w:r>
    </w:p>
    <w:p w14:paraId="7743C7FB"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7E5BE23D" w14:textId="6C9F0DEB" w:rsidR="0006084B" w:rsidRDefault="00405958" w:rsidP="00A64D15">
      <w:pPr>
        <w:spacing w:before="120" w:after="0" w:line="240" w:lineRule="auto"/>
        <w:ind w:left="1888" w:hanging="1888"/>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B7612">
        <w:rPr>
          <w:rFonts w:ascii="Times New Roman" w:hAnsi="Times New Roman" w:cs="Times New Roman"/>
          <w:i/>
          <w:sz w:val="24"/>
          <w:szCs w:val="24"/>
        </w:rPr>
        <w:t>Fred</w:t>
      </w:r>
      <w:r w:rsidR="0006084B">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874E5">
        <w:rPr>
          <w:rFonts w:ascii="Times New Roman" w:hAnsi="Times New Roman" w:cs="Times New Roman"/>
          <w:sz w:val="24"/>
          <w:szCs w:val="24"/>
        </w:rPr>
        <w:t>SCA C</w:t>
      </w:r>
      <w:r w:rsidR="0006084B">
        <w:rPr>
          <w:rFonts w:ascii="Times New Roman" w:hAnsi="Times New Roman" w:cs="Times New Roman"/>
          <w:sz w:val="24"/>
          <w:szCs w:val="24"/>
        </w:rPr>
        <w:t xml:space="preserve">R </w:t>
      </w:r>
      <w:r w:rsidR="002B7612">
        <w:rPr>
          <w:rFonts w:ascii="Times New Roman" w:hAnsi="Times New Roman" w:cs="Times New Roman"/>
          <w:sz w:val="24"/>
          <w:szCs w:val="24"/>
        </w:rPr>
        <w:t>20</w:t>
      </w:r>
      <w:r w:rsidR="00D874E5">
        <w:rPr>
          <w:rFonts w:ascii="Times New Roman" w:hAnsi="Times New Roman" w:cs="Times New Roman"/>
          <w:sz w:val="24"/>
          <w:szCs w:val="24"/>
        </w:rPr>
        <w:t>/202</w:t>
      </w:r>
      <w:r w:rsidR="005232F7">
        <w:rPr>
          <w:rFonts w:ascii="Times New Roman" w:hAnsi="Times New Roman" w:cs="Times New Roman"/>
          <w:sz w:val="24"/>
          <w:szCs w:val="24"/>
        </w:rPr>
        <w:t>1</w:t>
      </w:r>
      <w:r w:rsidR="00D874E5">
        <w:rPr>
          <w:rFonts w:ascii="Times New Roman" w:hAnsi="Times New Roman" w:cs="Times New Roman"/>
          <w:sz w:val="24"/>
          <w:szCs w:val="24"/>
        </w:rPr>
        <w:t>) [2022] (Arising in C</w:t>
      </w:r>
      <w:r w:rsidR="002B7612">
        <w:rPr>
          <w:rFonts w:ascii="Times New Roman" w:hAnsi="Times New Roman" w:cs="Times New Roman"/>
          <w:sz w:val="24"/>
          <w:szCs w:val="24"/>
        </w:rPr>
        <w:t>O 71</w:t>
      </w:r>
      <w:r w:rsidR="00D874E5">
        <w:rPr>
          <w:rFonts w:ascii="Times New Roman" w:hAnsi="Times New Roman" w:cs="Times New Roman"/>
          <w:sz w:val="24"/>
          <w:szCs w:val="24"/>
        </w:rPr>
        <w:t>/20</w:t>
      </w:r>
      <w:r w:rsidR="002B7612">
        <w:rPr>
          <w:rFonts w:ascii="Times New Roman" w:hAnsi="Times New Roman" w:cs="Times New Roman"/>
          <w:sz w:val="24"/>
          <w:szCs w:val="24"/>
        </w:rPr>
        <w:t>21</w:t>
      </w:r>
      <w:r w:rsidR="00D874E5">
        <w:rPr>
          <w:rFonts w:ascii="Times New Roman" w:hAnsi="Times New Roman" w:cs="Times New Roman"/>
          <w:sz w:val="24"/>
          <w:szCs w:val="24"/>
        </w:rPr>
        <w:t>)</w:t>
      </w:r>
      <w:r w:rsidR="003E3345">
        <w:rPr>
          <w:rFonts w:ascii="Times New Roman" w:hAnsi="Times New Roman" w:cs="Times New Roman"/>
          <w:sz w:val="24"/>
          <w:szCs w:val="24"/>
        </w:rPr>
        <w:t xml:space="preserve"> SCCA 39</w:t>
      </w:r>
      <w:bookmarkStart w:id="0" w:name="_GoBack"/>
      <w:bookmarkEnd w:id="0"/>
    </w:p>
    <w:p w14:paraId="26033A51" w14:textId="538038DF" w:rsidR="00405958" w:rsidRDefault="00D874E5" w:rsidP="00A64D15">
      <w:pPr>
        <w:spacing w:before="120" w:after="0" w:line="240" w:lineRule="auto"/>
        <w:ind w:left="1888" w:hanging="1888"/>
        <w:rPr>
          <w:rFonts w:ascii="Times New Roman" w:hAnsi="Times New Roman" w:cs="Times New Roman"/>
          <w:sz w:val="24"/>
          <w:szCs w:val="24"/>
        </w:rPr>
      </w:pPr>
      <w:r>
        <w:rPr>
          <w:rFonts w:ascii="Times New Roman" w:hAnsi="Times New Roman" w:cs="Times New Roman"/>
          <w:sz w:val="24"/>
          <w:szCs w:val="24"/>
        </w:rPr>
        <w:t xml:space="preserve"> </w:t>
      </w:r>
      <w:r w:rsidR="0006084B">
        <w:rPr>
          <w:rFonts w:ascii="Times New Roman" w:hAnsi="Times New Roman" w:cs="Times New Roman"/>
          <w:sz w:val="24"/>
          <w:szCs w:val="24"/>
        </w:rPr>
        <w:tab/>
      </w:r>
      <w:r>
        <w:rPr>
          <w:rFonts w:ascii="Times New Roman" w:hAnsi="Times New Roman" w:cs="Times New Roman"/>
          <w:sz w:val="24"/>
          <w:szCs w:val="24"/>
        </w:rPr>
        <w:t xml:space="preserve"> (</w:t>
      </w:r>
      <w:r w:rsidR="005232F7">
        <w:rPr>
          <w:rFonts w:ascii="Times New Roman" w:hAnsi="Times New Roman" w:cs="Times New Roman"/>
          <w:sz w:val="24"/>
          <w:szCs w:val="24"/>
        </w:rPr>
        <w:t>19 August</w:t>
      </w:r>
      <w:r>
        <w:rPr>
          <w:rFonts w:ascii="Times New Roman" w:hAnsi="Times New Roman" w:cs="Times New Roman"/>
          <w:sz w:val="24"/>
          <w:szCs w:val="24"/>
        </w:rPr>
        <w:t xml:space="preserve"> 2022)</w:t>
      </w:r>
    </w:p>
    <w:p w14:paraId="191412F0" w14:textId="77777777" w:rsidR="00A64D15" w:rsidRPr="00A64D15" w:rsidRDefault="00A64D15" w:rsidP="00A64D15">
      <w:pPr>
        <w:spacing w:before="120" w:after="0" w:line="240" w:lineRule="auto"/>
        <w:ind w:left="1888" w:hanging="1888"/>
        <w:rPr>
          <w:rFonts w:ascii="Times New Roman" w:hAnsi="Times New Roman" w:cs="Times New Roman"/>
          <w:sz w:val="4"/>
          <w:szCs w:val="4"/>
        </w:rPr>
      </w:pPr>
    </w:p>
    <w:p w14:paraId="64E10E83" w14:textId="2F0BC5ED" w:rsidR="002E2AE3" w:rsidRDefault="009F125D" w:rsidP="00A64D15">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2B7612">
        <w:rPr>
          <w:rFonts w:ascii="Times New Roman" w:hAnsi="Times New Roman" w:cs="Times New Roman"/>
          <w:sz w:val="24"/>
          <w:szCs w:val="24"/>
        </w:rPr>
        <w:t xml:space="preserve">Twomey-Woods, </w:t>
      </w:r>
      <w:r w:rsidR="00D874E5">
        <w:rPr>
          <w:rFonts w:ascii="Times New Roman" w:hAnsi="Times New Roman" w:cs="Times New Roman"/>
          <w:sz w:val="24"/>
          <w:szCs w:val="24"/>
        </w:rPr>
        <w:t>Robinson J</w:t>
      </w:r>
      <w:r w:rsidR="002B7612">
        <w:rPr>
          <w:rFonts w:ascii="Times New Roman" w:hAnsi="Times New Roman" w:cs="Times New Roman"/>
          <w:sz w:val="24"/>
          <w:szCs w:val="24"/>
        </w:rPr>
        <w:t>J</w:t>
      </w:r>
      <w:r w:rsidR="00D874E5">
        <w:rPr>
          <w:rFonts w:ascii="Times New Roman" w:hAnsi="Times New Roman" w:cs="Times New Roman"/>
          <w:sz w:val="24"/>
          <w:szCs w:val="24"/>
        </w:rPr>
        <w:t>A</w:t>
      </w:r>
    </w:p>
    <w:p w14:paraId="28F6B6AC" w14:textId="7A580170" w:rsidR="00344425" w:rsidRDefault="00346D7F" w:rsidP="002B7612">
      <w:pPr>
        <w:spacing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6084B">
        <w:rPr>
          <w:rFonts w:ascii="Times New Roman" w:hAnsi="Times New Roman" w:cs="Times New Roman"/>
          <w:sz w:val="24"/>
          <w:szCs w:val="24"/>
        </w:rPr>
        <w:t xml:space="preserve">Appeal against </w:t>
      </w:r>
      <w:r w:rsidR="005232F7">
        <w:rPr>
          <w:rFonts w:ascii="Times New Roman" w:hAnsi="Times New Roman" w:cs="Times New Roman"/>
          <w:sz w:val="24"/>
          <w:szCs w:val="24"/>
        </w:rPr>
        <w:t>sentence</w:t>
      </w:r>
      <w:r w:rsidR="0006084B">
        <w:rPr>
          <w:rFonts w:ascii="Times New Roman" w:hAnsi="Times New Roman" w:cs="Times New Roman"/>
          <w:sz w:val="24"/>
          <w:szCs w:val="24"/>
        </w:rPr>
        <w:t xml:space="preserve"> imposed</w:t>
      </w:r>
      <w:r w:rsidR="005232F7">
        <w:rPr>
          <w:rFonts w:ascii="Times New Roman" w:hAnsi="Times New Roman" w:cs="Times New Roman"/>
          <w:sz w:val="24"/>
          <w:szCs w:val="24"/>
        </w:rPr>
        <w:t xml:space="preserve"> on conviction for </w:t>
      </w:r>
      <w:r w:rsidR="002B7612">
        <w:rPr>
          <w:rFonts w:ascii="Times New Roman" w:hAnsi="Times New Roman" w:cs="Times New Roman"/>
          <w:sz w:val="24"/>
          <w:szCs w:val="24"/>
        </w:rPr>
        <w:t>possession of a controlled drug with intent to traffic and preventing and obstructing an officer while discharging his duty by offering an undue gift under the Misuse of Drugs Act, 2016</w:t>
      </w:r>
      <w:r w:rsidR="0006084B">
        <w:rPr>
          <w:rFonts w:ascii="Times New Roman" w:hAnsi="Times New Roman" w:cs="Times New Roman"/>
          <w:sz w:val="24"/>
          <w:szCs w:val="24"/>
        </w:rPr>
        <w:t>.</w:t>
      </w:r>
    </w:p>
    <w:p w14:paraId="1D3C170E" w14:textId="77777777" w:rsidR="00133216" w:rsidRPr="0006084B" w:rsidRDefault="00133216" w:rsidP="002B7612">
      <w:pPr>
        <w:spacing w:after="0" w:line="240" w:lineRule="auto"/>
        <w:ind w:left="1886" w:hanging="1886"/>
        <w:jc w:val="both"/>
        <w:rPr>
          <w:rFonts w:ascii="Times New Roman" w:hAnsi="Times New Roman" w:cs="Times New Roman"/>
          <w:sz w:val="24"/>
          <w:szCs w:val="24"/>
        </w:rPr>
      </w:pPr>
    </w:p>
    <w:p w14:paraId="1BCA9A5C" w14:textId="48732329" w:rsidR="00344425" w:rsidRPr="005B12AA"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874E5">
        <w:rPr>
          <w:rFonts w:ascii="Times New Roman" w:hAnsi="Times New Roman" w:cs="Times New Roman"/>
          <w:sz w:val="24"/>
          <w:szCs w:val="24"/>
        </w:rPr>
        <w:t>1</w:t>
      </w:r>
      <w:r w:rsidR="005232F7">
        <w:rPr>
          <w:rFonts w:ascii="Times New Roman" w:hAnsi="Times New Roman" w:cs="Times New Roman"/>
          <w:sz w:val="24"/>
          <w:szCs w:val="24"/>
        </w:rPr>
        <w:t xml:space="preserve"> August</w:t>
      </w:r>
      <w:r w:rsidR="00D874E5">
        <w:rPr>
          <w:rFonts w:ascii="Times New Roman" w:hAnsi="Times New Roman" w:cs="Times New Roman"/>
          <w:sz w:val="24"/>
          <w:szCs w:val="24"/>
        </w:rPr>
        <w:t xml:space="preserve"> 2022</w:t>
      </w:r>
    </w:p>
    <w:p w14:paraId="469085E7" w14:textId="622D8CB0" w:rsidR="00344425"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232F7" w:rsidRPr="002B7612">
        <w:rPr>
          <w:rFonts w:ascii="Times New Roman" w:hAnsi="Times New Roman" w:cs="Times New Roman"/>
          <w:sz w:val="24"/>
          <w:szCs w:val="24"/>
        </w:rPr>
        <w:t>1</w:t>
      </w:r>
      <w:r w:rsidR="00D874E5">
        <w:rPr>
          <w:rFonts w:ascii="Times New Roman" w:hAnsi="Times New Roman" w:cs="Times New Roman"/>
          <w:sz w:val="24"/>
          <w:szCs w:val="24"/>
        </w:rPr>
        <w:t>9 A</w:t>
      </w:r>
      <w:r w:rsidR="005232F7">
        <w:rPr>
          <w:rFonts w:ascii="Times New Roman" w:hAnsi="Times New Roman" w:cs="Times New Roman"/>
          <w:sz w:val="24"/>
          <w:szCs w:val="24"/>
        </w:rPr>
        <w:t>ugust</w:t>
      </w:r>
      <w:r w:rsidR="00D874E5">
        <w:rPr>
          <w:rFonts w:ascii="Times New Roman" w:hAnsi="Times New Roman" w:cs="Times New Roman"/>
          <w:sz w:val="24"/>
          <w:szCs w:val="24"/>
        </w:rPr>
        <w:t xml:space="preserve"> 2022</w:t>
      </w:r>
    </w:p>
    <w:p w14:paraId="431123C2" w14:textId="77777777" w:rsidR="00650C31" w:rsidRDefault="00ED0BFC" w:rsidP="00650C31">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D5269D7" w14:textId="1A156D5C" w:rsidR="00650C31" w:rsidRPr="007D25FE" w:rsidRDefault="00650C31" w:rsidP="00650C31">
      <w:pPr>
        <w:tabs>
          <w:tab w:val="left" w:pos="2892"/>
        </w:tabs>
        <w:spacing w:before="120"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6830D0">
        <w:rPr>
          <w:rFonts w:ascii="Times New Roman" w:hAnsi="Times New Roman" w:cs="Times New Roman"/>
          <w:sz w:val="24"/>
          <w:szCs w:val="24"/>
        </w:rPr>
        <w:t>Appeal</w:t>
      </w:r>
      <w:r w:rsidR="0006084B">
        <w:rPr>
          <w:rFonts w:ascii="Times New Roman" w:hAnsi="Times New Roman" w:cs="Times New Roman"/>
          <w:sz w:val="24"/>
          <w:szCs w:val="24"/>
        </w:rPr>
        <w:t xml:space="preserve"> </w:t>
      </w:r>
      <w:r>
        <w:rPr>
          <w:rFonts w:ascii="Times New Roman" w:hAnsi="Times New Roman" w:cs="Times New Roman"/>
          <w:sz w:val="24"/>
          <w:szCs w:val="24"/>
        </w:rPr>
        <w:t>dismissed. ______________________________________________________________________________</w:t>
      </w:r>
    </w:p>
    <w:p w14:paraId="47D5749F" w14:textId="7B25F703" w:rsidR="00650C31" w:rsidRDefault="00650C31" w:rsidP="00650C31">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JUDGMENT ______________________________________________________________________________</w:t>
      </w:r>
    </w:p>
    <w:p w14:paraId="02CE9FAB" w14:textId="5CF35D4C" w:rsidR="005B12AA" w:rsidRDefault="00D723EF" w:rsidP="005B5D7A">
      <w:pPr>
        <w:pStyle w:val="JudgmentText"/>
        <w:numPr>
          <w:ilvl w:val="0"/>
          <w:numId w:val="0"/>
        </w:numPr>
        <w:ind w:left="720" w:hanging="720"/>
        <w:rPr>
          <w:b/>
        </w:rPr>
      </w:pPr>
      <w:r>
        <w:rPr>
          <w:b/>
        </w:rPr>
        <w:t>FERNANDO, PRESIDENT</w:t>
      </w:r>
    </w:p>
    <w:p w14:paraId="5D4FEADE" w14:textId="77777777" w:rsidR="002B7612" w:rsidRPr="005914DF" w:rsidRDefault="002B7612" w:rsidP="002B7612">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 xml:space="preserve">The Appellant has appealed against the sentence of two years and six months’ imprisonment and the fine of SCR 20,000 and the six-month term of imprisonment </w:t>
      </w:r>
      <w:r w:rsidRPr="005914DF">
        <w:rPr>
          <w:rFonts w:ascii="Times New Roman" w:hAnsi="Times New Roman" w:cs="Times New Roman"/>
          <w:sz w:val="26"/>
          <w:szCs w:val="26"/>
        </w:rPr>
        <w:lastRenderedPageBreak/>
        <w:t>in default of the payment of fine, imposed on him by the Sentencing Judge on his conviction after being found guilty on his own plea of guilt for the two offences he was charged.</w:t>
      </w:r>
    </w:p>
    <w:p w14:paraId="5DF2419B" w14:textId="77777777" w:rsidR="002B7612" w:rsidRPr="005914DF" w:rsidRDefault="002B7612" w:rsidP="002B7612">
      <w:pPr>
        <w:pStyle w:val="ListParagraph"/>
        <w:rPr>
          <w:rFonts w:ascii="Times New Roman" w:hAnsi="Times New Roman" w:cs="Times New Roman"/>
          <w:sz w:val="26"/>
          <w:szCs w:val="26"/>
        </w:rPr>
      </w:pPr>
    </w:p>
    <w:p w14:paraId="31CBB3EC" w14:textId="77777777" w:rsidR="002B7612" w:rsidRPr="005914DF" w:rsidRDefault="002B7612" w:rsidP="002B7612">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 xml:space="preserve">The first count on which the Appellant was indicted was for possession of a controlled drug, namely 509 pills </w:t>
      </w:r>
      <w:proofErr w:type="spellStart"/>
      <w:r w:rsidRPr="005914DF">
        <w:rPr>
          <w:rFonts w:ascii="Times New Roman" w:hAnsi="Times New Roman" w:cs="Times New Roman"/>
          <w:sz w:val="26"/>
          <w:szCs w:val="26"/>
        </w:rPr>
        <w:t>methylenedioxymethamphetamine</w:t>
      </w:r>
      <w:proofErr w:type="spellEnd"/>
      <w:r w:rsidRPr="005914DF">
        <w:rPr>
          <w:rFonts w:ascii="Times New Roman" w:hAnsi="Times New Roman" w:cs="Times New Roman"/>
          <w:sz w:val="26"/>
          <w:szCs w:val="26"/>
        </w:rPr>
        <w:t xml:space="preserve"> (MDMA) (Ecstasy) [classified as a Class B drug in Part II at 1.9], with a total net weight of 163.30 grams with intent to traffic contrary to section 9(1) of the Misuse of Drugs Act 2016. The second count was for preventing and obstructing an officer while discharging his duty by offering or giving undue gift, namely by offering the 509 MDMA pills as a gift, contrary to section 35(2) of the Misuse of Drugs Act.</w:t>
      </w:r>
    </w:p>
    <w:p w14:paraId="6EC22BB0" w14:textId="77777777" w:rsidR="002B7612" w:rsidRPr="005914DF" w:rsidRDefault="002B7612" w:rsidP="002B7612">
      <w:pPr>
        <w:pStyle w:val="ListParagraph"/>
        <w:rPr>
          <w:rFonts w:ascii="Times New Roman" w:hAnsi="Times New Roman" w:cs="Times New Roman"/>
          <w:sz w:val="26"/>
          <w:szCs w:val="26"/>
        </w:rPr>
      </w:pPr>
    </w:p>
    <w:p w14:paraId="2A12FFAA" w14:textId="021412AB" w:rsidR="002B7612" w:rsidRPr="005914DF" w:rsidRDefault="002B7612" w:rsidP="002B7612">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 xml:space="preserve">In respect of count one the Appellant </w:t>
      </w:r>
      <w:proofErr w:type="gramStart"/>
      <w:r w:rsidRPr="005914DF">
        <w:rPr>
          <w:rFonts w:ascii="Times New Roman" w:hAnsi="Times New Roman" w:cs="Times New Roman"/>
          <w:sz w:val="26"/>
          <w:szCs w:val="26"/>
        </w:rPr>
        <w:t>had been sentenced</w:t>
      </w:r>
      <w:proofErr w:type="gramEnd"/>
      <w:r w:rsidRPr="005914DF">
        <w:rPr>
          <w:rFonts w:ascii="Times New Roman" w:hAnsi="Times New Roman" w:cs="Times New Roman"/>
          <w:sz w:val="26"/>
          <w:szCs w:val="26"/>
        </w:rPr>
        <w:t xml:space="preserve"> for a term of two years six months’ imprisonment and the fine of SCR 20,000 and in default of the payment of fine, a six-month term of imprisonment and in respect of count two for a term of two years’ imprisonment. Both terms of imprisonment in count one and two to run concurrently. The six-month term of imprisonment </w:t>
      </w:r>
      <w:r w:rsidR="00241691" w:rsidRPr="005914DF">
        <w:rPr>
          <w:rFonts w:ascii="Times New Roman" w:hAnsi="Times New Roman" w:cs="Times New Roman"/>
          <w:sz w:val="26"/>
          <w:szCs w:val="26"/>
        </w:rPr>
        <w:t>in default of payment of fine is</w:t>
      </w:r>
      <w:r w:rsidRPr="005914DF">
        <w:rPr>
          <w:rFonts w:ascii="Times New Roman" w:hAnsi="Times New Roman" w:cs="Times New Roman"/>
          <w:sz w:val="26"/>
          <w:szCs w:val="26"/>
        </w:rPr>
        <w:t xml:space="preserve"> to run consecutive to the term of two years and six months’ imprisonment.</w:t>
      </w:r>
      <w:r w:rsidR="00242A16" w:rsidRPr="005914DF">
        <w:rPr>
          <w:rFonts w:ascii="Times New Roman" w:hAnsi="Times New Roman" w:cs="Times New Roman"/>
          <w:sz w:val="26"/>
          <w:szCs w:val="26"/>
        </w:rPr>
        <w:t xml:space="preserve"> The Sentencing Court had ordered that the Appellant is to be produced</w:t>
      </w:r>
      <w:r w:rsidR="00220449" w:rsidRPr="005914DF">
        <w:rPr>
          <w:rFonts w:ascii="Times New Roman" w:hAnsi="Times New Roman" w:cs="Times New Roman"/>
          <w:sz w:val="26"/>
          <w:szCs w:val="26"/>
        </w:rPr>
        <w:t xml:space="preserve"> before the</w:t>
      </w:r>
      <w:r w:rsidR="00242A16" w:rsidRPr="005914DF">
        <w:rPr>
          <w:rFonts w:ascii="Times New Roman" w:hAnsi="Times New Roman" w:cs="Times New Roman"/>
          <w:sz w:val="26"/>
          <w:szCs w:val="26"/>
        </w:rPr>
        <w:t xml:space="preserve"> Court after serving his </w:t>
      </w:r>
      <w:r w:rsidR="00220449" w:rsidRPr="005914DF">
        <w:rPr>
          <w:rFonts w:ascii="Times New Roman" w:hAnsi="Times New Roman" w:cs="Times New Roman"/>
          <w:sz w:val="26"/>
          <w:szCs w:val="26"/>
        </w:rPr>
        <w:t>2 ½ years’ imprisonment in order to give him time to pay the fine.</w:t>
      </w:r>
      <w:r w:rsidRPr="005914DF">
        <w:rPr>
          <w:rFonts w:ascii="Times New Roman" w:hAnsi="Times New Roman" w:cs="Times New Roman"/>
          <w:sz w:val="26"/>
          <w:szCs w:val="26"/>
        </w:rPr>
        <w:t xml:space="preserve"> </w:t>
      </w:r>
    </w:p>
    <w:p w14:paraId="35E6F8FF" w14:textId="77777777" w:rsidR="002B7612" w:rsidRPr="005914DF" w:rsidRDefault="002B7612" w:rsidP="002B7612">
      <w:pPr>
        <w:pStyle w:val="ListParagraph"/>
        <w:rPr>
          <w:rFonts w:ascii="Times New Roman" w:hAnsi="Times New Roman" w:cs="Times New Roman"/>
          <w:sz w:val="26"/>
          <w:szCs w:val="26"/>
        </w:rPr>
      </w:pPr>
    </w:p>
    <w:p w14:paraId="78EB191D" w14:textId="7178A346" w:rsidR="002B7612" w:rsidRPr="005914DF" w:rsidRDefault="002B7612" w:rsidP="002B7612">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The maximum sentence for an offence under count one is 50 years’ imprisonment and fine of SCR 500,000.00 and the indicative sentence for aggravated offence is 15 years’ imprisonment. The</w:t>
      </w:r>
      <w:r w:rsidR="00994130" w:rsidRPr="005914DF">
        <w:rPr>
          <w:rFonts w:ascii="Times New Roman" w:hAnsi="Times New Roman" w:cs="Times New Roman"/>
          <w:sz w:val="26"/>
          <w:szCs w:val="26"/>
        </w:rPr>
        <w:t xml:space="preserve"> maximum</w:t>
      </w:r>
      <w:r w:rsidRPr="005914DF">
        <w:rPr>
          <w:rFonts w:ascii="Times New Roman" w:hAnsi="Times New Roman" w:cs="Times New Roman"/>
          <w:sz w:val="26"/>
          <w:szCs w:val="26"/>
        </w:rPr>
        <w:t xml:space="preserve"> sentence for an offence under count two is 5 years’ imprisonment and fine of SCR 100,000.00 and the indicative sentence for aggravated offence is 3 years’ imprisonment.</w:t>
      </w:r>
    </w:p>
    <w:p w14:paraId="6E2F5C80" w14:textId="77777777" w:rsidR="002B7612" w:rsidRPr="005914DF" w:rsidRDefault="002B7612" w:rsidP="002B7612">
      <w:pPr>
        <w:pStyle w:val="ListParagraph"/>
        <w:rPr>
          <w:rFonts w:ascii="Times New Roman" w:hAnsi="Times New Roman" w:cs="Times New Roman"/>
          <w:sz w:val="26"/>
          <w:szCs w:val="26"/>
        </w:rPr>
      </w:pPr>
    </w:p>
    <w:p w14:paraId="22ACFB84" w14:textId="4F83FAB7" w:rsidR="00A64D15" w:rsidRPr="005914DF" w:rsidRDefault="002B7612" w:rsidP="005B249A">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The Appellant has filed the following grounds of appeal:</w:t>
      </w:r>
    </w:p>
    <w:p w14:paraId="6E872377" w14:textId="647DD656" w:rsidR="00A64D15" w:rsidRPr="005914DF" w:rsidRDefault="00A0331F" w:rsidP="00A0331F">
      <w:pPr>
        <w:ind w:left="720" w:hanging="360"/>
        <w:jc w:val="both"/>
        <w:rPr>
          <w:rFonts w:ascii="Times New Roman" w:hAnsi="Times New Roman" w:cs="Times New Roman"/>
          <w:sz w:val="26"/>
          <w:szCs w:val="26"/>
        </w:rPr>
      </w:pPr>
      <w:r w:rsidRPr="005914DF">
        <w:rPr>
          <w:rFonts w:ascii="Times New Roman" w:hAnsi="Times New Roman" w:cs="Times New Roman"/>
          <w:sz w:val="26"/>
          <w:szCs w:val="26"/>
        </w:rPr>
        <w:t>“1.</w:t>
      </w:r>
      <w:r w:rsidRPr="005914DF">
        <w:rPr>
          <w:rFonts w:ascii="Times New Roman" w:hAnsi="Times New Roman" w:cs="Times New Roman"/>
          <w:sz w:val="26"/>
          <w:szCs w:val="26"/>
        </w:rPr>
        <w:tab/>
      </w:r>
      <w:r w:rsidR="00A64D15" w:rsidRPr="005914DF">
        <w:rPr>
          <w:rFonts w:ascii="Times New Roman" w:hAnsi="Times New Roman" w:cs="Times New Roman"/>
          <w:sz w:val="26"/>
          <w:szCs w:val="26"/>
        </w:rPr>
        <w:t xml:space="preserve">The learned trial judge erred in law and on the facts in imposing a sentence of two </w:t>
      </w:r>
      <w:r w:rsidR="00241691" w:rsidRPr="005914DF">
        <w:rPr>
          <w:rFonts w:ascii="Times New Roman" w:hAnsi="Times New Roman" w:cs="Times New Roman"/>
          <w:sz w:val="26"/>
          <w:szCs w:val="26"/>
        </w:rPr>
        <w:t>years’</w:t>
      </w:r>
      <w:r w:rsidR="00A64D15" w:rsidRPr="005914DF">
        <w:rPr>
          <w:rFonts w:ascii="Times New Roman" w:hAnsi="Times New Roman" w:cs="Times New Roman"/>
          <w:sz w:val="26"/>
          <w:szCs w:val="26"/>
        </w:rPr>
        <w:t xml:space="preserve"> </w:t>
      </w:r>
      <w:r w:rsidR="00241691" w:rsidRPr="005914DF">
        <w:rPr>
          <w:rFonts w:ascii="Times New Roman" w:hAnsi="Times New Roman" w:cs="Times New Roman"/>
          <w:sz w:val="26"/>
          <w:szCs w:val="26"/>
        </w:rPr>
        <w:t>six-month</w:t>
      </w:r>
      <w:r w:rsidR="00A64D15" w:rsidRPr="005914DF">
        <w:rPr>
          <w:rFonts w:ascii="Times New Roman" w:hAnsi="Times New Roman" w:cs="Times New Roman"/>
          <w:sz w:val="26"/>
          <w:szCs w:val="26"/>
        </w:rPr>
        <w:t xml:space="preserve"> imprisonment and a fine of SR</w:t>
      </w:r>
      <w:r w:rsidR="00241691" w:rsidRPr="005914DF">
        <w:rPr>
          <w:rFonts w:ascii="Times New Roman" w:hAnsi="Times New Roman" w:cs="Times New Roman"/>
          <w:sz w:val="26"/>
          <w:szCs w:val="26"/>
        </w:rPr>
        <w:t>20,000 (</w:t>
      </w:r>
      <w:r w:rsidR="00A64D15" w:rsidRPr="005914DF">
        <w:rPr>
          <w:rFonts w:ascii="Times New Roman" w:hAnsi="Times New Roman" w:cs="Times New Roman"/>
          <w:sz w:val="26"/>
          <w:szCs w:val="26"/>
        </w:rPr>
        <w:t xml:space="preserve">in default payment to a fine of </w:t>
      </w:r>
      <w:r w:rsidR="00241691" w:rsidRPr="005914DF">
        <w:rPr>
          <w:rFonts w:ascii="Times New Roman" w:hAnsi="Times New Roman" w:cs="Times New Roman"/>
          <w:sz w:val="26"/>
          <w:szCs w:val="26"/>
        </w:rPr>
        <w:t>six-month</w:t>
      </w:r>
      <w:r w:rsidR="00A64D15" w:rsidRPr="005914DF">
        <w:rPr>
          <w:rFonts w:ascii="Times New Roman" w:hAnsi="Times New Roman" w:cs="Times New Roman"/>
          <w:sz w:val="26"/>
          <w:szCs w:val="26"/>
        </w:rPr>
        <w:t xml:space="preserve"> term of imprisonment) for the offence of possession of 163.30 grams </w:t>
      </w:r>
      <w:r w:rsidR="00241691" w:rsidRPr="005914DF">
        <w:rPr>
          <w:rFonts w:ascii="Times New Roman" w:hAnsi="Times New Roman" w:cs="Times New Roman"/>
          <w:sz w:val="26"/>
          <w:szCs w:val="26"/>
        </w:rPr>
        <w:t xml:space="preserve">of </w:t>
      </w:r>
      <w:proofErr w:type="spellStart"/>
      <w:r w:rsidR="00241691" w:rsidRPr="005914DF">
        <w:rPr>
          <w:rFonts w:ascii="Times New Roman" w:hAnsi="Times New Roman" w:cs="Times New Roman"/>
          <w:sz w:val="26"/>
          <w:szCs w:val="26"/>
        </w:rPr>
        <w:t>methylenedioxymethamphetamine</w:t>
      </w:r>
      <w:proofErr w:type="spellEnd"/>
      <w:r w:rsidR="00A64D15" w:rsidRPr="005914DF">
        <w:rPr>
          <w:rFonts w:ascii="Times New Roman" w:hAnsi="Times New Roman" w:cs="Times New Roman"/>
          <w:sz w:val="26"/>
          <w:szCs w:val="26"/>
        </w:rPr>
        <w:t xml:space="preserve"> (MDMA) (Ecstasy) with intent to traffic in that –</w:t>
      </w:r>
    </w:p>
    <w:p w14:paraId="78FFE474" w14:textId="04F4538A" w:rsidR="00A64D15" w:rsidRPr="005914DF" w:rsidRDefault="00A64D15" w:rsidP="00A64D15">
      <w:pPr>
        <w:pStyle w:val="ListParagraph"/>
        <w:numPr>
          <w:ilvl w:val="0"/>
          <w:numId w:val="22"/>
        </w:numPr>
        <w:ind w:left="1710" w:hanging="540"/>
        <w:jc w:val="both"/>
        <w:rPr>
          <w:rFonts w:ascii="Times New Roman" w:hAnsi="Times New Roman" w:cs="Times New Roman"/>
          <w:sz w:val="26"/>
          <w:szCs w:val="26"/>
        </w:rPr>
      </w:pPr>
      <w:r w:rsidRPr="005914DF">
        <w:rPr>
          <w:rFonts w:ascii="Times New Roman" w:hAnsi="Times New Roman" w:cs="Times New Roman"/>
          <w:sz w:val="26"/>
          <w:szCs w:val="26"/>
        </w:rPr>
        <w:t>The sentence is manifestly excessive as it is outside the sentencing range of similar offences and outside the broad range of penalties appropriate to the case;</w:t>
      </w:r>
    </w:p>
    <w:p w14:paraId="2C3584CA" w14:textId="0B1C6CF1" w:rsidR="00A64D15" w:rsidRPr="005914DF" w:rsidRDefault="00A64D15" w:rsidP="00A64D15">
      <w:pPr>
        <w:pStyle w:val="ListParagraph"/>
        <w:numPr>
          <w:ilvl w:val="0"/>
          <w:numId w:val="22"/>
        </w:numPr>
        <w:ind w:left="1710" w:hanging="540"/>
        <w:jc w:val="both"/>
        <w:rPr>
          <w:rFonts w:ascii="Times New Roman" w:hAnsi="Times New Roman" w:cs="Times New Roman"/>
          <w:sz w:val="26"/>
          <w:szCs w:val="26"/>
        </w:rPr>
      </w:pPr>
      <w:r w:rsidRPr="005914DF">
        <w:rPr>
          <w:rFonts w:ascii="Times New Roman" w:hAnsi="Times New Roman" w:cs="Times New Roman"/>
          <w:sz w:val="26"/>
          <w:szCs w:val="26"/>
        </w:rPr>
        <w:t>The learned trial judge failed to take into consideration and attach sufficient weight to the mitigating factors, mentioned in section 49 of the Misuse of Drugs Act, which were present in the case;</w:t>
      </w:r>
    </w:p>
    <w:p w14:paraId="6A2FD75B" w14:textId="5541512B" w:rsidR="00A64D15" w:rsidRPr="005914DF" w:rsidRDefault="00A64D15" w:rsidP="00A64D15">
      <w:pPr>
        <w:pStyle w:val="ListParagraph"/>
        <w:numPr>
          <w:ilvl w:val="0"/>
          <w:numId w:val="22"/>
        </w:numPr>
        <w:ind w:left="1710" w:hanging="540"/>
        <w:jc w:val="both"/>
        <w:rPr>
          <w:rFonts w:ascii="Times New Roman" w:hAnsi="Times New Roman" w:cs="Times New Roman"/>
          <w:sz w:val="26"/>
          <w:szCs w:val="26"/>
        </w:rPr>
      </w:pPr>
      <w:r w:rsidRPr="005914DF">
        <w:rPr>
          <w:rFonts w:ascii="Times New Roman" w:hAnsi="Times New Roman" w:cs="Times New Roman"/>
          <w:sz w:val="26"/>
          <w:szCs w:val="26"/>
        </w:rPr>
        <w:t>The learned trial judge improperly considered that the Appellant was involved in another offence which was related to the commission of the offence of possession of a controlled drug with intent to traffic;</w:t>
      </w:r>
    </w:p>
    <w:p w14:paraId="45D3C1FA" w14:textId="2B15E2B5" w:rsidR="00A64D15" w:rsidRPr="005914DF" w:rsidRDefault="00A64D15" w:rsidP="00A64D15">
      <w:pPr>
        <w:pStyle w:val="ListParagraph"/>
        <w:numPr>
          <w:ilvl w:val="0"/>
          <w:numId w:val="22"/>
        </w:numPr>
        <w:ind w:left="1710" w:hanging="540"/>
        <w:jc w:val="both"/>
        <w:rPr>
          <w:rFonts w:ascii="Times New Roman" w:hAnsi="Times New Roman" w:cs="Times New Roman"/>
          <w:sz w:val="26"/>
          <w:szCs w:val="26"/>
        </w:rPr>
      </w:pPr>
      <w:r w:rsidRPr="005914DF">
        <w:rPr>
          <w:rFonts w:ascii="Times New Roman" w:hAnsi="Times New Roman" w:cs="Times New Roman"/>
          <w:sz w:val="26"/>
          <w:szCs w:val="26"/>
        </w:rPr>
        <w:t xml:space="preserve">The learned trial judge failed to take into consideration and apply, the general objective of the Misuse of Drugs Act, of proportionality in sentencing; and </w:t>
      </w:r>
    </w:p>
    <w:p w14:paraId="01A7134C" w14:textId="782C279F" w:rsidR="00A64D15" w:rsidRPr="005914DF" w:rsidRDefault="00A64D15" w:rsidP="00A64D15">
      <w:pPr>
        <w:pStyle w:val="ListParagraph"/>
        <w:numPr>
          <w:ilvl w:val="0"/>
          <w:numId w:val="22"/>
        </w:numPr>
        <w:ind w:left="1710" w:hanging="540"/>
        <w:jc w:val="both"/>
        <w:rPr>
          <w:rFonts w:ascii="Times New Roman" w:hAnsi="Times New Roman" w:cs="Times New Roman"/>
          <w:sz w:val="26"/>
          <w:szCs w:val="26"/>
        </w:rPr>
      </w:pPr>
      <w:r w:rsidRPr="005914DF">
        <w:rPr>
          <w:rFonts w:ascii="Times New Roman" w:hAnsi="Times New Roman" w:cs="Times New Roman"/>
          <w:sz w:val="26"/>
          <w:szCs w:val="26"/>
        </w:rPr>
        <w:t>The learned trial judge wrongly came to the finding that the offence was of an aggravated nature.</w:t>
      </w:r>
    </w:p>
    <w:p w14:paraId="50F9027C" w14:textId="77777777" w:rsidR="00A64D15" w:rsidRPr="005914DF" w:rsidRDefault="00A64D15" w:rsidP="00A64D15">
      <w:pPr>
        <w:pStyle w:val="ListParagraph"/>
        <w:ind w:left="1710"/>
        <w:jc w:val="both"/>
        <w:rPr>
          <w:rFonts w:ascii="Times New Roman" w:hAnsi="Times New Roman" w:cs="Times New Roman"/>
          <w:sz w:val="26"/>
          <w:szCs w:val="26"/>
        </w:rPr>
      </w:pPr>
    </w:p>
    <w:p w14:paraId="5156436A" w14:textId="00E81C90" w:rsidR="002B7612" w:rsidRPr="005914DF" w:rsidRDefault="00A64D15" w:rsidP="005B249A">
      <w:pPr>
        <w:pStyle w:val="ListParagraph"/>
        <w:numPr>
          <w:ilvl w:val="0"/>
          <w:numId w:val="24"/>
        </w:numPr>
        <w:jc w:val="both"/>
        <w:rPr>
          <w:rFonts w:ascii="Times New Roman" w:hAnsi="Times New Roman" w:cs="Times New Roman"/>
          <w:sz w:val="26"/>
          <w:szCs w:val="26"/>
        </w:rPr>
      </w:pPr>
      <w:proofErr w:type="gramStart"/>
      <w:r w:rsidRPr="005914DF">
        <w:rPr>
          <w:rFonts w:ascii="Times New Roman" w:hAnsi="Times New Roman" w:cs="Times New Roman"/>
          <w:sz w:val="26"/>
          <w:szCs w:val="26"/>
        </w:rPr>
        <w:t xml:space="preserve">The learned trial judge erred in law and on the facts in imposing a sentence of two </w:t>
      </w:r>
      <w:r w:rsidR="00241691" w:rsidRPr="005914DF">
        <w:rPr>
          <w:rFonts w:ascii="Times New Roman" w:hAnsi="Times New Roman" w:cs="Times New Roman"/>
          <w:sz w:val="26"/>
          <w:szCs w:val="26"/>
        </w:rPr>
        <w:t>years’</w:t>
      </w:r>
      <w:r w:rsidR="00A0331F" w:rsidRPr="005914DF">
        <w:rPr>
          <w:rFonts w:ascii="Times New Roman" w:hAnsi="Times New Roman" w:cs="Times New Roman"/>
          <w:sz w:val="26"/>
          <w:szCs w:val="26"/>
        </w:rPr>
        <w:t xml:space="preserve"> imprisonment for the offence of preventing and obstructing an officer while discharging his duties by offering or giving undue gift contrary to the Misuse of Drugs Act, in that the sentence is manifestly excessive as it is outside the sentencing range of similar offences and outside the broad range of penalties appropriate to the case.”</w:t>
      </w:r>
      <w:proofErr w:type="gramEnd"/>
      <w:r w:rsidR="00A0331F" w:rsidRPr="005914DF">
        <w:rPr>
          <w:rFonts w:ascii="Times New Roman" w:hAnsi="Times New Roman" w:cs="Times New Roman"/>
          <w:sz w:val="26"/>
          <w:szCs w:val="26"/>
        </w:rPr>
        <w:t xml:space="preserve"> (verbatim)</w:t>
      </w:r>
    </w:p>
    <w:p w14:paraId="75652C38" w14:textId="77777777" w:rsidR="002B7612" w:rsidRPr="005914DF" w:rsidRDefault="002B7612" w:rsidP="002B7612">
      <w:pPr>
        <w:pStyle w:val="ListParagraph"/>
        <w:rPr>
          <w:rFonts w:ascii="Times New Roman" w:hAnsi="Times New Roman" w:cs="Times New Roman"/>
          <w:sz w:val="26"/>
          <w:szCs w:val="26"/>
        </w:rPr>
      </w:pPr>
    </w:p>
    <w:p w14:paraId="455E6411" w14:textId="77777777" w:rsidR="002B7612" w:rsidRPr="005914DF" w:rsidRDefault="002B7612" w:rsidP="002B7612">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 xml:space="preserve">By way of </w:t>
      </w:r>
      <w:proofErr w:type="gramStart"/>
      <w:r w:rsidRPr="005914DF">
        <w:rPr>
          <w:rFonts w:ascii="Times New Roman" w:hAnsi="Times New Roman" w:cs="Times New Roman"/>
          <w:sz w:val="26"/>
          <w:szCs w:val="26"/>
        </w:rPr>
        <w:t>relief</w:t>
      </w:r>
      <w:proofErr w:type="gramEnd"/>
      <w:r w:rsidRPr="005914DF">
        <w:rPr>
          <w:rFonts w:ascii="Times New Roman" w:hAnsi="Times New Roman" w:cs="Times New Roman"/>
          <w:sz w:val="26"/>
          <w:szCs w:val="26"/>
        </w:rPr>
        <w:t xml:space="preserve"> the Appellant has prayed to allow his appeal by reducing and varying his sentence. The Counsel for the Appellant had while making his submissions on mitigation asked the Sentencing Judge to impose a sentence less than 12 months.</w:t>
      </w:r>
    </w:p>
    <w:p w14:paraId="5131C69A" w14:textId="77777777" w:rsidR="002B7612" w:rsidRPr="005914DF" w:rsidRDefault="002B7612" w:rsidP="002B7612">
      <w:pPr>
        <w:pStyle w:val="ListParagraph"/>
        <w:jc w:val="both"/>
        <w:rPr>
          <w:rFonts w:ascii="Times New Roman" w:hAnsi="Times New Roman" w:cs="Times New Roman"/>
          <w:sz w:val="26"/>
          <w:szCs w:val="26"/>
        </w:rPr>
      </w:pPr>
    </w:p>
    <w:p w14:paraId="7D9CE765" w14:textId="7661CBB3" w:rsidR="002B7612" w:rsidRPr="005914DF" w:rsidRDefault="002B7612" w:rsidP="002B7612">
      <w:pPr>
        <w:pStyle w:val="ListParagraph"/>
        <w:numPr>
          <w:ilvl w:val="0"/>
          <w:numId w:val="20"/>
        </w:numPr>
        <w:jc w:val="both"/>
        <w:rPr>
          <w:rFonts w:ascii="Times New Roman" w:hAnsi="Times New Roman" w:cs="Times New Roman"/>
          <w:color w:val="FF0000"/>
          <w:sz w:val="26"/>
          <w:szCs w:val="26"/>
        </w:rPr>
      </w:pPr>
      <w:proofErr w:type="gramStart"/>
      <w:r w:rsidRPr="005914DF">
        <w:rPr>
          <w:rFonts w:ascii="Times New Roman" w:hAnsi="Times New Roman" w:cs="Times New Roman"/>
          <w:sz w:val="26"/>
          <w:szCs w:val="26"/>
        </w:rPr>
        <w:t>As regards grounds (ii) &amp; (v) of appeal, contrary to what is stated therein, the learned Sentencing Judge had taken into consideration</w:t>
      </w:r>
      <w:r w:rsidR="00E60DF6" w:rsidRPr="005914DF">
        <w:rPr>
          <w:rFonts w:ascii="Times New Roman" w:hAnsi="Times New Roman" w:cs="Times New Roman"/>
          <w:sz w:val="26"/>
          <w:szCs w:val="26"/>
        </w:rPr>
        <w:t xml:space="preserve"> as mitigating factors</w:t>
      </w:r>
      <w:r w:rsidRPr="005914DF">
        <w:rPr>
          <w:rFonts w:ascii="Times New Roman" w:hAnsi="Times New Roman" w:cs="Times New Roman"/>
          <w:sz w:val="26"/>
          <w:szCs w:val="26"/>
        </w:rPr>
        <w:t xml:space="preserve"> that the Appellant’s admission of the truth of the charge through a guilty plea at the very outset of the case, thereby expressing remorse and regret as set out in section 49(a) &amp; (b); and that the Appellant is a first offender as set out in section 49(f) of the </w:t>
      </w:r>
      <w:bookmarkStart w:id="1" w:name="_Hlk108863346"/>
      <w:r w:rsidRPr="005914DF">
        <w:rPr>
          <w:rFonts w:ascii="Times New Roman" w:hAnsi="Times New Roman" w:cs="Times New Roman"/>
          <w:sz w:val="26"/>
          <w:szCs w:val="26"/>
        </w:rPr>
        <w:t>Misuse of Drugs Act 2016</w:t>
      </w:r>
      <w:bookmarkEnd w:id="1"/>
      <w:r w:rsidRPr="005914DF">
        <w:rPr>
          <w:rFonts w:ascii="Times New Roman" w:hAnsi="Times New Roman" w:cs="Times New Roman"/>
          <w:sz w:val="26"/>
          <w:szCs w:val="26"/>
        </w:rPr>
        <w:t>.</w:t>
      </w:r>
      <w:proofErr w:type="gramEnd"/>
      <w:r w:rsidRPr="005914DF">
        <w:rPr>
          <w:rFonts w:ascii="Times New Roman" w:hAnsi="Times New Roman" w:cs="Times New Roman"/>
          <w:sz w:val="26"/>
          <w:szCs w:val="26"/>
        </w:rPr>
        <w:t xml:space="preserve"> The other mitigating factors set out in sect</w:t>
      </w:r>
      <w:r w:rsidR="00241691" w:rsidRPr="005914DF">
        <w:rPr>
          <w:rFonts w:ascii="Times New Roman" w:hAnsi="Times New Roman" w:cs="Times New Roman"/>
          <w:sz w:val="26"/>
          <w:szCs w:val="26"/>
        </w:rPr>
        <w:t xml:space="preserve">ion 49 (c), (d), </w:t>
      </w:r>
      <w:proofErr w:type="gramStart"/>
      <w:r w:rsidR="00241691" w:rsidRPr="005914DF">
        <w:rPr>
          <w:rFonts w:ascii="Times New Roman" w:hAnsi="Times New Roman" w:cs="Times New Roman"/>
          <w:sz w:val="26"/>
          <w:szCs w:val="26"/>
        </w:rPr>
        <w:t>(</w:t>
      </w:r>
      <w:proofErr w:type="gramEnd"/>
      <w:r w:rsidR="00241691" w:rsidRPr="005914DF">
        <w:rPr>
          <w:rFonts w:ascii="Times New Roman" w:hAnsi="Times New Roman" w:cs="Times New Roman"/>
          <w:sz w:val="26"/>
          <w:szCs w:val="26"/>
        </w:rPr>
        <w:t>e) and (g) has</w:t>
      </w:r>
      <w:r w:rsidRPr="005914DF">
        <w:rPr>
          <w:rFonts w:ascii="Times New Roman" w:hAnsi="Times New Roman" w:cs="Times New Roman"/>
          <w:sz w:val="26"/>
          <w:szCs w:val="26"/>
        </w:rPr>
        <w:t xml:space="preserve"> no application to the facts and evidence of this case. In addition, the learned Sentencing Judge had made reference to the age, family, educational background, employment record, the financial burden placed on the Appellant’s family since his remand, and the statement in the Probation Report that the commission of the offence is ‘out of character’ of the Appellant. While the absence of any commercial element in the offence is set out in secti</w:t>
      </w:r>
      <w:r w:rsidR="00994130" w:rsidRPr="005914DF">
        <w:rPr>
          <w:rFonts w:ascii="Times New Roman" w:hAnsi="Times New Roman" w:cs="Times New Roman"/>
          <w:sz w:val="26"/>
          <w:szCs w:val="26"/>
        </w:rPr>
        <w:t>on 49(d) as a mitigating factor;</w:t>
      </w:r>
      <w:r w:rsidRPr="005914DF">
        <w:rPr>
          <w:rFonts w:ascii="Times New Roman" w:hAnsi="Times New Roman" w:cs="Times New Roman"/>
          <w:sz w:val="26"/>
          <w:szCs w:val="26"/>
        </w:rPr>
        <w:t xml:space="preserve"> section 48(1)(a) makes reference to the presence and degree of a commercial element in the offending as an aggravating factor. Counsel for the Appellant pleading in mitigation had admitted that the quantity of controlled drug seized from the Appellant is of a commercial quantity</w:t>
      </w:r>
      <w:r w:rsidR="00241691" w:rsidRPr="005914DF">
        <w:rPr>
          <w:rFonts w:ascii="Times New Roman" w:hAnsi="Times New Roman" w:cs="Times New Roman"/>
          <w:sz w:val="26"/>
          <w:szCs w:val="26"/>
        </w:rPr>
        <w:t xml:space="preserve"> and thereby has contradicted ground (v) of appeal</w:t>
      </w:r>
      <w:r w:rsidRPr="005914DF">
        <w:rPr>
          <w:rFonts w:ascii="Times New Roman" w:hAnsi="Times New Roman" w:cs="Times New Roman"/>
          <w:sz w:val="26"/>
          <w:szCs w:val="26"/>
        </w:rPr>
        <w:t>. According to the facts as narrated to Court by the Prosecutor and admitted by the Appellant</w:t>
      </w:r>
      <w:r w:rsidR="00241691" w:rsidRPr="005914DF">
        <w:rPr>
          <w:rFonts w:ascii="Times New Roman" w:hAnsi="Times New Roman" w:cs="Times New Roman"/>
          <w:sz w:val="26"/>
          <w:szCs w:val="26"/>
        </w:rPr>
        <w:t>,</w:t>
      </w:r>
      <w:r w:rsidRPr="005914DF">
        <w:rPr>
          <w:rFonts w:ascii="Times New Roman" w:hAnsi="Times New Roman" w:cs="Times New Roman"/>
          <w:sz w:val="26"/>
          <w:szCs w:val="26"/>
        </w:rPr>
        <w:t xml:space="preserve"> the Appellant had informed the officers who seized the drugs that the parcel had been left with him for safe keeping by somebody, but refused to divulge any information as to who it wa</w:t>
      </w:r>
      <w:r w:rsidR="00994130" w:rsidRPr="005914DF">
        <w:rPr>
          <w:rFonts w:ascii="Times New Roman" w:hAnsi="Times New Roman" w:cs="Times New Roman"/>
          <w:sz w:val="26"/>
          <w:szCs w:val="26"/>
        </w:rPr>
        <w:t>s.</w:t>
      </w:r>
      <w:r w:rsidR="00C70E41" w:rsidRPr="005914DF">
        <w:rPr>
          <w:rFonts w:ascii="Times New Roman" w:hAnsi="Times New Roman" w:cs="Times New Roman"/>
          <w:sz w:val="26"/>
          <w:szCs w:val="26"/>
        </w:rPr>
        <w:t xml:space="preserve"> </w:t>
      </w:r>
      <w:r w:rsidRPr="005914DF">
        <w:rPr>
          <w:rFonts w:ascii="Times New Roman" w:hAnsi="Times New Roman" w:cs="Times New Roman"/>
          <w:sz w:val="26"/>
          <w:szCs w:val="26"/>
        </w:rPr>
        <w:t>I therefore dismiss grounds (ii) and (v).</w:t>
      </w:r>
      <w:r w:rsidR="009464D6" w:rsidRPr="005914DF">
        <w:rPr>
          <w:rFonts w:ascii="Times New Roman" w:hAnsi="Times New Roman" w:cs="Times New Roman"/>
          <w:sz w:val="26"/>
          <w:szCs w:val="26"/>
        </w:rPr>
        <w:t xml:space="preserve"> </w:t>
      </w:r>
    </w:p>
    <w:p w14:paraId="07660BA6" w14:textId="77777777" w:rsidR="002B7612" w:rsidRPr="005914DF" w:rsidRDefault="002B7612" w:rsidP="002B7612">
      <w:pPr>
        <w:pStyle w:val="ListParagraph"/>
        <w:jc w:val="both"/>
        <w:rPr>
          <w:rFonts w:ascii="Times New Roman" w:hAnsi="Times New Roman" w:cs="Times New Roman"/>
          <w:sz w:val="26"/>
          <w:szCs w:val="26"/>
        </w:rPr>
      </w:pPr>
    </w:p>
    <w:p w14:paraId="054FD987" w14:textId="1852F634" w:rsidR="002E628C" w:rsidRPr="005914DF" w:rsidRDefault="002B7612" w:rsidP="00985A26">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AS regards ground (iii) of appeal, section 48(1</w:t>
      </w:r>
      <w:proofErr w:type="gramStart"/>
      <w:r w:rsidRPr="005914DF">
        <w:rPr>
          <w:rFonts w:ascii="Times New Roman" w:hAnsi="Times New Roman" w:cs="Times New Roman"/>
          <w:sz w:val="26"/>
          <w:szCs w:val="26"/>
        </w:rPr>
        <w:t>)(</w:t>
      </w:r>
      <w:proofErr w:type="gramEnd"/>
      <w:r w:rsidRPr="005914DF">
        <w:rPr>
          <w:rFonts w:ascii="Times New Roman" w:hAnsi="Times New Roman" w:cs="Times New Roman"/>
          <w:sz w:val="26"/>
          <w:szCs w:val="26"/>
        </w:rPr>
        <w:t>c) states “</w:t>
      </w:r>
      <w:r w:rsidRPr="005914DF">
        <w:rPr>
          <w:rFonts w:ascii="Times New Roman" w:hAnsi="Times New Roman" w:cs="Times New Roman"/>
          <w:i/>
          <w:sz w:val="26"/>
          <w:szCs w:val="26"/>
        </w:rPr>
        <w:t>Aggravating factors (factors that support a more serious sentence) for offences under this Article include the involvement of the offender in other offences…related to commission of the offence</w:t>
      </w:r>
      <w:r w:rsidRPr="005914DF">
        <w:rPr>
          <w:rFonts w:ascii="Times New Roman" w:hAnsi="Times New Roman" w:cs="Times New Roman"/>
          <w:sz w:val="26"/>
          <w:szCs w:val="26"/>
        </w:rPr>
        <w:t>.” According to the facts as narrated to Court by the Prosecutor and admitted by the Appellant</w:t>
      </w:r>
      <w:r w:rsidR="00E60DF6" w:rsidRPr="005914DF">
        <w:rPr>
          <w:rFonts w:ascii="Times New Roman" w:hAnsi="Times New Roman" w:cs="Times New Roman"/>
          <w:sz w:val="26"/>
          <w:szCs w:val="26"/>
        </w:rPr>
        <w:t>,</w:t>
      </w:r>
      <w:r w:rsidRPr="005914DF">
        <w:rPr>
          <w:rFonts w:ascii="Times New Roman" w:hAnsi="Times New Roman" w:cs="Times New Roman"/>
          <w:sz w:val="26"/>
          <w:szCs w:val="26"/>
        </w:rPr>
        <w:t xml:space="preserve"> the Appellant had offered the drugs to the officers who found the drugs in the Appellant’s room saying “take this for you and do not inform the team leader”. This was at the time of the detection and before the Appellant </w:t>
      </w:r>
      <w:proofErr w:type="gramStart"/>
      <w:r w:rsidRPr="005914DF">
        <w:rPr>
          <w:rFonts w:ascii="Times New Roman" w:hAnsi="Times New Roman" w:cs="Times New Roman"/>
          <w:sz w:val="26"/>
          <w:szCs w:val="26"/>
        </w:rPr>
        <w:t>was arrested</w:t>
      </w:r>
      <w:proofErr w:type="gramEnd"/>
      <w:r w:rsidRPr="005914DF">
        <w:rPr>
          <w:rFonts w:ascii="Times New Roman" w:hAnsi="Times New Roman" w:cs="Times New Roman"/>
          <w:sz w:val="26"/>
          <w:szCs w:val="26"/>
        </w:rPr>
        <w:t xml:space="preserve">. It is my view that the offer by the Appellant to the officers of the drugs that were detected, in order to obstruct and prevent the officers from discharging their duties was an offence necessarily related to the commission of the offence of possession of a controlled drug with intent to traffic, as correctly held by the Sentencing Judge. It is to </w:t>
      </w:r>
      <w:proofErr w:type="gramStart"/>
      <w:r w:rsidRPr="005914DF">
        <w:rPr>
          <w:rFonts w:ascii="Times New Roman" w:hAnsi="Times New Roman" w:cs="Times New Roman"/>
          <w:sz w:val="26"/>
          <w:szCs w:val="26"/>
        </w:rPr>
        <w:t>be noted</w:t>
      </w:r>
      <w:proofErr w:type="gramEnd"/>
      <w:r w:rsidRPr="005914DF">
        <w:rPr>
          <w:rFonts w:ascii="Times New Roman" w:hAnsi="Times New Roman" w:cs="Times New Roman"/>
          <w:sz w:val="26"/>
          <w:szCs w:val="26"/>
        </w:rPr>
        <w:t xml:space="preserve"> that possession, is a continuing offence.</w:t>
      </w:r>
      <w:r w:rsidR="00BB7A02" w:rsidRPr="005914DF">
        <w:rPr>
          <w:rFonts w:ascii="Times New Roman" w:hAnsi="Times New Roman" w:cs="Times New Roman"/>
          <w:sz w:val="26"/>
          <w:szCs w:val="26"/>
        </w:rPr>
        <w:t xml:space="preserve"> </w:t>
      </w:r>
      <w:proofErr w:type="gramStart"/>
      <w:r w:rsidR="00BB7A02" w:rsidRPr="005914DF">
        <w:rPr>
          <w:rFonts w:ascii="Times New Roman" w:hAnsi="Times New Roman" w:cs="Times New Roman"/>
          <w:sz w:val="26"/>
          <w:szCs w:val="26"/>
        </w:rPr>
        <w:t>Section 35(2) of the Misuse of Drugs Act states: “</w:t>
      </w:r>
      <w:r w:rsidR="00BB7A02" w:rsidRPr="005914DF">
        <w:rPr>
          <w:rFonts w:ascii="Times New Roman" w:hAnsi="Times New Roman" w:cs="Times New Roman"/>
          <w:i/>
          <w:sz w:val="26"/>
          <w:szCs w:val="26"/>
        </w:rPr>
        <w:t>A person who…offers…any undue gift…to another person in order to prevent or obstruct an investigation by NDEA or police into any offence under this Act commits an offence…</w:t>
      </w:r>
      <w:r w:rsidR="00BB7A02" w:rsidRPr="005914DF">
        <w:rPr>
          <w:rFonts w:ascii="Times New Roman" w:hAnsi="Times New Roman" w:cs="Times New Roman"/>
          <w:sz w:val="26"/>
          <w:szCs w:val="26"/>
        </w:rPr>
        <w:t xml:space="preserve">” and according to 35(3) of the said </w:t>
      </w:r>
      <w:r w:rsidR="005B249A" w:rsidRPr="005914DF">
        <w:rPr>
          <w:rFonts w:ascii="Times New Roman" w:hAnsi="Times New Roman" w:cs="Times New Roman"/>
          <w:sz w:val="26"/>
          <w:szCs w:val="26"/>
        </w:rPr>
        <w:t>A</w:t>
      </w:r>
      <w:r w:rsidR="00BB7A02" w:rsidRPr="005914DF">
        <w:rPr>
          <w:rFonts w:ascii="Times New Roman" w:hAnsi="Times New Roman" w:cs="Times New Roman"/>
          <w:sz w:val="26"/>
          <w:szCs w:val="26"/>
        </w:rPr>
        <w:t>ct “</w:t>
      </w:r>
      <w:r w:rsidR="00BB7A02" w:rsidRPr="005914DF">
        <w:rPr>
          <w:rFonts w:ascii="Times New Roman" w:hAnsi="Times New Roman" w:cs="Times New Roman"/>
          <w:i/>
          <w:sz w:val="26"/>
          <w:szCs w:val="26"/>
        </w:rPr>
        <w:t>Where an offence under section 35(2) is committed by or in relation to an officer, the Court shall treat the offence as aggravated in nature</w:t>
      </w:r>
      <w:r w:rsidR="00BB7A02" w:rsidRPr="005914DF">
        <w:rPr>
          <w:rFonts w:ascii="Times New Roman" w:hAnsi="Times New Roman" w:cs="Times New Roman"/>
          <w:sz w:val="26"/>
          <w:szCs w:val="26"/>
        </w:rPr>
        <w:t>.”</w:t>
      </w:r>
      <w:proofErr w:type="gramEnd"/>
      <w:r w:rsidR="005B249A" w:rsidRPr="005914DF">
        <w:rPr>
          <w:rFonts w:ascii="Times New Roman" w:hAnsi="Times New Roman" w:cs="Times New Roman"/>
          <w:sz w:val="26"/>
          <w:szCs w:val="26"/>
        </w:rPr>
        <w:t xml:space="preserve"> This shows the relation between the two offences the Appellant </w:t>
      </w:r>
      <w:proofErr w:type="gramStart"/>
      <w:r w:rsidR="005B249A" w:rsidRPr="005914DF">
        <w:rPr>
          <w:rFonts w:ascii="Times New Roman" w:hAnsi="Times New Roman" w:cs="Times New Roman"/>
          <w:sz w:val="26"/>
          <w:szCs w:val="26"/>
        </w:rPr>
        <w:t>had been charged with</w:t>
      </w:r>
      <w:proofErr w:type="gramEnd"/>
      <w:r w:rsidR="005B249A" w:rsidRPr="005914DF">
        <w:rPr>
          <w:rFonts w:ascii="Times New Roman" w:hAnsi="Times New Roman" w:cs="Times New Roman"/>
          <w:sz w:val="26"/>
          <w:szCs w:val="26"/>
        </w:rPr>
        <w:t>.</w:t>
      </w:r>
      <w:r w:rsidRPr="005914DF">
        <w:rPr>
          <w:rFonts w:ascii="Times New Roman" w:hAnsi="Times New Roman" w:cs="Times New Roman"/>
          <w:sz w:val="26"/>
          <w:szCs w:val="26"/>
        </w:rPr>
        <w:t xml:space="preserve"> I agree with the statement of the learned Sentencing Judge: “It therefore cannot be said that the aggravating circumstance arose after the commission of the offence…” I see no merit in ground (iii) and dismiss it.</w:t>
      </w:r>
    </w:p>
    <w:p w14:paraId="41BBDF5D" w14:textId="77777777" w:rsidR="00985A26" w:rsidRPr="005914DF" w:rsidRDefault="00985A26" w:rsidP="00985A26">
      <w:pPr>
        <w:pStyle w:val="ListParagraph"/>
        <w:jc w:val="both"/>
        <w:rPr>
          <w:rFonts w:ascii="Times New Roman" w:hAnsi="Times New Roman" w:cs="Times New Roman"/>
          <w:sz w:val="26"/>
          <w:szCs w:val="26"/>
        </w:rPr>
      </w:pPr>
    </w:p>
    <w:p w14:paraId="07A895E7" w14:textId="55CFE8F8" w:rsidR="006248B3" w:rsidRPr="005914DF" w:rsidRDefault="002B7612" w:rsidP="006248B3">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 xml:space="preserve"> As regards grounds </w:t>
      </w:r>
      <w:bookmarkStart w:id="2" w:name="_Hlk108877671"/>
      <w:r w:rsidRPr="005914DF">
        <w:rPr>
          <w:rFonts w:ascii="Times New Roman" w:hAnsi="Times New Roman" w:cs="Times New Roman"/>
          <w:sz w:val="26"/>
          <w:szCs w:val="26"/>
        </w:rPr>
        <w:t>(</w:t>
      </w:r>
      <w:proofErr w:type="spellStart"/>
      <w:r w:rsidRPr="005914DF">
        <w:rPr>
          <w:rFonts w:ascii="Times New Roman" w:hAnsi="Times New Roman" w:cs="Times New Roman"/>
          <w:sz w:val="26"/>
          <w:szCs w:val="26"/>
        </w:rPr>
        <w:t>i</w:t>
      </w:r>
      <w:proofErr w:type="spellEnd"/>
      <w:r w:rsidRPr="005914DF">
        <w:rPr>
          <w:rFonts w:ascii="Times New Roman" w:hAnsi="Times New Roman" w:cs="Times New Roman"/>
          <w:sz w:val="26"/>
          <w:szCs w:val="26"/>
        </w:rPr>
        <w:t>) &amp; (</w:t>
      </w:r>
      <w:proofErr w:type="gramStart"/>
      <w:r w:rsidRPr="005914DF">
        <w:rPr>
          <w:rFonts w:ascii="Times New Roman" w:hAnsi="Times New Roman" w:cs="Times New Roman"/>
          <w:sz w:val="26"/>
          <w:szCs w:val="26"/>
        </w:rPr>
        <w:t>iv</w:t>
      </w:r>
      <w:proofErr w:type="gramEnd"/>
      <w:r w:rsidRPr="005914DF">
        <w:rPr>
          <w:rFonts w:ascii="Times New Roman" w:hAnsi="Times New Roman" w:cs="Times New Roman"/>
          <w:sz w:val="26"/>
          <w:szCs w:val="26"/>
        </w:rPr>
        <w:t>)</w:t>
      </w:r>
      <w:bookmarkEnd w:id="2"/>
      <w:r w:rsidRPr="005914DF">
        <w:rPr>
          <w:rFonts w:ascii="Times New Roman" w:hAnsi="Times New Roman" w:cs="Times New Roman"/>
          <w:sz w:val="26"/>
          <w:szCs w:val="26"/>
        </w:rPr>
        <w:t>,</w:t>
      </w:r>
      <w:r w:rsidR="008A0C1D" w:rsidRPr="005914DF">
        <w:rPr>
          <w:rFonts w:ascii="Times New Roman" w:hAnsi="Times New Roman" w:cs="Times New Roman"/>
          <w:sz w:val="26"/>
          <w:szCs w:val="26"/>
        </w:rPr>
        <w:t xml:space="preserve"> I note that</w:t>
      </w:r>
      <w:r w:rsidRPr="005914DF">
        <w:rPr>
          <w:rFonts w:ascii="Times New Roman" w:hAnsi="Times New Roman" w:cs="Times New Roman"/>
          <w:sz w:val="26"/>
          <w:szCs w:val="26"/>
        </w:rPr>
        <w:t xml:space="preserve"> the sentence</w:t>
      </w:r>
      <w:r w:rsidR="008A0C1D" w:rsidRPr="005914DF">
        <w:rPr>
          <w:rFonts w:ascii="Times New Roman" w:hAnsi="Times New Roman" w:cs="Times New Roman"/>
          <w:sz w:val="26"/>
          <w:szCs w:val="26"/>
        </w:rPr>
        <w:t xml:space="preserve"> of imprisonment</w:t>
      </w:r>
      <w:r w:rsidRPr="005914DF">
        <w:rPr>
          <w:rFonts w:ascii="Times New Roman" w:hAnsi="Times New Roman" w:cs="Times New Roman"/>
          <w:sz w:val="26"/>
          <w:szCs w:val="26"/>
        </w:rPr>
        <w:t xml:space="preserve"> imposed by the learned trial judge on the Appellant is only 5% of the maximum jail term and not more than 17% of the indicative minimum sentence for an aggravated offence and 4% of the maximum fine that could have been imposed. Therefore, on the very face of it the sentence </w:t>
      </w:r>
      <w:proofErr w:type="gramStart"/>
      <w:r w:rsidRPr="005914DF">
        <w:rPr>
          <w:rFonts w:ascii="Times New Roman" w:hAnsi="Times New Roman" w:cs="Times New Roman"/>
          <w:sz w:val="26"/>
          <w:szCs w:val="26"/>
        </w:rPr>
        <w:t>cannot be said</w:t>
      </w:r>
      <w:proofErr w:type="gramEnd"/>
      <w:r w:rsidRPr="005914DF">
        <w:rPr>
          <w:rFonts w:ascii="Times New Roman" w:hAnsi="Times New Roman" w:cs="Times New Roman"/>
          <w:sz w:val="26"/>
          <w:szCs w:val="26"/>
        </w:rPr>
        <w:t xml:space="preserve"> to be ‘manifestly’ excessive. None of the cases </w:t>
      </w:r>
      <w:r w:rsidR="00242A16" w:rsidRPr="005914DF">
        <w:rPr>
          <w:rFonts w:ascii="Times New Roman" w:hAnsi="Times New Roman" w:cs="Times New Roman"/>
          <w:sz w:val="26"/>
          <w:szCs w:val="26"/>
        </w:rPr>
        <w:t>c</w:t>
      </w:r>
      <w:r w:rsidRPr="005914DF">
        <w:rPr>
          <w:rFonts w:ascii="Times New Roman" w:hAnsi="Times New Roman" w:cs="Times New Roman"/>
          <w:sz w:val="26"/>
          <w:szCs w:val="26"/>
        </w:rPr>
        <w:t>ited by the Appellant’s Counsel in mitigation</w:t>
      </w:r>
      <w:r w:rsidR="00242A16" w:rsidRPr="005914DF">
        <w:rPr>
          <w:rFonts w:ascii="Times New Roman" w:hAnsi="Times New Roman" w:cs="Times New Roman"/>
          <w:sz w:val="26"/>
          <w:szCs w:val="26"/>
        </w:rPr>
        <w:t xml:space="preserve"> of sentence in relation to the offence of possession of a controlled drug with intent to traffic</w:t>
      </w:r>
      <w:r w:rsidRPr="005914DF">
        <w:rPr>
          <w:rFonts w:ascii="Times New Roman" w:hAnsi="Times New Roman" w:cs="Times New Roman"/>
          <w:sz w:val="26"/>
          <w:szCs w:val="26"/>
        </w:rPr>
        <w:t xml:space="preserve"> </w:t>
      </w:r>
      <w:proofErr w:type="gramStart"/>
      <w:r w:rsidRPr="005914DF">
        <w:rPr>
          <w:rFonts w:ascii="Times New Roman" w:hAnsi="Times New Roman" w:cs="Times New Roman"/>
          <w:sz w:val="26"/>
          <w:szCs w:val="26"/>
        </w:rPr>
        <w:t>are</w:t>
      </w:r>
      <w:proofErr w:type="gramEnd"/>
      <w:r w:rsidRPr="005914DF">
        <w:rPr>
          <w:rFonts w:ascii="Times New Roman" w:hAnsi="Times New Roman" w:cs="Times New Roman"/>
          <w:sz w:val="26"/>
          <w:szCs w:val="26"/>
        </w:rPr>
        <w:t xml:space="preserve"> closely similar to the facts and circumstances of this case. </w:t>
      </w:r>
      <w:proofErr w:type="gramStart"/>
      <w:r w:rsidRPr="005914DF">
        <w:rPr>
          <w:rFonts w:ascii="Times New Roman" w:hAnsi="Times New Roman" w:cs="Times New Roman"/>
          <w:sz w:val="26"/>
          <w:szCs w:val="26"/>
        </w:rPr>
        <w:t>It is to be noted that the facts and circumstances taken into consideration in sentencing differ from case to case</w:t>
      </w:r>
      <w:r w:rsidR="0003310B" w:rsidRPr="005914DF">
        <w:rPr>
          <w:rFonts w:ascii="Times New Roman" w:hAnsi="Times New Roman" w:cs="Times New Roman"/>
          <w:sz w:val="26"/>
          <w:szCs w:val="26"/>
        </w:rPr>
        <w:t xml:space="preserve"> and as stated in </w:t>
      </w:r>
      <w:r w:rsidR="0003310B" w:rsidRPr="005914DF">
        <w:rPr>
          <w:rFonts w:ascii="Times New Roman" w:hAnsi="Times New Roman" w:cs="Times New Roman"/>
          <w:b/>
          <w:sz w:val="26"/>
          <w:szCs w:val="26"/>
        </w:rPr>
        <w:t>Director of Public Prosecutions V De La Rosa</w:t>
      </w:r>
      <w:r w:rsidR="00EA74FF" w:rsidRPr="005914DF">
        <w:rPr>
          <w:rFonts w:ascii="Times New Roman" w:hAnsi="Times New Roman" w:cs="Times New Roman"/>
          <w:b/>
          <w:sz w:val="26"/>
          <w:szCs w:val="26"/>
        </w:rPr>
        <w:t>, (2010) NSW 194,</w:t>
      </w:r>
      <w:r w:rsidR="0003310B" w:rsidRPr="005914DF">
        <w:rPr>
          <w:rFonts w:ascii="Times New Roman" w:hAnsi="Times New Roman" w:cs="Times New Roman"/>
          <w:sz w:val="26"/>
          <w:szCs w:val="26"/>
        </w:rPr>
        <w:t xml:space="preserve"> </w:t>
      </w:r>
      <w:r w:rsidR="00EA74FF" w:rsidRPr="005914DF">
        <w:rPr>
          <w:rFonts w:ascii="Times New Roman" w:hAnsi="Times New Roman" w:cs="Times New Roman"/>
          <w:b/>
          <w:sz w:val="26"/>
          <w:szCs w:val="26"/>
        </w:rPr>
        <w:t>“</w:t>
      </w:r>
      <w:r w:rsidR="0003310B" w:rsidRPr="005914DF">
        <w:rPr>
          <w:rFonts w:ascii="Times New Roman" w:hAnsi="Times New Roman" w:cs="Times New Roman"/>
          <w:i/>
          <w:sz w:val="26"/>
          <w:szCs w:val="26"/>
        </w:rPr>
        <w:t>when considering past sentences, it is only by examination of the whole of the circumstances that have given rise to the sentence that ‘unifying principles’ may be discerned</w:t>
      </w:r>
      <w:r w:rsidRPr="005914DF">
        <w:rPr>
          <w:rFonts w:ascii="Times New Roman" w:hAnsi="Times New Roman" w:cs="Times New Roman"/>
          <w:i/>
          <w:sz w:val="26"/>
          <w:szCs w:val="26"/>
        </w:rPr>
        <w:t>.</w:t>
      </w:r>
      <w:r w:rsidR="00EA74FF" w:rsidRPr="005914DF">
        <w:rPr>
          <w:rFonts w:ascii="Times New Roman" w:hAnsi="Times New Roman" w:cs="Times New Roman"/>
          <w:b/>
          <w:sz w:val="26"/>
          <w:szCs w:val="26"/>
        </w:rPr>
        <w:t>”</w:t>
      </w:r>
      <w:proofErr w:type="gramEnd"/>
      <w:r w:rsidR="0003310B" w:rsidRPr="005914DF">
        <w:rPr>
          <w:rFonts w:ascii="Times New Roman" w:hAnsi="Times New Roman" w:cs="Times New Roman"/>
          <w:sz w:val="26"/>
          <w:szCs w:val="26"/>
        </w:rPr>
        <w:t xml:space="preserve"> Consistency in sentencing is achieved not by numerical equivalence but rather in the application of the relevant legal principles as stated in the case of </w:t>
      </w:r>
      <w:proofErr w:type="spellStart"/>
      <w:r w:rsidR="0003310B" w:rsidRPr="005914DF">
        <w:rPr>
          <w:rFonts w:ascii="Times New Roman" w:hAnsi="Times New Roman" w:cs="Times New Roman"/>
          <w:b/>
          <w:sz w:val="26"/>
          <w:szCs w:val="26"/>
        </w:rPr>
        <w:t>Hili</w:t>
      </w:r>
      <w:proofErr w:type="spellEnd"/>
      <w:r w:rsidR="0003310B" w:rsidRPr="005914DF">
        <w:rPr>
          <w:rFonts w:ascii="Times New Roman" w:hAnsi="Times New Roman" w:cs="Times New Roman"/>
          <w:b/>
          <w:sz w:val="26"/>
          <w:szCs w:val="26"/>
        </w:rPr>
        <w:t xml:space="preserve"> V The Queen</w:t>
      </w:r>
      <w:r w:rsidR="00EA74FF" w:rsidRPr="005914DF">
        <w:rPr>
          <w:rFonts w:ascii="Times New Roman" w:hAnsi="Times New Roman" w:cs="Times New Roman"/>
          <w:b/>
          <w:sz w:val="26"/>
          <w:szCs w:val="26"/>
        </w:rPr>
        <w:t>,</w:t>
      </w:r>
      <w:r w:rsidR="0003310B" w:rsidRPr="005914DF">
        <w:rPr>
          <w:rFonts w:ascii="Times New Roman" w:hAnsi="Times New Roman" w:cs="Times New Roman"/>
          <w:b/>
          <w:sz w:val="26"/>
          <w:szCs w:val="26"/>
        </w:rPr>
        <w:t xml:space="preserve"> (2010) HCA 242</w:t>
      </w:r>
      <w:r w:rsidR="00EA74FF" w:rsidRPr="005914DF">
        <w:rPr>
          <w:rFonts w:ascii="Times New Roman" w:hAnsi="Times New Roman" w:cs="Times New Roman"/>
          <w:sz w:val="26"/>
          <w:szCs w:val="26"/>
        </w:rPr>
        <w:t xml:space="preserve">. This Court stated in the case of </w:t>
      </w:r>
      <w:r w:rsidR="00EA74FF" w:rsidRPr="005914DF">
        <w:rPr>
          <w:rFonts w:ascii="Times New Roman" w:hAnsi="Times New Roman" w:cs="Times New Roman"/>
          <w:b/>
          <w:sz w:val="26"/>
          <w:szCs w:val="26"/>
        </w:rPr>
        <w:t xml:space="preserve">J. A. Suki V </w:t>
      </w:r>
      <w:proofErr w:type="gramStart"/>
      <w:r w:rsidR="00EA74FF" w:rsidRPr="005914DF">
        <w:rPr>
          <w:rFonts w:ascii="Times New Roman" w:hAnsi="Times New Roman" w:cs="Times New Roman"/>
          <w:b/>
          <w:sz w:val="26"/>
          <w:szCs w:val="26"/>
        </w:rPr>
        <w:t>The</w:t>
      </w:r>
      <w:proofErr w:type="gramEnd"/>
      <w:r w:rsidR="00EA74FF" w:rsidRPr="005914DF">
        <w:rPr>
          <w:rFonts w:ascii="Times New Roman" w:hAnsi="Times New Roman" w:cs="Times New Roman"/>
          <w:b/>
          <w:sz w:val="26"/>
          <w:szCs w:val="26"/>
        </w:rPr>
        <w:t xml:space="preserve"> Republic Cr. App SCA 10/2019</w:t>
      </w:r>
      <w:r w:rsidR="00EA74FF" w:rsidRPr="005914DF">
        <w:rPr>
          <w:rFonts w:ascii="Times New Roman" w:hAnsi="Times New Roman" w:cs="Times New Roman"/>
          <w:sz w:val="26"/>
          <w:szCs w:val="26"/>
        </w:rPr>
        <w:t xml:space="preserve"> </w:t>
      </w:r>
      <w:r w:rsidR="00EA74FF" w:rsidRPr="005914DF">
        <w:rPr>
          <w:rFonts w:ascii="Times New Roman" w:hAnsi="Times New Roman" w:cs="Times New Roman"/>
          <w:b/>
          <w:i/>
          <w:sz w:val="26"/>
          <w:szCs w:val="26"/>
        </w:rPr>
        <w:t>“</w:t>
      </w:r>
      <w:r w:rsidR="00EA74FF" w:rsidRPr="005914DF">
        <w:rPr>
          <w:rFonts w:ascii="Times New Roman" w:hAnsi="Times New Roman" w:cs="Times New Roman"/>
          <w:i/>
          <w:sz w:val="26"/>
          <w:szCs w:val="26"/>
        </w:rPr>
        <w:t>…that consistency of sentences does not mean arithmetic exactness. It cannot therefore be argued that a particular sentence is necessarily wrong merely because it is disparate from previous sentences</w:t>
      </w:r>
      <w:r w:rsidR="00EA74FF" w:rsidRPr="005914DF">
        <w:rPr>
          <w:rFonts w:ascii="Times New Roman" w:hAnsi="Times New Roman" w:cs="Times New Roman"/>
          <w:sz w:val="26"/>
          <w:szCs w:val="26"/>
        </w:rPr>
        <w:t>.</w:t>
      </w:r>
      <w:r w:rsidR="00EA74FF" w:rsidRPr="005914DF">
        <w:rPr>
          <w:rFonts w:ascii="Times New Roman" w:hAnsi="Times New Roman" w:cs="Times New Roman"/>
          <w:b/>
          <w:sz w:val="26"/>
          <w:szCs w:val="26"/>
        </w:rPr>
        <w:t>”</w:t>
      </w:r>
      <w:r w:rsidR="00127131" w:rsidRPr="005914DF">
        <w:rPr>
          <w:rFonts w:ascii="Times New Roman" w:hAnsi="Times New Roman" w:cs="Times New Roman"/>
          <w:sz w:val="26"/>
          <w:szCs w:val="26"/>
        </w:rPr>
        <w:t xml:space="preserve"> I am of the view that the learned Sentencing Judge in sentencing the Appellant had regard to the general objectives of transparency and proportionality in sentencing. None of the well-known and often cited grounds for interfering and varying a sentence passed by the Trial Court by an appellate court </w:t>
      </w:r>
      <w:proofErr w:type="gramStart"/>
      <w:r w:rsidR="00127131" w:rsidRPr="005914DF">
        <w:rPr>
          <w:rFonts w:ascii="Times New Roman" w:hAnsi="Times New Roman" w:cs="Times New Roman"/>
          <w:sz w:val="26"/>
          <w:szCs w:val="26"/>
        </w:rPr>
        <w:t>exist</w:t>
      </w:r>
      <w:proofErr w:type="gramEnd"/>
      <w:r w:rsidR="00127131" w:rsidRPr="005914DF">
        <w:rPr>
          <w:rFonts w:ascii="Times New Roman" w:hAnsi="Times New Roman" w:cs="Times New Roman"/>
          <w:sz w:val="26"/>
          <w:szCs w:val="26"/>
        </w:rPr>
        <w:t xml:space="preserve"> in this case.</w:t>
      </w:r>
      <w:r w:rsidR="006248B3" w:rsidRPr="005914DF">
        <w:rPr>
          <w:rFonts w:ascii="Times New Roman" w:hAnsi="Times New Roman" w:cs="Times New Roman"/>
          <w:sz w:val="26"/>
          <w:szCs w:val="26"/>
        </w:rPr>
        <w:t xml:space="preserve"> I therefore dismiss grounds 1(</w:t>
      </w:r>
      <w:proofErr w:type="spellStart"/>
      <w:r w:rsidR="006248B3" w:rsidRPr="005914DF">
        <w:rPr>
          <w:rFonts w:ascii="Times New Roman" w:hAnsi="Times New Roman" w:cs="Times New Roman"/>
          <w:sz w:val="26"/>
          <w:szCs w:val="26"/>
        </w:rPr>
        <w:t>i</w:t>
      </w:r>
      <w:proofErr w:type="spellEnd"/>
      <w:r w:rsidR="006248B3" w:rsidRPr="005914DF">
        <w:rPr>
          <w:rFonts w:ascii="Times New Roman" w:hAnsi="Times New Roman" w:cs="Times New Roman"/>
          <w:sz w:val="26"/>
          <w:szCs w:val="26"/>
        </w:rPr>
        <w:t>) &amp; (</w:t>
      </w:r>
      <w:proofErr w:type="gramStart"/>
      <w:r w:rsidR="006248B3" w:rsidRPr="005914DF">
        <w:rPr>
          <w:rFonts w:ascii="Times New Roman" w:hAnsi="Times New Roman" w:cs="Times New Roman"/>
          <w:sz w:val="26"/>
          <w:szCs w:val="26"/>
        </w:rPr>
        <w:t>iv</w:t>
      </w:r>
      <w:proofErr w:type="gramEnd"/>
      <w:r w:rsidR="006248B3" w:rsidRPr="005914DF">
        <w:rPr>
          <w:rFonts w:ascii="Times New Roman" w:hAnsi="Times New Roman" w:cs="Times New Roman"/>
          <w:sz w:val="26"/>
          <w:szCs w:val="26"/>
        </w:rPr>
        <w:t xml:space="preserve">) of appeal. </w:t>
      </w:r>
    </w:p>
    <w:p w14:paraId="171BE6E8" w14:textId="3F4F8D1B" w:rsidR="005B249A" w:rsidRPr="005914DF" w:rsidRDefault="002B7612" w:rsidP="006248B3">
      <w:pPr>
        <w:pStyle w:val="ListParagraph"/>
        <w:jc w:val="both"/>
        <w:rPr>
          <w:rFonts w:ascii="Times New Roman" w:hAnsi="Times New Roman" w:cs="Times New Roman"/>
          <w:sz w:val="26"/>
          <w:szCs w:val="26"/>
        </w:rPr>
      </w:pPr>
      <w:r w:rsidRPr="005914DF">
        <w:rPr>
          <w:rFonts w:ascii="Times New Roman" w:hAnsi="Times New Roman" w:cs="Times New Roman"/>
          <w:sz w:val="26"/>
          <w:szCs w:val="26"/>
        </w:rPr>
        <w:t xml:space="preserve"> </w:t>
      </w:r>
    </w:p>
    <w:p w14:paraId="0EC1D35A" w14:textId="32E971A3" w:rsidR="005B249A" w:rsidRPr="005914DF" w:rsidRDefault="00242A16" w:rsidP="005F705C">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 xml:space="preserve">In </w:t>
      </w:r>
      <w:r w:rsidR="00220449" w:rsidRPr="005914DF">
        <w:rPr>
          <w:rFonts w:ascii="Times New Roman" w:hAnsi="Times New Roman" w:cs="Times New Roman"/>
          <w:sz w:val="26"/>
          <w:szCs w:val="26"/>
        </w:rPr>
        <w:t xml:space="preserve">relation to ground 2 of appeal, Counsel for the Appellant did not offer any submissions nor produced any authorities to show that the sentence is outside the sentencing range for similar offences. </w:t>
      </w:r>
      <w:r w:rsidR="00216C6B" w:rsidRPr="005914DF">
        <w:rPr>
          <w:rFonts w:ascii="Times New Roman" w:hAnsi="Times New Roman" w:cs="Times New Roman"/>
          <w:sz w:val="26"/>
          <w:szCs w:val="26"/>
        </w:rPr>
        <w:t xml:space="preserve"> According to section 35(3) of the Misuse of Drugs Act 2006, to offer a gift to a</w:t>
      </w:r>
      <w:r w:rsidR="00220449" w:rsidRPr="005914DF">
        <w:rPr>
          <w:rFonts w:ascii="Times New Roman" w:hAnsi="Times New Roman" w:cs="Times New Roman"/>
          <w:sz w:val="26"/>
          <w:szCs w:val="26"/>
        </w:rPr>
        <w:t xml:space="preserve"> police </w:t>
      </w:r>
      <w:r w:rsidR="00216C6B" w:rsidRPr="005914DF">
        <w:rPr>
          <w:rFonts w:ascii="Times New Roman" w:hAnsi="Times New Roman" w:cs="Times New Roman"/>
          <w:sz w:val="26"/>
          <w:szCs w:val="26"/>
        </w:rPr>
        <w:t xml:space="preserve">officer in order to prevent or obstruct the investigation into any offence under the Act has to </w:t>
      </w:r>
      <w:proofErr w:type="gramStart"/>
      <w:r w:rsidR="00216C6B" w:rsidRPr="005914DF">
        <w:rPr>
          <w:rFonts w:ascii="Times New Roman" w:hAnsi="Times New Roman" w:cs="Times New Roman"/>
          <w:sz w:val="26"/>
          <w:szCs w:val="26"/>
        </w:rPr>
        <w:t>be treated</w:t>
      </w:r>
      <w:proofErr w:type="gramEnd"/>
      <w:r w:rsidR="00216C6B" w:rsidRPr="005914DF">
        <w:rPr>
          <w:rFonts w:ascii="Times New Roman" w:hAnsi="Times New Roman" w:cs="Times New Roman"/>
          <w:sz w:val="26"/>
          <w:szCs w:val="26"/>
        </w:rPr>
        <w:t xml:space="preserve"> by the Court as aggravating the nature of the offence</w:t>
      </w:r>
      <w:r w:rsidR="00BB7A02" w:rsidRPr="005914DF">
        <w:rPr>
          <w:rFonts w:ascii="Times New Roman" w:hAnsi="Times New Roman" w:cs="Times New Roman"/>
          <w:sz w:val="26"/>
          <w:szCs w:val="26"/>
        </w:rPr>
        <w:t xml:space="preserve"> of which the appellant stands charged</w:t>
      </w:r>
      <w:r w:rsidR="00216C6B" w:rsidRPr="005914DF">
        <w:rPr>
          <w:rFonts w:ascii="Times New Roman" w:hAnsi="Times New Roman" w:cs="Times New Roman"/>
          <w:sz w:val="26"/>
          <w:szCs w:val="26"/>
        </w:rPr>
        <w:t>.</w:t>
      </w:r>
      <w:r w:rsidR="00BB7A02" w:rsidRPr="005914DF">
        <w:rPr>
          <w:rFonts w:ascii="Times New Roman" w:hAnsi="Times New Roman" w:cs="Times New Roman"/>
          <w:sz w:val="26"/>
          <w:szCs w:val="26"/>
        </w:rPr>
        <w:t xml:space="preserve"> I am of the view that heavy penalties </w:t>
      </w:r>
      <w:proofErr w:type="gramStart"/>
      <w:r w:rsidR="00BB7A02" w:rsidRPr="005914DF">
        <w:rPr>
          <w:rFonts w:ascii="Times New Roman" w:hAnsi="Times New Roman" w:cs="Times New Roman"/>
          <w:sz w:val="26"/>
          <w:szCs w:val="26"/>
        </w:rPr>
        <w:t>should be imposed</w:t>
      </w:r>
      <w:proofErr w:type="gramEnd"/>
      <w:r w:rsidR="00BB7A02" w:rsidRPr="005914DF">
        <w:rPr>
          <w:rFonts w:ascii="Times New Roman" w:hAnsi="Times New Roman" w:cs="Times New Roman"/>
          <w:sz w:val="26"/>
          <w:szCs w:val="26"/>
        </w:rPr>
        <w:t xml:space="preserve"> in relation to offences under section 35(2) of the Misuse of Drugs Act 2006.</w:t>
      </w:r>
      <w:r w:rsidR="00216C6B" w:rsidRPr="005914DF">
        <w:rPr>
          <w:rFonts w:ascii="Times New Roman" w:hAnsi="Times New Roman" w:cs="Times New Roman"/>
          <w:sz w:val="26"/>
          <w:szCs w:val="26"/>
        </w:rPr>
        <w:t xml:space="preserve"> </w:t>
      </w:r>
    </w:p>
    <w:p w14:paraId="21CBE3E6" w14:textId="77777777" w:rsidR="00F705C0" w:rsidRPr="005914DF" w:rsidRDefault="00F705C0" w:rsidP="00F705C0">
      <w:pPr>
        <w:pStyle w:val="ListParagraph"/>
        <w:rPr>
          <w:rFonts w:ascii="Times New Roman" w:hAnsi="Times New Roman" w:cs="Times New Roman"/>
          <w:sz w:val="26"/>
          <w:szCs w:val="26"/>
        </w:rPr>
      </w:pPr>
    </w:p>
    <w:p w14:paraId="40392218" w14:textId="77777777" w:rsidR="00F705C0" w:rsidRPr="005914DF" w:rsidRDefault="00F705C0" w:rsidP="00F705C0">
      <w:pPr>
        <w:pStyle w:val="ListParagraph"/>
        <w:numPr>
          <w:ilvl w:val="0"/>
          <w:numId w:val="20"/>
        </w:numPr>
        <w:jc w:val="both"/>
        <w:rPr>
          <w:rFonts w:ascii="Times New Roman" w:hAnsi="Times New Roman" w:cs="Times New Roman"/>
          <w:sz w:val="26"/>
          <w:szCs w:val="26"/>
        </w:rPr>
      </w:pPr>
      <w:r w:rsidRPr="005914DF">
        <w:rPr>
          <w:rFonts w:ascii="Times New Roman" w:hAnsi="Times New Roman" w:cs="Times New Roman"/>
          <w:sz w:val="26"/>
          <w:szCs w:val="26"/>
        </w:rPr>
        <w:t xml:space="preserve">I am of the view that the learned Sentencing Judge had been lenient in the sentences imposed on the Appellant. I therefore have no hesitation in dismissing the appeal. </w:t>
      </w:r>
    </w:p>
    <w:p w14:paraId="103BD288" w14:textId="29268294" w:rsidR="00985A26" w:rsidRPr="005914DF" w:rsidRDefault="00F705C0" w:rsidP="00F705C0">
      <w:pPr>
        <w:pStyle w:val="ListParagraph"/>
        <w:jc w:val="both"/>
        <w:rPr>
          <w:rFonts w:ascii="Times New Roman" w:hAnsi="Times New Roman" w:cs="Times New Roman"/>
          <w:sz w:val="26"/>
          <w:szCs w:val="26"/>
        </w:rPr>
      </w:pPr>
      <w:r w:rsidRPr="005914DF">
        <w:rPr>
          <w:rFonts w:ascii="Times New Roman" w:hAnsi="Times New Roman" w:cs="Times New Roman"/>
          <w:sz w:val="26"/>
          <w:szCs w:val="26"/>
        </w:rPr>
        <w:t xml:space="preserve">     </w:t>
      </w:r>
    </w:p>
    <w:p w14:paraId="4E942DFA" w14:textId="397ABF86" w:rsidR="004F118A" w:rsidRPr="005914DF" w:rsidRDefault="00985A26" w:rsidP="004F118A">
      <w:pPr>
        <w:pStyle w:val="ListParagraph"/>
        <w:numPr>
          <w:ilvl w:val="0"/>
          <w:numId w:val="20"/>
        </w:numPr>
        <w:jc w:val="both"/>
        <w:rPr>
          <w:rFonts w:ascii="Times New Roman" w:hAnsi="Times New Roman" w:cs="Times New Roman"/>
          <w:color w:val="000000" w:themeColor="text1"/>
          <w:sz w:val="26"/>
          <w:szCs w:val="26"/>
        </w:rPr>
      </w:pPr>
      <w:r w:rsidRPr="005914DF">
        <w:rPr>
          <w:rFonts w:ascii="Times New Roman" w:hAnsi="Times New Roman" w:cs="Times New Roman"/>
          <w:color w:val="000000" w:themeColor="text1"/>
          <w:sz w:val="26"/>
          <w:szCs w:val="26"/>
        </w:rPr>
        <w:t xml:space="preserve">The learned Counsel for the Appellant had come up with two imaginative arguments before the Trial Court which </w:t>
      </w:r>
      <w:proofErr w:type="gramStart"/>
      <w:r w:rsidRPr="005914DF">
        <w:rPr>
          <w:rFonts w:ascii="Times New Roman" w:hAnsi="Times New Roman" w:cs="Times New Roman"/>
          <w:color w:val="000000" w:themeColor="text1"/>
          <w:sz w:val="26"/>
          <w:szCs w:val="26"/>
        </w:rPr>
        <w:t>had been dismissed</w:t>
      </w:r>
      <w:proofErr w:type="gramEnd"/>
      <w:r w:rsidRPr="005914DF">
        <w:rPr>
          <w:rFonts w:ascii="Times New Roman" w:hAnsi="Times New Roman" w:cs="Times New Roman"/>
          <w:color w:val="000000" w:themeColor="text1"/>
          <w:sz w:val="26"/>
          <w:szCs w:val="26"/>
        </w:rPr>
        <w:t xml:space="preserve"> by the learned Trial Judge, and which Appellant’s Counsel said he did not want to pursue before us, when questioned by this Court. I thought it best to comment on them so that the position of this Court </w:t>
      </w:r>
      <w:proofErr w:type="gramStart"/>
      <w:r w:rsidRPr="005914DF">
        <w:rPr>
          <w:rFonts w:ascii="Times New Roman" w:hAnsi="Times New Roman" w:cs="Times New Roman"/>
          <w:color w:val="000000" w:themeColor="text1"/>
          <w:sz w:val="26"/>
          <w:szCs w:val="26"/>
        </w:rPr>
        <w:t>is made</w:t>
      </w:r>
      <w:proofErr w:type="gramEnd"/>
      <w:r w:rsidRPr="005914DF">
        <w:rPr>
          <w:rFonts w:ascii="Times New Roman" w:hAnsi="Times New Roman" w:cs="Times New Roman"/>
          <w:color w:val="000000" w:themeColor="text1"/>
          <w:sz w:val="26"/>
          <w:szCs w:val="26"/>
        </w:rPr>
        <w:t xml:space="preserve"> known</w:t>
      </w:r>
      <w:r w:rsidR="00971E86" w:rsidRPr="005914DF">
        <w:rPr>
          <w:rFonts w:ascii="Times New Roman" w:hAnsi="Times New Roman" w:cs="Times New Roman"/>
          <w:color w:val="000000" w:themeColor="text1"/>
          <w:sz w:val="26"/>
          <w:szCs w:val="26"/>
        </w:rPr>
        <w:t xml:space="preserve"> in respect of those two arguments</w:t>
      </w:r>
      <w:r w:rsidRPr="005914DF">
        <w:rPr>
          <w:rFonts w:ascii="Times New Roman" w:hAnsi="Times New Roman" w:cs="Times New Roman"/>
          <w:color w:val="000000" w:themeColor="text1"/>
          <w:sz w:val="26"/>
          <w:szCs w:val="26"/>
        </w:rPr>
        <w:t xml:space="preserve">.  </w:t>
      </w:r>
    </w:p>
    <w:p w14:paraId="6C7F1807" w14:textId="10169D10" w:rsidR="00985A26" w:rsidRPr="005914DF" w:rsidRDefault="00985A26" w:rsidP="004F118A">
      <w:pPr>
        <w:pStyle w:val="ListParagraph"/>
        <w:jc w:val="both"/>
        <w:rPr>
          <w:rFonts w:ascii="Times New Roman" w:hAnsi="Times New Roman" w:cs="Times New Roman"/>
          <w:color w:val="000000" w:themeColor="text1"/>
          <w:sz w:val="26"/>
          <w:szCs w:val="26"/>
        </w:rPr>
      </w:pPr>
      <w:r w:rsidRPr="005914DF">
        <w:rPr>
          <w:rFonts w:ascii="Times New Roman" w:hAnsi="Times New Roman" w:cs="Times New Roman"/>
          <w:color w:val="000000" w:themeColor="text1"/>
          <w:sz w:val="26"/>
          <w:szCs w:val="26"/>
        </w:rPr>
        <w:t xml:space="preserve"> </w:t>
      </w:r>
    </w:p>
    <w:p w14:paraId="7E973A96" w14:textId="6BDAFB66" w:rsidR="00985A26" w:rsidRPr="005914DF" w:rsidRDefault="00985A26" w:rsidP="00985A26">
      <w:pPr>
        <w:pStyle w:val="ListParagraph"/>
        <w:numPr>
          <w:ilvl w:val="0"/>
          <w:numId w:val="20"/>
        </w:numPr>
        <w:jc w:val="both"/>
        <w:rPr>
          <w:rFonts w:ascii="Times New Roman" w:hAnsi="Times New Roman" w:cs="Times New Roman"/>
          <w:color w:val="000000" w:themeColor="text1"/>
          <w:sz w:val="26"/>
          <w:szCs w:val="26"/>
        </w:rPr>
      </w:pPr>
      <w:r w:rsidRPr="005914DF">
        <w:rPr>
          <w:rFonts w:ascii="Times New Roman" w:hAnsi="Times New Roman" w:cs="Times New Roman"/>
          <w:color w:val="000000" w:themeColor="text1"/>
          <w:sz w:val="26"/>
          <w:szCs w:val="26"/>
        </w:rPr>
        <w:t>The learned counsel for the Appellant</w:t>
      </w:r>
      <w:r w:rsidR="00971E86" w:rsidRPr="005914DF">
        <w:rPr>
          <w:rFonts w:ascii="Times New Roman" w:hAnsi="Times New Roman" w:cs="Times New Roman"/>
          <w:color w:val="000000" w:themeColor="text1"/>
          <w:sz w:val="26"/>
          <w:szCs w:val="26"/>
        </w:rPr>
        <w:t xml:space="preserve"> had</w:t>
      </w:r>
      <w:r w:rsidRPr="005914DF">
        <w:rPr>
          <w:rFonts w:ascii="Times New Roman" w:hAnsi="Times New Roman" w:cs="Times New Roman"/>
          <w:color w:val="000000" w:themeColor="text1"/>
          <w:sz w:val="26"/>
          <w:szCs w:val="26"/>
        </w:rPr>
        <w:t xml:space="preserve"> argue</w:t>
      </w:r>
      <w:r w:rsidR="00971E86" w:rsidRPr="005914DF">
        <w:rPr>
          <w:rFonts w:ascii="Times New Roman" w:hAnsi="Times New Roman" w:cs="Times New Roman"/>
          <w:color w:val="000000" w:themeColor="text1"/>
          <w:sz w:val="26"/>
          <w:szCs w:val="26"/>
        </w:rPr>
        <w:t>d</w:t>
      </w:r>
      <w:r w:rsidRPr="005914DF">
        <w:rPr>
          <w:rFonts w:ascii="Times New Roman" w:hAnsi="Times New Roman" w:cs="Times New Roman"/>
          <w:color w:val="000000" w:themeColor="text1"/>
          <w:sz w:val="26"/>
          <w:szCs w:val="26"/>
        </w:rPr>
        <w:t xml:space="preserve"> that an offence under section 9(1), namely possession of a controlled drug with intent to traffic, of which the Appellant has been charged is an offence lesser than the offence of trafficking itself under section 7 of </w:t>
      </w:r>
      <w:bookmarkStart w:id="3" w:name="_Hlk108948452"/>
      <w:r w:rsidRPr="005914DF">
        <w:rPr>
          <w:rFonts w:ascii="Times New Roman" w:hAnsi="Times New Roman" w:cs="Times New Roman"/>
          <w:color w:val="000000" w:themeColor="text1"/>
          <w:sz w:val="26"/>
          <w:szCs w:val="26"/>
        </w:rPr>
        <w:t>the Misuse of Drugs Act 2016</w:t>
      </w:r>
      <w:bookmarkEnd w:id="3"/>
      <w:r w:rsidRPr="005914DF">
        <w:rPr>
          <w:rFonts w:ascii="Times New Roman" w:hAnsi="Times New Roman" w:cs="Times New Roman"/>
          <w:color w:val="000000" w:themeColor="text1"/>
          <w:sz w:val="26"/>
          <w:szCs w:val="26"/>
        </w:rPr>
        <w:t>. This argument is contrary to the wording of the law at section 9(1</w:t>
      </w:r>
      <w:proofErr w:type="gramStart"/>
      <w:r w:rsidRPr="005914DF">
        <w:rPr>
          <w:rFonts w:ascii="Times New Roman" w:hAnsi="Times New Roman" w:cs="Times New Roman"/>
          <w:color w:val="000000" w:themeColor="text1"/>
          <w:sz w:val="26"/>
          <w:szCs w:val="26"/>
        </w:rPr>
        <w:t>) which</w:t>
      </w:r>
      <w:proofErr w:type="gramEnd"/>
      <w:r w:rsidRPr="005914DF">
        <w:rPr>
          <w:rFonts w:ascii="Times New Roman" w:hAnsi="Times New Roman" w:cs="Times New Roman"/>
          <w:color w:val="000000" w:themeColor="text1"/>
          <w:sz w:val="26"/>
          <w:szCs w:val="26"/>
        </w:rPr>
        <w:t xml:space="preserve"> states that: “</w:t>
      </w:r>
      <w:r w:rsidRPr="005914DF">
        <w:rPr>
          <w:rFonts w:ascii="Times New Roman" w:hAnsi="Times New Roman" w:cs="Times New Roman"/>
          <w:i/>
          <w:iCs/>
          <w:color w:val="000000" w:themeColor="text1"/>
          <w:sz w:val="26"/>
          <w:szCs w:val="26"/>
        </w:rPr>
        <w:t>A person who possesses a controlled drug, whether lawfully or not, with intent to traffic in contravention of this Act commits an offence of trafficking and is liable on conviction to the penalty specified for an offence under section 7(1)</w:t>
      </w:r>
      <w:r w:rsidRPr="005914DF">
        <w:rPr>
          <w:rFonts w:ascii="Times New Roman" w:hAnsi="Times New Roman" w:cs="Times New Roman"/>
          <w:color w:val="000000" w:themeColor="text1"/>
          <w:sz w:val="26"/>
          <w:szCs w:val="26"/>
        </w:rPr>
        <w:t xml:space="preserve">.” The Second Schedule of the Misuse of Drugs Act 2016 prescribes the same penalties for offences of possession with intent to traffic [section 9(1)]; for organization, management and financing of drug trafficking, for purposes of importation and exportation, manufacture and cultivation [section (10)]; as that prescribed for the offences of trafficking under section 7 (1) &amp; (2). I do not think that there is any difference between a person caught in the act of trafficking as per its definition in the Misuse of Drugs Act 2016 and one in possession of a controlled drug with intent to traffic. Both have the same </w:t>
      </w:r>
      <w:proofErr w:type="spellStart"/>
      <w:r w:rsidRPr="005914DF">
        <w:rPr>
          <w:rFonts w:ascii="Times New Roman" w:hAnsi="Times New Roman" w:cs="Times New Roman"/>
          <w:color w:val="000000" w:themeColor="text1"/>
          <w:sz w:val="26"/>
          <w:szCs w:val="26"/>
        </w:rPr>
        <w:t>mens</w:t>
      </w:r>
      <w:proofErr w:type="spellEnd"/>
      <w:r w:rsidRPr="005914DF">
        <w:rPr>
          <w:rFonts w:ascii="Times New Roman" w:hAnsi="Times New Roman" w:cs="Times New Roman"/>
          <w:color w:val="000000" w:themeColor="text1"/>
          <w:sz w:val="26"/>
          <w:szCs w:val="26"/>
        </w:rPr>
        <w:t xml:space="preserve"> rea, save the physical act of trafficking as specified in the definition of the Misuse of Drugs Act 2016, has not taken place. In the instant </w:t>
      </w:r>
      <w:proofErr w:type="gramStart"/>
      <w:r w:rsidRPr="005914DF">
        <w:rPr>
          <w:rFonts w:ascii="Times New Roman" w:hAnsi="Times New Roman" w:cs="Times New Roman"/>
          <w:color w:val="000000" w:themeColor="text1"/>
          <w:sz w:val="26"/>
          <w:szCs w:val="26"/>
        </w:rPr>
        <w:t>case</w:t>
      </w:r>
      <w:proofErr w:type="gramEnd"/>
      <w:r w:rsidRPr="005914DF">
        <w:rPr>
          <w:rFonts w:ascii="Times New Roman" w:hAnsi="Times New Roman" w:cs="Times New Roman"/>
          <w:color w:val="000000" w:themeColor="text1"/>
          <w:sz w:val="26"/>
          <w:szCs w:val="26"/>
        </w:rPr>
        <w:t xml:space="preserve"> the Appellant as per the admitted facts was holding the drug that had been given to him, not for his own consumption but for safe keeping, and undoubtedly for delivering it later (an act of trafficking as defined in the law). </w:t>
      </w:r>
    </w:p>
    <w:p w14:paraId="10F2D2EE" w14:textId="11582BDB" w:rsidR="00985A26" w:rsidRPr="005914DF" w:rsidRDefault="00985A26" w:rsidP="00985A26">
      <w:pPr>
        <w:pStyle w:val="ListParagraph"/>
        <w:jc w:val="both"/>
        <w:rPr>
          <w:rFonts w:ascii="Times New Roman" w:hAnsi="Times New Roman" w:cs="Times New Roman"/>
          <w:color w:val="000000" w:themeColor="text1"/>
          <w:sz w:val="26"/>
          <w:szCs w:val="26"/>
        </w:rPr>
      </w:pPr>
      <w:r w:rsidRPr="005914DF">
        <w:rPr>
          <w:rFonts w:ascii="Times New Roman" w:hAnsi="Times New Roman" w:cs="Times New Roman"/>
          <w:color w:val="000000" w:themeColor="text1"/>
          <w:sz w:val="26"/>
          <w:szCs w:val="26"/>
        </w:rPr>
        <w:t xml:space="preserve"> </w:t>
      </w:r>
    </w:p>
    <w:p w14:paraId="41A991F3" w14:textId="33311CFD" w:rsidR="00985A26" w:rsidRPr="005914DF" w:rsidRDefault="00985A26" w:rsidP="00971E86">
      <w:pPr>
        <w:pStyle w:val="ListParagraph"/>
        <w:numPr>
          <w:ilvl w:val="0"/>
          <w:numId w:val="20"/>
        </w:numPr>
        <w:jc w:val="both"/>
        <w:rPr>
          <w:rFonts w:ascii="Times New Roman" w:hAnsi="Times New Roman" w:cs="Times New Roman"/>
          <w:color w:val="000000" w:themeColor="text1"/>
          <w:sz w:val="26"/>
          <w:szCs w:val="26"/>
        </w:rPr>
      </w:pPr>
      <w:proofErr w:type="gramStart"/>
      <w:r w:rsidRPr="005914DF">
        <w:rPr>
          <w:rFonts w:ascii="Times New Roman" w:hAnsi="Times New Roman" w:cs="Times New Roman"/>
          <w:color w:val="000000" w:themeColor="text1"/>
          <w:sz w:val="26"/>
          <w:szCs w:val="26"/>
        </w:rPr>
        <w:t>Counsel for the Appellant ha</w:t>
      </w:r>
      <w:r w:rsidR="00971E86" w:rsidRPr="005914DF">
        <w:rPr>
          <w:rFonts w:ascii="Times New Roman" w:hAnsi="Times New Roman" w:cs="Times New Roman"/>
          <w:color w:val="000000" w:themeColor="text1"/>
          <w:sz w:val="26"/>
          <w:szCs w:val="26"/>
        </w:rPr>
        <w:t>d also</w:t>
      </w:r>
      <w:r w:rsidRPr="005914DF">
        <w:rPr>
          <w:rFonts w:ascii="Times New Roman" w:hAnsi="Times New Roman" w:cs="Times New Roman"/>
          <w:color w:val="000000" w:themeColor="text1"/>
          <w:sz w:val="26"/>
          <w:szCs w:val="26"/>
        </w:rPr>
        <w:t xml:space="preserve"> come up with a novel argument</w:t>
      </w:r>
      <w:r w:rsidR="00971E86" w:rsidRPr="005914DF">
        <w:rPr>
          <w:rFonts w:ascii="Times New Roman" w:hAnsi="Times New Roman" w:cs="Times New Roman"/>
          <w:color w:val="000000" w:themeColor="text1"/>
          <w:sz w:val="26"/>
          <w:szCs w:val="26"/>
        </w:rPr>
        <w:t xml:space="preserve"> before the Trial Court</w:t>
      </w:r>
      <w:r w:rsidRPr="005914DF">
        <w:rPr>
          <w:rFonts w:ascii="Times New Roman" w:hAnsi="Times New Roman" w:cs="Times New Roman"/>
          <w:color w:val="000000" w:themeColor="text1"/>
          <w:sz w:val="26"/>
          <w:szCs w:val="26"/>
        </w:rPr>
        <w:t xml:space="preserve"> that ‘ecstasy’ is not a dangerous drug, as cannabis or cannabis </w:t>
      </w:r>
      <w:proofErr w:type="spellStart"/>
      <w:r w:rsidRPr="005914DF">
        <w:rPr>
          <w:rFonts w:ascii="Times New Roman" w:hAnsi="Times New Roman" w:cs="Times New Roman"/>
          <w:color w:val="000000" w:themeColor="text1"/>
          <w:sz w:val="26"/>
          <w:szCs w:val="26"/>
        </w:rPr>
        <w:t>rasin</w:t>
      </w:r>
      <w:proofErr w:type="spellEnd"/>
      <w:r w:rsidRPr="005914DF">
        <w:rPr>
          <w:rFonts w:ascii="Times New Roman" w:hAnsi="Times New Roman" w:cs="Times New Roman"/>
          <w:color w:val="000000" w:themeColor="text1"/>
          <w:sz w:val="26"/>
          <w:szCs w:val="26"/>
        </w:rPr>
        <w:t xml:space="preserve">, on the basis that there is no mention of </w:t>
      </w:r>
      <w:bookmarkStart w:id="4" w:name="_Hlk108876323"/>
      <w:r w:rsidRPr="005914DF">
        <w:rPr>
          <w:rFonts w:ascii="Times New Roman" w:hAnsi="Times New Roman" w:cs="Times New Roman"/>
          <w:color w:val="000000" w:themeColor="text1"/>
          <w:sz w:val="26"/>
          <w:szCs w:val="26"/>
        </w:rPr>
        <w:t xml:space="preserve">‘ecstasy’ </w:t>
      </w:r>
      <w:proofErr w:type="spellStart"/>
      <w:r w:rsidRPr="005914DF">
        <w:rPr>
          <w:rFonts w:ascii="Times New Roman" w:hAnsi="Times New Roman" w:cs="Times New Roman"/>
          <w:color w:val="000000" w:themeColor="text1"/>
          <w:sz w:val="26"/>
          <w:szCs w:val="26"/>
        </w:rPr>
        <w:t>methylenedioxymethamphetamine</w:t>
      </w:r>
      <w:proofErr w:type="spellEnd"/>
      <w:r w:rsidRPr="005914DF">
        <w:rPr>
          <w:rFonts w:ascii="Times New Roman" w:hAnsi="Times New Roman" w:cs="Times New Roman"/>
          <w:color w:val="000000" w:themeColor="text1"/>
          <w:sz w:val="26"/>
          <w:szCs w:val="26"/>
        </w:rPr>
        <w:t xml:space="preserve"> (MDMA) </w:t>
      </w:r>
      <w:bookmarkEnd w:id="4"/>
      <w:r w:rsidRPr="005914DF">
        <w:rPr>
          <w:rFonts w:ascii="Times New Roman" w:hAnsi="Times New Roman" w:cs="Times New Roman"/>
          <w:color w:val="000000" w:themeColor="text1"/>
          <w:sz w:val="26"/>
          <w:szCs w:val="26"/>
        </w:rPr>
        <w:t xml:space="preserve">in section 19 of the </w:t>
      </w:r>
      <w:bookmarkStart w:id="5" w:name="_Hlk108872503"/>
      <w:r w:rsidRPr="005914DF">
        <w:rPr>
          <w:rFonts w:ascii="Times New Roman" w:hAnsi="Times New Roman" w:cs="Times New Roman"/>
          <w:color w:val="000000" w:themeColor="text1"/>
          <w:sz w:val="26"/>
          <w:szCs w:val="26"/>
        </w:rPr>
        <w:t>Misuse of Drugs Act 2016</w:t>
      </w:r>
      <w:bookmarkEnd w:id="5"/>
      <w:r w:rsidRPr="005914DF">
        <w:rPr>
          <w:rFonts w:ascii="Times New Roman" w:hAnsi="Times New Roman" w:cs="Times New Roman"/>
          <w:color w:val="000000" w:themeColor="text1"/>
          <w:sz w:val="26"/>
          <w:szCs w:val="26"/>
        </w:rPr>
        <w:t>, which creates a rebuttable presumption of trafficking, against a person who is proved or presumed to have had in his possession or custody or under his or her control certain quantities specified therein above a certain amount.</w:t>
      </w:r>
      <w:proofErr w:type="gramEnd"/>
      <w:r w:rsidRPr="005914DF">
        <w:rPr>
          <w:rFonts w:ascii="Times New Roman" w:hAnsi="Times New Roman" w:cs="Times New Roman"/>
          <w:color w:val="000000" w:themeColor="text1"/>
          <w:sz w:val="26"/>
          <w:szCs w:val="26"/>
        </w:rPr>
        <w:t xml:space="preserve"> It </w:t>
      </w:r>
      <w:r w:rsidR="00405442" w:rsidRPr="005914DF">
        <w:rPr>
          <w:rFonts w:ascii="Times New Roman" w:hAnsi="Times New Roman" w:cs="Times New Roman"/>
          <w:color w:val="000000" w:themeColor="text1"/>
          <w:sz w:val="26"/>
          <w:szCs w:val="26"/>
        </w:rPr>
        <w:t>had been</w:t>
      </w:r>
      <w:r w:rsidRPr="005914DF">
        <w:rPr>
          <w:rFonts w:ascii="Times New Roman" w:hAnsi="Times New Roman" w:cs="Times New Roman"/>
          <w:color w:val="000000" w:themeColor="text1"/>
          <w:sz w:val="26"/>
          <w:szCs w:val="26"/>
        </w:rPr>
        <w:t xml:space="preserve"> his submission that only cannabis or cannabis resin </w:t>
      </w:r>
      <w:proofErr w:type="gramStart"/>
      <w:r w:rsidRPr="005914DF">
        <w:rPr>
          <w:rFonts w:ascii="Times New Roman" w:hAnsi="Times New Roman" w:cs="Times New Roman"/>
          <w:color w:val="000000" w:themeColor="text1"/>
          <w:sz w:val="26"/>
          <w:szCs w:val="26"/>
        </w:rPr>
        <w:t>is mentioned</w:t>
      </w:r>
      <w:proofErr w:type="gramEnd"/>
      <w:r w:rsidRPr="005914DF">
        <w:rPr>
          <w:rFonts w:ascii="Times New Roman" w:hAnsi="Times New Roman" w:cs="Times New Roman"/>
          <w:color w:val="000000" w:themeColor="text1"/>
          <w:sz w:val="26"/>
          <w:szCs w:val="26"/>
        </w:rPr>
        <w:t xml:space="preserve"> out of the Class B drugs therein and thus the presumption of intent to traffic does not apply in the case of </w:t>
      </w:r>
      <w:proofErr w:type="spellStart"/>
      <w:r w:rsidRPr="005914DF">
        <w:rPr>
          <w:rFonts w:ascii="Times New Roman" w:hAnsi="Times New Roman" w:cs="Times New Roman"/>
          <w:color w:val="000000" w:themeColor="text1"/>
          <w:sz w:val="26"/>
          <w:szCs w:val="26"/>
        </w:rPr>
        <w:t>methylenedioxymethamphetamine</w:t>
      </w:r>
      <w:proofErr w:type="spellEnd"/>
      <w:r w:rsidRPr="005914DF">
        <w:rPr>
          <w:rFonts w:ascii="Times New Roman" w:hAnsi="Times New Roman" w:cs="Times New Roman"/>
          <w:color w:val="000000" w:themeColor="text1"/>
          <w:sz w:val="26"/>
          <w:szCs w:val="26"/>
        </w:rPr>
        <w:t xml:space="preserve"> (MDMA). In making this </w:t>
      </w:r>
      <w:proofErr w:type="gramStart"/>
      <w:r w:rsidRPr="005914DF">
        <w:rPr>
          <w:rFonts w:ascii="Times New Roman" w:hAnsi="Times New Roman" w:cs="Times New Roman"/>
          <w:color w:val="000000" w:themeColor="text1"/>
          <w:sz w:val="26"/>
          <w:szCs w:val="26"/>
        </w:rPr>
        <w:t>submission</w:t>
      </w:r>
      <w:proofErr w:type="gramEnd"/>
      <w:r w:rsidRPr="005914DF">
        <w:rPr>
          <w:rFonts w:ascii="Times New Roman" w:hAnsi="Times New Roman" w:cs="Times New Roman"/>
          <w:color w:val="000000" w:themeColor="text1"/>
          <w:sz w:val="26"/>
          <w:szCs w:val="26"/>
        </w:rPr>
        <w:t xml:space="preserve"> he</w:t>
      </w:r>
      <w:r w:rsidR="00405442" w:rsidRPr="005914DF">
        <w:rPr>
          <w:rFonts w:ascii="Times New Roman" w:hAnsi="Times New Roman" w:cs="Times New Roman"/>
          <w:color w:val="000000" w:themeColor="text1"/>
          <w:sz w:val="26"/>
          <w:szCs w:val="26"/>
        </w:rPr>
        <w:t xml:space="preserve"> had</w:t>
      </w:r>
      <w:r w:rsidRPr="005914DF">
        <w:rPr>
          <w:rFonts w:ascii="Times New Roman" w:hAnsi="Times New Roman" w:cs="Times New Roman"/>
          <w:color w:val="000000" w:themeColor="text1"/>
          <w:sz w:val="26"/>
          <w:szCs w:val="26"/>
        </w:rPr>
        <w:t xml:space="preserve"> admit</w:t>
      </w:r>
      <w:r w:rsidR="00405442" w:rsidRPr="005914DF">
        <w:rPr>
          <w:rFonts w:ascii="Times New Roman" w:hAnsi="Times New Roman" w:cs="Times New Roman"/>
          <w:color w:val="000000" w:themeColor="text1"/>
          <w:sz w:val="26"/>
          <w:szCs w:val="26"/>
        </w:rPr>
        <w:t>ted</w:t>
      </w:r>
      <w:r w:rsidRPr="005914DF">
        <w:rPr>
          <w:rFonts w:ascii="Times New Roman" w:hAnsi="Times New Roman" w:cs="Times New Roman"/>
          <w:color w:val="000000" w:themeColor="text1"/>
          <w:sz w:val="26"/>
          <w:szCs w:val="26"/>
        </w:rPr>
        <w:t xml:space="preserve"> that his argument is not based on the law as it presently exists and </w:t>
      </w:r>
      <w:r w:rsidR="00405442" w:rsidRPr="005914DF">
        <w:rPr>
          <w:rFonts w:ascii="Times New Roman" w:hAnsi="Times New Roman" w:cs="Times New Roman"/>
          <w:color w:val="000000" w:themeColor="text1"/>
          <w:sz w:val="26"/>
          <w:szCs w:val="26"/>
        </w:rPr>
        <w:t>had</w:t>
      </w:r>
      <w:r w:rsidRPr="005914DF">
        <w:rPr>
          <w:rFonts w:ascii="Times New Roman" w:hAnsi="Times New Roman" w:cs="Times New Roman"/>
          <w:color w:val="000000" w:themeColor="text1"/>
          <w:sz w:val="26"/>
          <w:szCs w:val="26"/>
        </w:rPr>
        <w:t xml:space="preserve"> call</w:t>
      </w:r>
      <w:r w:rsidR="00405442" w:rsidRPr="005914DF">
        <w:rPr>
          <w:rFonts w:ascii="Times New Roman" w:hAnsi="Times New Roman" w:cs="Times New Roman"/>
          <w:color w:val="000000" w:themeColor="text1"/>
          <w:sz w:val="26"/>
          <w:szCs w:val="26"/>
        </w:rPr>
        <w:t>ed</w:t>
      </w:r>
      <w:r w:rsidRPr="005914DF">
        <w:rPr>
          <w:rFonts w:ascii="Times New Roman" w:hAnsi="Times New Roman" w:cs="Times New Roman"/>
          <w:color w:val="000000" w:themeColor="text1"/>
          <w:sz w:val="26"/>
          <w:szCs w:val="26"/>
        </w:rPr>
        <w:t xml:space="preserve"> for an amendment of the law. Even if there is any merit in the submission of a counsel, </w:t>
      </w:r>
      <w:r w:rsidR="00405442" w:rsidRPr="005914DF">
        <w:rPr>
          <w:rFonts w:ascii="Times New Roman" w:hAnsi="Times New Roman" w:cs="Times New Roman"/>
          <w:color w:val="000000" w:themeColor="text1"/>
          <w:sz w:val="26"/>
          <w:szCs w:val="26"/>
        </w:rPr>
        <w:t>a c</w:t>
      </w:r>
      <w:r w:rsidRPr="005914DF">
        <w:rPr>
          <w:rFonts w:ascii="Times New Roman" w:hAnsi="Times New Roman" w:cs="Times New Roman"/>
          <w:color w:val="000000" w:themeColor="text1"/>
          <w:sz w:val="26"/>
          <w:szCs w:val="26"/>
        </w:rPr>
        <w:t xml:space="preserve">ourt can only act in accordance with the </w:t>
      </w:r>
      <w:proofErr w:type="gramStart"/>
      <w:r w:rsidRPr="005914DF">
        <w:rPr>
          <w:rFonts w:ascii="Times New Roman" w:hAnsi="Times New Roman" w:cs="Times New Roman"/>
          <w:color w:val="000000" w:themeColor="text1"/>
          <w:sz w:val="26"/>
          <w:szCs w:val="26"/>
        </w:rPr>
        <w:t>law</w:t>
      </w:r>
      <w:proofErr w:type="gramEnd"/>
      <w:r w:rsidRPr="005914DF">
        <w:rPr>
          <w:rFonts w:ascii="Times New Roman" w:hAnsi="Times New Roman" w:cs="Times New Roman"/>
          <w:color w:val="000000" w:themeColor="text1"/>
          <w:sz w:val="26"/>
          <w:szCs w:val="26"/>
        </w:rPr>
        <w:t xml:space="preserve"> as it exists and not venture to make decisions as to what the law ought to be, when there is no ambiguity in the law, save where there is a contravention of the Constitution.  Counsel for the Appellant has overlooked the provisions in section 19(2) of the </w:t>
      </w:r>
      <w:proofErr w:type="gramStart"/>
      <w:r w:rsidRPr="005914DF">
        <w:rPr>
          <w:rFonts w:ascii="Times New Roman" w:hAnsi="Times New Roman" w:cs="Times New Roman"/>
          <w:color w:val="000000" w:themeColor="text1"/>
          <w:sz w:val="26"/>
          <w:szCs w:val="26"/>
        </w:rPr>
        <w:t>Act which</w:t>
      </w:r>
      <w:proofErr w:type="gramEnd"/>
      <w:r w:rsidRPr="005914DF">
        <w:rPr>
          <w:rFonts w:ascii="Times New Roman" w:hAnsi="Times New Roman" w:cs="Times New Roman"/>
          <w:color w:val="000000" w:themeColor="text1"/>
          <w:sz w:val="26"/>
          <w:szCs w:val="26"/>
        </w:rPr>
        <w:t xml:space="preserve"> states: “</w:t>
      </w:r>
      <w:r w:rsidRPr="005914DF">
        <w:rPr>
          <w:rFonts w:ascii="Times New Roman" w:hAnsi="Times New Roman" w:cs="Times New Roman"/>
          <w:i/>
          <w:iCs/>
          <w:color w:val="000000" w:themeColor="text1"/>
          <w:sz w:val="26"/>
          <w:szCs w:val="26"/>
        </w:rPr>
        <w:t>When the presumption in subsection (1) is not engaged, it shall be a question of fact whether a person possessed any controlled drug with intent to traffic</w:t>
      </w:r>
      <w:r w:rsidRPr="005914DF">
        <w:rPr>
          <w:rFonts w:ascii="Times New Roman" w:hAnsi="Times New Roman" w:cs="Times New Roman"/>
          <w:color w:val="000000" w:themeColor="text1"/>
          <w:sz w:val="26"/>
          <w:szCs w:val="26"/>
        </w:rPr>
        <w:t xml:space="preserve">.” It is clear from the admitted facts that the Appellant had possession of the drugs not for his personal consumption, but with intent to traffic. There are 18 Class B drugs mentioned in the First Schedule, Part II of Controlled Drugs in the Misuse of Drugs Act 2016. Among the 106 Class A drugs mentioned in the First Schedule, Part I of Controlled Drugs in the Misuse of Drugs Act 2016, mention </w:t>
      </w:r>
      <w:proofErr w:type="gramStart"/>
      <w:r w:rsidRPr="005914DF">
        <w:rPr>
          <w:rFonts w:ascii="Times New Roman" w:hAnsi="Times New Roman" w:cs="Times New Roman"/>
          <w:color w:val="000000" w:themeColor="text1"/>
          <w:sz w:val="26"/>
          <w:szCs w:val="26"/>
        </w:rPr>
        <w:t>is made</w:t>
      </w:r>
      <w:proofErr w:type="gramEnd"/>
      <w:r w:rsidRPr="005914DF">
        <w:rPr>
          <w:rFonts w:ascii="Times New Roman" w:hAnsi="Times New Roman" w:cs="Times New Roman"/>
          <w:color w:val="000000" w:themeColor="text1"/>
          <w:sz w:val="26"/>
          <w:szCs w:val="26"/>
        </w:rPr>
        <w:t xml:space="preserve"> only to </w:t>
      </w:r>
      <w:bookmarkStart w:id="6" w:name="_Hlk108873653"/>
      <w:r w:rsidRPr="005914DF">
        <w:rPr>
          <w:rFonts w:ascii="Times New Roman" w:hAnsi="Times New Roman" w:cs="Times New Roman"/>
          <w:color w:val="000000" w:themeColor="text1"/>
          <w:sz w:val="26"/>
          <w:szCs w:val="26"/>
        </w:rPr>
        <w:t>opium, morphine, heroin and cocaine</w:t>
      </w:r>
      <w:bookmarkEnd w:id="6"/>
      <w:r w:rsidRPr="005914DF">
        <w:rPr>
          <w:rFonts w:ascii="Times New Roman" w:hAnsi="Times New Roman" w:cs="Times New Roman"/>
          <w:color w:val="000000" w:themeColor="text1"/>
          <w:sz w:val="26"/>
          <w:szCs w:val="26"/>
        </w:rPr>
        <w:t xml:space="preserve"> in section 19. In my view the reference only to cannabis or </w:t>
      </w:r>
      <w:proofErr w:type="gramStart"/>
      <w:r w:rsidRPr="005914DF">
        <w:rPr>
          <w:rFonts w:ascii="Times New Roman" w:hAnsi="Times New Roman" w:cs="Times New Roman"/>
          <w:color w:val="000000" w:themeColor="text1"/>
          <w:sz w:val="26"/>
          <w:szCs w:val="26"/>
        </w:rPr>
        <w:t>cannabis</w:t>
      </w:r>
      <w:proofErr w:type="gramEnd"/>
      <w:r w:rsidRPr="005914DF">
        <w:rPr>
          <w:rFonts w:ascii="Times New Roman" w:hAnsi="Times New Roman" w:cs="Times New Roman"/>
          <w:color w:val="000000" w:themeColor="text1"/>
          <w:sz w:val="26"/>
          <w:szCs w:val="26"/>
        </w:rPr>
        <w:t xml:space="preserve"> resin in section 19 does not make the other controlled drugs referred to in Class B, less dangerous. In my view the reference to opium, morphine, heroin, cocaine and cannabis or cannabis resin in section 19, is because they are the ones more commonly in use and certainly not because the said drugs are more dangerous than the others referred to in Class B. </w:t>
      </w:r>
      <w:proofErr w:type="gramStart"/>
      <w:r w:rsidRPr="005914DF">
        <w:rPr>
          <w:rFonts w:ascii="Times New Roman" w:hAnsi="Times New Roman" w:cs="Times New Roman"/>
          <w:color w:val="000000" w:themeColor="text1"/>
          <w:sz w:val="26"/>
          <w:szCs w:val="26"/>
        </w:rPr>
        <w:t>The fact that all Class B drugs referred to in in the First Schedule, Part II of Controlled Drugs in the Misuse of Drugs Act 2016 are treated the same way is clear from a reading of the provisions of the said Act and from the penalties prescribed for offences in the Second Schedule for class B drugs, which makes no distinction amongst the penalties prescribed for the 18 Class B drugs mentioned in the First Schedule, Part II.</w:t>
      </w:r>
      <w:proofErr w:type="gramEnd"/>
    </w:p>
    <w:p w14:paraId="4E60CA77" w14:textId="1AF51029" w:rsidR="005B249A" w:rsidRDefault="005B249A" w:rsidP="005B249A">
      <w:pPr>
        <w:pStyle w:val="ListParagraph"/>
        <w:jc w:val="both"/>
        <w:rPr>
          <w:rFonts w:ascii="Times New Roman" w:hAnsi="Times New Roman" w:cs="Times New Roman"/>
          <w:color w:val="000000" w:themeColor="text1"/>
          <w:sz w:val="25"/>
          <w:szCs w:val="25"/>
        </w:rPr>
      </w:pPr>
    </w:p>
    <w:p w14:paraId="4679C61E" w14:textId="27FF4D3E" w:rsidR="00CC2851" w:rsidRDefault="00CC2851" w:rsidP="005B249A">
      <w:pPr>
        <w:pStyle w:val="ListParagraph"/>
        <w:jc w:val="both"/>
        <w:rPr>
          <w:rFonts w:ascii="Times New Roman" w:hAnsi="Times New Roman" w:cs="Times New Roman"/>
          <w:color w:val="000000" w:themeColor="text1"/>
          <w:sz w:val="25"/>
          <w:szCs w:val="25"/>
        </w:rPr>
      </w:pPr>
    </w:p>
    <w:p w14:paraId="08431CC4" w14:textId="77777777" w:rsidR="00CC2851" w:rsidRPr="005914DF" w:rsidRDefault="00CC2851" w:rsidP="005B249A">
      <w:pPr>
        <w:pStyle w:val="ListParagraph"/>
        <w:jc w:val="both"/>
        <w:rPr>
          <w:rFonts w:ascii="Times New Roman" w:hAnsi="Times New Roman" w:cs="Times New Roman"/>
          <w:color w:val="000000" w:themeColor="text1"/>
          <w:sz w:val="25"/>
          <w:szCs w:val="25"/>
        </w:rPr>
      </w:pPr>
    </w:p>
    <w:p w14:paraId="7F4F0938" w14:textId="6F06F3FB" w:rsidR="002B7612" w:rsidRPr="00F705C0" w:rsidRDefault="00FD418C" w:rsidP="00F705C0">
      <w:pPr>
        <w:jc w:val="both"/>
        <w:rPr>
          <w:b/>
          <w:sz w:val="25"/>
          <w:szCs w:val="25"/>
        </w:rPr>
      </w:pPr>
      <w:r w:rsidRPr="00F705C0">
        <w:rPr>
          <w:b/>
          <w:sz w:val="25"/>
          <w:szCs w:val="25"/>
        </w:rPr>
        <w:t>__________________</w:t>
      </w:r>
    </w:p>
    <w:p w14:paraId="1C27743B" w14:textId="77777777" w:rsidR="002B7612" w:rsidRPr="002E628C" w:rsidRDefault="002B7612" w:rsidP="00FD418C">
      <w:pPr>
        <w:pStyle w:val="NoSpacing"/>
        <w:rPr>
          <w:rFonts w:ascii="Times New Roman" w:hAnsi="Times New Roman" w:cs="Times New Roman"/>
          <w:sz w:val="25"/>
          <w:szCs w:val="25"/>
        </w:rPr>
      </w:pPr>
      <w:r w:rsidRPr="002E628C">
        <w:rPr>
          <w:rFonts w:ascii="Times New Roman" w:hAnsi="Times New Roman" w:cs="Times New Roman"/>
          <w:sz w:val="25"/>
          <w:szCs w:val="25"/>
        </w:rPr>
        <w:t>A. Fernando, President</w:t>
      </w:r>
    </w:p>
    <w:p w14:paraId="30A2BAE6" w14:textId="77777777" w:rsidR="002B7612" w:rsidRPr="002E628C" w:rsidRDefault="002B7612" w:rsidP="002B7612">
      <w:pPr>
        <w:pStyle w:val="NoSpacing"/>
        <w:rPr>
          <w:rFonts w:ascii="Times New Roman" w:hAnsi="Times New Roman" w:cs="Times New Roman"/>
          <w:sz w:val="25"/>
          <w:szCs w:val="25"/>
        </w:rPr>
      </w:pPr>
    </w:p>
    <w:p w14:paraId="198B1553" w14:textId="1C2FC421" w:rsidR="002B7612" w:rsidRDefault="002B7612" w:rsidP="002B7612">
      <w:pPr>
        <w:pStyle w:val="NoSpacing"/>
        <w:rPr>
          <w:rFonts w:ascii="Times New Roman" w:hAnsi="Times New Roman" w:cs="Times New Roman"/>
          <w:sz w:val="25"/>
          <w:szCs w:val="25"/>
        </w:rPr>
      </w:pPr>
    </w:p>
    <w:p w14:paraId="6F83E06E" w14:textId="77777777" w:rsidR="00CC2851" w:rsidRPr="002E628C" w:rsidRDefault="00CC2851" w:rsidP="002B7612">
      <w:pPr>
        <w:pStyle w:val="NoSpacing"/>
        <w:rPr>
          <w:rFonts w:ascii="Times New Roman" w:hAnsi="Times New Roman" w:cs="Times New Roman"/>
          <w:sz w:val="25"/>
          <w:szCs w:val="25"/>
        </w:rPr>
      </w:pPr>
    </w:p>
    <w:p w14:paraId="07BDCEAC" w14:textId="77777777" w:rsidR="002B7612" w:rsidRPr="002E628C" w:rsidRDefault="002B7612" w:rsidP="002B7612">
      <w:pPr>
        <w:pStyle w:val="NoSpacing"/>
        <w:rPr>
          <w:rFonts w:ascii="Times New Roman" w:hAnsi="Times New Roman" w:cs="Times New Roman"/>
          <w:sz w:val="25"/>
          <w:szCs w:val="25"/>
        </w:rPr>
      </w:pPr>
      <w:r w:rsidRPr="002E628C">
        <w:rPr>
          <w:rFonts w:ascii="Times New Roman" w:hAnsi="Times New Roman" w:cs="Times New Roman"/>
          <w:sz w:val="25"/>
          <w:szCs w:val="25"/>
        </w:rPr>
        <w:t>I concur:</w:t>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t>_________________</w:t>
      </w:r>
    </w:p>
    <w:p w14:paraId="17AE54D5" w14:textId="1E372B78" w:rsidR="002B7612" w:rsidRPr="002E628C" w:rsidRDefault="002B7612" w:rsidP="002B7612">
      <w:pPr>
        <w:pStyle w:val="NoSpacing"/>
        <w:rPr>
          <w:rFonts w:ascii="Times New Roman" w:hAnsi="Times New Roman" w:cs="Times New Roman"/>
          <w:sz w:val="25"/>
          <w:szCs w:val="25"/>
        </w:rPr>
      </w:pP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proofErr w:type="spellStart"/>
      <w:r w:rsidRPr="002E628C">
        <w:rPr>
          <w:rFonts w:ascii="Times New Roman" w:hAnsi="Times New Roman" w:cs="Times New Roman"/>
          <w:sz w:val="25"/>
          <w:szCs w:val="25"/>
        </w:rPr>
        <w:t>Dr.</w:t>
      </w:r>
      <w:proofErr w:type="spellEnd"/>
      <w:r w:rsidRPr="002E628C">
        <w:rPr>
          <w:rFonts w:ascii="Times New Roman" w:hAnsi="Times New Roman" w:cs="Times New Roman"/>
          <w:sz w:val="25"/>
          <w:szCs w:val="25"/>
        </w:rPr>
        <w:t xml:space="preserve"> M Twomey-Woods JA </w:t>
      </w:r>
    </w:p>
    <w:p w14:paraId="412F5896" w14:textId="6A4C107F" w:rsidR="002B7612" w:rsidRDefault="002B7612" w:rsidP="002B7612">
      <w:pPr>
        <w:pStyle w:val="NoSpacing"/>
        <w:rPr>
          <w:rFonts w:ascii="Times New Roman" w:hAnsi="Times New Roman" w:cs="Times New Roman"/>
          <w:sz w:val="25"/>
          <w:szCs w:val="25"/>
        </w:rPr>
      </w:pPr>
    </w:p>
    <w:p w14:paraId="0321D426" w14:textId="4E5C158D" w:rsidR="00CC2851" w:rsidRDefault="00CC2851" w:rsidP="002B7612">
      <w:pPr>
        <w:pStyle w:val="NoSpacing"/>
        <w:rPr>
          <w:rFonts w:ascii="Times New Roman" w:hAnsi="Times New Roman" w:cs="Times New Roman"/>
          <w:sz w:val="25"/>
          <w:szCs w:val="25"/>
        </w:rPr>
      </w:pPr>
    </w:p>
    <w:p w14:paraId="3DB3ADF8" w14:textId="77777777" w:rsidR="00CC2851" w:rsidRPr="002E628C" w:rsidRDefault="00CC2851" w:rsidP="002B7612">
      <w:pPr>
        <w:pStyle w:val="NoSpacing"/>
        <w:rPr>
          <w:rFonts w:ascii="Times New Roman" w:hAnsi="Times New Roman" w:cs="Times New Roman"/>
          <w:sz w:val="25"/>
          <w:szCs w:val="25"/>
        </w:rPr>
      </w:pPr>
    </w:p>
    <w:p w14:paraId="50663F85" w14:textId="6952D9AD" w:rsidR="002B7612" w:rsidRPr="002E628C" w:rsidRDefault="002B7612" w:rsidP="002B7612">
      <w:pPr>
        <w:pStyle w:val="NoSpacing"/>
        <w:rPr>
          <w:rFonts w:ascii="Times New Roman" w:hAnsi="Times New Roman" w:cs="Times New Roman"/>
          <w:sz w:val="25"/>
          <w:szCs w:val="25"/>
        </w:rPr>
      </w:pPr>
      <w:r w:rsidRPr="002E628C">
        <w:rPr>
          <w:rFonts w:ascii="Times New Roman" w:hAnsi="Times New Roman" w:cs="Times New Roman"/>
          <w:sz w:val="25"/>
          <w:szCs w:val="25"/>
        </w:rPr>
        <w:t>I concur:</w:t>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t>_________________</w:t>
      </w:r>
    </w:p>
    <w:p w14:paraId="2A75BDC8" w14:textId="77777777" w:rsidR="006248B3" w:rsidRPr="002E628C" w:rsidRDefault="006248B3" w:rsidP="002B7612">
      <w:pPr>
        <w:pStyle w:val="NoSpacing"/>
        <w:rPr>
          <w:rFonts w:ascii="Times New Roman" w:hAnsi="Times New Roman" w:cs="Times New Roman"/>
          <w:sz w:val="25"/>
          <w:szCs w:val="25"/>
        </w:rPr>
      </w:pPr>
    </w:p>
    <w:p w14:paraId="05E48EBE" w14:textId="72A2BE75" w:rsidR="002B7612" w:rsidRDefault="002B7612" w:rsidP="002B7612">
      <w:pPr>
        <w:pStyle w:val="NoSpacing"/>
        <w:rPr>
          <w:rFonts w:ascii="Times New Roman" w:hAnsi="Times New Roman" w:cs="Times New Roman"/>
          <w:sz w:val="25"/>
          <w:szCs w:val="25"/>
        </w:rPr>
      </w:pP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r>
      <w:r w:rsidRPr="002E628C">
        <w:rPr>
          <w:rFonts w:ascii="Times New Roman" w:hAnsi="Times New Roman" w:cs="Times New Roman"/>
          <w:sz w:val="25"/>
          <w:szCs w:val="25"/>
        </w:rPr>
        <w:tab/>
        <w:t>F. Robinson JA</w:t>
      </w:r>
    </w:p>
    <w:p w14:paraId="687187F6" w14:textId="1567028E" w:rsidR="001062F2" w:rsidRDefault="001062F2" w:rsidP="002B7612">
      <w:pPr>
        <w:pStyle w:val="NoSpacing"/>
        <w:rPr>
          <w:rFonts w:ascii="Times New Roman" w:hAnsi="Times New Roman" w:cs="Times New Roman"/>
          <w:sz w:val="25"/>
          <w:szCs w:val="25"/>
        </w:rPr>
      </w:pPr>
    </w:p>
    <w:p w14:paraId="2BD9B211" w14:textId="4971DB42" w:rsidR="00CC2851" w:rsidRDefault="00CC2851" w:rsidP="002B7612">
      <w:pPr>
        <w:pStyle w:val="NoSpacing"/>
        <w:rPr>
          <w:rFonts w:ascii="Times New Roman" w:hAnsi="Times New Roman" w:cs="Times New Roman"/>
          <w:sz w:val="25"/>
          <w:szCs w:val="25"/>
        </w:rPr>
      </w:pPr>
    </w:p>
    <w:p w14:paraId="2FF5604C" w14:textId="546F146F" w:rsidR="00CC2851" w:rsidRDefault="00CC2851" w:rsidP="002B7612">
      <w:pPr>
        <w:pStyle w:val="NoSpacing"/>
        <w:rPr>
          <w:rFonts w:ascii="Times New Roman" w:hAnsi="Times New Roman" w:cs="Times New Roman"/>
          <w:sz w:val="25"/>
          <w:szCs w:val="25"/>
        </w:rPr>
      </w:pPr>
    </w:p>
    <w:p w14:paraId="446FBA78" w14:textId="77777777" w:rsidR="00CC2851" w:rsidRPr="002E628C" w:rsidRDefault="00CC2851" w:rsidP="002B7612">
      <w:pPr>
        <w:pStyle w:val="NoSpacing"/>
        <w:rPr>
          <w:rFonts w:ascii="Times New Roman" w:hAnsi="Times New Roman" w:cs="Times New Roman"/>
          <w:sz w:val="25"/>
          <w:szCs w:val="25"/>
        </w:rPr>
      </w:pPr>
    </w:p>
    <w:p w14:paraId="157145C2" w14:textId="77777777" w:rsidR="006248B3" w:rsidRPr="002E628C" w:rsidRDefault="006248B3" w:rsidP="002B7612">
      <w:pPr>
        <w:pStyle w:val="NoSpacing"/>
        <w:rPr>
          <w:rFonts w:ascii="Times New Roman" w:hAnsi="Times New Roman" w:cs="Times New Roman"/>
          <w:sz w:val="25"/>
          <w:szCs w:val="25"/>
        </w:rPr>
      </w:pPr>
    </w:p>
    <w:p w14:paraId="2C44B6D0" w14:textId="2FE723A4" w:rsidR="002B7612" w:rsidRPr="002E628C" w:rsidRDefault="002B7612" w:rsidP="001062F2">
      <w:pPr>
        <w:pStyle w:val="NoSpacing"/>
        <w:jc w:val="center"/>
        <w:rPr>
          <w:rFonts w:ascii="Times New Roman" w:hAnsi="Times New Roman" w:cs="Times New Roman"/>
          <w:sz w:val="25"/>
          <w:szCs w:val="25"/>
        </w:rPr>
      </w:pPr>
      <w:r w:rsidRPr="002E628C">
        <w:rPr>
          <w:rFonts w:ascii="Times New Roman" w:hAnsi="Times New Roman" w:cs="Times New Roman"/>
          <w:sz w:val="25"/>
          <w:szCs w:val="25"/>
        </w:rPr>
        <w:t>Signed, dated and delivered at Ile du Port on 19 August 2022.</w:t>
      </w:r>
    </w:p>
    <w:sectPr w:rsidR="002B7612" w:rsidRPr="002E628C"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11D2" w14:textId="77777777" w:rsidR="004859BA" w:rsidRDefault="004859BA" w:rsidP="006A68E2">
      <w:pPr>
        <w:spacing w:after="0" w:line="240" w:lineRule="auto"/>
      </w:pPr>
      <w:r>
        <w:separator/>
      </w:r>
    </w:p>
  </w:endnote>
  <w:endnote w:type="continuationSeparator" w:id="0">
    <w:p w14:paraId="18E83DCC" w14:textId="77777777" w:rsidR="004859BA" w:rsidRDefault="004859B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04F50429" w:rsidR="00F33B83" w:rsidRDefault="00F33B83">
        <w:pPr>
          <w:pStyle w:val="Footer"/>
          <w:jc w:val="center"/>
        </w:pPr>
        <w:r>
          <w:fldChar w:fldCharType="begin"/>
        </w:r>
        <w:r>
          <w:instrText xml:space="preserve"> PAGE   \* MERGEFORMAT </w:instrText>
        </w:r>
        <w:r>
          <w:fldChar w:fldCharType="separate"/>
        </w:r>
        <w:r w:rsidR="003E3345">
          <w:rPr>
            <w:noProof/>
          </w:rPr>
          <w:t>7</w:t>
        </w:r>
        <w:r>
          <w:rPr>
            <w:noProof/>
          </w:rPr>
          <w:fldChar w:fldCharType="end"/>
        </w:r>
      </w:p>
    </w:sdtContent>
  </w:sdt>
  <w:p w14:paraId="42E7E79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653A" w14:textId="77777777" w:rsidR="004859BA" w:rsidRDefault="004859BA" w:rsidP="006A68E2">
      <w:pPr>
        <w:spacing w:after="0" w:line="240" w:lineRule="auto"/>
      </w:pPr>
      <w:r>
        <w:separator/>
      </w:r>
    </w:p>
  </w:footnote>
  <w:footnote w:type="continuationSeparator" w:id="0">
    <w:p w14:paraId="6BC4A574" w14:textId="77777777" w:rsidR="004859BA" w:rsidRDefault="004859B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FAA"/>
    <w:multiLevelType w:val="hybridMultilevel"/>
    <w:tmpl w:val="FFFC11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0E2D"/>
    <w:multiLevelType w:val="hybridMultilevel"/>
    <w:tmpl w:val="C42EB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506D08"/>
    <w:multiLevelType w:val="hybridMultilevel"/>
    <w:tmpl w:val="DAF0B406"/>
    <w:lvl w:ilvl="0" w:tplc="E766D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D40BE"/>
    <w:multiLevelType w:val="hybridMultilevel"/>
    <w:tmpl w:val="0C86C298"/>
    <w:lvl w:ilvl="0" w:tplc="49C80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D4843"/>
    <w:multiLevelType w:val="hybridMultilevel"/>
    <w:tmpl w:val="13C614F6"/>
    <w:lvl w:ilvl="0" w:tplc="7F38F6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15:restartNumberingAfterBreak="0">
    <w:nsid w:val="639B05EA"/>
    <w:multiLevelType w:val="hybridMultilevel"/>
    <w:tmpl w:val="B606A3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37AF6"/>
    <w:multiLevelType w:val="hybridMultilevel"/>
    <w:tmpl w:val="A1E8BCB2"/>
    <w:lvl w:ilvl="0" w:tplc="B2947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4"/>
  </w:num>
  <w:num w:numId="8">
    <w:abstractNumId w:val="11"/>
  </w:num>
  <w:num w:numId="9">
    <w:abstractNumId w:val="1"/>
  </w:num>
  <w:num w:numId="10">
    <w:abstractNumId w:val="11"/>
  </w:num>
  <w:num w:numId="11">
    <w:abstractNumId w:val="11"/>
  </w:num>
  <w:num w:numId="12">
    <w:abstractNumId w:val="13"/>
  </w:num>
  <w:num w:numId="13">
    <w:abstractNumId w:val="3"/>
  </w:num>
  <w:num w:numId="14">
    <w:abstractNumId w:val="16"/>
  </w:num>
  <w:num w:numId="15">
    <w:abstractNumId w:val="20"/>
  </w:num>
  <w:num w:numId="16">
    <w:abstractNumId w:val="19"/>
  </w:num>
  <w:num w:numId="17">
    <w:abstractNumId w:val="2"/>
  </w:num>
  <w:num w:numId="18">
    <w:abstractNumId w:val="9"/>
  </w:num>
  <w:num w:numId="19">
    <w:abstractNumId w:val="0"/>
  </w:num>
  <w:num w:numId="20">
    <w:abstractNumId w:val="15"/>
  </w:num>
  <w:num w:numId="21">
    <w:abstractNumId w:val="14"/>
  </w:num>
  <w:num w:numId="22">
    <w:abstractNumId w:val="1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13CC7"/>
    <w:rsid w:val="0001586F"/>
    <w:rsid w:val="00025CDF"/>
    <w:rsid w:val="000273BF"/>
    <w:rsid w:val="0003310B"/>
    <w:rsid w:val="00037DB6"/>
    <w:rsid w:val="00040193"/>
    <w:rsid w:val="0005252F"/>
    <w:rsid w:val="0006084B"/>
    <w:rsid w:val="00066A41"/>
    <w:rsid w:val="00071B84"/>
    <w:rsid w:val="00084661"/>
    <w:rsid w:val="0008560D"/>
    <w:rsid w:val="0009242F"/>
    <w:rsid w:val="00097D19"/>
    <w:rsid w:val="000A2A28"/>
    <w:rsid w:val="000A6600"/>
    <w:rsid w:val="000C0F36"/>
    <w:rsid w:val="000D5304"/>
    <w:rsid w:val="000D682F"/>
    <w:rsid w:val="000E29EA"/>
    <w:rsid w:val="000E4B9A"/>
    <w:rsid w:val="000E7303"/>
    <w:rsid w:val="000F6F28"/>
    <w:rsid w:val="001062F2"/>
    <w:rsid w:val="001135C2"/>
    <w:rsid w:val="00127131"/>
    <w:rsid w:val="00132BD9"/>
    <w:rsid w:val="00133216"/>
    <w:rsid w:val="001428B9"/>
    <w:rsid w:val="0014398F"/>
    <w:rsid w:val="001723B1"/>
    <w:rsid w:val="001C78EC"/>
    <w:rsid w:val="001D33D2"/>
    <w:rsid w:val="001D467D"/>
    <w:rsid w:val="001E2BFD"/>
    <w:rsid w:val="001E5FC7"/>
    <w:rsid w:val="001E7DBF"/>
    <w:rsid w:val="002015F8"/>
    <w:rsid w:val="00212006"/>
    <w:rsid w:val="0021402A"/>
    <w:rsid w:val="00214DB4"/>
    <w:rsid w:val="00216C6B"/>
    <w:rsid w:val="00220449"/>
    <w:rsid w:val="0022334C"/>
    <w:rsid w:val="00232425"/>
    <w:rsid w:val="00235626"/>
    <w:rsid w:val="00241691"/>
    <w:rsid w:val="00242A16"/>
    <w:rsid w:val="00243AE1"/>
    <w:rsid w:val="00246163"/>
    <w:rsid w:val="002565CA"/>
    <w:rsid w:val="00272AB4"/>
    <w:rsid w:val="00272B2A"/>
    <w:rsid w:val="002A0581"/>
    <w:rsid w:val="002B7612"/>
    <w:rsid w:val="002D0770"/>
    <w:rsid w:val="002D4EB8"/>
    <w:rsid w:val="002E1B4E"/>
    <w:rsid w:val="002E2AE3"/>
    <w:rsid w:val="002E628C"/>
    <w:rsid w:val="002F312B"/>
    <w:rsid w:val="003060C0"/>
    <w:rsid w:val="003109D8"/>
    <w:rsid w:val="00312C3D"/>
    <w:rsid w:val="003137B8"/>
    <w:rsid w:val="00330145"/>
    <w:rsid w:val="00333BAB"/>
    <w:rsid w:val="00344425"/>
    <w:rsid w:val="00346D7F"/>
    <w:rsid w:val="003615E7"/>
    <w:rsid w:val="00363415"/>
    <w:rsid w:val="00380619"/>
    <w:rsid w:val="00395F21"/>
    <w:rsid w:val="003A6C9E"/>
    <w:rsid w:val="003B0FE6"/>
    <w:rsid w:val="003C0146"/>
    <w:rsid w:val="003E2E94"/>
    <w:rsid w:val="003E3345"/>
    <w:rsid w:val="003F0F74"/>
    <w:rsid w:val="003F1FE8"/>
    <w:rsid w:val="003F550C"/>
    <w:rsid w:val="00403F4C"/>
    <w:rsid w:val="00405442"/>
    <w:rsid w:val="00405958"/>
    <w:rsid w:val="00407BE2"/>
    <w:rsid w:val="00412994"/>
    <w:rsid w:val="00416CAA"/>
    <w:rsid w:val="00422109"/>
    <w:rsid w:val="0043172F"/>
    <w:rsid w:val="00432D05"/>
    <w:rsid w:val="00437B54"/>
    <w:rsid w:val="00442D50"/>
    <w:rsid w:val="00460522"/>
    <w:rsid w:val="00461993"/>
    <w:rsid w:val="00463B4E"/>
    <w:rsid w:val="00472219"/>
    <w:rsid w:val="004859BA"/>
    <w:rsid w:val="004A2599"/>
    <w:rsid w:val="004B1E17"/>
    <w:rsid w:val="004C16E0"/>
    <w:rsid w:val="004F118A"/>
    <w:rsid w:val="00506B0D"/>
    <w:rsid w:val="005157BA"/>
    <w:rsid w:val="005232F7"/>
    <w:rsid w:val="005264CF"/>
    <w:rsid w:val="00547AD3"/>
    <w:rsid w:val="0057515A"/>
    <w:rsid w:val="005762A6"/>
    <w:rsid w:val="005812AD"/>
    <w:rsid w:val="00587025"/>
    <w:rsid w:val="005908DD"/>
    <w:rsid w:val="005914DF"/>
    <w:rsid w:val="00596D3E"/>
    <w:rsid w:val="005A5FCB"/>
    <w:rsid w:val="005B12AA"/>
    <w:rsid w:val="005B249A"/>
    <w:rsid w:val="005B5D7A"/>
    <w:rsid w:val="005C1BEF"/>
    <w:rsid w:val="0061354A"/>
    <w:rsid w:val="00615BDD"/>
    <w:rsid w:val="00620C29"/>
    <w:rsid w:val="006248B3"/>
    <w:rsid w:val="00635504"/>
    <w:rsid w:val="00650C31"/>
    <w:rsid w:val="00652326"/>
    <w:rsid w:val="00662CEA"/>
    <w:rsid w:val="006704EA"/>
    <w:rsid w:val="006830D0"/>
    <w:rsid w:val="006A652B"/>
    <w:rsid w:val="006A68E2"/>
    <w:rsid w:val="006B3E19"/>
    <w:rsid w:val="006D6E64"/>
    <w:rsid w:val="006E03D1"/>
    <w:rsid w:val="0070371E"/>
    <w:rsid w:val="00706045"/>
    <w:rsid w:val="00720584"/>
    <w:rsid w:val="00722761"/>
    <w:rsid w:val="007540DC"/>
    <w:rsid w:val="00760854"/>
    <w:rsid w:val="00772AB1"/>
    <w:rsid w:val="00786EFA"/>
    <w:rsid w:val="00793EDB"/>
    <w:rsid w:val="00796B89"/>
    <w:rsid w:val="007B1F36"/>
    <w:rsid w:val="007D164F"/>
    <w:rsid w:val="007D25FE"/>
    <w:rsid w:val="007F3AEA"/>
    <w:rsid w:val="008001C8"/>
    <w:rsid w:val="00832FC7"/>
    <w:rsid w:val="00833865"/>
    <w:rsid w:val="00834EB9"/>
    <w:rsid w:val="00842F3D"/>
    <w:rsid w:val="008577B7"/>
    <w:rsid w:val="008A0C1D"/>
    <w:rsid w:val="008A7897"/>
    <w:rsid w:val="008B4BE0"/>
    <w:rsid w:val="008C36CA"/>
    <w:rsid w:val="008C77B3"/>
    <w:rsid w:val="008D0CD6"/>
    <w:rsid w:val="008E7655"/>
    <w:rsid w:val="008E771B"/>
    <w:rsid w:val="009007AE"/>
    <w:rsid w:val="00911466"/>
    <w:rsid w:val="009457B7"/>
    <w:rsid w:val="009464D6"/>
    <w:rsid w:val="009475A2"/>
    <w:rsid w:val="009539C2"/>
    <w:rsid w:val="00971E86"/>
    <w:rsid w:val="009818B8"/>
    <w:rsid w:val="009858A3"/>
    <w:rsid w:val="00985A26"/>
    <w:rsid w:val="00994130"/>
    <w:rsid w:val="009A769C"/>
    <w:rsid w:val="009B1EB3"/>
    <w:rsid w:val="009B495E"/>
    <w:rsid w:val="009D7001"/>
    <w:rsid w:val="009F125D"/>
    <w:rsid w:val="00A0331F"/>
    <w:rsid w:val="00A2058F"/>
    <w:rsid w:val="00A40664"/>
    <w:rsid w:val="00A50074"/>
    <w:rsid w:val="00A54559"/>
    <w:rsid w:val="00A64D15"/>
    <w:rsid w:val="00AA2B90"/>
    <w:rsid w:val="00AB36C2"/>
    <w:rsid w:val="00AC4395"/>
    <w:rsid w:val="00AD30AB"/>
    <w:rsid w:val="00AF5527"/>
    <w:rsid w:val="00B03209"/>
    <w:rsid w:val="00B0337E"/>
    <w:rsid w:val="00B6539F"/>
    <w:rsid w:val="00B80595"/>
    <w:rsid w:val="00B950DF"/>
    <w:rsid w:val="00BA6533"/>
    <w:rsid w:val="00BB1A3E"/>
    <w:rsid w:val="00BB7A02"/>
    <w:rsid w:val="00BC73B1"/>
    <w:rsid w:val="00C2466E"/>
    <w:rsid w:val="00C2744C"/>
    <w:rsid w:val="00C5658E"/>
    <w:rsid w:val="00C5714A"/>
    <w:rsid w:val="00C70E41"/>
    <w:rsid w:val="00C97EA6"/>
    <w:rsid w:val="00CA766F"/>
    <w:rsid w:val="00CA775E"/>
    <w:rsid w:val="00CC2851"/>
    <w:rsid w:val="00CC437E"/>
    <w:rsid w:val="00CC47F7"/>
    <w:rsid w:val="00CD09C7"/>
    <w:rsid w:val="00CE12D9"/>
    <w:rsid w:val="00D02120"/>
    <w:rsid w:val="00D11D7E"/>
    <w:rsid w:val="00D31F1B"/>
    <w:rsid w:val="00D33DBF"/>
    <w:rsid w:val="00D42BD5"/>
    <w:rsid w:val="00D564FA"/>
    <w:rsid w:val="00D65194"/>
    <w:rsid w:val="00D710E7"/>
    <w:rsid w:val="00D72013"/>
    <w:rsid w:val="00D723EF"/>
    <w:rsid w:val="00D808C5"/>
    <w:rsid w:val="00D874E5"/>
    <w:rsid w:val="00D879F4"/>
    <w:rsid w:val="00D9420E"/>
    <w:rsid w:val="00DB14CD"/>
    <w:rsid w:val="00DE06AB"/>
    <w:rsid w:val="00DE41E3"/>
    <w:rsid w:val="00E13E93"/>
    <w:rsid w:val="00E15690"/>
    <w:rsid w:val="00E15AF9"/>
    <w:rsid w:val="00E1659A"/>
    <w:rsid w:val="00E26AE2"/>
    <w:rsid w:val="00E5054A"/>
    <w:rsid w:val="00E50CFE"/>
    <w:rsid w:val="00E5681B"/>
    <w:rsid w:val="00E60DF6"/>
    <w:rsid w:val="00E75DF6"/>
    <w:rsid w:val="00E87C8E"/>
    <w:rsid w:val="00EA74FF"/>
    <w:rsid w:val="00EC5E1A"/>
    <w:rsid w:val="00ED0BFC"/>
    <w:rsid w:val="00ED13A6"/>
    <w:rsid w:val="00EE6162"/>
    <w:rsid w:val="00EF13E2"/>
    <w:rsid w:val="00F00D7F"/>
    <w:rsid w:val="00F3037E"/>
    <w:rsid w:val="00F33B83"/>
    <w:rsid w:val="00F45C16"/>
    <w:rsid w:val="00F52851"/>
    <w:rsid w:val="00F616A4"/>
    <w:rsid w:val="00F61B9D"/>
    <w:rsid w:val="00F705C0"/>
    <w:rsid w:val="00F75781"/>
    <w:rsid w:val="00F80B9A"/>
    <w:rsid w:val="00F828AA"/>
    <w:rsid w:val="00FA1B9E"/>
    <w:rsid w:val="00FA3A90"/>
    <w:rsid w:val="00FA77BC"/>
    <w:rsid w:val="00FC7F89"/>
    <w:rsid w:val="00FD4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2635E59F-C605-4B7E-868A-CB202BE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FAD6-2D30-4792-BCD1-CB5A20FF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3</cp:revision>
  <cp:lastPrinted>2022-03-04T11:42:00Z</cp:lastPrinted>
  <dcterms:created xsi:type="dcterms:W3CDTF">2022-08-12T10:11:00Z</dcterms:created>
  <dcterms:modified xsi:type="dcterms:W3CDTF">2022-08-12T10:20:00Z</dcterms:modified>
</cp:coreProperties>
</file>