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509CA" w14:textId="77777777" w:rsidR="0042706F" w:rsidRPr="00ED11D9" w:rsidRDefault="0042706F" w:rsidP="0042706F">
      <w:pPr>
        <w:tabs>
          <w:tab w:val="left" w:pos="4092"/>
        </w:tabs>
        <w:spacing w:after="0" w:line="240" w:lineRule="auto"/>
        <w:rPr>
          <w:rFonts w:ascii="Times New Roman" w:hAnsi="Times New Roman" w:cs="Times New Roman"/>
          <w:b/>
          <w:sz w:val="24"/>
          <w:szCs w:val="24"/>
          <w:lang w:val="en-ZA"/>
        </w:rPr>
      </w:pPr>
    </w:p>
    <w:p w14:paraId="3695438E" w14:textId="77777777" w:rsidR="0042706F" w:rsidRPr="006F7935" w:rsidRDefault="0042706F" w:rsidP="0042706F">
      <w:pPr>
        <w:tabs>
          <w:tab w:val="left" w:pos="4092"/>
        </w:tabs>
        <w:spacing w:after="0" w:line="240" w:lineRule="auto"/>
        <w:jc w:val="center"/>
        <w:rPr>
          <w:rFonts w:ascii="Times New Roman" w:hAnsi="Times New Roman" w:cs="Times New Roman"/>
          <w:b/>
          <w:sz w:val="24"/>
          <w:szCs w:val="24"/>
          <w:lang w:val="en-ZA"/>
        </w:rPr>
      </w:pPr>
      <w:r w:rsidRPr="006F7935">
        <w:rPr>
          <w:rFonts w:ascii="Times New Roman" w:hAnsi="Times New Roman" w:cs="Times New Roman"/>
          <w:b/>
          <w:sz w:val="24"/>
          <w:szCs w:val="24"/>
          <w:lang w:val="en-ZA"/>
        </w:rPr>
        <w:t>IN THE COURT OF APPEAL OF SEYCHELLES</w:t>
      </w:r>
    </w:p>
    <w:p w14:paraId="174D68C5" w14:textId="77777777" w:rsidR="0042706F" w:rsidRPr="006F7935" w:rsidRDefault="0042706F" w:rsidP="0042706F">
      <w:pPr>
        <w:pBdr>
          <w:bottom w:val="single" w:sz="4" w:space="1" w:color="auto"/>
        </w:pBdr>
        <w:tabs>
          <w:tab w:val="left" w:pos="4092"/>
        </w:tabs>
        <w:spacing w:after="0" w:line="240" w:lineRule="auto"/>
        <w:rPr>
          <w:rFonts w:ascii="Times New Roman" w:hAnsi="Times New Roman" w:cs="Times New Roman"/>
          <w:b/>
          <w:sz w:val="24"/>
          <w:szCs w:val="24"/>
          <w:lang w:val="en-ZA"/>
        </w:rPr>
      </w:pPr>
    </w:p>
    <w:p w14:paraId="0FB8FA4D" w14:textId="77777777" w:rsidR="0042706F" w:rsidRPr="006F7935" w:rsidRDefault="0042706F" w:rsidP="0042706F">
      <w:pPr>
        <w:spacing w:after="0" w:line="240" w:lineRule="auto"/>
        <w:ind w:left="5580"/>
        <w:rPr>
          <w:rFonts w:ascii="Times New Roman" w:hAnsi="Times New Roman" w:cs="Times New Roman"/>
          <w:b/>
          <w:sz w:val="24"/>
          <w:szCs w:val="24"/>
          <w:u w:val="single"/>
          <w:lang w:val="en-ZA"/>
        </w:rPr>
      </w:pPr>
      <w:r w:rsidRPr="006F7935">
        <w:rPr>
          <w:rFonts w:ascii="Times New Roman" w:hAnsi="Times New Roman" w:cs="Times New Roman"/>
          <w:b/>
          <w:sz w:val="24"/>
          <w:szCs w:val="24"/>
          <w:u w:val="single"/>
          <w:lang w:val="en-ZA"/>
        </w:rPr>
        <w:t>Reportable</w:t>
      </w:r>
    </w:p>
    <w:p w14:paraId="44F64F40" w14:textId="77777777" w:rsidR="00916369" w:rsidRDefault="00D13BAA" w:rsidP="0042706F">
      <w:pPr>
        <w:spacing w:after="0" w:line="240" w:lineRule="auto"/>
        <w:ind w:left="5580"/>
        <w:rPr>
          <w:rFonts w:ascii="Times New Roman" w:hAnsi="Times New Roman" w:cs="Times New Roman"/>
          <w:sz w:val="24"/>
          <w:szCs w:val="24"/>
          <w:lang w:val="en-ZA"/>
        </w:rPr>
      </w:pPr>
      <w:r w:rsidRPr="006F7935">
        <w:rPr>
          <w:rFonts w:ascii="Times New Roman" w:hAnsi="Times New Roman" w:cs="Times New Roman"/>
          <w:sz w:val="24"/>
          <w:szCs w:val="24"/>
          <w:lang w:val="en-ZA"/>
        </w:rPr>
        <w:t xml:space="preserve">[2022] Civil Appeal SCA </w:t>
      </w:r>
      <w:r w:rsidR="009A3238">
        <w:rPr>
          <w:rFonts w:ascii="Times New Roman" w:hAnsi="Times New Roman" w:cs="Times New Roman"/>
          <w:sz w:val="24"/>
          <w:szCs w:val="24"/>
          <w:lang w:val="en-ZA"/>
        </w:rPr>
        <w:t>25</w:t>
      </w:r>
      <w:r w:rsidRPr="006F7935">
        <w:rPr>
          <w:rFonts w:ascii="Times New Roman" w:hAnsi="Times New Roman" w:cs="Times New Roman"/>
          <w:sz w:val="24"/>
          <w:szCs w:val="24"/>
          <w:lang w:val="en-ZA"/>
        </w:rPr>
        <w:t>/2020</w:t>
      </w:r>
      <w:r w:rsidR="00D013BB" w:rsidRPr="006F7935">
        <w:rPr>
          <w:rFonts w:ascii="Times New Roman" w:hAnsi="Times New Roman" w:cs="Times New Roman"/>
          <w:sz w:val="24"/>
          <w:szCs w:val="24"/>
          <w:lang w:val="en-ZA"/>
        </w:rPr>
        <w:t xml:space="preserve"> </w:t>
      </w:r>
    </w:p>
    <w:p w14:paraId="4667204F" w14:textId="2B448EE3" w:rsidR="0042706F" w:rsidRPr="006F7935" w:rsidRDefault="00916369" w:rsidP="0042706F">
      <w:pPr>
        <w:spacing w:after="0" w:line="240" w:lineRule="auto"/>
        <w:ind w:left="5580"/>
        <w:rPr>
          <w:rFonts w:ascii="Times New Roman" w:hAnsi="Times New Roman" w:cs="Times New Roman"/>
          <w:sz w:val="24"/>
          <w:szCs w:val="24"/>
          <w:lang w:val="en-ZA"/>
        </w:rPr>
      </w:pPr>
      <w:r>
        <w:rPr>
          <w:rFonts w:ascii="Times New Roman" w:hAnsi="Times New Roman" w:cs="Times New Roman"/>
          <w:sz w:val="24"/>
          <w:szCs w:val="24"/>
          <w:lang w:val="en-ZA"/>
        </w:rPr>
        <w:t xml:space="preserve">SCCA 46 </w:t>
      </w:r>
      <w:r w:rsidR="00D013BB" w:rsidRPr="006F7935">
        <w:rPr>
          <w:rFonts w:ascii="Times New Roman" w:hAnsi="Times New Roman" w:cs="Times New Roman"/>
          <w:sz w:val="24"/>
          <w:szCs w:val="24"/>
          <w:lang w:val="en-ZA"/>
        </w:rPr>
        <w:t>(</w:t>
      </w:r>
      <w:r>
        <w:rPr>
          <w:rFonts w:ascii="Times New Roman" w:hAnsi="Times New Roman" w:cs="Times New Roman"/>
          <w:sz w:val="24"/>
          <w:szCs w:val="24"/>
          <w:lang w:val="en-ZA"/>
        </w:rPr>
        <w:t>19</w:t>
      </w:r>
      <w:r w:rsidR="0042706F" w:rsidRPr="006F7935">
        <w:rPr>
          <w:rFonts w:ascii="Times New Roman" w:hAnsi="Times New Roman" w:cs="Times New Roman"/>
          <w:sz w:val="24"/>
          <w:szCs w:val="24"/>
          <w:lang w:val="en-ZA"/>
        </w:rPr>
        <w:t xml:space="preserve"> </w:t>
      </w:r>
      <w:r w:rsidR="00D013BB" w:rsidRPr="006F7935">
        <w:rPr>
          <w:rFonts w:ascii="Times New Roman" w:hAnsi="Times New Roman" w:cs="Times New Roman"/>
          <w:sz w:val="24"/>
          <w:szCs w:val="24"/>
          <w:lang w:val="en-ZA"/>
        </w:rPr>
        <w:t>August</w:t>
      </w:r>
      <w:r w:rsidR="0042706F" w:rsidRPr="006F7935">
        <w:rPr>
          <w:rFonts w:ascii="Times New Roman" w:hAnsi="Times New Roman" w:cs="Times New Roman"/>
          <w:sz w:val="24"/>
          <w:szCs w:val="24"/>
          <w:lang w:val="en-ZA"/>
        </w:rPr>
        <w:t xml:space="preserve"> 2022)</w:t>
      </w:r>
    </w:p>
    <w:p w14:paraId="009790CD" w14:textId="77777777" w:rsidR="00916369" w:rsidRDefault="00D013BB" w:rsidP="00D013BB">
      <w:pPr>
        <w:spacing w:after="0" w:line="240" w:lineRule="auto"/>
        <w:ind w:left="5580"/>
        <w:rPr>
          <w:rFonts w:ascii="Times New Roman" w:hAnsi="Times New Roman" w:cs="Times New Roman"/>
          <w:sz w:val="24"/>
          <w:szCs w:val="24"/>
          <w:lang w:val="en-ZA"/>
        </w:rPr>
      </w:pPr>
      <w:r w:rsidRPr="006F7935">
        <w:rPr>
          <w:rFonts w:ascii="Times New Roman" w:hAnsi="Times New Roman" w:cs="Times New Roman"/>
          <w:sz w:val="24"/>
          <w:szCs w:val="24"/>
          <w:lang w:val="en-ZA"/>
        </w:rPr>
        <w:t xml:space="preserve">(Arising in </w:t>
      </w:r>
      <w:r w:rsidR="00D13BAA" w:rsidRPr="006F7935">
        <w:rPr>
          <w:rFonts w:ascii="Times New Roman" w:hAnsi="Times New Roman" w:cs="Times New Roman"/>
          <w:sz w:val="24"/>
          <w:szCs w:val="24"/>
          <w:lang w:val="en-ZA"/>
        </w:rPr>
        <w:t xml:space="preserve">CS </w:t>
      </w:r>
      <w:r w:rsidR="009A3238">
        <w:rPr>
          <w:rFonts w:ascii="Times New Roman" w:hAnsi="Times New Roman" w:cs="Times New Roman"/>
          <w:sz w:val="24"/>
          <w:szCs w:val="24"/>
          <w:lang w:val="en-ZA"/>
        </w:rPr>
        <w:t>13/</w:t>
      </w:r>
      <w:r w:rsidR="00D13BAA" w:rsidRPr="006F7935">
        <w:rPr>
          <w:rFonts w:ascii="Times New Roman" w:hAnsi="Times New Roman" w:cs="Times New Roman"/>
          <w:sz w:val="24"/>
          <w:szCs w:val="24"/>
          <w:lang w:val="en-ZA"/>
        </w:rPr>
        <w:t>201</w:t>
      </w:r>
      <w:r w:rsidR="009A3238">
        <w:rPr>
          <w:rFonts w:ascii="Times New Roman" w:hAnsi="Times New Roman" w:cs="Times New Roman"/>
          <w:sz w:val="24"/>
          <w:szCs w:val="24"/>
          <w:lang w:val="en-ZA"/>
        </w:rPr>
        <w:t>9</w:t>
      </w:r>
      <w:r w:rsidR="00D13BAA" w:rsidRPr="006F7935">
        <w:rPr>
          <w:rFonts w:ascii="Times New Roman" w:hAnsi="Times New Roman" w:cs="Times New Roman"/>
          <w:sz w:val="24"/>
          <w:szCs w:val="24"/>
          <w:lang w:val="en-ZA"/>
        </w:rPr>
        <w:t xml:space="preserve"> [2020]</w:t>
      </w:r>
    </w:p>
    <w:p w14:paraId="0DF6813D" w14:textId="002A5F07" w:rsidR="00ED11D9" w:rsidRPr="006F7935" w:rsidRDefault="00D13BAA" w:rsidP="00D013BB">
      <w:pPr>
        <w:spacing w:after="0" w:line="240" w:lineRule="auto"/>
        <w:ind w:left="5580"/>
        <w:rPr>
          <w:rFonts w:ascii="Times New Roman" w:hAnsi="Times New Roman" w:cs="Times New Roman"/>
          <w:sz w:val="24"/>
          <w:szCs w:val="24"/>
          <w:lang w:val="en-ZA"/>
        </w:rPr>
      </w:pPr>
      <w:r w:rsidRPr="006F7935">
        <w:rPr>
          <w:rFonts w:ascii="Times New Roman" w:hAnsi="Times New Roman" w:cs="Times New Roman"/>
          <w:sz w:val="24"/>
          <w:szCs w:val="24"/>
          <w:lang w:val="en-ZA"/>
        </w:rPr>
        <w:t xml:space="preserve">SCSC </w:t>
      </w:r>
      <w:r w:rsidR="009A3238">
        <w:rPr>
          <w:rFonts w:ascii="Times New Roman" w:hAnsi="Times New Roman" w:cs="Times New Roman"/>
          <w:sz w:val="24"/>
          <w:szCs w:val="24"/>
          <w:lang w:val="en-ZA"/>
        </w:rPr>
        <w:t>182</w:t>
      </w:r>
      <w:r w:rsidRPr="006F7935">
        <w:rPr>
          <w:rFonts w:ascii="Times New Roman" w:hAnsi="Times New Roman" w:cs="Times New Roman"/>
          <w:sz w:val="24"/>
          <w:szCs w:val="24"/>
          <w:lang w:val="en-ZA"/>
        </w:rPr>
        <w:t>)</w:t>
      </w:r>
      <w:r w:rsidR="00ED11D9" w:rsidRPr="006F7935">
        <w:rPr>
          <w:rFonts w:ascii="Times New Roman" w:hAnsi="Times New Roman" w:cs="Times New Roman"/>
          <w:sz w:val="24"/>
          <w:szCs w:val="24"/>
          <w:lang w:val="en-ZA"/>
        </w:rPr>
        <w:t xml:space="preserve"> </w:t>
      </w:r>
    </w:p>
    <w:p w14:paraId="6D74D79E" w14:textId="77777777" w:rsidR="00D013BB" w:rsidRPr="006F7935" w:rsidRDefault="00D013BB" w:rsidP="00D013BB">
      <w:pPr>
        <w:spacing w:after="0" w:line="240" w:lineRule="auto"/>
        <w:ind w:left="5580"/>
        <w:rPr>
          <w:rFonts w:ascii="Times New Roman" w:hAnsi="Times New Roman" w:cs="Times New Roman"/>
          <w:sz w:val="24"/>
          <w:szCs w:val="24"/>
          <w:lang w:val="en-ZA"/>
        </w:rPr>
      </w:pPr>
    </w:p>
    <w:p w14:paraId="401DDE9E" w14:textId="748C4ABC" w:rsidR="0042706F" w:rsidRPr="006F7935" w:rsidRDefault="0042706F" w:rsidP="0042706F">
      <w:pPr>
        <w:spacing w:after="0" w:line="240" w:lineRule="auto"/>
        <w:rPr>
          <w:rFonts w:ascii="Times New Roman" w:hAnsi="Times New Roman" w:cs="Times New Roman"/>
          <w:sz w:val="24"/>
          <w:szCs w:val="24"/>
          <w:lang w:val="en-ZA"/>
        </w:rPr>
      </w:pPr>
      <w:r w:rsidRPr="006F7935">
        <w:rPr>
          <w:rFonts w:ascii="Times New Roman" w:hAnsi="Times New Roman" w:cs="Times New Roman"/>
          <w:sz w:val="24"/>
          <w:szCs w:val="24"/>
          <w:lang w:val="en-ZA"/>
        </w:rPr>
        <w:t xml:space="preserve">In the </w:t>
      </w:r>
      <w:r w:rsidR="00223675" w:rsidRPr="006F7935">
        <w:rPr>
          <w:rFonts w:ascii="Times New Roman" w:hAnsi="Times New Roman" w:cs="Times New Roman"/>
          <w:sz w:val="24"/>
          <w:szCs w:val="24"/>
          <w:lang w:val="en-ZA"/>
        </w:rPr>
        <w:t>m</w:t>
      </w:r>
      <w:r w:rsidRPr="006F7935">
        <w:rPr>
          <w:rFonts w:ascii="Times New Roman" w:hAnsi="Times New Roman" w:cs="Times New Roman"/>
          <w:sz w:val="24"/>
          <w:szCs w:val="24"/>
          <w:lang w:val="en-ZA"/>
        </w:rPr>
        <w:t xml:space="preserve">atter </w:t>
      </w:r>
      <w:r w:rsidR="00916369">
        <w:rPr>
          <w:rFonts w:ascii="Times New Roman" w:hAnsi="Times New Roman" w:cs="Times New Roman"/>
          <w:sz w:val="24"/>
          <w:szCs w:val="24"/>
          <w:lang w:val="en-ZA"/>
        </w:rPr>
        <w:t>b</w:t>
      </w:r>
      <w:r w:rsidRPr="006F7935">
        <w:rPr>
          <w:rFonts w:ascii="Times New Roman" w:hAnsi="Times New Roman" w:cs="Times New Roman"/>
          <w:sz w:val="24"/>
          <w:szCs w:val="24"/>
          <w:lang w:val="en-ZA"/>
        </w:rPr>
        <w:t>etween</w:t>
      </w:r>
    </w:p>
    <w:p w14:paraId="54F23A59" w14:textId="77777777" w:rsidR="0042706F" w:rsidRPr="006F7935" w:rsidRDefault="0042706F" w:rsidP="0042706F">
      <w:pPr>
        <w:spacing w:after="0" w:line="240" w:lineRule="auto"/>
        <w:rPr>
          <w:rFonts w:ascii="Times New Roman" w:hAnsi="Times New Roman" w:cs="Times New Roman"/>
          <w:sz w:val="24"/>
          <w:szCs w:val="24"/>
          <w:lang w:val="en-ZA"/>
        </w:rPr>
      </w:pPr>
    </w:p>
    <w:p w14:paraId="6BB55833" w14:textId="4080079C" w:rsidR="0042706F" w:rsidRPr="006F7935" w:rsidRDefault="009A3238" w:rsidP="0042706F">
      <w:pPr>
        <w:tabs>
          <w:tab w:val="left" w:pos="5580"/>
        </w:tabs>
        <w:spacing w:after="0" w:line="240" w:lineRule="auto"/>
        <w:rPr>
          <w:rFonts w:ascii="Times New Roman" w:hAnsi="Times New Roman" w:cs="Times New Roman"/>
          <w:b/>
          <w:sz w:val="24"/>
          <w:szCs w:val="24"/>
          <w:lang w:val="en-ZA"/>
        </w:rPr>
      </w:pPr>
      <w:r>
        <w:rPr>
          <w:rFonts w:ascii="Times New Roman" w:hAnsi="Times New Roman" w:cs="Times New Roman"/>
          <w:b/>
          <w:sz w:val="24"/>
          <w:szCs w:val="24"/>
          <w:lang w:val="en-ZA"/>
        </w:rPr>
        <w:t>JEFFREY PAYET</w:t>
      </w:r>
      <w:r w:rsidR="0042706F" w:rsidRPr="006F7935">
        <w:rPr>
          <w:rFonts w:ascii="Times New Roman" w:hAnsi="Times New Roman" w:cs="Times New Roman"/>
          <w:b/>
          <w:sz w:val="24"/>
          <w:szCs w:val="24"/>
          <w:lang w:val="en-ZA"/>
        </w:rPr>
        <w:tab/>
      </w:r>
      <w:r w:rsidR="0042706F" w:rsidRPr="006F7935">
        <w:rPr>
          <w:rFonts w:ascii="Times New Roman" w:hAnsi="Times New Roman" w:cs="Times New Roman"/>
          <w:b/>
          <w:sz w:val="24"/>
          <w:szCs w:val="24"/>
          <w:lang w:val="en-ZA"/>
        </w:rPr>
        <w:tab/>
      </w:r>
      <w:r w:rsidR="0042706F" w:rsidRPr="006F7935">
        <w:rPr>
          <w:rFonts w:ascii="Times New Roman" w:hAnsi="Times New Roman" w:cs="Times New Roman"/>
          <w:b/>
          <w:sz w:val="24"/>
          <w:szCs w:val="24"/>
          <w:lang w:val="en-ZA"/>
        </w:rPr>
        <w:tab/>
      </w:r>
      <w:r w:rsidR="00E80B1E" w:rsidRPr="006F7935">
        <w:rPr>
          <w:rFonts w:ascii="Times New Roman" w:hAnsi="Times New Roman" w:cs="Times New Roman"/>
          <w:b/>
          <w:sz w:val="24"/>
          <w:szCs w:val="24"/>
          <w:lang w:val="en-ZA"/>
        </w:rPr>
        <w:t>APPELLANT</w:t>
      </w:r>
      <w:r w:rsidR="0042706F" w:rsidRPr="006F7935">
        <w:rPr>
          <w:rFonts w:ascii="Times New Roman" w:hAnsi="Times New Roman" w:cs="Times New Roman"/>
          <w:sz w:val="24"/>
          <w:szCs w:val="24"/>
          <w:lang w:val="en-ZA"/>
        </w:rPr>
        <w:tab/>
      </w:r>
      <w:r w:rsidR="00331A9C" w:rsidRPr="006F7935">
        <w:rPr>
          <w:rFonts w:ascii="Times New Roman" w:hAnsi="Times New Roman" w:cs="Times New Roman"/>
          <w:b/>
          <w:sz w:val="24"/>
          <w:szCs w:val="24"/>
          <w:lang w:val="en-ZA"/>
        </w:rPr>
        <w:tab/>
      </w:r>
    </w:p>
    <w:p w14:paraId="27057DA3" w14:textId="451BFB2B" w:rsidR="0042706F" w:rsidRPr="006F7935" w:rsidRDefault="00E80B1E" w:rsidP="0042706F">
      <w:pPr>
        <w:spacing w:after="0" w:line="240" w:lineRule="auto"/>
        <w:rPr>
          <w:rFonts w:ascii="Times New Roman" w:hAnsi="Times New Roman" w:cs="Times New Roman"/>
          <w:sz w:val="24"/>
          <w:szCs w:val="24"/>
          <w:lang w:val="en-ZA"/>
        </w:rPr>
      </w:pPr>
      <w:r w:rsidRPr="006F7935">
        <w:rPr>
          <w:rFonts w:ascii="Times New Roman" w:hAnsi="Times New Roman" w:cs="Times New Roman"/>
          <w:i/>
          <w:sz w:val="24"/>
          <w:szCs w:val="24"/>
          <w:lang w:val="en-ZA"/>
        </w:rPr>
        <w:t>(</w:t>
      </w:r>
      <w:proofErr w:type="gramStart"/>
      <w:r w:rsidRPr="006F7935">
        <w:rPr>
          <w:rFonts w:ascii="Times New Roman" w:hAnsi="Times New Roman" w:cs="Times New Roman"/>
          <w:i/>
          <w:sz w:val="24"/>
          <w:szCs w:val="24"/>
          <w:lang w:val="en-ZA"/>
        </w:rPr>
        <w:t>rep</w:t>
      </w:r>
      <w:proofErr w:type="gramEnd"/>
      <w:r w:rsidRPr="006F7935">
        <w:rPr>
          <w:rFonts w:ascii="Times New Roman" w:hAnsi="Times New Roman" w:cs="Times New Roman"/>
          <w:i/>
          <w:sz w:val="24"/>
          <w:szCs w:val="24"/>
          <w:lang w:val="en-ZA"/>
        </w:rPr>
        <w:t xml:space="preserve">. by Mr. </w:t>
      </w:r>
      <w:r w:rsidR="009A3238">
        <w:rPr>
          <w:rFonts w:ascii="Times New Roman" w:hAnsi="Times New Roman" w:cs="Times New Roman"/>
          <w:i/>
          <w:sz w:val="24"/>
          <w:szCs w:val="24"/>
          <w:lang w:val="en-ZA"/>
        </w:rPr>
        <w:t>B</w:t>
      </w:r>
      <w:r w:rsidR="00916369">
        <w:rPr>
          <w:rFonts w:ascii="Times New Roman" w:hAnsi="Times New Roman" w:cs="Times New Roman"/>
          <w:i/>
          <w:sz w:val="24"/>
          <w:szCs w:val="24"/>
          <w:lang w:val="en-ZA"/>
        </w:rPr>
        <w:t>asil</w:t>
      </w:r>
      <w:r w:rsidR="00757DDE" w:rsidRPr="006F7935">
        <w:rPr>
          <w:rFonts w:ascii="Times New Roman" w:hAnsi="Times New Roman" w:cs="Times New Roman"/>
          <w:i/>
          <w:sz w:val="24"/>
          <w:szCs w:val="24"/>
          <w:lang w:val="en-ZA"/>
        </w:rPr>
        <w:t xml:space="preserve"> </w:t>
      </w:r>
      <w:r w:rsidR="009A3238">
        <w:rPr>
          <w:rFonts w:ascii="Times New Roman" w:hAnsi="Times New Roman" w:cs="Times New Roman"/>
          <w:i/>
          <w:sz w:val="24"/>
          <w:szCs w:val="24"/>
          <w:lang w:val="en-ZA"/>
        </w:rPr>
        <w:t>Hoareau</w:t>
      </w:r>
      <w:r w:rsidR="0042706F" w:rsidRPr="006F7935">
        <w:rPr>
          <w:rFonts w:ascii="Times New Roman" w:hAnsi="Times New Roman" w:cs="Times New Roman"/>
          <w:i/>
          <w:sz w:val="24"/>
          <w:szCs w:val="24"/>
          <w:lang w:val="en-ZA"/>
        </w:rPr>
        <w:t>)</w:t>
      </w:r>
      <w:r w:rsidR="0042706F" w:rsidRPr="006F7935">
        <w:rPr>
          <w:rFonts w:ascii="Times New Roman" w:hAnsi="Times New Roman" w:cs="Times New Roman"/>
          <w:sz w:val="24"/>
          <w:szCs w:val="24"/>
          <w:lang w:val="en-ZA"/>
        </w:rPr>
        <w:tab/>
      </w:r>
    </w:p>
    <w:p w14:paraId="18B19947" w14:textId="77777777" w:rsidR="0042706F" w:rsidRPr="006F7935" w:rsidRDefault="0042706F" w:rsidP="0042706F">
      <w:pPr>
        <w:spacing w:after="0" w:line="240" w:lineRule="auto"/>
        <w:rPr>
          <w:rFonts w:ascii="Times New Roman" w:hAnsi="Times New Roman" w:cs="Times New Roman"/>
          <w:sz w:val="24"/>
          <w:szCs w:val="24"/>
          <w:lang w:val="en-ZA"/>
        </w:rPr>
      </w:pPr>
      <w:r w:rsidRPr="006F7935">
        <w:rPr>
          <w:rFonts w:ascii="Times New Roman" w:hAnsi="Times New Roman" w:cs="Times New Roman"/>
          <w:sz w:val="24"/>
          <w:szCs w:val="24"/>
          <w:lang w:val="en-ZA"/>
        </w:rPr>
        <w:tab/>
      </w:r>
      <w:r w:rsidRPr="006F7935">
        <w:rPr>
          <w:rFonts w:ascii="Times New Roman" w:hAnsi="Times New Roman" w:cs="Times New Roman"/>
          <w:sz w:val="24"/>
          <w:szCs w:val="24"/>
          <w:lang w:val="en-ZA"/>
        </w:rPr>
        <w:tab/>
      </w:r>
      <w:r w:rsidRPr="006F7935">
        <w:rPr>
          <w:rFonts w:ascii="Times New Roman" w:hAnsi="Times New Roman" w:cs="Times New Roman"/>
          <w:sz w:val="24"/>
          <w:szCs w:val="24"/>
          <w:lang w:val="en-ZA"/>
        </w:rPr>
        <w:tab/>
      </w:r>
      <w:r w:rsidRPr="006F7935">
        <w:rPr>
          <w:rFonts w:ascii="Times New Roman" w:hAnsi="Times New Roman" w:cs="Times New Roman"/>
          <w:sz w:val="24"/>
          <w:szCs w:val="24"/>
          <w:lang w:val="en-ZA"/>
        </w:rPr>
        <w:tab/>
      </w:r>
      <w:r w:rsidRPr="006F7935">
        <w:rPr>
          <w:rFonts w:ascii="Times New Roman" w:hAnsi="Times New Roman" w:cs="Times New Roman"/>
          <w:sz w:val="24"/>
          <w:szCs w:val="24"/>
          <w:lang w:val="en-ZA"/>
        </w:rPr>
        <w:tab/>
      </w:r>
    </w:p>
    <w:p w14:paraId="70520212" w14:textId="77777777" w:rsidR="0042706F" w:rsidRPr="006F7935" w:rsidRDefault="0042706F" w:rsidP="0042706F">
      <w:pPr>
        <w:tabs>
          <w:tab w:val="left" w:pos="540"/>
          <w:tab w:val="left" w:pos="4092"/>
          <w:tab w:val="left" w:pos="5580"/>
        </w:tabs>
        <w:spacing w:after="0" w:line="240" w:lineRule="auto"/>
        <w:rPr>
          <w:rFonts w:ascii="Times New Roman" w:hAnsi="Times New Roman" w:cs="Times New Roman"/>
          <w:sz w:val="24"/>
          <w:szCs w:val="24"/>
          <w:lang w:val="en-ZA"/>
        </w:rPr>
      </w:pPr>
      <w:r w:rsidRPr="006F7935">
        <w:rPr>
          <w:rFonts w:ascii="Times New Roman" w:hAnsi="Times New Roman" w:cs="Times New Roman"/>
          <w:sz w:val="24"/>
          <w:szCs w:val="24"/>
          <w:lang w:val="en-ZA"/>
        </w:rPr>
        <w:t>And</w:t>
      </w:r>
    </w:p>
    <w:p w14:paraId="15265F1B" w14:textId="77777777" w:rsidR="0042706F" w:rsidRPr="006F7935" w:rsidRDefault="0042706F" w:rsidP="0042706F">
      <w:pPr>
        <w:tabs>
          <w:tab w:val="left" w:pos="540"/>
          <w:tab w:val="left" w:pos="4092"/>
          <w:tab w:val="left" w:pos="5580"/>
        </w:tabs>
        <w:spacing w:after="0" w:line="240" w:lineRule="auto"/>
        <w:rPr>
          <w:rFonts w:ascii="Times New Roman" w:hAnsi="Times New Roman" w:cs="Times New Roman"/>
          <w:sz w:val="24"/>
          <w:szCs w:val="24"/>
          <w:lang w:val="en-ZA"/>
        </w:rPr>
      </w:pPr>
    </w:p>
    <w:p w14:paraId="40FDCBD3" w14:textId="39482D15" w:rsidR="0042706F" w:rsidRDefault="009A3238" w:rsidP="00757DDE">
      <w:pPr>
        <w:tabs>
          <w:tab w:val="left" w:pos="540"/>
          <w:tab w:val="left" w:pos="5580"/>
        </w:tabs>
        <w:rPr>
          <w:rFonts w:ascii="Times New Roman" w:hAnsi="Times New Roman" w:cs="Times New Roman"/>
          <w:b/>
          <w:sz w:val="24"/>
          <w:szCs w:val="24"/>
          <w:lang w:val="en-ZA"/>
        </w:rPr>
      </w:pPr>
      <w:r>
        <w:rPr>
          <w:rFonts w:ascii="Times New Roman" w:hAnsi="Times New Roman" w:cs="Times New Roman"/>
          <w:b/>
          <w:sz w:val="24"/>
          <w:szCs w:val="24"/>
          <w:lang w:val="en-ZA"/>
        </w:rPr>
        <w:t>GEORGE PAYET</w:t>
      </w:r>
      <w:r w:rsidR="00331A9C" w:rsidRPr="006F7935">
        <w:rPr>
          <w:rFonts w:ascii="Times New Roman" w:hAnsi="Times New Roman" w:cs="Times New Roman"/>
          <w:b/>
          <w:sz w:val="24"/>
          <w:szCs w:val="24"/>
          <w:lang w:val="en-ZA"/>
        </w:rPr>
        <w:tab/>
      </w:r>
      <w:r w:rsidR="00331A9C" w:rsidRPr="006F7935">
        <w:rPr>
          <w:rFonts w:ascii="Times New Roman" w:hAnsi="Times New Roman" w:cs="Times New Roman"/>
          <w:b/>
          <w:sz w:val="24"/>
          <w:szCs w:val="24"/>
          <w:lang w:val="en-ZA"/>
        </w:rPr>
        <w:tab/>
      </w:r>
      <w:r w:rsidR="00331A9C" w:rsidRPr="006F7935">
        <w:rPr>
          <w:rFonts w:ascii="Times New Roman" w:hAnsi="Times New Roman" w:cs="Times New Roman"/>
          <w:b/>
          <w:sz w:val="24"/>
          <w:szCs w:val="24"/>
          <w:lang w:val="en-ZA"/>
        </w:rPr>
        <w:tab/>
      </w:r>
      <w:r>
        <w:rPr>
          <w:rFonts w:ascii="Times New Roman" w:hAnsi="Times New Roman" w:cs="Times New Roman"/>
          <w:b/>
          <w:sz w:val="24"/>
          <w:szCs w:val="24"/>
          <w:lang w:val="en-ZA"/>
        </w:rPr>
        <w:t>1</w:t>
      </w:r>
      <w:r w:rsidRPr="009A3238">
        <w:rPr>
          <w:rFonts w:ascii="Times New Roman" w:hAnsi="Times New Roman" w:cs="Times New Roman"/>
          <w:b/>
          <w:sz w:val="24"/>
          <w:szCs w:val="24"/>
          <w:vertAlign w:val="superscript"/>
          <w:lang w:val="en-ZA"/>
        </w:rPr>
        <w:t>ST</w:t>
      </w:r>
      <w:r>
        <w:rPr>
          <w:rFonts w:ascii="Times New Roman" w:hAnsi="Times New Roman" w:cs="Times New Roman"/>
          <w:b/>
          <w:sz w:val="24"/>
          <w:szCs w:val="24"/>
          <w:lang w:val="en-ZA"/>
        </w:rPr>
        <w:t xml:space="preserve"> </w:t>
      </w:r>
      <w:r w:rsidR="00E80B1E" w:rsidRPr="006F7935">
        <w:rPr>
          <w:rFonts w:ascii="Times New Roman" w:hAnsi="Times New Roman" w:cs="Times New Roman"/>
          <w:b/>
          <w:sz w:val="24"/>
          <w:szCs w:val="24"/>
          <w:lang w:val="en-ZA"/>
        </w:rPr>
        <w:t>RESPONDENT</w:t>
      </w:r>
    </w:p>
    <w:p w14:paraId="580F1C13" w14:textId="4A05B842" w:rsidR="009A3238" w:rsidRDefault="009A3238" w:rsidP="00757DDE">
      <w:pPr>
        <w:tabs>
          <w:tab w:val="left" w:pos="540"/>
          <w:tab w:val="left" w:pos="5580"/>
        </w:tabs>
        <w:rPr>
          <w:rFonts w:ascii="Times New Roman" w:hAnsi="Times New Roman" w:cs="Times New Roman"/>
          <w:b/>
          <w:sz w:val="24"/>
          <w:szCs w:val="24"/>
          <w:lang w:val="en-ZA"/>
        </w:rPr>
      </w:pPr>
      <w:r>
        <w:rPr>
          <w:rFonts w:ascii="Times New Roman" w:hAnsi="Times New Roman" w:cs="Times New Roman"/>
          <w:b/>
          <w:sz w:val="24"/>
          <w:szCs w:val="24"/>
          <w:lang w:val="en-ZA"/>
        </w:rPr>
        <w:t>EDDY PAYET</w:t>
      </w:r>
      <w:r>
        <w:rPr>
          <w:rFonts w:ascii="Times New Roman" w:hAnsi="Times New Roman" w:cs="Times New Roman"/>
          <w:b/>
          <w:sz w:val="24"/>
          <w:szCs w:val="24"/>
          <w:lang w:val="en-ZA"/>
        </w:rPr>
        <w:tab/>
      </w:r>
      <w:r>
        <w:rPr>
          <w:rFonts w:ascii="Times New Roman" w:hAnsi="Times New Roman" w:cs="Times New Roman"/>
          <w:b/>
          <w:sz w:val="24"/>
          <w:szCs w:val="24"/>
          <w:lang w:val="en-ZA"/>
        </w:rPr>
        <w:tab/>
      </w:r>
      <w:r>
        <w:rPr>
          <w:rFonts w:ascii="Times New Roman" w:hAnsi="Times New Roman" w:cs="Times New Roman"/>
          <w:b/>
          <w:sz w:val="24"/>
          <w:szCs w:val="24"/>
          <w:lang w:val="en-ZA"/>
        </w:rPr>
        <w:tab/>
        <w:t>2</w:t>
      </w:r>
      <w:r w:rsidRPr="009A3238">
        <w:rPr>
          <w:rFonts w:ascii="Times New Roman" w:hAnsi="Times New Roman" w:cs="Times New Roman"/>
          <w:b/>
          <w:sz w:val="24"/>
          <w:szCs w:val="24"/>
          <w:vertAlign w:val="superscript"/>
          <w:lang w:val="en-ZA"/>
        </w:rPr>
        <w:t>ND</w:t>
      </w:r>
      <w:r>
        <w:rPr>
          <w:rFonts w:ascii="Times New Roman" w:hAnsi="Times New Roman" w:cs="Times New Roman"/>
          <w:b/>
          <w:sz w:val="24"/>
          <w:szCs w:val="24"/>
          <w:lang w:val="en-ZA"/>
        </w:rPr>
        <w:t xml:space="preserve"> RESPONDENT</w:t>
      </w:r>
    </w:p>
    <w:p w14:paraId="11170430" w14:textId="281C0560" w:rsidR="009A3238" w:rsidRPr="006F7935" w:rsidRDefault="009A3238" w:rsidP="009A3238">
      <w:pPr>
        <w:tabs>
          <w:tab w:val="left" w:pos="540"/>
          <w:tab w:val="left" w:pos="5580"/>
        </w:tabs>
        <w:rPr>
          <w:rFonts w:ascii="Times New Roman" w:hAnsi="Times New Roman" w:cs="Times New Roman"/>
          <w:b/>
          <w:sz w:val="24"/>
          <w:szCs w:val="24"/>
          <w:lang w:val="en-ZA"/>
        </w:rPr>
      </w:pPr>
      <w:r>
        <w:rPr>
          <w:rFonts w:ascii="Times New Roman" w:hAnsi="Times New Roman" w:cs="Times New Roman"/>
          <w:b/>
          <w:sz w:val="24"/>
          <w:szCs w:val="24"/>
          <w:lang w:val="en-ZA"/>
        </w:rPr>
        <w:t>(represented by his guardian George Payet)</w:t>
      </w:r>
      <w:r>
        <w:rPr>
          <w:rFonts w:ascii="Times New Roman" w:hAnsi="Times New Roman" w:cs="Times New Roman"/>
          <w:b/>
          <w:sz w:val="24"/>
          <w:szCs w:val="24"/>
          <w:lang w:val="en-ZA"/>
        </w:rPr>
        <w:tab/>
      </w:r>
    </w:p>
    <w:p w14:paraId="67A7DEA4" w14:textId="00447EA1" w:rsidR="00757DDE" w:rsidRPr="006F7935" w:rsidRDefault="00757DDE" w:rsidP="00757DDE">
      <w:pPr>
        <w:spacing w:after="0" w:line="240" w:lineRule="auto"/>
        <w:rPr>
          <w:rFonts w:ascii="Times New Roman" w:hAnsi="Times New Roman" w:cs="Times New Roman"/>
          <w:sz w:val="24"/>
          <w:szCs w:val="24"/>
          <w:lang w:val="en-ZA"/>
        </w:rPr>
      </w:pPr>
      <w:r w:rsidRPr="006F7935">
        <w:rPr>
          <w:rFonts w:ascii="Times New Roman" w:hAnsi="Times New Roman" w:cs="Times New Roman"/>
          <w:i/>
          <w:sz w:val="24"/>
          <w:szCs w:val="24"/>
          <w:lang w:val="en-ZA"/>
        </w:rPr>
        <w:t>(</w:t>
      </w:r>
      <w:proofErr w:type="gramStart"/>
      <w:r w:rsidRPr="006F7935">
        <w:rPr>
          <w:rFonts w:ascii="Times New Roman" w:hAnsi="Times New Roman" w:cs="Times New Roman"/>
          <w:i/>
          <w:sz w:val="24"/>
          <w:szCs w:val="24"/>
          <w:lang w:val="en-ZA"/>
        </w:rPr>
        <w:t>rep</w:t>
      </w:r>
      <w:proofErr w:type="gramEnd"/>
      <w:r w:rsidRPr="006F7935">
        <w:rPr>
          <w:rFonts w:ascii="Times New Roman" w:hAnsi="Times New Roman" w:cs="Times New Roman"/>
          <w:i/>
          <w:sz w:val="24"/>
          <w:szCs w:val="24"/>
          <w:lang w:val="en-ZA"/>
        </w:rPr>
        <w:t xml:space="preserve">. by Mr. </w:t>
      </w:r>
      <w:r w:rsidR="00916369">
        <w:rPr>
          <w:rFonts w:ascii="Times New Roman" w:hAnsi="Times New Roman" w:cs="Times New Roman"/>
          <w:i/>
          <w:sz w:val="24"/>
          <w:szCs w:val="24"/>
          <w:lang w:val="en-ZA"/>
        </w:rPr>
        <w:t>Kieran</w:t>
      </w:r>
      <w:r w:rsidR="005C0FF3" w:rsidRPr="006F7935">
        <w:rPr>
          <w:rFonts w:ascii="Times New Roman" w:hAnsi="Times New Roman" w:cs="Times New Roman"/>
          <w:i/>
          <w:sz w:val="24"/>
          <w:szCs w:val="24"/>
          <w:lang w:val="en-ZA"/>
        </w:rPr>
        <w:t xml:space="preserve"> </w:t>
      </w:r>
      <w:r w:rsidR="009A3238">
        <w:rPr>
          <w:rFonts w:ascii="Times New Roman" w:hAnsi="Times New Roman" w:cs="Times New Roman"/>
          <w:i/>
          <w:sz w:val="24"/>
          <w:szCs w:val="24"/>
          <w:lang w:val="en-ZA"/>
        </w:rPr>
        <w:t>Shah</w:t>
      </w:r>
      <w:r w:rsidRPr="006F7935">
        <w:rPr>
          <w:rFonts w:ascii="Times New Roman" w:hAnsi="Times New Roman" w:cs="Times New Roman"/>
          <w:i/>
          <w:sz w:val="24"/>
          <w:szCs w:val="24"/>
          <w:lang w:val="en-ZA"/>
        </w:rPr>
        <w:t>)</w:t>
      </w:r>
      <w:r w:rsidRPr="006F7935">
        <w:rPr>
          <w:rFonts w:ascii="Times New Roman" w:hAnsi="Times New Roman" w:cs="Times New Roman"/>
          <w:sz w:val="24"/>
          <w:szCs w:val="24"/>
          <w:lang w:val="en-ZA"/>
        </w:rPr>
        <w:tab/>
      </w:r>
    </w:p>
    <w:p w14:paraId="78BFF64C" w14:textId="3E1FE1A0" w:rsidR="00757DDE" w:rsidRPr="006F7935" w:rsidRDefault="00757DDE" w:rsidP="00757DDE">
      <w:pPr>
        <w:spacing w:after="0" w:line="240" w:lineRule="auto"/>
        <w:rPr>
          <w:rFonts w:ascii="Times New Roman" w:hAnsi="Times New Roman" w:cs="Times New Roman"/>
          <w:sz w:val="24"/>
          <w:szCs w:val="24"/>
          <w:lang w:val="en-ZA"/>
        </w:rPr>
      </w:pPr>
    </w:p>
    <w:p w14:paraId="6E26BADC" w14:textId="77777777" w:rsidR="0042706F" w:rsidRPr="006F7935" w:rsidRDefault="0042706F" w:rsidP="0042706F">
      <w:pPr>
        <w:pBdr>
          <w:bottom w:val="single" w:sz="4" w:space="0" w:color="auto"/>
        </w:pBdr>
        <w:tabs>
          <w:tab w:val="left" w:pos="540"/>
          <w:tab w:val="left" w:pos="5580"/>
        </w:tabs>
        <w:spacing w:after="0" w:line="240" w:lineRule="auto"/>
        <w:rPr>
          <w:rFonts w:ascii="Times New Roman" w:hAnsi="Times New Roman" w:cs="Times New Roman"/>
          <w:i/>
          <w:sz w:val="24"/>
          <w:szCs w:val="24"/>
          <w:lang w:val="en-ZA"/>
        </w:rPr>
      </w:pPr>
    </w:p>
    <w:p w14:paraId="181E5CD4" w14:textId="5EBA84AF" w:rsidR="005C0FF3" w:rsidRPr="006F7935" w:rsidRDefault="0042706F" w:rsidP="00757DDE">
      <w:pPr>
        <w:tabs>
          <w:tab w:val="left" w:pos="1890"/>
        </w:tabs>
        <w:spacing w:after="0" w:line="240" w:lineRule="auto"/>
        <w:ind w:left="1890" w:hanging="1890"/>
        <w:rPr>
          <w:rFonts w:ascii="Times New Roman" w:hAnsi="Times New Roman" w:cs="Times New Roman"/>
          <w:sz w:val="24"/>
          <w:szCs w:val="24"/>
          <w:lang w:val="en-ZA"/>
        </w:rPr>
      </w:pPr>
      <w:r w:rsidRPr="006F7935">
        <w:rPr>
          <w:rFonts w:ascii="Times New Roman" w:hAnsi="Times New Roman" w:cs="Times New Roman"/>
          <w:b/>
          <w:sz w:val="24"/>
          <w:szCs w:val="24"/>
          <w:lang w:val="en-ZA"/>
        </w:rPr>
        <w:t>Neutral Citation:</w:t>
      </w:r>
      <w:r w:rsidRPr="006F7935">
        <w:rPr>
          <w:rFonts w:ascii="Times New Roman" w:hAnsi="Times New Roman" w:cs="Times New Roman"/>
          <w:sz w:val="24"/>
          <w:szCs w:val="24"/>
          <w:lang w:val="en-ZA"/>
        </w:rPr>
        <w:t xml:space="preserve"> </w:t>
      </w:r>
      <w:r w:rsidR="00D45CED">
        <w:rPr>
          <w:rFonts w:ascii="Times New Roman" w:hAnsi="Times New Roman" w:cs="Times New Roman"/>
          <w:sz w:val="24"/>
          <w:szCs w:val="24"/>
          <w:lang w:val="en-ZA"/>
        </w:rPr>
        <w:tab/>
      </w:r>
      <w:r w:rsidR="009A3238" w:rsidRPr="00A57D94">
        <w:rPr>
          <w:rFonts w:ascii="Times New Roman" w:hAnsi="Times New Roman" w:cs="Times New Roman"/>
          <w:i/>
          <w:sz w:val="24"/>
          <w:szCs w:val="24"/>
          <w:lang w:val="en-ZA"/>
        </w:rPr>
        <w:t xml:space="preserve">Payet </w:t>
      </w:r>
      <w:r w:rsidRPr="00916369">
        <w:rPr>
          <w:rFonts w:ascii="Times New Roman" w:hAnsi="Times New Roman" w:cs="Times New Roman"/>
          <w:i/>
          <w:sz w:val="24"/>
          <w:szCs w:val="24"/>
          <w:lang w:val="en-ZA"/>
        </w:rPr>
        <w:t xml:space="preserve">v </w:t>
      </w:r>
      <w:r w:rsidR="009A3238" w:rsidRPr="00916369">
        <w:rPr>
          <w:rFonts w:ascii="Times New Roman" w:hAnsi="Times New Roman" w:cs="Times New Roman"/>
          <w:i/>
          <w:sz w:val="24"/>
          <w:szCs w:val="24"/>
          <w:lang w:val="en-ZA"/>
        </w:rPr>
        <w:t>Payet</w:t>
      </w:r>
      <w:r w:rsidR="00916369">
        <w:rPr>
          <w:rFonts w:ascii="Times New Roman" w:hAnsi="Times New Roman" w:cs="Times New Roman"/>
          <w:i/>
          <w:sz w:val="24"/>
          <w:szCs w:val="24"/>
          <w:lang w:val="en-ZA"/>
        </w:rPr>
        <w:t xml:space="preserve"> &amp; Anor</w:t>
      </w:r>
      <w:r w:rsidR="00331A9C" w:rsidRPr="00A57D94">
        <w:rPr>
          <w:rFonts w:ascii="Times New Roman" w:hAnsi="Times New Roman" w:cs="Times New Roman"/>
          <w:sz w:val="24"/>
          <w:szCs w:val="24"/>
          <w:lang w:val="en-ZA"/>
        </w:rPr>
        <w:t xml:space="preserve"> </w:t>
      </w:r>
      <w:r w:rsidR="00331A9C" w:rsidRPr="006F7935">
        <w:rPr>
          <w:rFonts w:ascii="Times New Roman" w:hAnsi="Times New Roman" w:cs="Times New Roman"/>
          <w:sz w:val="24"/>
          <w:szCs w:val="24"/>
          <w:lang w:val="en-ZA"/>
        </w:rPr>
        <w:t xml:space="preserve">(Civil Appeal SCA </w:t>
      </w:r>
      <w:r w:rsidR="009A3238">
        <w:rPr>
          <w:rFonts w:ascii="Times New Roman" w:hAnsi="Times New Roman" w:cs="Times New Roman"/>
          <w:sz w:val="24"/>
          <w:szCs w:val="24"/>
          <w:lang w:val="en-ZA"/>
        </w:rPr>
        <w:t>25</w:t>
      </w:r>
      <w:r w:rsidR="005C0FF3" w:rsidRPr="006F7935">
        <w:rPr>
          <w:rFonts w:ascii="Times New Roman" w:hAnsi="Times New Roman" w:cs="Times New Roman"/>
          <w:sz w:val="24"/>
          <w:szCs w:val="24"/>
          <w:lang w:val="en-ZA"/>
        </w:rPr>
        <w:t xml:space="preserve">/2020 [2022] SCCA </w:t>
      </w:r>
      <w:r w:rsidR="00916369">
        <w:rPr>
          <w:rFonts w:ascii="Times New Roman" w:hAnsi="Times New Roman" w:cs="Times New Roman"/>
          <w:sz w:val="24"/>
          <w:szCs w:val="24"/>
          <w:lang w:val="en-ZA"/>
        </w:rPr>
        <w:t>46</w:t>
      </w:r>
    </w:p>
    <w:p w14:paraId="5EDB6F4C" w14:textId="34810F22" w:rsidR="0042706F" w:rsidRPr="006F7935" w:rsidRDefault="005C0FF3" w:rsidP="00757DDE">
      <w:pPr>
        <w:tabs>
          <w:tab w:val="left" w:pos="1890"/>
        </w:tabs>
        <w:spacing w:after="0" w:line="240" w:lineRule="auto"/>
        <w:ind w:left="1890" w:hanging="1890"/>
        <w:rPr>
          <w:rFonts w:ascii="Times New Roman" w:hAnsi="Times New Roman" w:cs="Times New Roman"/>
          <w:i/>
          <w:sz w:val="24"/>
          <w:szCs w:val="24"/>
          <w:lang w:val="en-ZA"/>
        </w:rPr>
      </w:pPr>
      <w:r w:rsidRPr="006F7935">
        <w:rPr>
          <w:rFonts w:ascii="Times New Roman" w:hAnsi="Times New Roman" w:cs="Times New Roman"/>
          <w:sz w:val="24"/>
          <w:szCs w:val="24"/>
          <w:lang w:val="en-ZA"/>
        </w:rPr>
        <w:tab/>
        <w:t>(</w:t>
      </w:r>
      <w:r w:rsidR="00916369">
        <w:rPr>
          <w:rFonts w:ascii="Times New Roman" w:hAnsi="Times New Roman" w:cs="Times New Roman"/>
          <w:sz w:val="24"/>
          <w:szCs w:val="24"/>
          <w:lang w:val="en-ZA"/>
        </w:rPr>
        <w:t>19 August</w:t>
      </w:r>
      <w:r w:rsidRPr="006F7935">
        <w:rPr>
          <w:rFonts w:ascii="Times New Roman" w:hAnsi="Times New Roman" w:cs="Times New Roman"/>
          <w:sz w:val="24"/>
          <w:szCs w:val="24"/>
          <w:lang w:val="en-ZA"/>
        </w:rPr>
        <w:t xml:space="preserve"> </w:t>
      </w:r>
      <w:r w:rsidR="00331A9C" w:rsidRPr="006F7935">
        <w:rPr>
          <w:rFonts w:ascii="Times New Roman" w:hAnsi="Times New Roman" w:cs="Times New Roman"/>
          <w:sz w:val="24"/>
          <w:szCs w:val="24"/>
          <w:lang w:val="en-ZA"/>
        </w:rPr>
        <w:t xml:space="preserve">2022) (Arising in </w:t>
      </w:r>
      <w:r w:rsidRPr="006F7935">
        <w:rPr>
          <w:rFonts w:ascii="Times New Roman" w:hAnsi="Times New Roman" w:cs="Times New Roman"/>
          <w:sz w:val="24"/>
          <w:szCs w:val="24"/>
          <w:lang w:val="en-ZA"/>
        </w:rPr>
        <w:t xml:space="preserve">CS </w:t>
      </w:r>
      <w:r w:rsidR="009A3238">
        <w:rPr>
          <w:rFonts w:ascii="Times New Roman" w:hAnsi="Times New Roman" w:cs="Times New Roman"/>
          <w:sz w:val="24"/>
          <w:szCs w:val="24"/>
          <w:lang w:val="en-ZA"/>
        </w:rPr>
        <w:t>13</w:t>
      </w:r>
      <w:r w:rsidRPr="006F7935">
        <w:rPr>
          <w:rFonts w:ascii="Times New Roman" w:hAnsi="Times New Roman" w:cs="Times New Roman"/>
          <w:sz w:val="24"/>
          <w:szCs w:val="24"/>
          <w:lang w:val="en-ZA"/>
        </w:rPr>
        <w:t>/201</w:t>
      </w:r>
      <w:r w:rsidR="009A3238">
        <w:rPr>
          <w:rFonts w:ascii="Times New Roman" w:hAnsi="Times New Roman" w:cs="Times New Roman"/>
          <w:sz w:val="24"/>
          <w:szCs w:val="24"/>
          <w:lang w:val="en-ZA"/>
        </w:rPr>
        <w:t>9</w:t>
      </w:r>
      <w:r w:rsidR="00E80B1E" w:rsidRPr="006F7935">
        <w:rPr>
          <w:rFonts w:ascii="Times New Roman" w:hAnsi="Times New Roman" w:cs="Times New Roman"/>
          <w:sz w:val="24"/>
          <w:szCs w:val="24"/>
          <w:lang w:val="en-ZA"/>
        </w:rPr>
        <w:t xml:space="preserve"> </w:t>
      </w:r>
      <w:r w:rsidRPr="006F7935">
        <w:rPr>
          <w:rFonts w:ascii="Times New Roman" w:hAnsi="Times New Roman" w:cs="Times New Roman"/>
          <w:sz w:val="24"/>
          <w:szCs w:val="24"/>
          <w:lang w:val="en-ZA"/>
        </w:rPr>
        <w:t xml:space="preserve">[2020] SCSC </w:t>
      </w:r>
      <w:r w:rsidR="00CD3765">
        <w:rPr>
          <w:rFonts w:ascii="Times New Roman" w:hAnsi="Times New Roman" w:cs="Times New Roman"/>
          <w:sz w:val="24"/>
          <w:szCs w:val="24"/>
          <w:lang w:val="en-ZA"/>
        </w:rPr>
        <w:t>182</w:t>
      </w:r>
      <w:r w:rsidR="00331A9C" w:rsidRPr="006F7935">
        <w:rPr>
          <w:rFonts w:ascii="Times New Roman" w:hAnsi="Times New Roman" w:cs="Times New Roman"/>
          <w:sz w:val="24"/>
          <w:szCs w:val="24"/>
          <w:lang w:val="en-ZA"/>
        </w:rPr>
        <w:t>)</w:t>
      </w:r>
    </w:p>
    <w:p w14:paraId="2349ADAC" w14:textId="04F7772C" w:rsidR="0042706F" w:rsidRPr="006F7935" w:rsidRDefault="0042706F" w:rsidP="0042706F">
      <w:pPr>
        <w:tabs>
          <w:tab w:val="left" w:pos="1890"/>
        </w:tabs>
        <w:spacing w:after="0" w:line="240" w:lineRule="auto"/>
        <w:ind w:left="1890" w:hanging="1890"/>
        <w:rPr>
          <w:rFonts w:ascii="Times New Roman" w:hAnsi="Times New Roman" w:cs="Times New Roman"/>
          <w:sz w:val="24"/>
          <w:szCs w:val="24"/>
          <w:lang w:val="en-ZA"/>
        </w:rPr>
      </w:pPr>
      <w:r w:rsidRPr="006F7935">
        <w:rPr>
          <w:rFonts w:ascii="Times New Roman" w:hAnsi="Times New Roman" w:cs="Times New Roman"/>
          <w:b/>
          <w:sz w:val="24"/>
          <w:szCs w:val="24"/>
          <w:lang w:val="en-ZA"/>
        </w:rPr>
        <w:t xml:space="preserve">Before: </w:t>
      </w:r>
      <w:r w:rsidRPr="006F7935">
        <w:rPr>
          <w:rFonts w:ascii="Times New Roman" w:hAnsi="Times New Roman" w:cs="Times New Roman"/>
          <w:sz w:val="24"/>
          <w:szCs w:val="24"/>
          <w:lang w:val="en-ZA"/>
        </w:rPr>
        <w:tab/>
      </w:r>
      <w:r w:rsidR="005C0FF3" w:rsidRPr="006F7935">
        <w:rPr>
          <w:rFonts w:ascii="Times New Roman" w:hAnsi="Times New Roman" w:cs="Times New Roman"/>
          <w:sz w:val="24"/>
          <w:szCs w:val="24"/>
          <w:lang w:val="en-ZA"/>
        </w:rPr>
        <w:t>Robinson</w:t>
      </w:r>
      <w:r w:rsidRPr="006F7935">
        <w:rPr>
          <w:rFonts w:ascii="Times New Roman" w:hAnsi="Times New Roman" w:cs="Times New Roman"/>
          <w:sz w:val="24"/>
          <w:szCs w:val="24"/>
          <w:lang w:val="en-ZA"/>
        </w:rPr>
        <w:t xml:space="preserve">, </w:t>
      </w:r>
      <w:r w:rsidR="00E80B1E" w:rsidRPr="006F7935">
        <w:rPr>
          <w:rFonts w:ascii="Times New Roman" w:hAnsi="Times New Roman" w:cs="Times New Roman"/>
          <w:sz w:val="24"/>
          <w:szCs w:val="24"/>
          <w:lang w:val="en-ZA"/>
        </w:rPr>
        <w:t>Tibatemwa</w:t>
      </w:r>
      <w:r w:rsidR="00F46A72">
        <w:rPr>
          <w:rFonts w:ascii="Times New Roman" w:hAnsi="Times New Roman" w:cs="Times New Roman"/>
          <w:sz w:val="24"/>
          <w:szCs w:val="24"/>
          <w:lang w:val="en-ZA"/>
        </w:rPr>
        <w:t xml:space="preserve">- </w:t>
      </w:r>
      <w:proofErr w:type="spellStart"/>
      <w:r w:rsidR="00F46A72">
        <w:rPr>
          <w:rFonts w:ascii="Times New Roman" w:hAnsi="Times New Roman" w:cs="Times New Roman"/>
          <w:sz w:val="24"/>
          <w:szCs w:val="24"/>
          <w:lang w:val="en-ZA"/>
        </w:rPr>
        <w:t>Ekirikubinza</w:t>
      </w:r>
      <w:proofErr w:type="spellEnd"/>
      <w:r w:rsidR="00E80B1E" w:rsidRPr="006F7935">
        <w:rPr>
          <w:rFonts w:ascii="Times New Roman" w:hAnsi="Times New Roman" w:cs="Times New Roman"/>
          <w:sz w:val="24"/>
          <w:szCs w:val="24"/>
          <w:lang w:val="en-ZA"/>
        </w:rPr>
        <w:t xml:space="preserve">, </w:t>
      </w:r>
      <w:r w:rsidRPr="006F7935">
        <w:rPr>
          <w:rFonts w:ascii="Times New Roman" w:hAnsi="Times New Roman" w:cs="Times New Roman"/>
          <w:sz w:val="24"/>
          <w:szCs w:val="24"/>
          <w:lang w:val="en-ZA"/>
        </w:rPr>
        <w:t>Andre JJA</w:t>
      </w:r>
    </w:p>
    <w:p w14:paraId="5E4E2F86" w14:textId="222E277C" w:rsidR="0042706F" w:rsidRPr="006F7935" w:rsidRDefault="0042706F" w:rsidP="00FB11A2">
      <w:pPr>
        <w:spacing w:after="0" w:line="240" w:lineRule="auto"/>
        <w:ind w:left="1890" w:hanging="1890"/>
        <w:jc w:val="both"/>
        <w:rPr>
          <w:rFonts w:ascii="Times New Roman" w:hAnsi="Times New Roman" w:cs="Times New Roman"/>
          <w:sz w:val="24"/>
          <w:szCs w:val="24"/>
          <w:lang w:val="en-ZA"/>
        </w:rPr>
      </w:pPr>
      <w:r w:rsidRPr="006F7935">
        <w:rPr>
          <w:rFonts w:ascii="Times New Roman" w:hAnsi="Times New Roman" w:cs="Times New Roman"/>
          <w:b/>
          <w:sz w:val="24"/>
          <w:szCs w:val="24"/>
          <w:lang w:val="en-ZA"/>
        </w:rPr>
        <w:t xml:space="preserve">Summary: </w:t>
      </w:r>
      <w:r w:rsidRPr="006F7935">
        <w:rPr>
          <w:rFonts w:ascii="Times New Roman" w:hAnsi="Times New Roman" w:cs="Times New Roman"/>
          <w:b/>
          <w:sz w:val="24"/>
          <w:szCs w:val="24"/>
          <w:lang w:val="en-ZA"/>
        </w:rPr>
        <w:tab/>
      </w:r>
      <w:r w:rsidRPr="006F7935">
        <w:rPr>
          <w:rFonts w:ascii="Times New Roman" w:hAnsi="Times New Roman" w:cs="Times New Roman"/>
          <w:sz w:val="24"/>
          <w:szCs w:val="24"/>
          <w:lang w:val="en-ZA"/>
        </w:rPr>
        <w:t>Appeal against a decision of the Supreme Court</w:t>
      </w:r>
      <w:r w:rsidR="00FB11A2" w:rsidRPr="006F7935">
        <w:rPr>
          <w:rFonts w:ascii="Times New Roman" w:hAnsi="Times New Roman" w:cs="Times New Roman"/>
          <w:sz w:val="24"/>
          <w:szCs w:val="24"/>
          <w:lang w:val="en-ZA"/>
        </w:rPr>
        <w:t xml:space="preserve"> – </w:t>
      </w:r>
      <w:r w:rsidR="00CD3765">
        <w:rPr>
          <w:rFonts w:ascii="Times New Roman" w:hAnsi="Times New Roman" w:cs="Times New Roman"/>
          <w:sz w:val="24"/>
          <w:szCs w:val="24"/>
          <w:lang w:val="en-ZA"/>
        </w:rPr>
        <w:t>registered lease</w:t>
      </w:r>
      <w:r w:rsidR="005C0FF3" w:rsidRPr="006F7935">
        <w:rPr>
          <w:rFonts w:ascii="Times New Roman" w:hAnsi="Times New Roman" w:cs="Times New Roman"/>
          <w:sz w:val="24"/>
          <w:szCs w:val="24"/>
          <w:lang w:val="en-ZA"/>
        </w:rPr>
        <w:t xml:space="preserve"> – </w:t>
      </w:r>
      <w:r w:rsidR="006F7935" w:rsidRPr="006F7935">
        <w:rPr>
          <w:rFonts w:ascii="Times New Roman" w:hAnsi="Times New Roman" w:cs="Times New Roman"/>
          <w:sz w:val="24"/>
          <w:szCs w:val="24"/>
          <w:lang w:val="en-ZA"/>
        </w:rPr>
        <w:t xml:space="preserve">Article </w:t>
      </w:r>
      <w:r w:rsidR="00CD3765">
        <w:rPr>
          <w:rFonts w:ascii="Times New Roman" w:hAnsi="Times New Roman" w:cs="Times New Roman"/>
          <w:sz w:val="24"/>
          <w:szCs w:val="24"/>
          <w:lang w:val="en-ZA"/>
        </w:rPr>
        <w:t>595</w:t>
      </w:r>
      <w:r w:rsidR="006F7935" w:rsidRPr="006F7935">
        <w:rPr>
          <w:rFonts w:ascii="Times New Roman" w:hAnsi="Times New Roman" w:cs="Times New Roman"/>
          <w:sz w:val="24"/>
          <w:szCs w:val="24"/>
          <w:lang w:val="en-ZA"/>
        </w:rPr>
        <w:t xml:space="preserve"> of the Civil Code</w:t>
      </w:r>
      <w:r w:rsidR="00CD3765">
        <w:rPr>
          <w:rFonts w:ascii="Times New Roman" w:hAnsi="Times New Roman" w:cs="Times New Roman"/>
          <w:sz w:val="24"/>
          <w:szCs w:val="24"/>
          <w:lang w:val="en-ZA"/>
        </w:rPr>
        <w:t xml:space="preserve"> – Damages for ejectment without </w:t>
      </w:r>
      <w:r w:rsidR="004141D4">
        <w:rPr>
          <w:rFonts w:ascii="Times New Roman" w:hAnsi="Times New Roman" w:cs="Times New Roman"/>
          <w:sz w:val="24"/>
          <w:szCs w:val="24"/>
          <w:lang w:val="en-ZA"/>
        </w:rPr>
        <w:t xml:space="preserve">an </w:t>
      </w:r>
      <w:r w:rsidR="00CD3765">
        <w:rPr>
          <w:rFonts w:ascii="Times New Roman" w:hAnsi="Times New Roman" w:cs="Times New Roman"/>
          <w:sz w:val="24"/>
          <w:szCs w:val="24"/>
          <w:lang w:val="en-ZA"/>
        </w:rPr>
        <w:t>eviction order.</w:t>
      </w:r>
    </w:p>
    <w:p w14:paraId="4C26216F" w14:textId="562E603F" w:rsidR="00DE4F00" w:rsidRPr="006F7935" w:rsidRDefault="00DE4F00" w:rsidP="00DE4F00">
      <w:pPr>
        <w:spacing w:after="0" w:line="240" w:lineRule="auto"/>
        <w:ind w:left="1890" w:hanging="1890"/>
        <w:jc w:val="both"/>
        <w:rPr>
          <w:rFonts w:ascii="Times New Roman" w:hAnsi="Times New Roman" w:cs="Times New Roman"/>
          <w:sz w:val="24"/>
          <w:szCs w:val="24"/>
          <w:lang w:val="en-ZA"/>
        </w:rPr>
      </w:pPr>
      <w:r w:rsidRPr="006F7935">
        <w:rPr>
          <w:rFonts w:ascii="Times New Roman" w:hAnsi="Times New Roman" w:cs="Times New Roman"/>
          <w:b/>
          <w:sz w:val="24"/>
          <w:szCs w:val="24"/>
          <w:lang w:val="en-ZA"/>
        </w:rPr>
        <w:t>H</w:t>
      </w:r>
      <w:r w:rsidR="00AD2543" w:rsidRPr="006F7935">
        <w:rPr>
          <w:rFonts w:ascii="Times New Roman" w:hAnsi="Times New Roman" w:cs="Times New Roman"/>
          <w:b/>
          <w:sz w:val="24"/>
          <w:szCs w:val="24"/>
          <w:lang w:val="en-ZA"/>
        </w:rPr>
        <w:t>ear</w:t>
      </w:r>
      <w:r w:rsidRPr="006F7935">
        <w:rPr>
          <w:rFonts w:ascii="Times New Roman" w:hAnsi="Times New Roman" w:cs="Times New Roman"/>
          <w:b/>
          <w:sz w:val="24"/>
          <w:szCs w:val="24"/>
          <w:lang w:val="en-ZA"/>
        </w:rPr>
        <w:t>d:</w:t>
      </w:r>
      <w:r w:rsidRPr="006F7935">
        <w:rPr>
          <w:rFonts w:ascii="Times New Roman" w:hAnsi="Times New Roman" w:cs="Times New Roman"/>
          <w:sz w:val="24"/>
          <w:szCs w:val="24"/>
          <w:lang w:val="en-ZA"/>
        </w:rPr>
        <w:tab/>
      </w:r>
      <w:r w:rsidR="00916369">
        <w:rPr>
          <w:rFonts w:ascii="Times New Roman" w:hAnsi="Times New Roman" w:cs="Times New Roman"/>
          <w:sz w:val="24"/>
          <w:szCs w:val="24"/>
          <w:lang w:val="en-ZA"/>
        </w:rPr>
        <w:t>8</w:t>
      </w:r>
      <w:r w:rsidR="005C0FF3" w:rsidRPr="006F7935">
        <w:rPr>
          <w:rFonts w:ascii="Times New Roman" w:hAnsi="Times New Roman" w:cs="Times New Roman"/>
          <w:sz w:val="24"/>
          <w:szCs w:val="24"/>
          <w:lang w:val="en-ZA"/>
        </w:rPr>
        <w:t xml:space="preserve"> </w:t>
      </w:r>
      <w:r w:rsidR="00AD2543" w:rsidRPr="006F7935">
        <w:rPr>
          <w:rFonts w:ascii="Times New Roman" w:hAnsi="Times New Roman" w:cs="Times New Roman"/>
          <w:sz w:val="24"/>
          <w:szCs w:val="24"/>
          <w:lang w:val="en-ZA"/>
        </w:rPr>
        <w:t xml:space="preserve">August 2022 </w:t>
      </w:r>
    </w:p>
    <w:p w14:paraId="788214EC" w14:textId="475EE090" w:rsidR="0042706F" w:rsidRDefault="0042706F" w:rsidP="0042706F">
      <w:pPr>
        <w:spacing w:after="0" w:line="240" w:lineRule="auto"/>
        <w:ind w:left="1890" w:hanging="1890"/>
        <w:rPr>
          <w:rFonts w:ascii="Times New Roman" w:hAnsi="Times New Roman" w:cs="Times New Roman"/>
          <w:sz w:val="24"/>
          <w:szCs w:val="24"/>
          <w:lang w:val="en-ZA"/>
        </w:rPr>
      </w:pPr>
      <w:r w:rsidRPr="006F7935">
        <w:rPr>
          <w:rFonts w:ascii="Times New Roman" w:hAnsi="Times New Roman" w:cs="Times New Roman"/>
          <w:b/>
          <w:sz w:val="24"/>
          <w:szCs w:val="24"/>
          <w:lang w:val="en-ZA"/>
        </w:rPr>
        <w:t>Delivered:</w:t>
      </w:r>
      <w:r w:rsidR="00DE4F00" w:rsidRPr="006F7935">
        <w:rPr>
          <w:rFonts w:ascii="Times New Roman" w:hAnsi="Times New Roman" w:cs="Times New Roman"/>
          <w:b/>
          <w:sz w:val="24"/>
          <w:szCs w:val="24"/>
          <w:lang w:val="en-ZA"/>
        </w:rPr>
        <w:tab/>
      </w:r>
      <w:r w:rsidR="00AD2543" w:rsidRPr="006F7935">
        <w:rPr>
          <w:rFonts w:ascii="Times New Roman" w:hAnsi="Times New Roman" w:cs="Times New Roman"/>
          <w:sz w:val="24"/>
          <w:szCs w:val="24"/>
          <w:lang w:val="en-ZA"/>
        </w:rPr>
        <w:t xml:space="preserve"> </w:t>
      </w:r>
      <w:r w:rsidR="00916369">
        <w:rPr>
          <w:rFonts w:ascii="Times New Roman" w:hAnsi="Times New Roman" w:cs="Times New Roman"/>
          <w:sz w:val="24"/>
          <w:szCs w:val="24"/>
          <w:lang w:val="en-ZA"/>
        </w:rPr>
        <w:t>19 August</w:t>
      </w:r>
      <w:r w:rsidRPr="006F7935">
        <w:rPr>
          <w:rFonts w:ascii="Times New Roman" w:hAnsi="Times New Roman" w:cs="Times New Roman"/>
          <w:sz w:val="24"/>
          <w:szCs w:val="24"/>
          <w:lang w:val="en-ZA"/>
        </w:rPr>
        <w:t xml:space="preserve"> 2022</w:t>
      </w:r>
      <w:r w:rsidR="00DE4F00" w:rsidRPr="006F7935">
        <w:rPr>
          <w:rFonts w:ascii="Times New Roman" w:hAnsi="Times New Roman" w:cs="Times New Roman"/>
          <w:sz w:val="24"/>
          <w:szCs w:val="24"/>
          <w:lang w:val="en-ZA"/>
        </w:rPr>
        <w:t xml:space="preserve"> </w:t>
      </w:r>
    </w:p>
    <w:p w14:paraId="257231BE" w14:textId="2DA2B6CE" w:rsidR="005A2DA6" w:rsidRPr="006F7935" w:rsidRDefault="005A2DA6" w:rsidP="0042706F">
      <w:pPr>
        <w:spacing w:after="0" w:line="240" w:lineRule="auto"/>
        <w:ind w:left="1890" w:hanging="1890"/>
        <w:rPr>
          <w:rFonts w:ascii="Times New Roman" w:hAnsi="Times New Roman" w:cs="Times New Roman"/>
          <w:sz w:val="24"/>
          <w:szCs w:val="24"/>
          <w:lang w:val="en-ZA"/>
        </w:rPr>
      </w:pPr>
      <w:r>
        <w:rPr>
          <w:rFonts w:ascii="Times New Roman" w:hAnsi="Times New Roman" w:cs="Times New Roman"/>
          <w:b/>
          <w:sz w:val="24"/>
          <w:szCs w:val="24"/>
          <w:lang w:val="en-ZA"/>
        </w:rPr>
        <w:t>______________________________________________________________________________</w:t>
      </w:r>
    </w:p>
    <w:p w14:paraId="34FE666C" w14:textId="77777777" w:rsidR="005A2DA6" w:rsidRDefault="005A2DA6" w:rsidP="00A57D94">
      <w:pPr>
        <w:tabs>
          <w:tab w:val="left" w:pos="2892"/>
        </w:tabs>
        <w:spacing w:after="0" w:line="240" w:lineRule="auto"/>
        <w:jc w:val="center"/>
        <w:rPr>
          <w:rFonts w:ascii="Times New Roman" w:hAnsi="Times New Roman" w:cs="Times New Roman"/>
          <w:b/>
          <w:sz w:val="24"/>
          <w:szCs w:val="24"/>
          <w:lang w:val="en-ZA"/>
        </w:rPr>
      </w:pPr>
    </w:p>
    <w:p w14:paraId="31699B7E" w14:textId="40CDDF5A" w:rsidR="0042706F" w:rsidRPr="006F7935" w:rsidRDefault="0042706F" w:rsidP="00A57D94">
      <w:pPr>
        <w:tabs>
          <w:tab w:val="left" w:pos="2892"/>
        </w:tabs>
        <w:spacing w:after="0" w:line="240" w:lineRule="auto"/>
        <w:jc w:val="center"/>
        <w:rPr>
          <w:rFonts w:ascii="Times New Roman" w:hAnsi="Times New Roman" w:cs="Times New Roman"/>
          <w:sz w:val="24"/>
          <w:szCs w:val="24"/>
          <w:lang w:val="en-ZA"/>
        </w:rPr>
      </w:pPr>
      <w:r w:rsidRPr="006F7935">
        <w:rPr>
          <w:rFonts w:ascii="Times New Roman" w:hAnsi="Times New Roman" w:cs="Times New Roman"/>
          <w:b/>
          <w:sz w:val="24"/>
          <w:szCs w:val="24"/>
          <w:lang w:val="en-ZA"/>
        </w:rPr>
        <w:t>ORDER</w:t>
      </w:r>
      <w:r w:rsidRPr="00A57D94">
        <w:rPr>
          <w:rFonts w:ascii="Times New Roman" w:hAnsi="Times New Roman" w:cs="Times New Roman"/>
          <w:b/>
          <w:sz w:val="24"/>
          <w:szCs w:val="24"/>
          <w:lang w:val="en-ZA"/>
        </w:rPr>
        <w:t>S</w:t>
      </w:r>
    </w:p>
    <w:p w14:paraId="3B7F110F" w14:textId="3548B5B1" w:rsidR="0042706F" w:rsidRDefault="0042706F" w:rsidP="00A57D94">
      <w:pPr>
        <w:tabs>
          <w:tab w:val="left" w:pos="2892"/>
        </w:tabs>
        <w:spacing w:after="0" w:line="240" w:lineRule="auto"/>
        <w:jc w:val="center"/>
        <w:rPr>
          <w:rFonts w:ascii="Times New Roman" w:hAnsi="Times New Roman" w:cs="Times New Roman"/>
          <w:sz w:val="24"/>
          <w:szCs w:val="24"/>
          <w:lang w:val="en-ZA"/>
        </w:rPr>
      </w:pPr>
      <w:r w:rsidRPr="006F7935">
        <w:rPr>
          <w:rFonts w:ascii="Times New Roman" w:hAnsi="Times New Roman" w:cs="Times New Roman"/>
          <w:sz w:val="24"/>
          <w:szCs w:val="24"/>
          <w:lang w:val="en-ZA"/>
        </w:rPr>
        <w:t>The Court makes the following Orders:</w:t>
      </w:r>
    </w:p>
    <w:p w14:paraId="4C9209B6" w14:textId="77777777" w:rsidR="00333E69" w:rsidRPr="006F7935" w:rsidRDefault="00333E69" w:rsidP="00A57D94">
      <w:pPr>
        <w:tabs>
          <w:tab w:val="left" w:pos="2892"/>
        </w:tabs>
        <w:spacing w:after="0" w:line="240" w:lineRule="auto"/>
        <w:jc w:val="center"/>
        <w:rPr>
          <w:rFonts w:ascii="Times New Roman" w:hAnsi="Times New Roman" w:cs="Times New Roman"/>
          <w:sz w:val="24"/>
          <w:szCs w:val="24"/>
          <w:lang w:val="en-ZA"/>
        </w:rPr>
      </w:pPr>
    </w:p>
    <w:p w14:paraId="546F7F1A" w14:textId="30E4669F" w:rsidR="00807C0E" w:rsidRPr="00BD131E" w:rsidRDefault="00807C0E">
      <w:pPr>
        <w:pStyle w:val="JudgmentText"/>
        <w:numPr>
          <w:ilvl w:val="0"/>
          <w:numId w:val="0"/>
        </w:numPr>
      </w:pPr>
      <w:r>
        <w:rPr>
          <w:color w:val="000000" w:themeColor="text1"/>
          <w:lang w:val="en-ZA"/>
        </w:rPr>
        <w:t xml:space="preserve">The </w:t>
      </w:r>
      <w:r w:rsidRPr="00F6122C">
        <w:t>a</w:t>
      </w:r>
      <w:r>
        <w:t>ppeal</w:t>
      </w:r>
      <w:r w:rsidRPr="00F6122C">
        <w:t xml:space="preserve"> is</w:t>
      </w:r>
      <w:r>
        <w:t xml:space="preserve"> </w:t>
      </w:r>
      <w:r w:rsidRPr="00BD131E">
        <w:t>upheld with no order of costs.</w:t>
      </w:r>
    </w:p>
    <w:p w14:paraId="6FFB6BFA" w14:textId="77777777" w:rsidR="0042706F" w:rsidRDefault="0042706F" w:rsidP="005D08D8">
      <w:pPr>
        <w:pBdr>
          <w:top w:val="single" w:sz="4" w:space="12" w:color="auto"/>
          <w:bottom w:val="single" w:sz="4" w:space="0" w:color="auto"/>
        </w:pBdr>
        <w:tabs>
          <w:tab w:val="left" w:pos="2892"/>
        </w:tabs>
        <w:spacing w:after="0" w:line="240" w:lineRule="auto"/>
        <w:rPr>
          <w:rFonts w:ascii="Times New Roman" w:hAnsi="Times New Roman" w:cs="Times New Roman"/>
          <w:b/>
          <w:sz w:val="24"/>
          <w:szCs w:val="24"/>
          <w:lang w:val="en-ZA"/>
        </w:rPr>
      </w:pPr>
      <w:r w:rsidRPr="006F7935">
        <w:rPr>
          <w:rFonts w:ascii="Times New Roman" w:hAnsi="Times New Roman" w:cs="Times New Roman"/>
          <w:sz w:val="24"/>
          <w:szCs w:val="24"/>
          <w:lang w:val="en-ZA"/>
        </w:rPr>
        <w:tab/>
      </w:r>
      <w:r w:rsidRPr="006F7935">
        <w:rPr>
          <w:rFonts w:ascii="Times New Roman" w:hAnsi="Times New Roman" w:cs="Times New Roman"/>
          <w:sz w:val="24"/>
          <w:szCs w:val="24"/>
          <w:lang w:val="en-ZA"/>
        </w:rPr>
        <w:tab/>
      </w:r>
      <w:r w:rsidRPr="006F7935">
        <w:rPr>
          <w:rFonts w:ascii="Times New Roman" w:hAnsi="Times New Roman" w:cs="Times New Roman"/>
          <w:b/>
          <w:sz w:val="24"/>
          <w:szCs w:val="24"/>
          <w:lang w:val="en-ZA"/>
        </w:rPr>
        <w:t>JUDGMENT</w:t>
      </w:r>
    </w:p>
    <w:p w14:paraId="198B6376" w14:textId="77777777" w:rsidR="00333E69" w:rsidRPr="006F7935" w:rsidRDefault="00333E69" w:rsidP="005D08D8">
      <w:pPr>
        <w:pBdr>
          <w:top w:val="single" w:sz="4" w:space="12" w:color="auto"/>
          <w:bottom w:val="single" w:sz="4" w:space="0" w:color="auto"/>
        </w:pBdr>
        <w:tabs>
          <w:tab w:val="left" w:pos="2892"/>
        </w:tabs>
        <w:spacing w:after="0" w:line="240" w:lineRule="auto"/>
        <w:rPr>
          <w:rFonts w:ascii="Times New Roman" w:hAnsi="Times New Roman" w:cs="Times New Roman"/>
          <w:b/>
          <w:sz w:val="24"/>
          <w:szCs w:val="24"/>
          <w:lang w:val="en-ZA"/>
        </w:rPr>
      </w:pPr>
    </w:p>
    <w:p w14:paraId="1B6A4398" w14:textId="77777777" w:rsidR="0042706F" w:rsidRPr="006F7935" w:rsidRDefault="0042706F" w:rsidP="0042706F">
      <w:pPr>
        <w:spacing w:after="0" w:line="240" w:lineRule="auto"/>
        <w:ind w:left="720" w:hanging="720"/>
        <w:jc w:val="both"/>
        <w:rPr>
          <w:rFonts w:ascii="Times New Roman" w:eastAsia="Times New Roman" w:hAnsi="Times New Roman" w:cs="Times New Roman"/>
          <w:b/>
          <w:sz w:val="24"/>
          <w:szCs w:val="24"/>
          <w:lang w:val="en-ZA"/>
        </w:rPr>
      </w:pPr>
    </w:p>
    <w:p w14:paraId="56AFD5BD" w14:textId="77777777" w:rsidR="0042706F" w:rsidRPr="006F7935" w:rsidRDefault="0042706F" w:rsidP="0042706F">
      <w:pPr>
        <w:spacing w:after="0" w:line="360" w:lineRule="auto"/>
        <w:jc w:val="both"/>
        <w:rPr>
          <w:rFonts w:ascii="Times New Roman" w:hAnsi="Times New Roman" w:cs="Times New Roman"/>
          <w:b/>
          <w:sz w:val="24"/>
          <w:szCs w:val="24"/>
          <w:lang w:val="en-ZA"/>
        </w:rPr>
      </w:pPr>
      <w:r w:rsidRPr="006F7935">
        <w:rPr>
          <w:rFonts w:ascii="Times New Roman" w:hAnsi="Times New Roman" w:cs="Times New Roman"/>
          <w:b/>
          <w:sz w:val="24"/>
          <w:szCs w:val="24"/>
          <w:lang w:val="en-ZA"/>
        </w:rPr>
        <w:t>ANDRE, JA</w:t>
      </w:r>
    </w:p>
    <w:p w14:paraId="32A7A45A" w14:textId="2E0385FB" w:rsidR="0042706F" w:rsidRDefault="0042706F" w:rsidP="0042706F">
      <w:pPr>
        <w:spacing w:after="0" w:line="360" w:lineRule="auto"/>
        <w:jc w:val="both"/>
        <w:rPr>
          <w:rFonts w:ascii="Times New Roman" w:hAnsi="Times New Roman" w:cs="Times New Roman"/>
          <w:b/>
          <w:color w:val="000000" w:themeColor="text1"/>
          <w:sz w:val="24"/>
          <w:szCs w:val="24"/>
          <w:lang w:val="en-ZA"/>
        </w:rPr>
      </w:pPr>
      <w:bookmarkStart w:id="0" w:name="_GoBack"/>
      <w:bookmarkEnd w:id="0"/>
    </w:p>
    <w:p w14:paraId="728EB159" w14:textId="499CFD10" w:rsidR="00CA0ADF" w:rsidRDefault="00643A91" w:rsidP="000E1650">
      <w:pPr>
        <w:rPr>
          <w:rStyle w:val="Strong"/>
          <w:rFonts w:ascii="Times New Roman" w:hAnsi="Times New Roman" w:cs="Times New Roman"/>
          <w:sz w:val="24"/>
          <w:szCs w:val="24"/>
        </w:rPr>
      </w:pPr>
      <w:r w:rsidRPr="006F7935">
        <w:rPr>
          <w:rStyle w:val="Strong"/>
          <w:rFonts w:ascii="Times New Roman" w:hAnsi="Times New Roman" w:cs="Times New Roman"/>
          <w:sz w:val="24"/>
          <w:szCs w:val="24"/>
        </w:rPr>
        <w:lastRenderedPageBreak/>
        <w:t>INTRODUCTION</w:t>
      </w:r>
    </w:p>
    <w:p w14:paraId="26A51E3D" w14:textId="77777777" w:rsidR="00807C0E" w:rsidRPr="000E1650" w:rsidRDefault="00807C0E" w:rsidP="000E1650">
      <w:pPr>
        <w:rPr>
          <w:rFonts w:ascii="Times New Roman" w:hAnsi="Times New Roman" w:cs="Times New Roman"/>
          <w:b/>
          <w:bCs/>
          <w:sz w:val="24"/>
          <w:szCs w:val="24"/>
        </w:rPr>
      </w:pPr>
    </w:p>
    <w:p w14:paraId="167D8B34" w14:textId="1683C6B1" w:rsidR="00D508B2" w:rsidRDefault="000E1650" w:rsidP="00D508B2">
      <w:pPr>
        <w:pStyle w:val="JudgmentText"/>
      </w:pPr>
      <w:r w:rsidRPr="000E1650">
        <w:t xml:space="preserve">This is an appeal arising out of the notice of appeal filed </w:t>
      </w:r>
      <w:r w:rsidR="004141D4">
        <w:t xml:space="preserve">on </w:t>
      </w:r>
      <w:r w:rsidR="00917B6E">
        <w:t>10</w:t>
      </w:r>
      <w:r w:rsidRPr="000E1650">
        <w:t xml:space="preserve"> </w:t>
      </w:r>
      <w:r w:rsidR="00917B6E">
        <w:t xml:space="preserve">June </w:t>
      </w:r>
      <w:r w:rsidRPr="000E1650">
        <w:t xml:space="preserve">2020 by </w:t>
      </w:r>
      <w:r w:rsidR="00917B6E">
        <w:t xml:space="preserve">Jeffrey Payet </w:t>
      </w:r>
      <w:r w:rsidRPr="000E1650">
        <w:t>(</w:t>
      </w:r>
      <w:r w:rsidR="00615B9A">
        <w:t>a</w:t>
      </w:r>
      <w:r w:rsidRPr="000E1650">
        <w:t xml:space="preserve">ppellant) against </w:t>
      </w:r>
      <w:r w:rsidR="00917B6E">
        <w:t>George Payet</w:t>
      </w:r>
      <w:r w:rsidRPr="000E1650">
        <w:t xml:space="preserve"> (</w:t>
      </w:r>
      <w:r w:rsidR="00917B6E">
        <w:t xml:space="preserve">first </w:t>
      </w:r>
      <w:r w:rsidR="00E941C8">
        <w:t>r</w:t>
      </w:r>
      <w:r w:rsidRPr="000E1650">
        <w:t>espondent)</w:t>
      </w:r>
      <w:r w:rsidR="00917B6E">
        <w:t xml:space="preserve"> and Eddy Payet (second </w:t>
      </w:r>
      <w:r w:rsidR="00E941C8">
        <w:t>r</w:t>
      </w:r>
      <w:r w:rsidR="00917B6E">
        <w:t>espondent)</w:t>
      </w:r>
      <w:r w:rsidR="00D508B2">
        <w:t xml:space="preserve">. The appellant </w:t>
      </w:r>
      <w:r w:rsidRPr="000E1650">
        <w:t xml:space="preserve">being dissatisfied with the decision of Chief Justice M. Twomey (as she then was) delivered at the Supreme Court on the </w:t>
      </w:r>
      <w:r w:rsidR="00917B6E">
        <w:t xml:space="preserve">9 March </w:t>
      </w:r>
      <w:r w:rsidRPr="000E1650">
        <w:t xml:space="preserve">2020, in Case No. </w:t>
      </w:r>
      <w:r w:rsidR="00917B6E">
        <w:t>13</w:t>
      </w:r>
      <w:r w:rsidRPr="000E1650">
        <w:t xml:space="preserve"> of 201</w:t>
      </w:r>
      <w:r w:rsidR="00917B6E">
        <w:t>9</w:t>
      </w:r>
      <w:r w:rsidRPr="000E1650">
        <w:t xml:space="preserve"> ordering the</w:t>
      </w:r>
      <w:r w:rsidR="00E941C8">
        <w:t xml:space="preserve"> appellant/defendant in the court a quo, to pay the second respondent/second plaintiff in the court below, the sum of </w:t>
      </w:r>
      <w:r w:rsidR="00897754">
        <w:t>S.R.</w:t>
      </w:r>
      <w:r w:rsidR="00E941C8">
        <w:t xml:space="preserve"> 1,290,000 for alternative accommodation. Alternatively, a lump sum of S.R. 405,000 for damages </w:t>
      </w:r>
      <w:r w:rsidR="004141D4">
        <w:t xml:space="preserve">actually incurred to date (27 months x </w:t>
      </w:r>
      <w:r w:rsidR="00897754">
        <w:t>S.R.</w:t>
      </w:r>
      <w:r w:rsidR="004141D4">
        <w:t xml:space="preserve"> 15,000) and to provide either </w:t>
      </w:r>
      <w:r w:rsidR="00897754">
        <w:t>S.R.</w:t>
      </w:r>
      <w:r w:rsidR="004141D4">
        <w:t xml:space="preserve"> 15,000 monthly or suitable accommodation for the remaining months of the lease until 9 February 2025.</w:t>
      </w:r>
      <w:r w:rsidR="00D508B2">
        <w:t xml:space="preserve"> It was also in the said judgment that</w:t>
      </w:r>
      <w:r w:rsidR="004141D4">
        <w:t xml:space="preserve"> the defendant shall pay the first plaintiff S.R. 100,000 for the cos</w:t>
      </w:r>
      <w:r w:rsidR="00D508B2">
        <w:t>t of replacement furniture. Moreover, the</w:t>
      </w:r>
      <w:r w:rsidR="004141D4">
        <w:t xml:space="preserve"> defendant </w:t>
      </w:r>
      <w:r w:rsidR="00D508B2">
        <w:t>was ordered to</w:t>
      </w:r>
      <w:r w:rsidR="004141D4">
        <w:t xml:space="preserve"> pay the second plaintiff the sum of S.R. 10,000 for his</w:t>
      </w:r>
      <w:r w:rsidR="007B3DCC">
        <w:t xml:space="preserve"> </w:t>
      </w:r>
      <w:r w:rsidR="00897754">
        <w:t>personal belongings</w:t>
      </w:r>
      <w:r w:rsidR="004141D4">
        <w:t xml:space="preserve"> and S.R. 30,000 for moral da</w:t>
      </w:r>
      <w:r w:rsidR="00D508B2">
        <w:t>mages, and that an injunction was</w:t>
      </w:r>
      <w:r w:rsidR="004141D4">
        <w:t xml:space="preserve"> issued prohibiting the defendant from interfering with the house on parcel H 2519.</w:t>
      </w:r>
    </w:p>
    <w:p w14:paraId="586A44B3" w14:textId="53C21064" w:rsidR="00D508B2" w:rsidRDefault="00175F8C" w:rsidP="00D508B2">
      <w:pPr>
        <w:pStyle w:val="JudgmentText"/>
        <w:numPr>
          <w:ilvl w:val="0"/>
          <w:numId w:val="16"/>
        </w:numPr>
      </w:pPr>
      <w:r w:rsidRPr="000E1650">
        <w:t xml:space="preserve">The </w:t>
      </w:r>
      <w:r w:rsidR="00D508B2">
        <w:t xml:space="preserve">appellant </w:t>
      </w:r>
      <w:r w:rsidRPr="000E1650">
        <w:t>appeal</w:t>
      </w:r>
      <w:r w:rsidR="0045510A" w:rsidRPr="000E1650">
        <w:t>s</w:t>
      </w:r>
      <w:r w:rsidRPr="000E1650">
        <w:t xml:space="preserve"> against the whole of the </w:t>
      </w:r>
      <w:r w:rsidR="004141D4">
        <w:t>decision</w:t>
      </w:r>
      <w:r w:rsidR="00CA0ADF" w:rsidRPr="000E1650">
        <w:t xml:space="preserve"> </w:t>
      </w:r>
      <w:r w:rsidRPr="000E1650">
        <w:t xml:space="preserve">upon the grounds of appeal set out </w:t>
      </w:r>
      <w:r w:rsidR="00897754">
        <w:t>in</w:t>
      </w:r>
      <w:r w:rsidRPr="000E1650">
        <w:t xml:space="preserve"> paragraph two of the notice of appeal and to be c</w:t>
      </w:r>
      <w:r w:rsidR="00153B91">
        <w:t>onsidered in detail below. The a</w:t>
      </w:r>
      <w:r w:rsidRPr="000E1650">
        <w:t xml:space="preserve">ppellant further seeks the relief set out </w:t>
      </w:r>
      <w:r w:rsidR="00153B91">
        <w:t>in</w:t>
      </w:r>
      <w:r w:rsidRPr="000E1650">
        <w:t xml:space="preserve"> paragraph 3 of its notice of </w:t>
      </w:r>
      <w:r w:rsidR="007B3DCC">
        <w:t>appeal,</w:t>
      </w:r>
      <w:r w:rsidRPr="000E1650">
        <w:t xml:space="preserve"> nam</w:t>
      </w:r>
      <w:r w:rsidR="00DD306F" w:rsidRPr="000E1650">
        <w:t>ely,</w:t>
      </w:r>
      <w:r w:rsidRPr="000E1650">
        <w:t xml:space="preserve"> </w:t>
      </w:r>
      <w:r w:rsidR="00CA0ADF" w:rsidRPr="000E1650">
        <w:t xml:space="preserve">for an order </w:t>
      </w:r>
      <w:r w:rsidR="004141D4">
        <w:t xml:space="preserve">to quash the decision </w:t>
      </w:r>
      <w:r w:rsidR="00CA0ADF" w:rsidRPr="000E1650">
        <w:t xml:space="preserve">of the Supreme Court and </w:t>
      </w:r>
      <w:r w:rsidR="007B3DCC">
        <w:t xml:space="preserve">consequently to dismiss the suit against the appellant. </w:t>
      </w:r>
    </w:p>
    <w:p w14:paraId="1B9C50BF" w14:textId="36A6461D" w:rsidR="000E1650" w:rsidRDefault="007B3DCC" w:rsidP="000E1650">
      <w:pPr>
        <w:pStyle w:val="JudgmentText"/>
        <w:numPr>
          <w:ilvl w:val="0"/>
          <w:numId w:val="16"/>
        </w:numPr>
      </w:pPr>
      <w:r>
        <w:t xml:space="preserve">Both </w:t>
      </w:r>
      <w:r w:rsidR="00CA0ADF" w:rsidRPr="000E1650">
        <w:t>respondent</w:t>
      </w:r>
      <w:r>
        <w:t>s</w:t>
      </w:r>
      <w:r w:rsidR="00CA0ADF" w:rsidRPr="000E1650">
        <w:t xml:space="preserve"> vehemently </w:t>
      </w:r>
      <w:r>
        <w:t>object</w:t>
      </w:r>
      <w:r w:rsidR="00CA0ADF" w:rsidRPr="000E1650">
        <w:t xml:space="preserve"> to the appeal and </w:t>
      </w:r>
      <w:r>
        <w:t>move</w:t>
      </w:r>
      <w:r w:rsidR="00CA0ADF" w:rsidRPr="000E1650">
        <w:t xml:space="preserve"> for its dismissal and that the finding of the learned Chief Justice be maintained. </w:t>
      </w:r>
    </w:p>
    <w:p w14:paraId="56FBBD9E" w14:textId="361F22CA" w:rsidR="00D508B2" w:rsidRPr="00807C0E" w:rsidRDefault="0045510A" w:rsidP="00D508B2">
      <w:pPr>
        <w:pStyle w:val="JudgmentText"/>
        <w:numPr>
          <w:ilvl w:val="0"/>
          <w:numId w:val="16"/>
        </w:numPr>
      </w:pPr>
      <w:r w:rsidRPr="000E1650">
        <w:rPr>
          <w:iCs/>
          <w:color w:val="000000" w:themeColor="text1"/>
        </w:rPr>
        <w:t>All</w:t>
      </w:r>
      <w:r w:rsidR="001105C7" w:rsidRPr="000E1650">
        <w:rPr>
          <w:iCs/>
          <w:color w:val="000000" w:themeColor="text1"/>
        </w:rPr>
        <w:t xml:space="preserve"> </w:t>
      </w:r>
      <w:r w:rsidR="003C778D" w:rsidRPr="000E1650">
        <w:rPr>
          <w:iCs/>
          <w:color w:val="000000" w:themeColor="text1"/>
        </w:rPr>
        <w:t xml:space="preserve">parties were </w:t>
      </w:r>
      <w:r w:rsidR="001105C7" w:rsidRPr="000E1650">
        <w:rPr>
          <w:iCs/>
          <w:color w:val="000000" w:themeColor="text1"/>
        </w:rPr>
        <w:t>duly</w:t>
      </w:r>
      <w:r w:rsidR="00FC444A" w:rsidRPr="000E1650">
        <w:rPr>
          <w:iCs/>
          <w:color w:val="000000" w:themeColor="text1"/>
        </w:rPr>
        <w:t xml:space="preserve"> represented in the court a quo.</w:t>
      </w:r>
      <w:r w:rsidR="00D87F87">
        <w:rPr>
          <w:iCs/>
          <w:color w:val="000000" w:themeColor="text1"/>
        </w:rPr>
        <w:t xml:space="preserve"> </w:t>
      </w:r>
    </w:p>
    <w:p w14:paraId="2237C4B8" w14:textId="77777777" w:rsidR="00807C0E" w:rsidRPr="000E1650" w:rsidRDefault="00807C0E" w:rsidP="00807C0E">
      <w:pPr>
        <w:pStyle w:val="JudgmentText"/>
        <w:numPr>
          <w:ilvl w:val="0"/>
          <w:numId w:val="0"/>
        </w:numPr>
        <w:ind w:left="720"/>
      </w:pPr>
    </w:p>
    <w:p w14:paraId="4B2CAB01" w14:textId="77777777" w:rsidR="000E1650" w:rsidRDefault="00476947" w:rsidP="007B3DCC">
      <w:pPr>
        <w:pStyle w:val="JudgmentText"/>
        <w:numPr>
          <w:ilvl w:val="0"/>
          <w:numId w:val="0"/>
        </w:numPr>
        <w:rPr>
          <w:rStyle w:val="Strong"/>
          <w:b w:val="0"/>
          <w:bCs w:val="0"/>
        </w:rPr>
      </w:pPr>
      <w:r w:rsidRPr="000E1650">
        <w:rPr>
          <w:rStyle w:val="Strong"/>
        </w:rPr>
        <w:t xml:space="preserve">BACKGROUND </w:t>
      </w:r>
    </w:p>
    <w:p w14:paraId="638680DD" w14:textId="3A0A8430" w:rsidR="00D508B2" w:rsidRPr="00D508B2" w:rsidRDefault="007B3DCC" w:rsidP="00D508B2">
      <w:pPr>
        <w:pStyle w:val="JudgmentText"/>
        <w:numPr>
          <w:ilvl w:val="0"/>
          <w:numId w:val="0"/>
        </w:numPr>
        <w:ind w:left="720" w:hanging="720"/>
        <w:rPr>
          <w:color w:val="000000" w:themeColor="text1"/>
          <w:shd w:val="clear" w:color="auto" w:fill="FFFFFF"/>
        </w:rPr>
      </w:pPr>
      <w:r>
        <w:t>[5]</w:t>
      </w:r>
      <w:r>
        <w:tab/>
        <w:t>Sadly, I also le</w:t>
      </w:r>
      <w:r w:rsidRPr="007B3DCC">
        <w:t xml:space="preserve">arnt </w:t>
      </w:r>
      <w:r>
        <w:t>of the passing of the second r</w:t>
      </w:r>
      <w:r w:rsidRPr="007B3DCC">
        <w:t>espondent in this matter. Des</w:t>
      </w:r>
      <w:r>
        <w:t>pite the passing of the second r</w:t>
      </w:r>
      <w:r w:rsidRPr="007B3DCC">
        <w:t xml:space="preserve">espondent, it does not affect the current matter. </w:t>
      </w:r>
      <w:r w:rsidRPr="007B3DCC">
        <w:rPr>
          <w:color w:val="000000" w:themeColor="text1"/>
          <w:shd w:val="clear" w:color="auto" w:fill="FFFFFF"/>
        </w:rPr>
        <w:t>As summarised</w:t>
      </w:r>
      <w:r w:rsidR="00153B91">
        <w:rPr>
          <w:color w:val="000000" w:themeColor="text1"/>
          <w:shd w:val="clear" w:color="auto" w:fill="FFFFFF"/>
        </w:rPr>
        <w:t xml:space="preserve"> by </w:t>
      </w:r>
      <w:r w:rsidR="00153B91">
        <w:rPr>
          <w:color w:val="000000" w:themeColor="text1"/>
          <w:shd w:val="clear" w:color="auto" w:fill="FFFFFF"/>
        </w:rPr>
        <w:lastRenderedPageBreak/>
        <w:t>the trial court, the f</w:t>
      </w:r>
      <w:r>
        <w:rPr>
          <w:color w:val="000000" w:themeColor="text1"/>
          <w:shd w:val="clear" w:color="auto" w:fill="FFFFFF"/>
        </w:rPr>
        <w:t>irst r</w:t>
      </w:r>
      <w:r w:rsidRPr="007B3DCC">
        <w:rPr>
          <w:color w:val="000000" w:themeColor="text1"/>
          <w:shd w:val="clear" w:color="auto" w:fill="FFFFFF"/>
        </w:rPr>
        <w:t>e</w:t>
      </w:r>
      <w:r>
        <w:rPr>
          <w:color w:val="000000" w:themeColor="text1"/>
          <w:shd w:val="clear" w:color="auto" w:fill="FFFFFF"/>
        </w:rPr>
        <w:t>spondent in this appeal is the executor of the e</w:t>
      </w:r>
      <w:r w:rsidRPr="007B3DCC">
        <w:rPr>
          <w:color w:val="000000" w:themeColor="text1"/>
          <w:shd w:val="clear" w:color="auto" w:fill="FFFFFF"/>
        </w:rPr>
        <w:t xml:space="preserve">state of the late Leonne Payet (the mother to all parties) who passed away on 17 June </w:t>
      </w:r>
      <w:r>
        <w:rPr>
          <w:color w:val="000000" w:themeColor="text1"/>
          <w:shd w:val="clear" w:color="auto" w:fill="FFFFFF"/>
        </w:rPr>
        <w:t>2017 and is the brother of the second respondent and the a</w:t>
      </w:r>
      <w:r w:rsidRPr="007B3DCC">
        <w:rPr>
          <w:color w:val="000000" w:themeColor="text1"/>
          <w:shd w:val="clear" w:color="auto" w:fill="FFFFFF"/>
        </w:rPr>
        <w:t xml:space="preserve">ppellant. </w:t>
      </w:r>
      <w:r w:rsidR="00D87F87">
        <w:rPr>
          <w:color w:val="000000" w:themeColor="text1"/>
          <w:shd w:val="clear" w:color="auto" w:fill="FFFFFF"/>
        </w:rPr>
        <w:t>As agreed by the parties</w:t>
      </w:r>
      <w:r w:rsidR="00855161">
        <w:rPr>
          <w:color w:val="000000" w:themeColor="text1"/>
          <w:shd w:val="clear" w:color="auto" w:fill="FFFFFF"/>
        </w:rPr>
        <w:t xml:space="preserve"> at the hearing (supra)</w:t>
      </w:r>
      <w:r w:rsidR="00D87F87">
        <w:rPr>
          <w:color w:val="000000" w:themeColor="text1"/>
          <w:shd w:val="clear" w:color="auto" w:fill="FFFFFF"/>
        </w:rPr>
        <w:t xml:space="preserve">, the </w:t>
      </w:r>
      <w:r w:rsidR="00855161">
        <w:rPr>
          <w:color w:val="000000" w:themeColor="text1"/>
          <w:shd w:val="clear" w:color="auto" w:fill="FFFFFF"/>
        </w:rPr>
        <w:t xml:space="preserve">first </w:t>
      </w:r>
      <w:r w:rsidR="00D87F87">
        <w:rPr>
          <w:color w:val="000000" w:themeColor="text1"/>
          <w:shd w:val="clear" w:color="auto" w:fill="FFFFFF"/>
        </w:rPr>
        <w:t xml:space="preserve">respondent is representing the second respondent </w:t>
      </w:r>
      <w:r w:rsidR="00855161">
        <w:rPr>
          <w:color w:val="000000" w:themeColor="text1"/>
          <w:shd w:val="clear" w:color="auto" w:fill="FFFFFF"/>
        </w:rPr>
        <w:t xml:space="preserve">in his capacity as his guardian (prior </w:t>
      </w:r>
      <w:r w:rsidR="00153B91">
        <w:rPr>
          <w:color w:val="000000" w:themeColor="text1"/>
          <w:shd w:val="clear" w:color="auto" w:fill="FFFFFF"/>
        </w:rPr>
        <w:t>to the</w:t>
      </w:r>
      <w:r w:rsidR="00855161">
        <w:rPr>
          <w:color w:val="000000" w:themeColor="text1"/>
          <w:shd w:val="clear" w:color="auto" w:fill="FFFFFF"/>
        </w:rPr>
        <w:t xml:space="preserve"> second respondent’s demise). </w:t>
      </w:r>
    </w:p>
    <w:p w14:paraId="31E3019D" w14:textId="407E007A" w:rsidR="00855161" w:rsidRDefault="00D508B2" w:rsidP="00D508B2">
      <w:pPr>
        <w:pStyle w:val="JudgmentText"/>
      </w:pPr>
      <w:r>
        <w:t>In summary</w:t>
      </w:r>
      <w:r w:rsidR="00897754">
        <w:t xml:space="preserve">, this case concerns </w:t>
      </w:r>
      <w:r w:rsidR="00855161">
        <w:t>a family dispute over property. The first respondent</w:t>
      </w:r>
      <w:r>
        <w:t xml:space="preserve"> is </w:t>
      </w:r>
      <w:r w:rsidR="00855161">
        <w:t xml:space="preserve">the executor of the </w:t>
      </w:r>
      <w:r w:rsidR="00897754">
        <w:t>estate</w:t>
      </w:r>
      <w:r w:rsidR="00855161">
        <w:t xml:space="preserve"> of the late Leone Payet (deceased) who passed away on 17 June 2017 and is the brother of the late second respondent and the appellant.</w:t>
      </w:r>
      <w:r>
        <w:t xml:space="preserve"> </w:t>
      </w:r>
      <w:r w:rsidR="00855161">
        <w:t xml:space="preserve">The deceased had a </w:t>
      </w:r>
      <w:proofErr w:type="spellStart"/>
      <w:r w:rsidR="00855161">
        <w:t>usufructuary</w:t>
      </w:r>
      <w:proofErr w:type="spellEnd"/>
      <w:r w:rsidR="00855161">
        <w:t xml:space="preserve"> </w:t>
      </w:r>
      <w:r w:rsidR="00897754">
        <w:t>interest</w:t>
      </w:r>
      <w:r w:rsidR="00855161">
        <w:t xml:space="preserve"> in </w:t>
      </w:r>
      <w:r w:rsidR="00153B91">
        <w:t>the Title</w:t>
      </w:r>
      <w:r w:rsidR="00855161">
        <w:t xml:space="preserve"> No</w:t>
      </w:r>
      <w:r>
        <w:t>.</w:t>
      </w:r>
      <w:r w:rsidR="00855161">
        <w:t xml:space="preserve"> H2519 and H 2520 and the appellant has the bare ownership.</w:t>
      </w:r>
    </w:p>
    <w:p w14:paraId="6C3F1FF7" w14:textId="291F9C51" w:rsidR="00855161" w:rsidRDefault="00855161" w:rsidP="00D508B2">
      <w:pPr>
        <w:pStyle w:val="JudgmentText"/>
      </w:pPr>
      <w:r>
        <w:t xml:space="preserve">In relation to Title No. H2519, it is the </w:t>
      </w:r>
      <w:r w:rsidR="00897754">
        <w:t>respondents</w:t>
      </w:r>
      <w:r>
        <w:t xml:space="preserve">’ </w:t>
      </w:r>
      <w:r w:rsidR="00897754">
        <w:t>case</w:t>
      </w:r>
      <w:r>
        <w:t xml:space="preserve"> that their late brother, Jose Payet, another son of the deceased, in good faith and with the </w:t>
      </w:r>
      <w:r w:rsidR="00897754">
        <w:t>permission</w:t>
      </w:r>
      <w:r>
        <w:t xml:space="preserve"> of the appellant constructed a two-bedroom house on Title H 2519 while the </w:t>
      </w:r>
      <w:r w:rsidR="00897754">
        <w:t>deceased</w:t>
      </w:r>
      <w:r>
        <w:t xml:space="preserve"> was alive, thereby acquiring a </w:t>
      </w:r>
      <w:proofErr w:type="spellStart"/>
      <w:r w:rsidR="00153B91">
        <w:rPr>
          <w:i/>
        </w:rPr>
        <w:t>Droit</w:t>
      </w:r>
      <w:proofErr w:type="spellEnd"/>
      <w:r w:rsidRPr="00897754">
        <w:rPr>
          <w:i/>
        </w:rPr>
        <w:t xml:space="preserve"> de </w:t>
      </w:r>
      <w:proofErr w:type="spellStart"/>
      <w:r w:rsidRPr="00897754">
        <w:rPr>
          <w:i/>
        </w:rPr>
        <w:t>superficie</w:t>
      </w:r>
      <w:proofErr w:type="spellEnd"/>
      <w:r>
        <w:t>. Upon hi</w:t>
      </w:r>
      <w:r w:rsidR="00C37C6E">
        <w:t>s death, the house devolved by W</w:t>
      </w:r>
      <w:r>
        <w:t>ill to the deceased</w:t>
      </w:r>
      <w:r w:rsidR="00153B91">
        <w:t>,</w:t>
      </w:r>
      <w:r>
        <w:t xml:space="preserve"> and following her death </w:t>
      </w:r>
      <w:r w:rsidR="00897754">
        <w:t>devolved</w:t>
      </w:r>
      <w:r>
        <w:t xml:space="preserve"> onto all h</w:t>
      </w:r>
      <w:r w:rsidR="00C37C6E">
        <w:t>e</w:t>
      </w:r>
      <w:r>
        <w:t xml:space="preserve">r six </w:t>
      </w:r>
      <w:r w:rsidR="00153B91">
        <w:t>children,</w:t>
      </w:r>
      <w:r>
        <w:t xml:space="preserve"> including the </w:t>
      </w:r>
      <w:r w:rsidR="00C37C6E">
        <w:t>respondents</w:t>
      </w:r>
      <w:r>
        <w:t xml:space="preserve"> and the appellant.</w:t>
      </w:r>
    </w:p>
    <w:p w14:paraId="739AE7D0" w14:textId="2E75E50C" w:rsidR="00855161" w:rsidRDefault="00855161" w:rsidP="00D508B2">
      <w:pPr>
        <w:pStyle w:val="JudgmentText"/>
      </w:pPr>
      <w:r>
        <w:t xml:space="preserve">In </w:t>
      </w:r>
      <w:r w:rsidR="00C37C6E">
        <w:t>relation</w:t>
      </w:r>
      <w:r>
        <w:t xml:space="preserve"> to Title No. H2520, the </w:t>
      </w:r>
      <w:r w:rsidR="00C37C6E">
        <w:t>respondents</w:t>
      </w:r>
      <w:r>
        <w:t xml:space="preserve"> submit that, by an agreement dated 12</w:t>
      </w:r>
      <w:r w:rsidR="00C37C6E">
        <w:t xml:space="preserve"> February 1998, the deceased g</w:t>
      </w:r>
      <w:r>
        <w:t xml:space="preserve">ranted a </w:t>
      </w:r>
      <w:r w:rsidR="00C37C6E">
        <w:t>nine-year</w:t>
      </w:r>
      <w:r>
        <w:t xml:space="preserve"> lease to the second respondent renewable for to terms of nine years which lease was registered. The current lease is valid to complete the term of tenancy of nine years on 12 February 2025.</w:t>
      </w:r>
    </w:p>
    <w:p w14:paraId="04D43DA0" w14:textId="4E73903D" w:rsidR="00855161" w:rsidRDefault="00855161" w:rsidP="00D508B2">
      <w:pPr>
        <w:pStyle w:val="JudgmentText"/>
      </w:pPr>
      <w:r>
        <w:t xml:space="preserve">On 12 December 2017, the appellant forcibly removed the second </w:t>
      </w:r>
      <w:r w:rsidR="00153B91">
        <w:t>respondent,</w:t>
      </w:r>
      <w:r w:rsidR="00C37C6E">
        <w:t xml:space="preserve"> </w:t>
      </w:r>
      <w:r>
        <w:t xml:space="preserve">together with his </w:t>
      </w:r>
      <w:proofErr w:type="spellStart"/>
      <w:r w:rsidR="00153B91">
        <w:t>carer</w:t>
      </w:r>
      <w:proofErr w:type="spellEnd"/>
      <w:r w:rsidR="00153B91">
        <w:t>,</w:t>
      </w:r>
      <w:r>
        <w:t xml:space="preserve"> from the said dwelling </w:t>
      </w:r>
      <w:r w:rsidR="00C37C6E">
        <w:t>house</w:t>
      </w:r>
      <w:r>
        <w:t xml:space="preserve"> with only his clothe</w:t>
      </w:r>
      <w:r w:rsidR="00C37C6E">
        <w:t>s</w:t>
      </w:r>
      <w:r>
        <w:t xml:space="preserve"> on him. The second respondent is a physically handicapped, deaf</w:t>
      </w:r>
      <w:r w:rsidR="00153B91">
        <w:t>,</w:t>
      </w:r>
      <w:r>
        <w:t xml:space="preserve"> and blind man who was born and had lived in the dwelling house on Parcel H2520 for a period exceeding sixty-eight </w:t>
      </w:r>
      <w:r w:rsidR="00C37C6E">
        <w:t>years</w:t>
      </w:r>
      <w:r>
        <w:t xml:space="preserve">. The house was then demolished without an order of the court despite the fact that an application for an injunction to prevent the same had been sought from the </w:t>
      </w:r>
      <w:r w:rsidR="00C37C6E">
        <w:t>court</w:t>
      </w:r>
      <w:r>
        <w:t xml:space="preserve"> and awaited </w:t>
      </w:r>
      <w:r w:rsidR="00153B91">
        <w:t xml:space="preserve">a </w:t>
      </w:r>
      <w:r>
        <w:t xml:space="preserve">hearing. The furniture in the </w:t>
      </w:r>
      <w:r w:rsidR="00153B91">
        <w:t>house,</w:t>
      </w:r>
      <w:r>
        <w:t xml:space="preserve"> together with the </w:t>
      </w:r>
      <w:r w:rsidR="00C37C6E">
        <w:t>belongings</w:t>
      </w:r>
      <w:r>
        <w:t xml:space="preserve"> of the second respondent and his carer were thrown outside.</w:t>
      </w:r>
    </w:p>
    <w:p w14:paraId="2FCA787B" w14:textId="42715CD6" w:rsidR="00855161" w:rsidRDefault="00855161" w:rsidP="00D508B2">
      <w:pPr>
        <w:pStyle w:val="JudgmentText"/>
      </w:pPr>
      <w:r>
        <w:lastRenderedPageBreak/>
        <w:t xml:space="preserve">The </w:t>
      </w:r>
      <w:r w:rsidR="00C37C6E">
        <w:t>respondents</w:t>
      </w:r>
      <w:r>
        <w:t xml:space="preserve"> also averr</w:t>
      </w:r>
      <w:r w:rsidR="00153B91">
        <w:t xml:space="preserve">ed in the court below that the </w:t>
      </w:r>
      <w:r>
        <w:t xml:space="preserve">appellant was seeking the eviction of one Danielle </w:t>
      </w:r>
      <w:proofErr w:type="spellStart"/>
      <w:r>
        <w:t>Mancienne</w:t>
      </w:r>
      <w:proofErr w:type="spellEnd"/>
      <w:r>
        <w:t xml:space="preserve">, the tenant of the house on Title H </w:t>
      </w:r>
      <w:r w:rsidR="00153B91">
        <w:t>2519,</w:t>
      </w:r>
      <w:r>
        <w:t xml:space="preserve"> which belonged to the </w:t>
      </w:r>
      <w:r w:rsidR="00153B91">
        <w:t>e</w:t>
      </w:r>
      <w:r>
        <w:t xml:space="preserve">state of the deceased. It is the </w:t>
      </w:r>
      <w:r w:rsidR="00C37C6E">
        <w:t>respondents’</w:t>
      </w:r>
      <w:r>
        <w:t xml:space="preserve"> belief that the appellant intended to also demolish the </w:t>
      </w:r>
      <w:r w:rsidR="00C37C6E">
        <w:t>house</w:t>
      </w:r>
      <w:r>
        <w:t xml:space="preserve"> </w:t>
      </w:r>
      <w:r w:rsidR="00C37C6E">
        <w:t>on</w:t>
      </w:r>
      <w:r>
        <w:t xml:space="preserve"> parcel H 2519 and deprive the plaintiffs</w:t>
      </w:r>
      <w:r w:rsidR="00153B91">
        <w:t>/respondents</w:t>
      </w:r>
      <w:r>
        <w:t xml:space="preserve"> </w:t>
      </w:r>
      <w:r w:rsidR="00153B91">
        <w:t xml:space="preserve">of </w:t>
      </w:r>
      <w:r>
        <w:t>the ren</w:t>
      </w:r>
      <w:r w:rsidR="00C37C6E">
        <w:t>t money, which has been used for</w:t>
      </w:r>
      <w:r>
        <w:t xml:space="preserve"> the upkeep and maintenance of the second respondent</w:t>
      </w:r>
      <w:r w:rsidR="00C37C6E">
        <w:t xml:space="preserve"> with the agreement of the heirs </w:t>
      </w:r>
      <w:r>
        <w:t>of the estate, but the appellant.</w:t>
      </w:r>
    </w:p>
    <w:p w14:paraId="14AC6F35" w14:textId="18A0EA8F" w:rsidR="00855161" w:rsidRDefault="00855161" w:rsidP="00D508B2">
      <w:pPr>
        <w:pStyle w:val="JudgmentText"/>
      </w:pPr>
      <w:r>
        <w:t xml:space="preserve">In the latter </w:t>
      </w:r>
      <w:r w:rsidR="00153B91">
        <w:t>regard</w:t>
      </w:r>
      <w:r>
        <w:t xml:space="preserve">, the </w:t>
      </w:r>
      <w:r w:rsidR="00C37C6E">
        <w:t>respondents</w:t>
      </w:r>
      <w:r>
        <w:t xml:space="preserve"> sought a declaration that the </w:t>
      </w:r>
      <w:r w:rsidR="00C37C6E">
        <w:t>house</w:t>
      </w:r>
      <w:r>
        <w:t xml:space="preserve"> on title Number H 2519 has devolved </w:t>
      </w:r>
      <w:r w:rsidR="00C37C6E">
        <w:t>onto</w:t>
      </w:r>
      <w:r>
        <w:t xml:space="preserve"> </w:t>
      </w:r>
      <w:r w:rsidR="00C37C6E">
        <w:t>t</w:t>
      </w:r>
      <w:r>
        <w:t>he succession of the deceased and further that the court grant a perpetual injunction prohibiting the appellant from interfering</w:t>
      </w:r>
      <w:r w:rsidR="00C37C6E">
        <w:t xml:space="preserve"> with the </w:t>
      </w:r>
      <w:r>
        <w:t xml:space="preserve">leasehold right over parcel H 2519, Further to pay the cost of alternative accommodation for the second </w:t>
      </w:r>
      <w:r w:rsidR="00C37C6E">
        <w:t>respondent</w:t>
      </w:r>
      <w:r>
        <w:t xml:space="preserve"> for the remainder of the </w:t>
      </w:r>
      <w:r w:rsidR="00C37C6E">
        <w:t>term</w:t>
      </w:r>
      <w:r>
        <w:t xml:space="preserve"> of </w:t>
      </w:r>
      <w:r w:rsidR="00C37C6E">
        <w:t>the le</w:t>
      </w:r>
      <w:r>
        <w:t xml:space="preserve">ase, to pay the cost of </w:t>
      </w:r>
      <w:r w:rsidR="00C37C6E">
        <w:t>replacement</w:t>
      </w:r>
      <w:r>
        <w:t xml:space="preserve"> furniture, to pay moral damages in the sum of </w:t>
      </w:r>
      <w:r w:rsidR="00897754">
        <w:t>S.R.</w:t>
      </w:r>
      <w:r>
        <w:t xml:space="preserve"> 700,00 and the costs of the suit.</w:t>
      </w:r>
    </w:p>
    <w:p w14:paraId="6DC29966" w14:textId="275CBEE3" w:rsidR="00855161" w:rsidRDefault="00855161" w:rsidP="00D508B2">
      <w:pPr>
        <w:pStyle w:val="JudgmentText"/>
      </w:pPr>
      <w:r>
        <w:t>In his statement of defence and counterclaim in the court a quo, the appellant has claimed that the matter involving the ownership of the properties at issue</w:t>
      </w:r>
      <w:r w:rsidR="00D508B2">
        <w:t xml:space="preserve"> was res judicata. H</w:t>
      </w:r>
      <w:r>
        <w:t>e also averred that Jose</w:t>
      </w:r>
      <w:r w:rsidR="00C37C6E">
        <w:t xml:space="preserve"> P</w:t>
      </w:r>
      <w:r>
        <w:t xml:space="preserve">ayet never acquired a </w:t>
      </w:r>
      <w:proofErr w:type="spellStart"/>
      <w:r w:rsidR="00153B91">
        <w:rPr>
          <w:i/>
        </w:rPr>
        <w:t>D</w:t>
      </w:r>
      <w:r w:rsidRPr="00C37C6E">
        <w:rPr>
          <w:i/>
        </w:rPr>
        <w:t>roit</w:t>
      </w:r>
      <w:proofErr w:type="spellEnd"/>
      <w:r w:rsidRPr="00C37C6E">
        <w:rPr>
          <w:i/>
        </w:rPr>
        <w:t xml:space="preserve"> de </w:t>
      </w:r>
      <w:proofErr w:type="spellStart"/>
      <w:r w:rsidRPr="00C37C6E">
        <w:rPr>
          <w:i/>
        </w:rPr>
        <w:t>superficie</w:t>
      </w:r>
      <w:proofErr w:type="spellEnd"/>
      <w:r>
        <w:t xml:space="preserve"> over the house on parcel H 2519 and that there was neither planning permission for</w:t>
      </w:r>
      <w:r w:rsidR="00153B91">
        <w:t xml:space="preserve"> </w:t>
      </w:r>
      <w:r>
        <w:t>its cons</w:t>
      </w:r>
      <w:r w:rsidR="00C37C6E">
        <w:t>truction nor his permission to</w:t>
      </w:r>
      <w:r>
        <w:t xml:space="preserve"> build the same. Hence, he averred, Jose Payet could not have bequeathed the house by will to his mother,</w:t>
      </w:r>
      <w:r w:rsidR="00C37C6E">
        <w:t xml:space="preserve"> </w:t>
      </w:r>
      <w:r>
        <w:t>t</w:t>
      </w:r>
      <w:r w:rsidR="00C37C6E">
        <w:t xml:space="preserve">he deceased </w:t>
      </w:r>
      <w:r>
        <w:t>and then onto her successors.</w:t>
      </w:r>
    </w:p>
    <w:p w14:paraId="46CCA46A" w14:textId="0D650A6E" w:rsidR="00855161" w:rsidRDefault="00855161" w:rsidP="00D508B2">
      <w:pPr>
        <w:pStyle w:val="JudgmentText"/>
      </w:pPr>
      <w:r>
        <w:t>The appellant also averr</w:t>
      </w:r>
      <w:r w:rsidR="00C37C6E">
        <w:t>ed that the purported lease by Leonne P</w:t>
      </w:r>
      <w:r>
        <w:t>ayet and the second respondent was null and void as it w</w:t>
      </w:r>
      <w:r w:rsidR="00C37C6E">
        <w:t>a</w:t>
      </w:r>
      <w:r>
        <w:t xml:space="preserve">s contrary to law, namely Article 595 </w:t>
      </w:r>
      <w:r w:rsidR="00153B91">
        <w:t>of the Civil C</w:t>
      </w:r>
      <w:r>
        <w:t>ode, and that any lease signed in 1998 was deemed to have been terminated ipso facto on her death</w:t>
      </w:r>
    </w:p>
    <w:p w14:paraId="3FD4A3CC" w14:textId="784DCED0" w:rsidR="00855161" w:rsidRDefault="00855161" w:rsidP="00D508B2">
      <w:pPr>
        <w:pStyle w:val="JudgmentText"/>
      </w:pPr>
      <w:r>
        <w:t xml:space="preserve">The appellant </w:t>
      </w:r>
      <w:r w:rsidR="00C37C6E">
        <w:t>further</w:t>
      </w:r>
      <w:r>
        <w:t xml:space="preserve"> averred in the court a quo that he gave the second respondent and his </w:t>
      </w:r>
      <w:proofErr w:type="spellStart"/>
      <w:r>
        <w:t>carer</w:t>
      </w:r>
      <w:proofErr w:type="spellEnd"/>
      <w:r>
        <w:t xml:space="preserve">, through his </w:t>
      </w:r>
      <w:r w:rsidR="00C37C6E">
        <w:t>guardian t</w:t>
      </w:r>
      <w:r>
        <w:t>he first respondent, sufficient time to vacate the property</w:t>
      </w:r>
      <w:r w:rsidR="00C37C6E">
        <w:t xml:space="preserve">, which was in </w:t>
      </w:r>
      <w:r>
        <w:t xml:space="preserve">dilapidated state. He had </w:t>
      </w:r>
      <w:r w:rsidR="00C37C6E">
        <w:t>been</w:t>
      </w:r>
      <w:r>
        <w:t xml:space="preserve"> </w:t>
      </w:r>
      <w:r w:rsidR="00C37C6E">
        <w:t>a</w:t>
      </w:r>
      <w:r>
        <w:t>dvised by a structural engineer to demolish</w:t>
      </w:r>
      <w:r w:rsidR="00C37C6E">
        <w:t xml:space="preserve"> the </w:t>
      </w:r>
      <w:r>
        <w:t>house and had off</w:t>
      </w:r>
      <w:r w:rsidR="00C37C6E">
        <w:t>e</w:t>
      </w:r>
      <w:r>
        <w:t>red an alternative place of abode, namely the Home of the elderly at North east point, to</w:t>
      </w:r>
      <w:r w:rsidR="00C37C6E">
        <w:t xml:space="preserve"> the </w:t>
      </w:r>
      <w:r>
        <w:t xml:space="preserve">second respondent which offer was turned down. </w:t>
      </w:r>
    </w:p>
    <w:p w14:paraId="5FB75029" w14:textId="5C03EBE2" w:rsidR="00855161" w:rsidRDefault="00C37C6E" w:rsidP="00D508B2">
      <w:pPr>
        <w:pStyle w:val="JudgmentText"/>
      </w:pPr>
      <w:r>
        <w:lastRenderedPageBreak/>
        <w:t>Furthermore</w:t>
      </w:r>
      <w:r w:rsidR="00855161">
        <w:t>, the appellant</w:t>
      </w:r>
      <w:r>
        <w:t xml:space="preserve"> averred </w:t>
      </w:r>
      <w:r w:rsidR="00855161">
        <w:t>that since no order at the time had been issued by the court pr</w:t>
      </w:r>
      <w:r>
        <w:t xml:space="preserve">ohibiting the demolition of the </w:t>
      </w:r>
      <w:r w:rsidR="00855161">
        <w:t>house, he was therefore not barred from proceeding with the same.</w:t>
      </w:r>
    </w:p>
    <w:p w14:paraId="15A64958" w14:textId="1D7D33B7" w:rsidR="00855161" w:rsidRDefault="00855161" w:rsidP="00D508B2">
      <w:pPr>
        <w:pStyle w:val="JudgmentText"/>
      </w:pPr>
      <w:r>
        <w:t xml:space="preserve">With regard to the house of parcel H2519 which was being leased by Daniel </w:t>
      </w:r>
      <w:proofErr w:type="spellStart"/>
      <w:r>
        <w:t>Mancienne</w:t>
      </w:r>
      <w:proofErr w:type="spellEnd"/>
      <w:r>
        <w:t xml:space="preserve">, </w:t>
      </w:r>
      <w:r w:rsidR="005B1FB2">
        <w:t>the</w:t>
      </w:r>
      <w:r>
        <w:t xml:space="preserve"> appellant averred that he had no intention of demolishing the same.</w:t>
      </w:r>
    </w:p>
    <w:p w14:paraId="129A84C0" w14:textId="55E9EB6E" w:rsidR="005B1FB2" w:rsidRDefault="005B1FB2" w:rsidP="00AD71E2">
      <w:pPr>
        <w:pStyle w:val="JudgmentText"/>
      </w:pPr>
      <w:r>
        <w:t xml:space="preserve">The Supreme court ordered that </w:t>
      </w:r>
      <w:r w:rsidRPr="000E1650">
        <w:t>the</w:t>
      </w:r>
      <w:r>
        <w:t xml:space="preserve"> appellant/defendant in </w:t>
      </w:r>
      <w:r w:rsidR="00153B91">
        <w:t xml:space="preserve">the </w:t>
      </w:r>
      <w:r>
        <w:t xml:space="preserve">court a quo, to pay the second respondent/second plaintiff in the court below, the sum of </w:t>
      </w:r>
      <w:r w:rsidR="00897754">
        <w:t>S.R.</w:t>
      </w:r>
      <w:r>
        <w:t xml:space="preserve"> 1,290,000 for alternative accommodation. Alternatively, a lump sum of S.R. 405,000 for damages actually incurred to date (27 months x </w:t>
      </w:r>
      <w:r w:rsidR="00897754">
        <w:t>S.R.</w:t>
      </w:r>
      <w:r>
        <w:t xml:space="preserve"> 15,000) and to provide either </w:t>
      </w:r>
      <w:r w:rsidR="00897754">
        <w:t>S.R.</w:t>
      </w:r>
      <w:r>
        <w:t xml:space="preserve"> 15,000 monthly or suitable accommodation for the remaining months of the lease until 9 February 2025. Further, that the defendant </w:t>
      </w:r>
      <w:r w:rsidR="00AD71E2">
        <w:t xml:space="preserve">was ordered to </w:t>
      </w:r>
      <w:r>
        <w:t xml:space="preserve">pay the first plaintiff S.R. 100,000 for the cost of replacement furniture. </w:t>
      </w:r>
      <w:r w:rsidR="00AD71E2">
        <w:t>Moreover, it was ordered that</w:t>
      </w:r>
      <w:r>
        <w:t xml:space="preserve"> the defendant </w:t>
      </w:r>
      <w:r w:rsidR="00AD71E2">
        <w:t>must</w:t>
      </w:r>
      <w:r>
        <w:t xml:space="preserve"> pay the second plaintiff the sum of S.R. 10,000 for his personal belongings an</w:t>
      </w:r>
      <w:r w:rsidR="00AD71E2">
        <w:t>d S.R. 30,000 for moral damages. Finally, an injunction wa</w:t>
      </w:r>
      <w:r>
        <w:t xml:space="preserve">s issued prohibiting the defendant from interfering with the house on parcel H 2519. </w:t>
      </w:r>
    </w:p>
    <w:p w14:paraId="1A60FD8C" w14:textId="09F9BF72" w:rsidR="005B1FB2" w:rsidRDefault="005B1FB2" w:rsidP="00AD71E2">
      <w:pPr>
        <w:pStyle w:val="JudgmentText"/>
      </w:pPr>
      <w:r>
        <w:t>It is against this background that the appellant is now appealing the said decision on the grounds below.</w:t>
      </w:r>
    </w:p>
    <w:p w14:paraId="4FF628CA" w14:textId="77777777" w:rsidR="00807C0E" w:rsidRDefault="00807C0E" w:rsidP="005B1FB2">
      <w:pPr>
        <w:pStyle w:val="JudgmentText"/>
        <w:numPr>
          <w:ilvl w:val="0"/>
          <w:numId w:val="0"/>
        </w:numPr>
        <w:ind w:left="720" w:hanging="720"/>
      </w:pPr>
    </w:p>
    <w:p w14:paraId="58401B2A" w14:textId="049A279E" w:rsidR="000E1650" w:rsidRDefault="00807C0E" w:rsidP="000E1650">
      <w:pPr>
        <w:pStyle w:val="JudgmentText"/>
        <w:numPr>
          <w:ilvl w:val="0"/>
          <w:numId w:val="0"/>
        </w:numPr>
        <w:rPr>
          <w:rStyle w:val="Strong"/>
        </w:rPr>
      </w:pPr>
      <w:r>
        <w:rPr>
          <w:rStyle w:val="Strong"/>
        </w:rPr>
        <w:t>GROUNDS OF APPEAL</w:t>
      </w:r>
    </w:p>
    <w:p w14:paraId="5171A49D" w14:textId="37DFC048" w:rsidR="005B1FB2" w:rsidRPr="0082284C" w:rsidRDefault="005B1FB2" w:rsidP="00AD71E2">
      <w:pPr>
        <w:pStyle w:val="JudgmentText"/>
      </w:pPr>
      <w:bookmarkStart w:id="1" w:name="_Ref110435963"/>
      <w:r w:rsidRPr="0082284C">
        <w:t>In their heads of argument, the Appellants have abandoned grounds 1, 2, 3, 4, 5</w:t>
      </w:r>
      <w:r w:rsidR="00901C2C">
        <w:t>,</w:t>
      </w:r>
      <w:r w:rsidRPr="0082284C">
        <w:t xml:space="preserve"> and 7 that appeared in the notice of appeal. </w:t>
      </w:r>
      <w:r w:rsidR="00901C2C">
        <w:t>Therefore,</w:t>
      </w:r>
      <w:r w:rsidRPr="0082284C">
        <w:t xml:space="preserve"> there are only two grounds for determination, namely:</w:t>
      </w:r>
      <w:bookmarkEnd w:id="1"/>
    </w:p>
    <w:p w14:paraId="28110B4B" w14:textId="29E60F44" w:rsidR="00AD71E2" w:rsidRDefault="00AD71E2" w:rsidP="00AD71E2">
      <w:pPr>
        <w:pStyle w:val="3"/>
        <w:numPr>
          <w:ilvl w:val="1"/>
          <w:numId w:val="10"/>
        </w:numPr>
        <w:rPr>
          <w:rFonts w:ascii="Times New Roman" w:hAnsi="Times New Roman"/>
        </w:rPr>
      </w:pPr>
      <w:r w:rsidRPr="00AD71E2">
        <w:rPr>
          <w:rFonts w:ascii="Times New Roman" w:hAnsi="Times New Roman"/>
        </w:rPr>
        <w:t>T</w:t>
      </w:r>
      <w:r w:rsidR="005B1FB2" w:rsidRPr="00AD71E2">
        <w:rPr>
          <w:rFonts w:ascii="Times New Roman" w:hAnsi="Times New Roman"/>
        </w:rPr>
        <w:t>he Learned Trial Judge erred in law and on the evidence in holding that the 2</w:t>
      </w:r>
      <w:r w:rsidR="005B1FB2" w:rsidRPr="00AD71E2">
        <w:rPr>
          <w:rFonts w:ascii="Times New Roman" w:hAnsi="Times New Roman"/>
          <w:vertAlign w:val="superscript"/>
        </w:rPr>
        <w:t>nd</w:t>
      </w:r>
      <w:r w:rsidR="005B1FB2" w:rsidRPr="00AD71E2">
        <w:rPr>
          <w:rFonts w:ascii="Times New Roman" w:hAnsi="Times New Roman"/>
        </w:rPr>
        <w:t xml:space="preserve"> Respondent had the right to remain in occupation of parcel H2520 until 12</w:t>
      </w:r>
      <w:r w:rsidR="005B1FB2" w:rsidRPr="00AD71E2">
        <w:rPr>
          <w:rFonts w:ascii="Times New Roman" w:hAnsi="Times New Roman"/>
          <w:vertAlign w:val="superscript"/>
        </w:rPr>
        <w:t>th</w:t>
      </w:r>
      <w:r w:rsidR="005B1FB2" w:rsidRPr="00AD71E2">
        <w:rPr>
          <w:rFonts w:ascii="Times New Roman" w:hAnsi="Times New Roman"/>
        </w:rPr>
        <w:t xml:space="preserve"> February 2025, in that the Learned Trial Judge failed to hold that the third period of 9 years of the lease was a new and fresh lease which only commenced on 12</w:t>
      </w:r>
      <w:r w:rsidR="005B1FB2" w:rsidRPr="00AD71E2">
        <w:rPr>
          <w:rFonts w:ascii="Times New Roman" w:hAnsi="Times New Roman"/>
          <w:vertAlign w:val="superscript"/>
        </w:rPr>
        <w:t>th</w:t>
      </w:r>
      <w:r w:rsidR="005B1FB2" w:rsidRPr="00AD71E2">
        <w:rPr>
          <w:rFonts w:ascii="Times New Roman" w:hAnsi="Times New Roman"/>
        </w:rPr>
        <w:t xml:space="preserve"> February 2016 and therefore the said </w:t>
      </w:r>
      <w:r w:rsidR="005B1FB2" w:rsidRPr="00AD71E2">
        <w:rPr>
          <w:rFonts w:ascii="Times New Roman" w:hAnsi="Times New Roman"/>
        </w:rPr>
        <w:lastRenderedPageBreak/>
        <w:t>lease became void on 17</w:t>
      </w:r>
      <w:r w:rsidR="005B1FB2" w:rsidRPr="00AD71E2">
        <w:rPr>
          <w:rFonts w:ascii="Times New Roman" w:hAnsi="Times New Roman"/>
          <w:vertAlign w:val="superscript"/>
        </w:rPr>
        <w:t>th</w:t>
      </w:r>
      <w:r w:rsidR="005B1FB2" w:rsidRPr="00AD71E2">
        <w:rPr>
          <w:rFonts w:ascii="Times New Roman" w:hAnsi="Times New Roman"/>
        </w:rPr>
        <w:t xml:space="preserve"> June 2017 upon the death of Leonne Payet in accordance with Article 595-2 of the Civil Code;</w:t>
      </w:r>
    </w:p>
    <w:p w14:paraId="1B32F6B9" w14:textId="47BCF361" w:rsidR="00AD71E2" w:rsidRDefault="00AD71E2" w:rsidP="00AD71E2">
      <w:pPr>
        <w:pStyle w:val="3"/>
        <w:numPr>
          <w:ilvl w:val="1"/>
          <w:numId w:val="10"/>
        </w:numPr>
        <w:rPr>
          <w:rFonts w:ascii="Times New Roman" w:hAnsi="Times New Roman"/>
        </w:rPr>
      </w:pPr>
      <w:r w:rsidRPr="00AD71E2">
        <w:rPr>
          <w:rFonts w:ascii="Times New Roman" w:hAnsi="Times New Roman"/>
        </w:rPr>
        <w:t>The learned trial judge erred in law and on the evidence in awarding damages against the Appellant in that:</w:t>
      </w:r>
    </w:p>
    <w:p w14:paraId="3C633FD9" w14:textId="77777777" w:rsidR="00AD71E2" w:rsidRDefault="00AD71E2" w:rsidP="00AD71E2">
      <w:pPr>
        <w:pStyle w:val="3"/>
        <w:numPr>
          <w:ilvl w:val="2"/>
          <w:numId w:val="10"/>
        </w:numPr>
        <w:rPr>
          <w:rFonts w:ascii="Times New Roman" w:hAnsi="Times New Roman"/>
        </w:rPr>
      </w:pPr>
      <w:r w:rsidRPr="00AD71E2">
        <w:rPr>
          <w:rFonts w:ascii="Times New Roman" w:hAnsi="Times New Roman"/>
        </w:rPr>
        <w:t xml:space="preserve">The learned trial judge in awarding the damages acted upon the wrong principles and the award of damages was erroneous, as the 1st Respondent did not have locus </w:t>
      </w:r>
      <w:proofErr w:type="spellStart"/>
      <w:r w:rsidRPr="00AD71E2">
        <w:rPr>
          <w:rFonts w:ascii="Times New Roman" w:hAnsi="Times New Roman"/>
        </w:rPr>
        <w:t>standi</w:t>
      </w:r>
      <w:proofErr w:type="spellEnd"/>
      <w:r w:rsidRPr="00AD71E2">
        <w:rPr>
          <w:rFonts w:ascii="Times New Roman" w:hAnsi="Times New Roman"/>
        </w:rPr>
        <w:t xml:space="preserve"> to demand damages on behalf of the 2nd Respondent and there was no evidence to prove the damages awarded by the Court; and/ or</w:t>
      </w:r>
    </w:p>
    <w:p w14:paraId="78CAF8F7" w14:textId="46953648" w:rsidR="00AD71E2" w:rsidRPr="00AD71E2" w:rsidRDefault="00AD71E2" w:rsidP="00AD71E2">
      <w:pPr>
        <w:pStyle w:val="3"/>
        <w:numPr>
          <w:ilvl w:val="2"/>
          <w:numId w:val="10"/>
        </w:numPr>
        <w:rPr>
          <w:rFonts w:ascii="Times New Roman" w:hAnsi="Times New Roman"/>
        </w:rPr>
      </w:pPr>
      <w:r w:rsidRPr="00AD71E2">
        <w:rPr>
          <w:rFonts w:ascii="Times New Roman" w:hAnsi="Times New Roman"/>
        </w:rPr>
        <w:t>All the damages were manifestly excessive.</w:t>
      </w:r>
    </w:p>
    <w:p w14:paraId="520DF8AD" w14:textId="77777777" w:rsidR="00AD71E2" w:rsidRDefault="00AD71E2" w:rsidP="00AD71E2">
      <w:pPr>
        <w:pStyle w:val="3"/>
        <w:numPr>
          <w:ilvl w:val="0"/>
          <w:numId w:val="0"/>
        </w:numPr>
        <w:ind w:left="3240"/>
        <w:rPr>
          <w:rFonts w:ascii="Times New Roman" w:hAnsi="Times New Roman"/>
        </w:rPr>
      </w:pPr>
    </w:p>
    <w:p w14:paraId="50FA5A8F" w14:textId="099B4009" w:rsidR="005B1FB2" w:rsidRDefault="005B1FB2" w:rsidP="00AD71E2">
      <w:pPr>
        <w:pStyle w:val="JudgmentText"/>
      </w:pPr>
      <w:r w:rsidRPr="0082284C">
        <w:t>The Appellants have approached the Court of Appeal seeking the quashing of the decision of the Supreme Court.</w:t>
      </w:r>
    </w:p>
    <w:p w14:paraId="57DBD5F6" w14:textId="77777777" w:rsidR="00807C0E" w:rsidRPr="0082284C" w:rsidRDefault="00807C0E" w:rsidP="00CA5E16">
      <w:pPr>
        <w:pStyle w:val="2"/>
        <w:numPr>
          <w:ilvl w:val="0"/>
          <w:numId w:val="0"/>
        </w:numPr>
        <w:ind w:left="568" w:hanging="568"/>
        <w:rPr>
          <w:rFonts w:ascii="Times New Roman" w:hAnsi="Times New Roman"/>
          <w:lang w:val="en-GB"/>
        </w:rPr>
      </w:pPr>
    </w:p>
    <w:p w14:paraId="59F85277" w14:textId="0423F835" w:rsidR="000E1650" w:rsidRPr="000E1650" w:rsidRDefault="00AD71E2" w:rsidP="000E1650">
      <w:pPr>
        <w:pStyle w:val="JudgmentText"/>
        <w:numPr>
          <w:ilvl w:val="0"/>
          <w:numId w:val="0"/>
        </w:numPr>
        <w:rPr>
          <w:rStyle w:val="Strong"/>
          <w:b w:val="0"/>
          <w:bCs w:val="0"/>
        </w:rPr>
      </w:pPr>
      <w:r>
        <w:rPr>
          <w:rStyle w:val="Strong"/>
        </w:rPr>
        <w:t>SUBMISSIONS OF PARTIES</w:t>
      </w:r>
    </w:p>
    <w:p w14:paraId="321C7323" w14:textId="77777777" w:rsidR="000E1650" w:rsidRPr="000E1650" w:rsidRDefault="00A52B62" w:rsidP="000E1650">
      <w:pPr>
        <w:pStyle w:val="JudgmentText"/>
        <w:numPr>
          <w:ilvl w:val="0"/>
          <w:numId w:val="0"/>
        </w:numPr>
        <w:ind w:left="720" w:hanging="720"/>
        <w:rPr>
          <w:rStyle w:val="Strong"/>
          <w:b w:val="0"/>
          <w:bCs w:val="0"/>
        </w:rPr>
      </w:pPr>
      <w:r w:rsidRPr="000E1650">
        <w:rPr>
          <w:rStyle w:val="Strong"/>
        </w:rPr>
        <w:t>APPELLANT’S SUBMISSION</w:t>
      </w:r>
    </w:p>
    <w:p w14:paraId="306FABF6" w14:textId="338FD12C" w:rsidR="005B1FB2" w:rsidRPr="005B1FB2" w:rsidRDefault="00AD71E2" w:rsidP="00AD71E2">
      <w:pPr>
        <w:pStyle w:val="JudgmentText"/>
      </w:pPr>
      <w:r>
        <w:t xml:space="preserve"> </w:t>
      </w:r>
      <w:r w:rsidR="00CA5E16" w:rsidRPr="00CA5E16">
        <w:t xml:space="preserve">In addressing the sixth ground of appeal, </w:t>
      </w:r>
      <w:r w:rsidR="00B13AFD">
        <w:t xml:space="preserve">Learned Counsel </w:t>
      </w:r>
      <w:r w:rsidR="005B1FB2" w:rsidRPr="005B1FB2">
        <w:t xml:space="preserve">Mr </w:t>
      </w:r>
      <w:r w:rsidR="00CA5E16">
        <w:t xml:space="preserve">Basil Hoareau, </w:t>
      </w:r>
      <w:r w:rsidR="00B13AFD">
        <w:t>appearing for</w:t>
      </w:r>
      <w:r w:rsidR="00CA5E16">
        <w:t xml:space="preserve"> the a</w:t>
      </w:r>
      <w:r w:rsidR="005B1FB2" w:rsidRPr="005B1FB2">
        <w:t xml:space="preserve">ppellant submitted </w:t>
      </w:r>
      <w:r w:rsidR="00CA5E16">
        <w:t>that both the p</w:t>
      </w:r>
      <w:r w:rsidR="005B1FB2" w:rsidRPr="005B1FB2">
        <w:t>laintiff</w:t>
      </w:r>
      <w:r w:rsidR="00CA5E16">
        <w:t>s/respondents</w:t>
      </w:r>
      <w:r w:rsidR="005B1FB2" w:rsidRPr="005B1FB2">
        <w:t xml:space="preserve"> and the learned trial judge erred in applying the provisions of Article 595(2) in that they took the view that the lease was for a period exceeding nine years and that as the tenancy was in its third period of nine years, the tenant should have been allowed to complete that period of nine years. In this regard, the submissions are that the learned judge ought to have interpreted and appreciated the meaning of renewal </w:t>
      </w:r>
      <w:r w:rsidR="005B1FB2" w:rsidRPr="00CA5E16">
        <w:rPr>
          <w:i/>
        </w:rPr>
        <w:t xml:space="preserve">“par tacit </w:t>
      </w:r>
      <w:proofErr w:type="spellStart"/>
      <w:r w:rsidR="005B1FB2" w:rsidRPr="00CA5E16">
        <w:rPr>
          <w:i/>
        </w:rPr>
        <w:t>reconduction</w:t>
      </w:r>
      <w:proofErr w:type="spellEnd"/>
      <w:r w:rsidR="005B1FB2" w:rsidRPr="00CA5E16">
        <w:rPr>
          <w:i/>
        </w:rPr>
        <w:t>”</w:t>
      </w:r>
      <w:r w:rsidR="005B1FB2" w:rsidRPr="005B1FB2">
        <w:t xml:space="preserve"> in relation to the lease.</w:t>
      </w:r>
    </w:p>
    <w:p w14:paraId="4724DA7A" w14:textId="47ECBD0F" w:rsidR="005B1FB2" w:rsidRPr="0082284C" w:rsidRDefault="005B1FB2" w:rsidP="003E1023">
      <w:pPr>
        <w:pStyle w:val="JudgmentText"/>
      </w:pPr>
      <w:r w:rsidRPr="0082284C">
        <w:lastRenderedPageBreak/>
        <w:t xml:space="preserve">Furthermore, </w:t>
      </w:r>
      <w:r w:rsidR="00CA5E16">
        <w:t xml:space="preserve">it is submitted that </w:t>
      </w:r>
      <w:r w:rsidRPr="0082284C">
        <w:t>since Article 595(2) provides that “…Tenancies of nine years or less granted less than three years before the expiry of the usufruct in the case of agricultural land, and less than two years in the case of a house, shall be void.” Applying the time frame of the lease renewal, he submits that the third lease commenced on the 12 February 2016 and the usufruct of Leonne Payet expired or terminated on the 17</w:t>
      </w:r>
      <w:r w:rsidRPr="0082284C">
        <w:rPr>
          <w:vertAlign w:val="superscript"/>
        </w:rPr>
        <w:t>th</w:t>
      </w:r>
      <w:r w:rsidRPr="0082284C">
        <w:t xml:space="preserve"> June 2017 on the date Leonne Payet passed away.</w:t>
      </w:r>
    </w:p>
    <w:p w14:paraId="6BDE598D" w14:textId="288C79B5" w:rsidR="005B1FB2" w:rsidRPr="0082284C" w:rsidRDefault="005B1FB2" w:rsidP="003E1023">
      <w:pPr>
        <w:pStyle w:val="JudgmentText"/>
      </w:pPr>
      <w:r w:rsidRPr="0082284C">
        <w:t xml:space="preserve">He submits </w:t>
      </w:r>
      <w:r w:rsidR="00CA5E16">
        <w:t xml:space="preserve">further, </w:t>
      </w:r>
      <w:r w:rsidRPr="0082284C">
        <w:t>that the lease became void on the 13 June 2017 and that there was no valid lease agreement running until 12 February 2025.</w:t>
      </w:r>
    </w:p>
    <w:p w14:paraId="4C1E7141" w14:textId="166A6BB0" w:rsidR="005B1FB2" w:rsidRDefault="005B1FB2" w:rsidP="003E1023">
      <w:pPr>
        <w:pStyle w:val="JudgmentText"/>
      </w:pPr>
      <w:r w:rsidRPr="0082284C">
        <w:t xml:space="preserve">Submissions made in relation to Ground 8 essentially challenge first the locus </w:t>
      </w:r>
      <w:proofErr w:type="spellStart"/>
      <w:r w:rsidRPr="0082284C">
        <w:t>standi</w:t>
      </w:r>
      <w:proofErr w:type="spellEnd"/>
      <w:r w:rsidRPr="0082284C">
        <w:t xml:space="preserve"> of the </w:t>
      </w:r>
      <w:r w:rsidR="00CA5E16">
        <w:t>first r</w:t>
      </w:r>
      <w:r w:rsidRPr="0082284C">
        <w:t xml:space="preserve">espondent and the damages awarded in that there was no evidence of such damages or alternatively that the damages were excessive. </w:t>
      </w:r>
    </w:p>
    <w:p w14:paraId="34B756C1" w14:textId="77777777" w:rsidR="00807C0E" w:rsidRDefault="00807C0E" w:rsidP="00CA5E16">
      <w:pPr>
        <w:pStyle w:val="2"/>
        <w:numPr>
          <w:ilvl w:val="0"/>
          <w:numId w:val="0"/>
        </w:numPr>
        <w:ind w:left="900" w:hanging="720"/>
        <w:rPr>
          <w:rFonts w:ascii="Times New Roman" w:hAnsi="Times New Roman"/>
          <w:lang w:val="en-GB"/>
        </w:rPr>
      </w:pPr>
    </w:p>
    <w:p w14:paraId="6B303B8E" w14:textId="5D15A393" w:rsidR="00B13AFD" w:rsidRPr="00B13AFD" w:rsidRDefault="00B13AFD" w:rsidP="00CA5E16">
      <w:pPr>
        <w:pStyle w:val="2"/>
        <w:numPr>
          <w:ilvl w:val="0"/>
          <w:numId w:val="0"/>
        </w:numPr>
        <w:ind w:left="900" w:hanging="720"/>
        <w:rPr>
          <w:rFonts w:ascii="Times New Roman" w:hAnsi="Times New Roman"/>
          <w:b/>
          <w:lang w:val="en-GB"/>
        </w:rPr>
      </w:pPr>
      <w:r w:rsidRPr="00B13AFD">
        <w:rPr>
          <w:rFonts w:ascii="Times New Roman" w:hAnsi="Times New Roman"/>
          <w:b/>
          <w:lang w:val="en-GB"/>
        </w:rPr>
        <w:t>RESPONDENTS’ SUBMIS</w:t>
      </w:r>
      <w:r>
        <w:rPr>
          <w:rFonts w:ascii="Times New Roman" w:hAnsi="Times New Roman"/>
          <w:b/>
          <w:lang w:val="en-GB"/>
        </w:rPr>
        <w:t>SION</w:t>
      </w:r>
    </w:p>
    <w:p w14:paraId="46EBAE58" w14:textId="2BDBFC9E" w:rsidR="005B1FB2" w:rsidRPr="0082284C" w:rsidRDefault="00CA5E16" w:rsidP="003E1023">
      <w:pPr>
        <w:pStyle w:val="JudgmentText"/>
      </w:pPr>
      <w:r>
        <w:t>On the other hand, the r</w:t>
      </w:r>
      <w:r w:rsidR="005B1FB2" w:rsidRPr="0082284C">
        <w:t xml:space="preserve">espondents </w:t>
      </w:r>
      <w:r w:rsidR="00B13AFD">
        <w:t>by way of submissions of the 2 August 2022,</w:t>
      </w:r>
      <w:r w:rsidR="005B1FB2" w:rsidRPr="0082284C">
        <w:t xml:space="preserve"> through </w:t>
      </w:r>
      <w:r w:rsidR="00B13AFD">
        <w:t xml:space="preserve">Senior </w:t>
      </w:r>
      <w:r w:rsidR="005B1FB2" w:rsidRPr="0082284C">
        <w:t>Counsel</w:t>
      </w:r>
      <w:r w:rsidR="00B13AFD">
        <w:t xml:space="preserve"> Mr. Kieran Shah, submits </w:t>
      </w:r>
      <w:r w:rsidR="005B1FB2" w:rsidRPr="0082284C">
        <w:t>that Leonne Payet</w:t>
      </w:r>
      <w:r w:rsidR="003E1023">
        <w:t xml:space="preserve"> </w:t>
      </w:r>
      <w:r>
        <w:t>signed a lease with the second r</w:t>
      </w:r>
      <w:r w:rsidR="005B1FB2" w:rsidRPr="0082284C">
        <w:t>espondent on 12 February 1998. The lease was for 9 years and contained a renewal clause. The first term of the lease was from the 12</w:t>
      </w:r>
      <w:r w:rsidR="005B1FB2" w:rsidRPr="0082284C">
        <w:rPr>
          <w:vertAlign w:val="superscript"/>
        </w:rPr>
        <w:t>th</w:t>
      </w:r>
      <w:r w:rsidR="005B1FB2" w:rsidRPr="0082284C">
        <w:t xml:space="preserve"> of February 2007. The subsequent lease was from the 12</w:t>
      </w:r>
      <w:r w:rsidR="005B1FB2" w:rsidRPr="0082284C">
        <w:rPr>
          <w:vertAlign w:val="superscript"/>
        </w:rPr>
        <w:t>th</w:t>
      </w:r>
      <w:r w:rsidR="005B1FB2" w:rsidRPr="0082284C">
        <w:t xml:space="preserve"> of February 2007 to the 12</w:t>
      </w:r>
      <w:r w:rsidR="005B1FB2" w:rsidRPr="0082284C">
        <w:rPr>
          <w:vertAlign w:val="superscript"/>
        </w:rPr>
        <w:t>th</w:t>
      </w:r>
      <w:r w:rsidR="005B1FB2" w:rsidRPr="0082284C">
        <w:t xml:space="preserve"> of February 2016. The third term, which is the subject of ground 6 of appeal was for another 9 years. In terms of their submissions, the third term was not a new lease, but a continuation of the lease granted in 1998. </w:t>
      </w:r>
    </w:p>
    <w:p w14:paraId="5A8C36BD" w14:textId="00381742" w:rsidR="005B1FB2" w:rsidRPr="0082284C" w:rsidRDefault="00CA5E16" w:rsidP="003E1023">
      <w:pPr>
        <w:pStyle w:val="JudgmentText"/>
      </w:pPr>
      <w:r>
        <w:t xml:space="preserve">They further submit that the </w:t>
      </w:r>
      <w:r w:rsidR="00F96087">
        <w:t xml:space="preserve">second </w:t>
      </w:r>
      <w:r>
        <w:t>r</w:t>
      </w:r>
      <w:r w:rsidR="005B1FB2" w:rsidRPr="0082284C">
        <w:t xml:space="preserve">espondent was entitled to renew and complete the second term of the lease. </w:t>
      </w:r>
    </w:p>
    <w:p w14:paraId="501CE985" w14:textId="1E939FC9" w:rsidR="005B1FB2" w:rsidRPr="0082284C" w:rsidRDefault="005B1FB2" w:rsidP="003E1023">
      <w:pPr>
        <w:pStyle w:val="JudgmentText"/>
      </w:pPr>
      <w:r w:rsidRPr="0082284C">
        <w:t xml:space="preserve">In terms of ground 8, on the locus </w:t>
      </w:r>
      <w:proofErr w:type="spellStart"/>
      <w:r w:rsidRPr="0082284C">
        <w:t>standi</w:t>
      </w:r>
      <w:proofErr w:type="spellEnd"/>
      <w:r w:rsidRPr="0082284C">
        <w:t xml:space="preserve"> of the </w:t>
      </w:r>
      <w:r w:rsidR="00CA5E16">
        <w:t>first r</w:t>
      </w:r>
      <w:r w:rsidRPr="0082284C">
        <w:t xml:space="preserve">espondent to represent the </w:t>
      </w:r>
      <w:r w:rsidR="00CA5E16">
        <w:t>second r</w:t>
      </w:r>
      <w:r w:rsidR="00F96087">
        <w:t xml:space="preserve">espondent, excerpts from the </w:t>
      </w:r>
      <w:r w:rsidRPr="0082284C">
        <w:t>transcripts during trial were sub</w:t>
      </w:r>
      <w:r w:rsidR="00CA5E16">
        <w:t>mitted to show that indeed the f</w:t>
      </w:r>
      <w:r w:rsidRPr="0082284C">
        <w:t>irst respondent was the guardian of the second respondent.</w:t>
      </w:r>
    </w:p>
    <w:p w14:paraId="00376CA3" w14:textId="0DCCCAAA" w:rsidR="005B1FB2" w:rsidRDefault="005B1FB2" w:rsidP="003E1023">
      <w:pPr>
        <w:pStyle w:val="JudgmentText"/>
      </w:pPr>
      <w:r w:rsidRPr="0082284C">
        <w:lastRenderedPageBreak/>
        <w:t>On the i</w:t>
      </w:r>
      <w:r w:rsidR="00CA5E16">
        <w:t>ssue of excessive damages, the r</w:t>
      </w:r>
      <w:r w:rsidRPr="0082284C">
        <w:t>espondent</w:t>
      </w:r>
      <w:r w:rsidR="00CA5E16">
        <w:t>s</w:t>
      </w:r>
      <w:r w:rsidRPr="0082284C">
        <w:t xml:space="preserve"> restated the order of the court a quo and t</w:t>
      </w:r>
      <w:r w:rsidR="00CA5E16">
        <w:t>he order was as follows – SCR 1 290,</w:t>
      </w:r>
      <w:r w:rsidRPr="0082284C">
        <w:t xml:space="preserve">000 was awarded to the </w:t>
      </w:r>
      <w:r w:rsidR="00CA5E16">
        <w:t>second r</w:t>
      </w:r>
      <w:r w:rsidRPr="0082284C">
        <w:t>espondent for alternative accommodation. Alternatively, a lump sum of SCR 405</w:t>
      </w:r>
      <w:r w:rsidR="00CA5E16">
        <w:t>,</w:t>
      </w:r>
      <w:r w:rsidRPr="0082284C">
        <w:t>000 for damages incurr</w:t>
      </w:r>
      <w:r w:rsidR="00CA5E16">
        <w:t>ed to date (27 months by SCR 15,</w:t>
      </w:r>
      <w:r w:rsidRPr="0082284C">
        <w:t>0</w:t>
      </w:r>
      <w:r w:rsidR="00CA5E16">
        <w:t>00 and to provide either SCR 15,</w:t>
      </w:r>
      <w:r w:rsidRPr="0082284C">
        <w:t>000 or suitable accommodation for the remaining months of the lease until 9</w:t>
      </w:r>
      <w:r w:rsidRPr="0082284C">
        <w:rPr>
          <w:vertAlign w:val="superscript"/>
        </w:rPr>
        <w:t>th</w:t>
      </w:r>
      <w:r w:rsidRPr="0082284C">
        <w:t xml:space="preserve"> February 2025.</w:t>
      </w:r>
    </w:p>
    <w:p w14:paraId="03710AAF" w14:textId="77777777" w:rsidR="00807C0E" w:rsidRPr="00A57D94" w:rsidRDefault="00807C0E" w:rsidP="00CA5E16">
      <w:pPr>
        <w:pStyle w:val="2"/>
        <w:numPr>
          <w:ilvl w:val="0"/>
          <w:numId w:val="0"/>
        </w:numPr>
        <w:ind w:left="990" w:hanging="810"/>
        <w:rPr>
          <w:rFonts w:ascii="Times New Roman" w:hAnsi="Times New Roman"/>
          <w:sz w:val="10"/>
          <w:szCs w:val="10"/>
          <w:lang w:val="en-GB"/>
        </w:rPr>
      </w:pPr>
    </w:p>
    <w:p w14:paraId="3FCE2138" w14:textId="370D891B" w:rsidR="000E1650" w:rsidRDefault="00791829" w:rsidP="000E1650">
      <w:pPr>
        <w:pStyle w:val="JudgmentText"/>
        <w:numPr>
          <w:ilvl w:val="0"/>
          <w:numId w:val="0"/>
        </w:numPr>
      </w:pPr>
      <w:r w:rsidRPr="000E1650">
        <w:rPr>
          <w:b/>
        </w:rPr>
        <w:t xml:space="preserve">ANALYSIS </w:t>
      </w:r>
      <w:r w:rsidR="00B13AFD">
        <w:rPr>
          <w:b/>
        </w:rPr>
        <w:t>OF THE GROUNDS OF APPEAL</w:t>
      </w:r>
    </w:p>
    <w:p w14:paraId="5D2BA0B7" w14:textId="4A87CAD1" w:rsidR="00B13AFD" w:rsidRDefault="00B13AFD" w:rsidP="003E1023">
      <w:pPr>
        <w:pStyle w:val="JudgmentText"/>
      </w:pPr>
      <w:r w:rsidRPr="00B13AFD">
        <w:t>As the appellants hav</w:t>
      </w:r>
      <w:r w:rsidR="003E1023">
        <w:t xml:space="preserve">e abandoned most of the grounds, </w:t>
      </w:r>
      <w:r w:rsidRPr="00B13AFD">
        <w:t>this Court will only look at the submissions made in relation to grounds</w:t>
      </w:r>
      <w:r>
        <w:t xml:space="preserve"> 6 and 8.</w:t>
      </w:r>
    </w:p>
    <w:p w14:paraId="7E7D095F" w14:textId="567C824D" w:rsidR="00B13AFD" w:rsidRDefault="00B13AFD" w:rsidP="003E1023">
      <w:pPr>
        <w:pStyle w:val="JudgmentText"/>
      </w:pPr>
      <w:r w:rsidRPr="0082284C">
        <w:t xml:space="preserve">I now deal with ground 6 that the Learned Trial Judge erred in holding that the </w:t>
      </w:r>
      <w:r w:rsidR="00F96087">
        <w:t xml:space="preserve">second </w:t>
      </w:r>
      <w:r w:rsidRPr="0082284C">
        <w:t>Respondent had the right to remain in occupation on parcel H2550 until the 12</w:t>
      </w:r>
      <w:r w:rsidRPr="0082284C">
        <w:rPr>
          <w:vertAlign w:val="superscript"/>
        </w:rPr>
        <w:t>th</w:t>
      </w:r>
      <w:r w:rsidRPr="0082284C">
        <w:t xml:space="preserve"> of February 2025. From the outset, one must distinguish between the usufruct the late </w:t>
      </w:r>
      <w:r>
        <w:t>Leo</w:t>
      </w:r>
      <w:r w:rsidRPr="0082284C">
        <w:t>nne Payet</w:t>
      </w:r>
      <w:r w:rsidRPr="0082284C">
        <w:rPr>
          <w:i/>
        </w:rPr>
        <w:t xml:space="preserve"> </w:t>
      </w:r>
      <w:r w:rsidRPr="0082284C">
        <w:t>had over the property and the lease agreement in question. I explore this point further below.</w:t>
      </w:r>
      <w:r>
        <w:t xml:space="preserve"> </w:t>
      </w:r>
    </w:p>
    <w:p w14:paraId="7CCF5D11" w14:textId="019F9DAA" w:rsidR="00B13AFD" w:rsidRPr="0082284C" w:rsidRDefault="00B13AFD" w:rsidP="003E1023">
      <w:pPr>
        <w:pStyle w:val="JudgmentText"/>
      </w:pPr>
      <w:r w:rsidRPr="0082284C">
        <w:t>The starting point in the enquiry is the lease agreement. For that reason, I repeat the important parts of the lease:</w:t>
      </w:r>
    </w:p>
    <w:p w14:paraId="3A325DEC" w14:textId="77777777" w:rsidR="00B13AFD" w:rsidRPr="0082284C" w:rsidRDefault="00B13AFD" w:rsidP="00B13AFD">
      <w:pPr>
        <w:pStyle w:val="2"/>
        <w:numPr>
          <w:ilvl w:val="0"/>
          <w:numId w:val="0"/>
        </w:numPr>
        <w:ind w:left="1080"/>
        <w:rPr>
          <w:rFonts w:ascii="Times New Roman" w:hAnsi="Times New Roman"/>
          <w:i/>
          <w:iCs w:val="0"/>
          <w:lang w:val="en-GB"/>
        </w:rPr>
      </w:pPr>
      <w:r w:rsidRPr="0082284C">
        <w:rPr>
          <w:rFonts w:ascii="Times New Roman" w:hAnsi="Times New Roman"/>
          <w:i/>
          <w:iCs w:val="0"/>
          <w:lang w:val="en-GB"/>
        </w:rPr>
        <w:t xml:space="preserve">“I Mrs </w:t>
      </w:r>
      <w:proofErr w:type="spellStart"/>
      <w:r w:rsidRPr="0082284C">
        <w:rPr>
          <w:rFonts w:ascii="Times New Roman" w:hAnsi="Times New Roman"/>
          <w:i/>
          <w:iCs w:val="0"/>
          <w:lang w:val="en-GB"/>
        </w:rPr>
        <w:t>Loenne</w:t>
      </w:r>
      <w:proofErr w:type="spellEnd"/>
      <w:r w:rsidRPr="0082284C">
        <w:rPr>
          <w:rFonts w:ascii="Times New Roman" w:hAnsi="Times New Roman"/>
          <w:i/>
          <w:iCs w:val="0"/>
          <w:lang w:val="en-GB"/>
        </w:rPr>
        <w:t xml:space="preserve"> Payet of Marie </w:t>
      </w:r>
      <w:proofErr w:type="spellStart"/>
      <w:r w:rsidRPr="0082284C">
        <w:rPr>
          <w:rFonts w:ascii="Times New Roman" w:hAnsi="Times New Roman"/>
          <w:i/>
          <w:iCs w:val="0"/>
          <w:lang w:val="en-GB"/>
        </w:rPr>
        <w:t>Anglaise</w:t>
      </w:r>
      <w:proofErr w:type="spellEnd"/>
      <w:r w:rsidRPr="0082284C">
        <w:rPr>
          <w:rFonts w:ascii="Times New Roman" w:hAnsi="Times New Roman"/>
          <w:i/>
          <w:iCs w:val="0"/>
          <w:lang w:val="en-GB"/>
        </w:rPr>
        <w:t xml:space="preserve">, </w:t>
      </w:r>
      <w:proofErr w:type="spellStart"/>
      <w:r w:rsidRPr="0082284C">
        <w:rPr>
          <w:rFonts w:ascii="Times New Roman" w:hAnsi="Times New Roman"/>
          <w:i/>
          <w:iCs w:val="0"/>
          <w:lang w:val="en-GB"/>
        </w:rPr>
        <w:t>Mahe</w:t>
      </w:r>
      <w:proofErr w:type="spellEnd"/>
      <w:r w:rsidRPr="0082284C">
        <w:rPr>
          <w:rFonts w:ascii="Times New Roman" w:hAnsi="Times New Roman"/>
          <w:i/>
          <w:iCs w:val="0"/>
          <w:lang w:val="en-GB"/>
        </w:rPr>
        <w:t xml:space="preserve">, </w:t>
      </w:r>
      <w:proofErr w:type="spellStart"/>
      <w:r w:rsidRPr="0082284C">
        <w:rPr>
          <w:rFonts w:ascii="Times New Roman" w:hAnsi="Times New Roman"/>
          <w:i/>
          <w:iCs w:val="0"/>
          <w:lang w:val="en-GB"/>
        </w:rPr>
        <w:t>usufructuary</w:t>
      </w:r>
      <w:proofErr w:type="spellEnd"/>
      <w:r w:rsidRPr="0082284C">
        <w:rPr>
          <w:rFonts w:ascii="Times New Roman" w:hAnsi="Times New Roman"/>
          <w:i/>
          <w:iCs w:val="0"/>
          <w:lang w:val="en-GB"/>
        </w:rPr>
        <w:t xml:space="preserve"> of the above title, hereby lease to my son Eddy Rene Martial Payet, also of Mare </w:t>
      </w:r>
      <w:proofErr w:type="spellStart"/>
      <w:r w:rsidRPr="0082284C">
        <w:rPr>
          <w:rFonts w:ascii="Times New Roman" w:hAnsi="Times New Roman"/>
          <w:i/>
          <w:iCs w:val="0"/>
          <w:lang w:val="en-GB"/>
        </w:rPr>
        <w:t>Anglaise</w:t>
      </w:r>
      <w:proofErr w:type="spellEnd"/>
      <w:r w:rsidRPr="0082284C">
        <w:rPr>
          <w:rFonts w:ascii="Times New Roman" w:hAnsi="Times New Roman"/>
          <w:i/>
          <w:iCs w:val="0"/>
          <w:lang w:val="en-GB"/>
        </w:rPr>
        <w:t xml:space="preserve">, </w:t>
      </w:r>
      <w:proofErr w:type="spellStart"/>
      <w:r w:rsidRPr="0082284C">
        <w:rPr>
          <w:rFonts w:ascii="Times New Roman" w:hAnsi="Times New Roman"/>
          <w:i/>
          <w:iCs w:val="0"/>
          <w:lang w:val="en-GB"/>
        </w:rPr>
        <w:t>Mahe</w:t>
      </w:r>
      <w:proofErr w:type="spellEnd"/>
      <w:r w:rsidRPr="0082284C">
        <w:rPr>
          <w:rFonts w:ascii="Times New Roman" w:hAnsi="Times New Roman"/>
          <w:i/>
          <w:iCs w:val="0"/>
          <w:lang w:val="en-GB"/>
        </w:rPr>
        <w:t xml:space="preserve"> the house in the abovementioned title for a term of 9 years from 12</w:t>
      </w:r>
      <w:r w:rsidRPr="0082284C">
        <w:rPr>
          <w:rFonts w:ascii="Times New Roman" w:hAnsi="Times New Roman"/>
          <w:i/>
          <w:iCs w:val="0"/>
          <w:vertAlign w:val="superscript"/>
          <w:lang w:val="en-GB"/>
        </w:rPr>
        <w:t>th</w:t>
      </w:r>
      <w:r w:rsidRPr="0082284C">
        <w:rPr>
          <w:rFonts w:ascii="Times New Roman" w:hAnsi="Times New Roman"/>
          <w:i/>
          <w:iCs w:val="0"/>
          <w:lang w:val="en-GB"/>
        </w:rPr>
        <w:t xml:space="preserve"> February 1998, at an annual rent of R 1/- per annum payable in advance and subject to the following conditions:</w:t>
      </w:r>
    </w:p>
    <w:p w14:paraId="3949ED3E" w14:textId="77777777" w:rsidR="00B13AFD" w:rsidRPr="0082284C" w:rsidRDefault="00B13AFD" w:rsidP="00B13AFD">
      <w:pPr>
        <w:pStyle w:val="1"/>
        <w:numPr>
          <w:ilvl w:val="0"/>
          <w:numId w:val="17"/>
        </w:numPr>
        <w:ind w:left="1080"/>
        <w:rPr>
          <w:rFonts w:ascii="Times New Roman" w:hAnsi="Times New Roman"/>
          <w:i/>
          <w:iCs w:val="0"/>
          <w:lang w:val="en-GB"/>
        </w:rPr>
      </w:pPr>
      <w:r w:rsidRPr="0082284C">
        <w:rPr>
          <w:rFonts w:ascii="Times New Roman" w:hAnsi="Times New Roman"/>
          <w:i/>
          <w:iCs w:val="0"/>
          <w:lang w:val="en-GB"/>
        </w:rPr>
        <w:t>The rent shall be increased when the Lessee recovers from his handicap so as to be able to lead a normal working life.</w:t>
      </w:r>
    </w:p>
    <w:p w14:paraId="641F3A70" w14:textId="77777777" w:rsidR="00B13AFD" w:rsidRPr="0082284C" w:rsidRDefault="00B13AFD" w:rsidP="00B13AFD">
      <w:pPr>
        <w:pStyle w:val="1"/>
        <w:numPr>
          <w:ilvl w:val="0"/>
          <w:numId w:val="17"/>
        </w:numPr>
        <w:ind w:left="1080"/>
        <w:rPr>
          <w:rFonts w:ascii="Times New Roman" w:hAnsi="Times New Roman"/>
          <w:i/>
          <w:iCs w:val="0"/>
          <w:lang w:val="en-GB"/>
        </w:rPr>
      </w:pPr>
      <w:r w:rsidRPr="0082284C">
        <w:rPr>
          <w:rFonts w:ascii="Times New Roman" w:hAnsi="Times New Roman"/>
          <w:i/>
          <w:iCs w:val="0"/>
          <w:lang w:val="en-GB"/>
        </w:rPr>
        <w:t xml:space="preserve">The Lessee has an automatic right of renewal of this lease (par tacit </w:t>
      </w:r>
      <w:proofErr w:type="spellStart"/>
      <w:r w:rsidRPr="0082284C">
        <w:rPr>
          <w:rFonts w:ascii="Times New Roman" w:hAnsi="Times New Roman"/>
          <w:i/>
          <w:iCs w:val="0"/>
          <w:lang w:val="en-GB"/>
        </w:rPr>
        <w:t>reconduction</w:t>
      </w:r>
      <w:proofErr w:type="spellEnd"/>
      <w:r w:rsidRPr="0082284C">
        <w:rPr>
          <w:rFonts w:ascii="Times New Roman" w:hAnsi="Times New Roman"/>
          <w:i/>
          <w:iCs w:val="0"/>
          <w:lang w:val="en-GB"/>
        </w:rPr>
        <w:t>) for another 2 terms</w:t>
      </w:r>
    </w:p>
    <w:p w14:paraId="1D11CF81" w14:textId="77777777" w:rsidR="00B13AFD" w:rsidRPr="0082284C" w:rsidRDefault="00B13AFD" w:rsidP="00B13AFD">
      <w:pPr>
        <w:pStyle w:val="1"/>
        <w:numPr>
          <w:ilvl w:val="0"/>
          <w:numId w:val="17"/>
        </w:numPr>
        <w:ind w:left="1080"/>
        <w:rPr>
          <w:rFonts w:ascii="Times New Roman" w:hAnsi="Times New Roman"/>
          <w:i/>
          <w:iCs w:val="0"/>
          <w:lang w:val="en-GB"/>
        </w:rPr>
      </w:pPr>
      <w:r w:rsidRPr="0082284C">
        <w:rPr>
          <w:rFonts w:ascii="Times New Roman" w:hAnsi="Times New Roman"/>
          <w:i/>
          <w:iCs w:val="0"/>
          <w:lang w:val="en-GB"/>
        </w:rPr>
        <w:t>The Lessor, as owner of the house, dispenses the Lessee from the requirement from the requirement of providing security, and waives the right to an inventory.”</w:t>
      </w:r>
    </w:p>
    <w:p w14:paraId="4F524228" w14:textId="5D6D3BB8" w:rsidR="00B13AFD" w:rsidRPr="0082284C" w:rsidRDefault="00B13AFD" w:rsidP="003E1023">
      <w:pPr>
        <w:pStyle w:val="JudgmentText"/>
      </w:pPr>
      <w:r w:rsidRPr="0082284C">
        <w:lastRenderedPageBreak/>
        <w:t>The lease was duly registered in terms of the L</w:t>
      </w:r>
      <w:r w:rsidR="00F96087">
        <w:t>and R</w:t>
      </w:r>
      <w:r w:rsidRPr="0082284C">
        <w:t xml:space="preserve">egistration Act </w:t>
      </w:r>
      <w:r w:rsidR="00F96087">
        <w:t>(</w:t>
      </w:r>
      <w:r w:rsidRPr="0082284C">
        <w:t>CAP 107</w:t>
      </w:r>
      <w:r w:rsidR="00F96087">
        <w:t>)</w:t>
      </w:r>
      <w:r w:rsidRPr="0082284C">
        <w:t>. Few other things can be discerned from the lease:</w:t>
      </w:r>
    </w:p>
    <w:p w14:paraId="21C0DE83" w14:textId="00AE9208" w:rsidR="00B13AFD" w:rsidRDefault="003E1023" w:rsidP="000E4C22">
      <w:pPr>
        <w:pStyle w:val="2"/>
        <w:numPr>
          <w:ilvl w:val="0"/>
          <w:numId w:val="0"/>
        </w:numPr>
        <w:ind w:left="1248" w:hanging="528"/>
        <w:rPr>
          <w:rFonts w:ascii="Times New Roman" w:hAnsi="Times New Roman"/>
          <w:lang w:val="en-GB"/>
        </w:rPr>
      </w:pPr>
      <w:r>
        <w:rPr>
          <w:rFonts w:ascii="Times New Roman" w:hAnsi="Times New Roman"/>
          <w:lang w:val="en-GB"/>
        </w:rPr>
        <w:t>31</w:t>
      </w:r>
      <w:r w:rsidR="00901C2C">
        <w:rPr>
          <w:rFonts w:ascii="Times New Roman" w:hAnsi="Times New Roman"/>
          <w:lang w:val="en-GB"/>
        </w:rPr>
        <w:t xml:space="preserve">.1 </w:t>
      </w:r>
      <w:r w:rsidR="000E4C22">
        <w:rPr>
          <w:rFonts w:ascii="Times New Roman" w:hAnsi="Times New Roman"/>
          <w:lang w:val="en-GB"/>
        </w:rPr>
        <w:tab/>
      </w:r>
      <w:r w:rsidR="00B13AFD" w:rsidRPr="000E4C22">
        <w:rPr>
          <w:rFonts w:ascii="Times New Roman" w:hAnsi="Times New Roman"/>
          <w:lang w:val="en-GB"/>
        </w:rPr>
        <w:t>The lease was for a term of 9 years, renewable for another two terms. Therefore, this lease would terminate after 27 years or upon the death of the beneficiaries listed on the lease.</w:t>
      </w:r>
    </w:p>
    <w:p w14:paraId="7F25033B" w14:textId="55BCAD14" w:rsidR="00B13AFD" w:rsidRDefault="003E1023" w:rsidP="000E4C22">
      <w:pPr>
        <w:pStyle w:val="2"/>
        <w:numPr>
          <w:ilvl w:val="0"/>
          <w:numId w:val="0"/>
        </w:numPr>
        <w:ind w:left="1248" w:hanging="528"/>
        <w:rPr>
          <w:rFonts w:ascii="Times New Roman" w:hAnsi="Times New Roman"/>
          <w:lang w:val="en-GB"/>
        </w:rPr>
      </w:pPr>
      <w:bookmarkStart w:id="2" w:name="_Ref110678809"/>
      <w:r>
        <w:rPr>
          <w:rFonts w:ascii="Times New Roman" w:hAnsi="Times New Roman"/>
          <w:lang w:val="en-GB"/>
        </w:rPr>
        <w:t>31</w:t>
      </w:r>
      <w:r w:rsidR="00901C2C">
        <w:rPr>
          <w:rFonts w:ascii="Times New Roman" w:hAnsi="Times New Roman"/>
          <w:lang w:val="en-GB"/>
        </w:rPr>
        <w:t>.2</w:t>
      </w:r>
      <w:r w:rsidR="00901C2C">
        <w:rPr>
          <w:rFonts w:ascii="Times New Roman" w:hAnsi="Times New Roman"/>
          <w:lang w:val="en-GB"/>
        </w:rPr>
        <w:tab/>
      </w:r>
      <w:r w:rsidR="00B13AFD" w:rsidRPr="000E4C22">
        <w:rPr>
          <w:rFonts w:ascii="Times New Roman" w:hAnsi="Times New Roman"/>
          <w:lang w:val="en-GB"/>
        </w:rPr>
        <w:t>From the beginning, the main beneficiary of the lease was Eddy Rene Martial Payet</w:t>
      </w:r>
      <w:r w:rsidR="000E4C22">
        <w:rPr>
          <w:rFonts w:ascii="Times New Roman" w:hAnsi="Times New Roman"/>
          <w:lang w:val="en-GB"/>
        </w:rPr>
        <w:t xml:space="preserve"> - </w:t>
      </w:r>
      <w:r w:rsidR="00B13AFD" w:rsidRPr="000E4C22">
        <w:rPr>
          <w:rFonts w:ascii="Times New Roman" w:hAnsi="Times New Roman"/>
          <w:lang w:val="en-GB"/>
        </w:rPr>
        <w:t>the lessee (the 2</w:t>
      </w:r>
      <w:r w:rsidR="00B13AFD" w:rsidRPr="000E4C22">
        <w:rPr>
          <w:rFonts w:ascii="Times New Roman" w:hAnsi="Times New Roman"/>
          <w:vertAlign w:val="superscript"/>
          <w:lang w:val="en-GB"/>
        </w:rPr>
        <w:t>nd</w:t>
      </w:r>
      <w:r w:rsidR="00B13AFD" w:rsidRPr="000E4C22">
        <w:rPr>
          <w:rFonts w:ascii="Times New Roman" w:hAnsi="Times New Roman"/>
          <w:lang w:val="en-GB"/>
        </w:rPr>
        <w:t xml:space="preserve"> Respondent); and</w:t>
      </w:r>
      <w:bookmarkEnd w:id="2"/>
    </w:p>
    <w:p w14:paraId="49F9DEC0" w14:textId="7C18EE21" w:rsidR="00B13AFD" w:rsidRPr="000E4C22" w:rsidRDefault="000E4C22" w:rsidP="000E4C22">
      <w:pPr>
        <w:pStyle w:val="2"/>
        <w:numPr>
          <w:ilvl w:val="0"/>
          <w:numId w:val="0"/>
        </w:numPr>
        <w:ind w:left="1248" w:hanging="528"/>
        <w:rPr>
          <w:rFonts w:ascii="Times New Roman" w:hAnsi="Times New Roman"/>
        </w:rPr>
      </w:pPr>
      <w:r>
        <w:rPr>
          <w:rFonts w:ascii="Times New Roman" w:hAnsi="Times New Roman"/>
          <w:lang w:val="en-GB"/>
        </w:rPr>
        <w:t>3</w:t>
      </w:r>
      <w:r w:rsidR="003E1023">
        <w:rPr>
          <w:rFonts w:ascii="Times New Roman" w:hAnsi="Times New Roman"/>
          <w:lang w:val="en-GB"/>
        </w:rPr>
        <w:t>1</w:t>
      </w:r>
      <w:r w:rsidR="00901C2C">
        <w:rPr>
          <w:rFonts w:ascii="Times New Roman" w:hAnsi="Times New Roman"/>
          <w:lang w:val="en-GB"/>
        </w:rPr>
        <w:t>.3</w:t>
      </w:r>
      <w:r>
        <w:rPr>
          <w:rFonts w:ascii="Times New Roman" w:hAnsi="Times New Roman"/>
          <w:lang w:val="en-GB"/>
        </w:rPr>
        <w:tab/>
      </w:r>
      <w:r w:rsidR="00B13AFD" w:rsidRPr="000E4C22">
        <w:rPr>
          <w:rFonts w:ascii="Times New Roman" w:hAnsi="Times New Roman"/>
        </w:rPr>
        <w:t>The rental was only to be increased if Eddy Payet was able to lead a normal life.</w:t>
      </w:r>
    </w:p>
    <w:p w14:paraId="20CDCFC9" w14:textId="695E57EF" w:rsidR="00901C2C" w:rsidRPr="00901C2C" w:rsidRDefault="00901C2C" w:rsidP="003E1023">
      <w:pPr>
        <w:pStyle w:val="JudgmentText"/>
      </w:pPr>
      <w:r w:rsidRPr="00901C2C">
        <w:t xml:space="preserve">With this background in mind, I explore the principles governing usufructs. Article 578 defines a usufruct as </w:t>
      </w:r>
      <w:r w:rsidRPr="00F96087">
        <w:t>‘the right to enjoy property which belongs to another in the same manner as the owner himself, but subject to the obligation to preserve its substance’</w:t>
      </w:r>
      <w:r w:rsidRPr="00901C2C">
        <w:t xml:space="preserve">. The late </w:t>
      </w:r>
      <w:proofErr w:type="spellStart"/>
      <w:r w:rsidRPr="00901C2C">
        <w:t>Loenne</w:t>
      </w:r>
      <w:proofErr w:type="spellEnd"/>
      <w:r w:rsidRPr="00901C2C">
        <w:t xml:space="preserve"> Payet enjoyed the usu</w:t>
      </w:r>
      <w:r w:rsidR="00F96087">
        <w:t>fruct over the property of the a</w:t>
      </w:r>
      <w:r w:rsidRPr="00901C2C">
        <w:t xml:space="preserve">ppellant. This is not in dispute. The Civil Code spells out key rights the </w:t>
      </w:r>
      <w:proofErr w:type="spellStart"/>
      <w:r w:rsidRPr="00901C2C">
        <w:t>usufructuary</w:t>
      </w:r>
      <w:proofErr w:type="spellEnd"/>
      <w:r w:rsidRPr="00901C2C">
        <w:t xml:space="preserve"> – namely to enjoy all fruit</w:t>
      </w:r>
      <w:r w:rsidR="00F96087">
        <w:t>s derived from the usufruct (see</w:t>
      </w:r>
      <w:r w:rsidRPr="00901C2C">
        <w:t xml:space="preserve"> Articles 582 – 599). Similarly, the duties of the </w:t>
      </w:r>
      <w:proofErr w:type="spellStart"/>
      <w:r w:rsidRPr="00901C2C">
        <w:t>usufructuary</w:t>
      </w:r>
      <w:proofErr w:type="spellEnd"/>
      <w:r w:rsidRPr="00901C2C">
        <w:t xml:space="preserve"> in relation to the property include keeping the property in good repair and handing over the property to the owner at the end of the usufruct. The </w:t>
      </w:r>
      <w:proofErr w:type="spellStart"/>
      <w:r w:rsidRPr="00901C2C">
        <w:t>usufructuary’s</w:t>
      </w:r>
      <w:proofErr w:type="spellEnd"/>
      <w:r w:rsidRPr="00901C2C">
        <w:t xml:space="preserve"> ownership extends to such use and enjoyment and while still alive, she had an unfettered hand in dealing with not only the property, but the fruits derived from the property once they accrued to her. It is the same reason why she was at liberty to lease the property to the 2</w:t>
      </w:r>
      <w:r w:rsidRPr="00901C2C">
        <w:rPr>
          <w:vertAlign w:val="superscript"/>
        </w:rPr>
        <w:t>nd</w:t>
      </w:r>
      <w:r w:rsidRPr="00901C2C">
        <w:t xml:space="preserve"> Respondent with all the conditions under the lease as she deemed fit. </w:t>
      </w:r>
    </w:p>
    <w:p w14:paraId="4D84524F" w14:textId="1A085CEC" w:rsidR="00901C2C" w:rsidRPr="00901C2C" w:rsidRDefault="00901C2C" w:rsidP="00EC6472">
      <w:pPr>
        <w:pStyle w:val="JudgmentText"/>
        <w:rPr>
          <w:rStyle w:val="akn-p"/>
        </w:rPr>
      </w:pPr>
      <w:r w:rsidRPr="00901C2C">
        <w:t xml:space="preserve">At the same time, the Civil Code sets out parameters upon which the </w:t>
      </w:r>
      <w:proofErr w:type="spellStart"/>
      <w:r w:rsidRPr="00901C2C">
        <w:t>usufructuary</w:t>
      </w:r>
      <w:proofErr w:type="spellEnd"/>
      <w:r w:rsidRPr="00901C2C">
        <w:t xml:space="preserve"> exercises his or her rights and how such rights terminate. </w:t>
      </w:r>
      <w:r w:rsidRPr="00901C2C">
        <w:rPr>
          <w:rStyle w:val="akn-p"/>
          <w:shd w:val="clear" w:color="auto" w:fill="FFFFFF"/>
        </w:rPr>
        <w:t>Article 617 states that the usufruct shall be terminated—</w:t>
      </w:r>
    </w:p>
    <w:p w14:paraId="685680FB" w14:textId="77777777" w:rsidR="00901C2C" w:rsidRPr="00901C2C" w:rsidRDefault="00901C2C" w:rsidP="00901C2C">
      <w:pPr>
        <w:pStyle w:val="1"/>
        <w:numPr>
          <w:ilvl w:val="0"/>
          <w:numId w:val="0"/>
        </w:numPr>
        <w:ind w:left="720" w:firstLine="720"/>
        <w:rPr>
          <w:rStyle w:val="akn-p"/>
          <w:rFonts w:ascii="Times New Roman" w:hAnsi="Times New Roman"/>
          <w:i/>
          <w:iCs w:val="0"/>
          <w:color w:val="auto"/>
          <w:shd w:val="clear" w:color="auto" w:fill="FFFFFF"/>
        </w:rPr>
      </w:pPr>
      <w:r w:rsidRPr="00901C2C">
        <w:rPr>
          <w:rStyle w:val="akn-p"/>
          <w:rFonts w:ascii="Times New Roman" w:hAnsi="Times New Roman"/>
          <w:b/>
          <w:bCs/>
          <w:i/>
          <w:iCs w:val="0"/>
          <w:color w:val="auto"/>
          <w:shd w:val="clear" w:color="auto" w:fill="FFFFFF"/>
        </w:rPr>
        <w:t xml:space="preserve">By death of the </w:t>
      </w:r>
      <w:proofErr w:type="spellStart"/>
      <w:r w:rsidRPr="00901C2C">
        <w:rPr>
          <w:rStyle w:val="akn-p"/>
          <w:rFonts w:ascii="Times New Roman" w:hAnsi="Times New Roman"/>
          <w:b/>
          <w:bCs/>
          <w:i/>
          <w:iCs w:val="0"/>
          <w:color w:val="auto"/>
          <w:shd w:val="clear" w:color="auto" w:fill="FFFFFF"/>
        </w:rPr>
        <w:t>usufructuary</w:t>
      </w:r>
      <w:proofErr w:type="spellEnd"/>
      <w:r w:rsidRPr="00901C2C">
        <w:rPr>
          <w:rStyle w:val="akn-p"/>
          <w:rFonts w:ascii="Times New Roman" w:hAnsi="Times New Roman"/>
          <w:i/>
          <w:iCs w:val="0"/>
          <w:color w:val="auto"/>
          <w:shd w:val="clear" w:color="auto" w:fill="FFFFFF"/>
        </w:rPr>
        <w:t>;</w:t>
      </w:r>
    </w:p>
    <w:p w14:paraId="599F1DAF" w14:textId="77777777" w:rsidR="00901C2C" w:rsidRPr="00901C2C" w:rsidRDefault="00901C2C" w:rsidP="00901C2C">
      <w:pPr>
        <w:pStyle w:val="1"/>
        <w:numPr>
          <w:ilvl w:val="0"/>
          <w:numId w:val="0"/>
        </w:numPr>
        <w:ind w:left="720" w:firstLine="720"/>
        <w:rPr>
          <w:rStyle w:val="akn-p"/>
          <w:rFonts w:ascii="Times New Roman" w:hAnsi="Times New Roman"/>
          <w:i/>
          <w:iCs w:val="0"/>
          <w:color w:val="auto"/>
          <w:shd w:val="clear" w:color="auto" w:fill="FFFFFF"/>
        </w:rPr>
      </w:pPr>
      <w:r w:rsidRPr="00901C2C">
        <w:rPr>
          <w:rStyle w:val="akn-p"/>
          <w:rFonts w:ascii="Times New Roman" w:hAnsi="Times New Roman"/>
          <w:i/>
          <w:iCs w:val="0"/>
          <w:color w:val="auto"/>
          <w:shd w:val="clear" w:color="auto" w:fill="FFFFFF"/>
        </w:rPr>
        <w:t>By the expiration of the period of time for which it was granted;</w:t>
      </w:r>
    </w:p>
    <w:p w14:paraId="4842B01F" w14:textId="77777777" w:rsidR="00901C2C" w:rsidRPr="00901C2C" w:rsidRDefault="00901C2C" w:rsidP="00901C2C">
      <w:pPr>
        <w:pStyle w:val="1"/>
        <w:numPr>
          <w:ilvl w:val="0"/>
          <w:numId w:val="0"/>
        </w:numPr>
        <w:ind w:left="1440"/>
        <w:rPr>
          <w:rStyle w:val="akn-p"/>
          <w:rFonts w:ascii="Times New Roman" w:hAnsi="Times New Roman"/>
          <w:i/>
          <w:iCs w:val="0"/>
          <w:color w:val="auto"/>
          <w:shd w:val="clear" w:color="auto" w:fill="FFFFFF"/>
        </w:rPr>
      </w:pPr>
      <w:r w:rsidRPr="00901C2C">
        <w:rPr>
          <w:rStyle w:val="akn-p"/>
          <w:rFonts w:ascii="Times New Roman" w:hAnsi="Times New Roman"/>
          <w:i/>
          <w:iCs w:val="0"/>
          <w:color w:val="auto"/>
          <w:shd w:val="clear" w:color="auto" w:fill="FFFFFF"/>
        </w:rPr>
        <w:lastRenderedPageBreak/>
        <w:t xml:space="preserve">By the merger or union in the same person of the two capacities of </w:t>
      </w:r>
      <w:proofErr w:type="spellStart"/>
      <w:r w:rsidRPr="00901C2C">
        <w:rPr>
          <w:rStyle w:val="akn-p"/>
          <w:rFonts w:ascii="Times New Roman" w:hAnsi="Times New Roman"/>
          <w:i/>
          <w:iCs w:val="0"/>
          <w:color w:val="auto"/>
          <w:shd w:val="clear" w:color="auto" w:fill="FFFFFF"/>
        </w:rPr>
        <w:t>usufructuary</w:t>
      </w:r>
      <w:proofErr w:type="spellEnd"/>
      <w:r w:rsidRPr="00901C2C">
        <w:rPr>
          <w:rStyle w:val="akn-p"/>
          <w:rFonts w:ascii="Times New Roman" w:hAnsi="Times New Roman"/>
          <w:i/>
          <w:iCs w:val="0"/>
          <w:color w:val="auto"/>
          <w:shd w:val="clear" w:color="auto" w:fill="FFFFFF"/>
        </w:rPr>
        <w:t xml:space="preserve"> and owner;</w:t>
      </w:r>
    </w:p>
    <w:p w14:paraId="416B5E2B" w14:textId="77777777" w:rsidR="00901C2C" w:rsidRPr="00901C2C" w:rsidRDefault="00901C2C" w:rsidP="00901C2C">
      <w:pPr>
        <w:pStyle w:val="1"/>
        <w:numPr>
          <w:ilvl w:val="0"/>
          <w:numId w:val="0"/>
        </w:numPr>
        <w:ind w:left="720" w:firstLine="720"/>
        <w:rPr>
          <w:rStyle w:val="akn-p"/>
          <w:rFonts w:ascii="Times New Roman" w:hAnsi="Times New Roman"/>
          <w:i/>
          <w:iCs w:val="0"/>
          <w:color w:val="auto"/>
          <w:shd w:val="clear" w:color="auto" w:fill="FFFFFF"/>
        </w:rPr>
      </w:pPr>
      <w:r w:rsidRPr="00901C2C">
        <w:rPr>
          <w:rStyle w:val="akn-p"/>
          <w:rFonts w:ascii="Times New Roman" w:hAnsi="Times New Roman"/>
          <w:i/>
          <w:iCs w:val="0"/>
          <w:color w:val="auto"/>
          <w:shd w:val="clear" w:color="auto" w:fill="FFFFFF"/>
        </w:rPr>
        <w:t>By non-user during a period of twenty-years;</w:t>
      </w:r>
    </w:p>
    <w:p w14:paraId="4F086758" w14:textId="77777777" w:rsidR="00901C2C" w:rsidRPr="00901C2C" w:rsidRDefault="00901C2C" w:rsidP="00901C2C">
      <w:pPr>
        <w:pStyle w:val="1"/>
        <w:numPr>
          <w:ilvl w:val="0"/>
          <w:numId w:val="0"/>
        </w:numPr>
        <w:ind w:left="720" w:firstLine="720"/>
        <w:rPr>
          <w:rFonts w:ascii="Times New Roman" w:hAnsi="Times New Roman"/>
          <w:i/>
          <w:iCs w:val="0"/>
          <w:color w:val="auto"/>
          <w:lang w:val="en-GB"/>
        </w:rPr>
      </w:pPr>
      <w:r w:rsidRPr="00901C2C">
        <w:rPr>
          <w:rStyle w:val="akn-p"/>
          <w:rFonts w:ascii="Times New Roman" w:hAnsi="Times New Roman"/>
          <w:i/>
          <w:iCs w:val="0"/>
          <w:color w:val="auto"/>
          <w:shd w:val="clear" w:color="auto" w:fill="FFFFFF"/>
        </w:rPr>
        <w:t>By the total loss of the thing subject to the usufruct.</w:t>
      </w:r>
      <w:r w:rsidRPr="00901C2C">
        <w:rPr>
          <w:rFonts w:ascii="Times New Roman" w:hAnsi="Times New Roman"/>
          <w:i/>
          <w:iCs w:val="0"/>
          <w:color w:val="auto"/>
          <w:lang w:val="en-GB"/>
        </w:rPr>
        <w:t xml:space="preserve"> </w:t>
      </w:r>
    </w:p>
    <w:p w14:paraId="7C4575F8" w14:textId="70A0BB71" w:rsidR="00901C2C" w:rsidRPr="00901C2C" w:rsidRDefault="00901C2C" w:rsidP="00EC6472">
      <w:pPr>
        <w:pStyle w:val="JudgmentText"/>
      </w:pPr>
      <w:r w:rsidRPr="00901C2C">
        <w:t xml:space="preserve">It is not disputed that the death of the </w:t>
      </w:r>
      <w:proofErr w:type="spellStart"/>
      <w:r w:rsidRPr="00901C2C">
        <w:t>usufructuary</w:t>
      </w:r>
      <w:proofErr w:type="spellEnd"/>
      <w:r w:rsidRPr="00901C2C">
        <w:t xml:space="preserve"> ended the usufruct. As such, upon her death, the rights, duties and obligations that she enjoyed in terms of the usufruct ended. In addition, the rights enjoyed by third parties like the 2</w:t>
      </w:r>
      <w:r w:rsidRPr="00901C2C">
        <w:rPr>
          <w:vertAlign w:val="superscript"/>
        </w:rPr>
        <w:t>nd</w:t>
      </w:r>
      <w:r w:rsidRPr="00901C2C">
        <w:t xml:space="preserve"> Respondent had to be assessed in relation to the usufruct. This is why the submissions by Counsel for the Appellants in relation to Article 595(2) are of significance. The Article states that: </w:t>
      </w:r>
    </w:p>
    <w:p w14:paraId="0FCB94E5" w14:textId="77777777" w:rsidR="00901C2C" w:rsidRPr="00901C2C" w:rsidRDefault="00901C2C" w:rsidP="00901C2C">
      <w:pPr>
        <w:pStyle w:val="1"/>
        <w:numPr>
          <w:ilvl w:val="0"/>
          <w:numId w:val="0"/>
        </w:numPr>
        <w:ind w:left="1440"/>
        <w:rPr>
          <w:rFonts w:ascii="Times New Roman" w:hAnsi="Times New Roman"/>
          <w:i/>
          <w:iCs w:val="0"/>
          <w:u w:val="single"/>
          <w:lang w:val="en-GB"/>
        </w:rPr>
      </w:pPr>
      <w:r w:rsidRPr="00901C2C">
        <w:rPr>
          <w:rFonts w:ascii="Times New Roman" w:hAnsi="Times New Roman"/>
          <w:i/>
          <w:iCs w:val="0"/>
          <w:lang w:val="en-GB"/>
        </w:rPr>
        <w:t xml:space="preserve">“Tenancies exceeding nine years shall be binding upon the owner and his heirs for the time which remains to run out of the first period of nine years, if that period has not elapsed, or out of the second period, and so on, so that the tenant shall only be entitled to complete the time of a current tenancy of nine years. </w:t>
      </w:r>
      <w:r w:rsidRPr="00901C2C">
        <w:rPr>
          <w:rFonts w:ascii="Times New Roman" w:hAnsi="Times New Roman"/>
          <w:i/>
          <w:iCs w:val="0"/>
          <w:u w:val="single"/>
          <w:lang w:val="en-GB"/>
        </w:rPr>
        <w:t xml:space="preserve">Tenancies of nine years or less granted less than three years before the </w:t>
      </w:r>
      <w:r w:rsidRPr="00901C2C">
        <w:rPr>
          <w:rFonts w:ascii="Times New Roman" w:hAnsi="Times New Roman"/>
          <w:b/>
          <w:bCs/>
          <w:i/>
          <w:iCs w:val="0"/>
          <w:u w:val="single"/>
          <w:lang w:val="en-GB"/>
        </w:rPr>
        <w:t>expiry of the usufruct</w:t>
      </w:r>
      <w:r w:rsidRPr="00901C2C">
        <w:rPr>
          <w:rFonts w:ascii="Times New Roman" w:hAnsi="Times New Roman"/>
          <w:i/>
          <w:iCs w:val="0"/>
          <w:u w:val="single"/>
          <w:lang w:val="en-GB"/>
        </w:rPr>
        <w:t xml:space="preserve"> in the case of agricultural land, and less than two years in the case of a house, shall be void.”</w:t>
      </w:r>
    </w:p>
    <w:p w14:paraId="39C5480F" w14:textId="54B20C2B" w:rsidR="00901C2C" w:rsidRPr="00901C2C" w:rsidRDefault="00901C2C" w:rsidP="00EC6472">
      <w:pPr>
        <w:pStyle w:val="JudgmentText"/>
      </w:pPr>
      <w:r w:rsidRPr="00901C2C">
        <w:t xml:space="preserve">In my view, the Article must be read holistically in conjunction with the rights created by the registered lease. The limitations and time frames under subsection 2 in my view were designed to ensure that the bare owner of the property is not prejudiced by the </w:t>
      </w:r>
      <w:proofErr w:type="spellStart"/>
      <w:r w:rsidRPr="00901C2C">
        <w:t>usufructuary</w:t>
      </w:r>
      <w:proofErr w:type="spellEnd"/>
      <w:r w:rsidRPr="00901C2C">
        <w:t xml:space="preserve"> entering into long lease agreements past the termination of the usufruct. As already pointed out, a </w:t>
      </w:r>
      <w:r w:rsidRPr="00901C2C">
        <w:rPr>
          <w:bCs/>
        </w:rPr>
        <w:t>usufruct</w:t>
      </w:r>
      <w:r w:rsidRPr="00901C2C">
        <w:t xml:space="preserve"> is by nature a personal servitude. It is inalienable and cannot even be bequeathed to heirs by the </w:t>
      </w:r>
      <w:proofErr w:type="spellStart"/>
      <w:r w:rsidRPr="00901C2C">
        <w:t>usufructuary</w:t>
      </w:r>
      <w:proofErr w:type="spellEnd"/>
      <w:r w:rsidRPr="00901C2C">
        <w:t xml:space="preserve">. Although it confers full ownership (real right) over the use of the property as well as the enjoyment of the fruits deriving therefrom once the same are separated or accrue to the holder, it is limited, as a real right, in that it does not confer ownership of the property on the </w:t>
      </w:r>
      <w:proofErr w:type="spellStart"/>
      <w:r w:rsidRPr="00901C2C">
        <w:t>usufructuary</w:t>
      </w:r>
      <w:proofErr w:type="spellEnd"/>
      <w:r w:rsidRPr="00901C2C">
        <w:t xml:space="preserve"> (see </w:t>
      </w:r>
      <w:r w:rsidRPr="00901C2C">
        <w:rPr>
          <w:b/>
          <w:bCs/>
        </w:rPr>
        <w:t xml:space="preserve">Article 578 of the Civil Code and </w:t>
      </w:r>
      <w:proofErr w:type="spellStart"/>
      <w:r w:rsidRPr="00901C2C">
        <w:rPr>
          <w:b/>
          <w:bCs/>
          <w:i/>
        </w:rPr>
        <w:t>Malvina</w:t>
      </w:r>
      <w:proofErr w:type="spellEnd"/>
      <w:r w:rsidRPr="00901C2C">
        <w:rPr>
          <w:b/>
          <w:bCs/>
          <w:i/>
        </w:rPr>
        <w:t xml:space="preserve"> v Louise</w:t>
      </w:r>
      <w:r w:rsidRPr="00901C2C">
        <w:rPr>
          <w:b/>
          <w:bCs/>
        </w:rPr>
        <w:t xml:space="preserve"> (SCA 14 of 1997) [1997] SCCA 31 (05 December 1997</w:t>
      </w:r>
      <w:r w:rsidRPr="00901C2C">
        <w:t xml:space="preserve">)). </w:t>
      </w:r>
    </w:p>
    <w:p w14:paraId="3343F247" w14:textId="11B15FED" w:rsidR="00901C2C" w:rsidRPr="00901C2C" w:rsidRDefault="00901C2C" w:rsidP="00EC6472">
      <w:pPr>
        <w:pStyle w:val="JudgmentText"/>
      </w:pPr>
      <w:r w:rsidRPr="00901C2C">
        <w:lastRenderedPageBreak/>
        <w:t>First, the analysis given by the Respondent’s Counsel to the effect that a lease renewal is simply a continuation of the same lease is untenable. When parties renew a lease agreement, a new lease commences on the expiration of the previous lease but usually on more or less similar terms. I therefore understand the wording of the lease as entailing the creation of a similar relationship between the same parties after the expiration of the first 9 years for two more subsequent terms (see also similar interpretation given in other jurisdictions (</w:t>
      </w:r>
      <w:r w:rsidRPr="00901C2C">
        <w:rPr>
          <w:i/>
        </w:rPr>
        <w:t>Licences and General Insurance Co v Bassano</w:t>
      </w:r>
      <w:r w:rsidRPr="00901C2C">
        <w:t xml:space="preserve"> 1936 CPD 179 at 186; </w:t>
      </w:r>
      <w:r w:rsidRPr="00901C2C">
        <w:rPr>
          <w:i/>
        </w:rPr>
        <w:t xml:space="preserve">Webb v </w:t>
      </w:r>
      <w:proofErr w:type="spellStart"/>
      <w:r w:rsidRPr="00901C2C">
        <w:rPr>
          <w:i/>
        </w:rPr>
        <w:t>Hipkin</w:t>
      </w:r>
      <w:proofErr w:type="spellEnd"/>
      <w:r w:rsidRPr="00901C2C">
        <w:t xml:space="preserve"> 1944 AD 95; </w:t>
      </w:r>
      <w:r w:rsidRPr="00901C2C">
        <w:rPr>
          <w:i/>
        </w:rPr>
        <w:t>R v Mahomed</w:t>
      </w:r>
      <w:r w:rsidRPr="00901C2C">
        <w:t xml:space="preserve"> 1924 NPD 407 at 409). </w:t>
      </w:r>
    </w:p>
    <w:p w14:paraId="382020D4" w14:textId="0CDAEE97" w:rsidR="00901C2C" w:rsidRPr="00901C2C" w:rsidRDefault="00901C2C" w:rsidP="00EC6472">
      <w:pPr>
        <w:pStyle w:val="JudgmentText"/>
      </w:pPr>
      <w:r w:rsidRPr="00901C2C">
        <w:t>I therefore do not agree with the findings of the learned Justice at para 88 when she stated that the 2</w:t>
      </w:r>
      <w:r w:rsidRPr="00901C2C">
        <w:rPr>
          <w:vertAlign w:val="superscript"/>
        </w:rPr>
        <w:t>nd</w:t>
      </w:r>
      <w:r w:rsidRPr="00901C2C">
        <w:t xml:space="preserve"> Plaintiff (now the 2</w:t>
      </w:r>
      <w:r w:rsidRPr="00901C2C">
        <w:rPr>
          <w:vertAlign w:val="superscript"/>
        </w:rPr>
        <w:t>nd</w:t>
      </w:r>
      <w:r w:rsidRPr="00901C2C">
        <w:t xml:space="preserve"> Respondent) had the right to remain in occupation until 12 February 2025 as the lease had been granted more than two years before the expiry of the usufruct pursuant to the provisions of Article 595(2) above. </w:t>
      </w:r>
    </w:p>
    <w:p w14:paraId="30F8981A" w14:textId="480BB9B2" w:rsidR="00BD131E" w:rsidRPr="00901C2C" w:rsidRDefault="00BD131E" w:rsidP="00EC6472">
      <w:pPr>
        <w:pStyle w:val="JudgmentText"/>
      </w:pPr>
      <w:r w:rsidRPr="00901C2C">
        <w:t xml:space="preserve">Article 595(2) was created specifically to ensure that the rights of bare owners are not disadvantaged by long leases after the termination of the usufruct – either by death or otherwise. The Article essentially balances the rights of the tenant </w:t>
      </w:r>
      <w:proofErr w:type="spellStart"/>
      <w:r w:rsidRPr="00901C2C">
        <w:t>viz</w:t>
      </w:r>
      <w:proofErr w:type="spellEnd"/>
      <w:r w:rsidRPr="00901C2C">
        <w:t xml:space="preserve"> the rights of the bare owner by creating timeframes whereby existing rights of both the owner and tenant are protected.</w:t>
      </w:r>
    </w:p>
    <w:p w14:paraId="41624F00" w14:textId="0F1460D0" w:rsidR="00BD131E" w:rsidRPr="00901C2C" w:rsidRDefault="00BD131E" w:rsidP="00EC6472">
      <w:pPr>
        <w:pStyle w:val="JudgmentText"/>
      </w:pPr>
      <w:r w:rsidRPr="00901C2C">
        <w:t>As the lease of the 2</w:t>
      </w:r>
      <w:r w:rsidRPr="00901C2C">
        <w:rPr>
          <w:vertAlign w:val="superscript"/>
        </w:rPr>
        <w:t>nd</w:t>
      </w:r>
      <w:r w:rsidRPr="00901C2C">
        <w:t xml:space="preserve"> Respondent falls squarely under the ambit of Article 595(2), being a tenancy of </w:t>
      </w:r>
      <w:r w:rsidRPr="00901C2C">
        <w:rPr>
          <w:i/>
          <w:u w:val="single"/>
        </w:rPr>
        <w:t xml:space="preserve">less than two years in the case of a house, </w:t>
      </w:r>
      <w:r w:rsidRPr="00901C2C">
        <w:t xml:space="preserve">such tenancy is void. The second Respondent therefore had no valid lease agreement as that lease agreement terminated upon the death of the </w:t>
      </w:r>
      <w:proofErr w:type="spellStart"/>
      <w:r w:rsidRPr="00901C2C">
        <w:t>usufructuary</w:t>
      </w:r>
      <w:proofErr w:type="spellEnd"/>
      <w:r w:rsidRPr="00901C2C">
        <w:t>.</w:t>
      </w:r>
    </w:p>
    <w:p w14:paraId="7621109B" w14:textId="52D74D30" w:rsidR="00BD131E" w:rsidRPr="00901C2C" w:rsidRDefault="00BD131E" w:rsidP="00EC6472">
      <w:pPr>
        <w:pStyle w:val="JudgmentText"/>
      </w:pPr>
      <w:r w:rsidRPr="00901C2C">
        <w:t>Since ground 8 is based on the success of ground 6 above, this also falls away.</w:t>
      </w:r>
    </w:p>
    <w:p w14:paraId="511E7C54" w14:textId="5DBA0DCE" w:rsidR="000E4C22" w:rsidRDefault="00B13AFD" w:rsidP="00EC6472">
      <w:pPr>
        <w:pStyle w:val="JudgmentText"/>
      </w:pPr>
      <w:r w:rsidRPr="0082284C">
        <w:t xml:space="preserve">The Appellant rely on the fact the rental amount established during trial that the </w:t>
      </w:r>
      <w:r w:rsidR="000E4C22">
        <w:t>second r</w:t>
      </w:r>
      <w:r w:rsidRPr="0082284C">
        <w:t>espondent was staying at costed merely SCR1500 per month</w:t>
      </w:r>
      <w:r w:rsidR="000E4C22">
        <w:t xml:space="preserve"> as opposed to the SCR15 </w:t>
      </w:r>
      <w:r w:rsidRPr="0082284C">
        <w:t>000.</w:t>
      </w:r>
    </w:p>
    <w:p w14:paraId="7463DC06" w14:textId="3A9095AA" w:rsidR="00BD131E" w:rsidRPr="00901C2C" w:rsidRDefault="00BD131E" w:rsidP="00EC6472">
      <w:pPr>
        <w:pStyle w:val="JudgmentText"/>
      </w:pPr>
      <w:r w:rsidRPr="00901C2C">
        <w:t>I must point out that the conduct of the Appellant was app</w:t>
      </w:r>
      <w:r>
        <w:t>alling to say th</w:t>
      </w:r>
      <w:r w:rsidR="00EC6472">
        <w:t xml:space="preserve">e least. This is especially because </w:t>
      </w:r>
      <w:r w:rsidRPr="00901C2C">
        <w:t>the 2</w:t>
      </w:r>
      <w:r w:rsidRPr="00901C2C">
        <w:rPr>
          <w:vertAlign w:val="superscript"/>
        </w:rPr>
        <w:t>nd</w:t>
      </w:r>
      <w:r w:rsidRPr="00901C2C">
        <w:t xml:space="preserve"> respondent is his brother who had many physical challenges. </w:t>
      </w:r>
      <w:r w:rsidRPr="00901C2C">
        <w:lastRenderedPageBreak/>
        <w:t xml:space="preserve">The </w:t>
      </w:r>
      <w:r w:rsidR="00F96087">
        <w:t xml:space="preserve">second </w:t>
      </w:r>
      <w:r w:rsidRPr="00901C2C">
        <w:t>Respondent clearly had recourse under delict and the Control of Rent and Tenancy Agreement</w:t>
      </w:r>
      <w:r w:rsidR="00F96087">
        <w:t>s</w:t>
      </w:r>
      <w:r w:rsidRPr="00901C2C">
        <w:t xml:space="preserve"> Act applies equally to the conduct of the Appellant. However, these were not pleaded or raised on appeal.</w:t>
      </w:r>
      <w:r w:rsidR="00F96087">
        <w:t xml:space="preserve"> </w:t>
      </w:r>
    </w:p>
    <w:p w14:paraId="4F9CE0AA" w14:textId="4C559152" w:rsidR="00B13AFD" w:rsidRPr="00A57D94" w:rsidRDefault="00B13AFD" w:rsidP="00BD131E">
      <w:pPr>
        <w:pStyle w:val="1"/>
        <w:numPr>
          <w:ilvl w:val="0"/>
          <w:numId w:val="0"/>
        </w:numPr>
        <w:ind w:left="567" w:hanging="567"/>
        <w:rPr>
          <w:sz w:val="10"/>
          <w:szCs w:val="10"/>
        </w:rPr>
      </w:pPr>
    </w:p>
    <w:p w14:paraId="39FC6FB8" w14:textId="77777777" w:rsidR="00897754" w:rsidRPr="00BD131E" w:rsidRDefault="00584F4E" w:rsidP="00897754">
      <w:pPr>
        <w:pStyle w:val="JudgmentText"/>
        <w:numPr>
          <w:ilvl w:val="0"/>
          <w:numId w:val="0"/>
        </w:numPr>
        <w:rPr>
          <w:rStyle w:val="Strong"/>
        </w:rPr>
      </w:pPr>
      <w:r w:rsidRPr="00BD131E">
        <w:rPr>
          <w:rStyle w:val="Strong"/>
        </w:rPr>
        <w:t xml:space="preserve">DECISION </w:t>
      </w:r>
    </w:p>
    <w:p w14:paraId="1E5AB04E" w14:textId="2FCD0239" w:rsidR="00BD131E" w:rsidRDefault="000E1325" w:rsidP="00EC6472">
      <w:pPr>
        <w:pStyle w:val="JudgmentText"/>
      </w:pPr>
      <w:r w:rsidRPr="00BD131E">
        <w:rPr>
          <w:rStyle w:val="Strong"/>
          <w:b w:val="0"/>
        </w:rPr>
        <w:t xml:space="preserve">Based on the above analysis and </w:t>
      </w:r>
      <w:r w:rsidR="00F96087">
        <w:rPr>
          <w:rStyle w:val="Strong"/>
          <w:b w:val="0"/>
        </w:rPr>
        <w:t>findings,</w:t>
      </w:r>
      <w:r w:rsidRPr="00BD131E">
        <w:rPr>
          <w:rStyle w:val="Strong"/>
          <w:b w:val="0"/>
        </w:rPr>
        <w:t xml:space="preserve"> </w:t>
      </w:r>
      <w:r w:rsidR="00BD131E">
        <w:rPr>
          <w:rStyle w:val="Strong"/>
          <w:b w:val="0"/>
        </w:rPr>
        <w:t>t</w:t>
      </w:r>
      <w:r w:rsidR="00BD131E" w:rsidRPr="00BD131E">
        <w:t>he appeal is upheld with no order of costs.</w:t>
      </w:r>
    </w:p>
    <w:p w14:paraId="2DE6E69E" w14:textId="77777777" w:rsidR="00807C0E" w:rsidRPr="00A57D94" w:rsidRDefault="00807C0E" w:rsidP="00BD131E">
      <w:pPr>
        <w:pStyle w:val="2"/>
        <w:numPr>
          <w:ilvl w:val="0"/>
          <w:numId w:val="0"/>
        </w:numPr>
        <w:ind w:left="630" w:hanging="630"/>
        <w:rPr>
          <w:rFonts w:ascii="Times New Roman" w:hAnsi="Times New Roman"/>
          <w:sz w:val="10"/>
          <w:szCs w:val="10"/>
        </w:rPr>
      </w:pPr>
    </w:p>
    <w:p w14:paraId="3326FB33" w14:textId="0461287B" w:rsidR="00897754" w:rsidRPr="00BD131E" w:rsidRDefault="00897754" w:rsidP="00897754">
      <w:pPr>
        <w:pStyle w:val="JudgmentText"/>
        <w:numPr>
          <w:ilvl w:val="0"/>
          <w:numId w:val="0"/>
        </w:numPr>
        <w:ind w:left="720" w:hanging="720"/>
        <w:rPr>
          <w:b/>
        </w:rPr>
      </w:pPr>
      <w:r w:rsidRPr="00BD131E">
        <w:rPr>
          <w:b/>
        </w:rPr>
        <w:t>ORDER</w:t>
      </w:r>
    </w:p>
    <w:p w14:paraId="4B4384C1" w14:textId="7C8717F6" w:rsidR="00BD131E" w:rsidRPr="00BD131E" w:rsidRDefault="0042706F" w:rsidP="00EC6472">
      <w:pPr>
        <w:pStyle w:val="JudgmentText"/>
      </w:pPr>
      <w:r w:rsidRPr="00BD131E">
        <w:rPr>
          <w:lang w:val="en-ZA"/>
        </w:rPr>
        <w:t xml:space="preserve">As a result, </w:t>
      </w:r>
      <w:r w:rsidR="00BD131E">
        <w:rPr>
          <w:lang w:val="en-ZA"/>
        </w:rPr>
        <w:t xml:space="preserve">this Court orders that the </w:t>
      </w:r>
      <w:r w:rsidR="00897754" w:rsidRPr="00F6122C">
        <w:t>a</w:t>
      </w:r>
      <w:r w:rsidR="00BD131E">
        <w:t>ppeal</w:t>
      </w:r>
      <w:r w:rsidR="00897754" w:rsidRPr="00F6122C">
        <w:t xml:space="preserve"> is</w:t>
      </w:r>
      <w:r w:rsidR="00897754">
        <w:t xml:space="preserve"> </w:t>
      </w:r>
      <w:r w:rsidR="00BD131E" w:rsidRPr="00BD131E">
        <w:t>upheld with no order of costs.</w:t>
      </w:r>
    </w:p>
    <w:p w14:paraId="006E32E6" w14:textId="77777777" w:rsidR="00283A67" w:rsidRPr="006F7935" w:rsidRDefault="00283A67" w:rsidP="00584F4E">
      <w:pPr>
        <w:pStyle w:val="ListParagraph"/>
        <w:spacing w:line="360" w:lineRule="auto"/>
        <w:ind w:hanging="720"/>
        <w:jc w:val="both"/>
      </w:pPr>
    </w:p>
    <w:p w14:paraId="3CB704CF" w14:textId="7A1FAFA0" w:rsidR="00897754" w:rsidRDefault="000B33B0" w:rsidP="0042706F">
      <w:pPr>
        <w:spacing w:after="0" w:line="360" w:lineRule="auto"/>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softHyphen/>
      </w:r>
      <w:r>
        <w:rPr>
          <w:rFonts w:ascii="Times New Roman" w:hAnsi="Times New Roman" w:cs="Times New Roman"/>
          <w:color w:val="000000" w:themeColor="text1"/>
          <w:sz w:val="24"/>
          <w:szCs w:val="24"/>
          <w:lang w:val="fr-FR"/>
        </w:rPr>
        <w:softHyphen/>
      </w:r>
      <w:r>
        <w:rPr>
          <w:rFonts w:ascii="Times New Roman" w:hAnsi="Times New Roman" w:cs="Times New Roman"/>
          <w:color w:val="000000" w:themeColor="text1"/>
          <w:sz w:val="24"/>
          <w:szCs w:val="24"/>
          <w:lang w:val="fr-FR"/>
        </w:rPr>
        <w:softHyphen/>
      </w:r>
      <w:r>
        <w:rPr>
          <w:rFonts w:ascii="Times New Roman" w:hAnsi="Times New Roman" w:cs="Times New Roman"/>
          <w:color w:val="000000" w:themeColor="text1"/>
          <w:sz w:val="24"/>
          <w:szCs w:val="24"/>
          <w:lang w:val="fr-FR"/>
        </w:rPr>
        <w:softHyphen/>
      </w:r>
      <w:r>
        <w:rPr>
          <w:rFonts w:ascii="Times New Roman" w:hAnsi="Times New Roman" w:cs="Times New Roman"/>
          <w:color w:val="000000" w:themeColor="text1"/>
          <w:sz w:val="24"/>
          <w:szCs w:val="24"/>
          <w:lang w:val="fr-FR"/>
        </w:rPr>
        <w:softHyphen/>
      </w:r>
      <w:r>
        <w:rPr>
          <w:rFonts w:ascii="Times New Roman" w:hAnsi="Times New Roman" w:cs="Times New Roman"/>
          <w:color w:val="000000" w:themeColor="text1"/>
          <w:sz w:val="24"/>
          <w:szCs w:val="24"/>
          <w:lang w:val="fr-FR"/>
        </w:rPr>
        <w:softHyphen/>
      </w:r>
      <w:r>
        <w:rPr>
          <w:rFonts w:ascii="Times New Roman" w:hAnsi="Times New Roman" w:cs="Times New Roman"/>
          <w:color w:val="000000" w:themeColor="text1"/>
          <w:sz w:val="24"/>
          <w:szCs w:val="24"/>
          <w:lang w:val="fr-FR"/>
        </w:rPr>
        <w:softHyphen/>
      </w:r>
      <w:r>
        <w:rPr>
          <w:rFonts w:ascii="Times New Roman" w:hAnsi="Times New Roman" w:cs="Times New Roman"/>
          <w:color w:val="000000" w:themeColor="text1"/>
          <w:sz w:val="24"/>
          <w:szCs w:val="24"/>
          <w:lang w:val="fr-FR"/>
        </w:rPr>
        <w:softHyphen/>
      </w:r>
      <w:r>
        <w:rPr>
          <w:rFonts w:ascii="Times New Roman" w:hAnsi="Times New Roman" w:cs="Times New Roman"/>
          <w:color w:val="000000" w:themeColor="text1"/>
          <w:sz w:val="24"/>
          <w:szCs w:val="24"/>
          <w:lang w:val="fr-FR"/>
        </w:rPr>
        <w:softHyphen/>
      </w:r>
      <w:r>
        <w:rPr>
          <w:rFonts w:ascii="Times New Roman" w:hAnsi="Times New Roman" w:cs="Times New Roman"/>
          <w:color w:val="000000" w:themeColor="text1"/>
          <w:sz w:val="24"/>
          <w:szCs w:val="24"/>
          <w:lang w:val="fr-FR"/>
        </w:rPr>
        <w:softHyphen/>
      </w:r>
      <w:r>
        <w:rPr>
          <w:rFonts w:ascii="Times New Roman" w:hAnsi="Times New Roman" w:cs="Times New Roman"/>
          <w:color w:val="000000" w:themeColor="text1"/>
          <w:sz w:val="24"/>
          <w:szCs w:val="24"/>
          <w:lang w:val="fr-FR"/>
        </w:rPr>
        <w:softHyphen/>
      </w:r>
      <w:r>
        <w:rPr>
          <w:rFonts w:ascii="Times New Roman" w:hAnsi="Times New Roman" w:cs="Times New Roman"/>
          <w:color w:val="000000" w:themeColor="text1"/>
          <w:sz w:val="24"/>
          <w:szCs w:val="24"/>
          <w:lang w:val="fr-FR"/>
        </w:rPr>
        <w:softHyphen/>
      </w:r>
      <w:r>
        <w:rPr>
          <w:rFonts w:ascii="Times New Roman" w:hAnsi="Times New Roman" w:cs="Times New Roman"/>
          <w:color w:val="000000" w:themeColor="text1"/>
          <w:sz w:val="24"/>
          <w:szCs w:val="24"/>
          <w:lang w:val="fr-FR"/>
        </w:rPr>
        <w:softHyphen/>
      </w:r>
      <w:r>
        <w:rPr>
          <w:rFonts w:ascii="Times New Roman" w:hAnsi="Times New Roman" w:cs="Times New Roman"/>
          <w:color w:val="000000" w:themeColor="text1"/>
          <w:sz w:val="24"/>
          <w:szCs w:val="24"/>
          <w:lang w:val="fr-FR"/>
        </w:rPr>
        <w:softHyphen/>
      </w:r>
      <w:r>
        <w:rPr>
          <w:rFonts w:ascii="Times New Roman" w:hAnsi="Times New Roman" w:cs="Times New Roman"/>
          <w:color w:val="000000" w:themeColor="text1"/>
          <w:sz w:val="24"/>
          <w:szCs w:val="24"/>
          <w:lang w:val="fr-FR"/>
        </w:rPr>
        <w:softHyphen/>
      </w:r>
      <w:r>
        <w:rPr>
          <w:rFonts w:ascii="Times New Roman" w:hAnsi="Times New Roman" w:cs="Times New Roman"/>
          <w:color w:val="000000" w:themeColor="text1"/>
          <w:sz w:val="24"/>
          <w:szCs w:val="24"/>
          <w:lang w:val="fr-FR"/>
        </w:rPr>
        <w:softHyphen/>
      </w:r>
      <w:r>
        <w:rPr>
          <w:rFonts w:ascii="Times New Roman" w:hAnsi="Times New Roman" w:cs="Times New Roman"/>
          <w:color w:val="000000" w:themeColor="text1"/>
          <w:sz w:val="24"/>
          <w:szCs w:val="24"/>
          <w:lang w:val="fr-FR"/>
        </w:rPr>
        <w:softHyphen/>
        <w:t xml:space="preserve">__________________  </w:t>
      </w:r>
    </w:p>
    <w:p w14:paraId="2CA18BC1" w14:textId="2DE9FDB3" w:rsidR="000B33B0" w:rsidRDefault="000B33B0" w:rsidP="0042706F">
      <w:pPr>
        <w:spacing w:after="0" w:line="360" w:lineRule="auto"/>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S. Andre, JA</w:t>
      </w:r>
    </w:p>
    <w:p w14:paraId="04B69439" w14:textId="76A6E3EF" w:rsidR="000B33B0" w:rsidRDefault="000B33B0" w:rsidP="0042706F">
      <w:pPr>
        <w:spacing w:after="0" w:line="360" w:lineRule="auto"/>
        <w:jc w:val="both"/>
        <w:rPr>
          <w:rFonts w:ascii="Times New Roman" w:hAnsi="Times New Roman" w:cs="Times New Roman"/>
          <w:color w:val="000000" w:themeColor="text1"/>
          <w:sz w:val="24"/>
          <w:szCs w:val="24"/>
          <w:lang w:val="fr-FR"/>
        </w:rPr>
      </w:pPr>
    </w:p>
    <w:p w14:paraId="0D08D079" w14:textId="02C87A68" w:rsidR="00F96087" w:rsidRDefault="000B33B0" w:rsidP="000B33B0">
      <w:pPr>
        <w:spacing w:after="0" w:line="360" w:lineRule="auto"/>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 xml:space="preserve">I </w:t>
      </w:r>
      <w:proofErr w:type="spellStart"/>
      <w:r>
        <w:rPr>
          <w:rFonts w:ascii="Times New Roman" w:hAnsi="Times New Roman" w:cs="Times New Roman"/>
          <w:color w:val="000000" w:themeColor="text1"/>
          <w:sz w:val="24"/>
          <w:szCs w:val="24"/>
          <w:lang w:val="fr-FR"/>
        </w:rPr>
        <w:t>concur</w:t>
      </w:r>
      <w:proofErr w:type="spellEnd"/>
      <w:r>
        <w:rPr>
          <w:rFonts w:ascii="Times New Roman" w:hAnsi="Times New Roman" w:cs="Times New Roman"/>
          <w:color w:val="000000" w:themeColor="text1"/>
          <w:sz w:val="24"/>
          <w:szCs w:val="24"/>
          <w:lang w:val="fr-FR"/>
        </w:rPr>
        <w:t> :</w:t>
      </w:r>
      <w:r>
        <w:rPr>
          <w:rFonts w:ascii="Times New Roman" w:hAnsi="Times New Roman" w:cs="Times New Roman"/>
          <w:color w:val="000000" w:themeColor="text1"/>
          <w:sz w:val="24"/>
          <w:szCs w:val="24"/>
          <w:lang w:val="fr-FR"/>
        </w:rPr>
        <w:tab/>
      </w:r>
      <w:r>
        <w:rPr>
          <w:rFonts w:ascii="Times New Roman" w:hAnsi="Times New Roman" w:cs="Times New Roman"/>
          <w:color w:val="000000" w:themeColor="text1"/>
          <w:sz w:val="24"/>
          <w:szCs w:val="24"/>
          <w:lang w:val="fr-FR"/>
        </w:rPr>
        <w:tab/>
      </w:r>
      <w:r>
        <w:rPr>
          <w:rFonts w:ascii="Times New Roman" w:hAnsi="Times New Roman" w:cs="Times New Roman"/>
          <w:color w:val="000000" w:themeColor="text1"/>
          <w:sz w:val="24"/>
          <w:szCs w:val="24"/>
          <w:lang w:val="fr-FR"/>
        </w:rPr>
        <w:tab/>
      </w:r>
      <w:r>
        <w:rPr>
          <w:rFonts w:ascii="Times New Roman" w:hAnsi="Times New Roman" w:cs="Times New Roman"/>
          <w:color w:val="000000" w:themeColor="text1"/>
          <w:sz w:val="24"/>
          <w:szCs w:val="24"/>
          <w:lang w:val="fr-FR"/>
        </w:rPr>
        <w:tab/>
      </w:r>
      <w:r>
        <w:rPr>
          <w:rFonts w:ascii="Times New Roman" w:hAnsi="Times New Roman" w:cs="Times New Roman"/>
          <w:color w:val="000000" w:themeColor="text1"/>
          <w:sz w:val="24"/>
          <w:szCs w:val="24"/>
          <w:lang w:val="fr-FR"/>
        </w:rPr>
        <w:tab/>
      </w:r>
      <w:r>
        <w:rPr>
          <w:rFonts w:ascii="Times New Roman" w:hAnsi="Times New Roman" w:cs="Times New Roman"/>
          <w:color w:val="000000" w:themeColor="text1"/>
          <w:sz w:val="24"/>
          <w:szCs w:val="24"/>
          <w:lang w:val="fr-FR"/>
        </w:rPr>
        <w:tab/>
      </w:r>
      <w:r>
        <w:rPr>
          <w:rFonts w:ascii="Times New Roman" w:hAnsi="Times New Roman" w:cs="Times New Roman"/>
          <w:color w:val="000000" w:themeColor="text1"/>
          <w:sz w:val="24"/>
          <w:szCs w:val="24"/>
          <w:lang w:val="fr-FR"/>
        </w:rPr>
        <w:tab/>
      </w:r>
    </w:p>
    <w:p w14:paraId="01C5BBE2" w14:textId="64808A1D" w:rsidR="00897754" w:rsidRDefault="00153B91" w:rsidP="0042706F">
      <w:pPr>
        <w:spacing w:after="0" w:line="360" w:lineRule="auto"/>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ab/>
      </w:r>
      <w:r>
        <w:rPr>
          <w:rFonts w:ascii="Times New Roman" w:hAnsi="Times New Roman" w:cs="Times New Roman"/>
          <w:color w:val="000000" w:themeColor="text1"/>
          <w:sz w:val="24"/>
          <w:szCs w:val="24"/>
          <w:lang w:val="fr-FR"/>
        </w:rPr>
        <w:tab/>
      </w:r>
      <w:r>
        <w:rPr>
          <w:rFonts w:ascii="Times New Roman" w:hAnsi="Times New Roman" w:cs="Times New Roman"/>
          <w:color w:val="000000" w:themeColor="text1"/>
          <w:sz w:val="24"/>
          <w:szCs w:val="24"/>
          <w:lang w:val="fr-FR"/>
        </w:rPr>
        <w:tab/>
      </w:r>
      <w:r>
        <w:rPr>
          <w:rFonts w:ascii="Times New Roman" w:hAnsi="Times New Roman" w:cs="Times New Roman"/>
          <w:color w:val="000000" w:themeColor="text1"/>
          <w:sz w:val="24"/>
          <w:szCs w:val="24"/>
          <w:lang w:val="fr-FR"/>
        </w:rPr>
        <w:tab/>
      </w:r>
      <w:r>
        <w:rPr>
          <w:rFonts w:ascii="Times New Roman" w:hAnsi="Times New Roman" w:cs="Times New Roman"/>
          <w:color w:val="000000" w:themeColor="text1"/>
          <w:sz w:val="24"/>
          <w:szCs w:val="24"/>
          <w:lang w:val="fr-FR"/>
        </w:rPr>
        <w:tab/>
      </w:r>
      <w:r>
        <w:rPr>
          <w:rFonts w:ascii="Times New Roman" w:hAnsi="Times New Roman" w:cs="Times New Roman"/>
          <w:color w:val="000000" w:themeColor="text1"/>
          <w:sz w:val="24"/>
          <w:szCs w:val="24"/>
          <w:lang w:val="fr-FR"/>
        </w:rPr>
        <w:tab/>
      </w:r>
      <w:r>
        <w:rPr>
          <w:rFonts w:ascii="Times New Roman" w:hAnsi="Times New Roman" w:cs="Times New Roman"/>
          <w:color w:val="000000" w:themeColor="text1"/>
          <w:sz w:val="24"/>
          <w:szCs w:val="24"/>
          <w:lang w:val="fr-FR"/>
        </w:rPr>
        <w:tab/>
      </w:r>
      <w:r>
        <w:rPr>
          <w:rFonts w:ascii="Times New Roman" w:hAnsi="Times New Roman" w:cs="Times New Roman"/>
          <w:color w:val="000000" w:themeColor="text1"/>
          <w:sz w:val="24"/>
          <w:szCs w:val="24"/>
          <w:lang w:val="fr-FR"/>
        </w:rPr>
        <w:tab/>
        <w:t>………………………….</w:t>
      </w:r>
    </w:p>
    <w:p w14:paraId="6DE39990" w14:textId="7D71C316" w:rsidR="000B33B0" w:rsidRDefault="000B33B0" w:rsidP="00A57D94">
      <w:pPr>
        <w:spacing w:after="0" w:line="360" w:lineRule="auto"/>
        <w:ind w:left="5670"/>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 xml:space="preserve"> Dr. L Tibatemwa-</w:t>
      </w:r>
      <w:proofErr w:type="spellStart"/>
      <w:r>
        <w:rPr>
          <w:rFonts w:ascii="Times New Roman" w:hAnsi="Times New Roman" w:cs="Times New Roman"/>
          <w:color w:val="000000" w:themeColor="text1"/>
          <w:sz w:val="24"/>
          <w:szCs w:val="24"/>
          <w:lang w:val="fr-FR"/>
        </w:rPr>
        <w:t>Ekirikubinza</w:t>
      </w:r>
      <w:proofErr w:type="spellEnd"/>
      <w:r>
        <w:rPr>
          <w:rFonts w:ascii="Times New Roman" w:hAnsi="Times New Roman" w:cs="Times New Roman"/>
          <w:color w:val="000000" w:themeColor="text1"/>
          <w:sz w:val="24"/>
          <w:szCs w:val="24"/>
          <w:lang w:val="fr-FR"/>
        </w:rPr>
        <w:t xml:space="preserve"> JA</w:t>
      </w:r>
    </w:p>
    <w:p w14:paraId="1C2ED59A" w14:textId="58D6D93D" w:rsidR="000B33B0" w:rsidRPr="00A57D94" w:rsidRDefault="000B33B0" w:rsidP="000B33B0">
      <w:pPr>
        <w:spacing w:after="0" w:line="360" w:lineRule="auto"/>
        <w:jc w:val="both"/>
        <w:rPr>
          <w:rFonts w:ascii="Times New Roman" w:hAnsi="Times New Roman" w:cs="Times New Roman"/>
          <w:color w:val="000000" w:themeColor="text1"/>
          <w:sz w:val="10"/>
          <w:szCs w:val="10"/>
          <w:lang w:val="en-ZA"/>
        </w:rPr>
      </w:pPr>
    </w:p>
    <w:p w14:paraId="4BC5377B" w14:textId="25E51EEB" w:rsidR="000B33B0" w:rsidRDefault="000B33B0" w:rsidP="000B33B0">
      <w:pPr>
        <w:spacing w:after="0" w:line="360" w:lineRule="auto"/>
        <w:jc w:val="both"/>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lang w:val="en-ZA"/>
        </w:rPr>
        <w:t>ROBINSON JA</w:t>
      </w:r>
    </w:p>
    <w:p w14:paraId="61DFE633" w14:textId="77777777" w:rsidR="000B33B0" w:rsidRPr="00A57D94" w:rsidRDefault="000B33B0" w:rsidP="000B33B0">
      <w:pPr>
        <w:spacing w:after="0" w:line="360" w:lineRule="auto"/>
        <w:jc w:val="both"/>
        <w:rPr>
          <w:rFonts w:ascii="Times New Roman" w:hAnsi="Times New Roman" w:cs="Times New Roman"/>
          <w:b/>
          <w:color w:val="000000" w:themeColor="text1"/>
          <w:sz w:val="10"/>
          <w:szCs w:val="10"/>
          <w:lang w:val="en-ZA"/>
        </w:rPr>
      </w:pPr>
    </w:p>
    <w:p w14:paraId="21EB7903" w14:textId="09DF476E" w:rsidR="000B33B0" w:rsidRDefault="000B33B0" w:rsidP="0042706F">
      <w:pPr>
        <w:spacing w:after="0" w:line="360" w:lineRule="auto"/>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 xml:space="preserve">I </w:t>
      </w:r>
      <w:proofErr w:type="spellStart"/>
      <w:r w:rsidR="00BD131E">
        <w:rPr>
          <w:rFonts w:ascii="Times New Roman" w:hAnsi="Times New Roman" w:cs="Times New Roman"/>
          <w:color w:val="000000" w:themeColor="text1"/>
          <w:sz w:val="24"/>
          <w:szCs w:val="24"/>
          <w:lang w:val="fr-FR"/>
        </w:rPr>
        <w:t>concur</w:t>
      </w:r>
      <w:proofErr w:type="spellEnd"/>
      <w:r w:rsidR="00BD131E">
        <w:rPr>
          <w:rFonts w:ascii="Times New Roman" w:hAnsi="Times New Roman" w:cs="Times New Roman"/>
          <w:color w:val="000000" w:themeColor="text1"/>
          <w:sz w:val="24"/>
          <w:szCs w:val="24"/>
          <w:lang w:val="fr-FR"/>
        </w:rPr>
        <w:t xml:space="preserve"> </w:t>
      </w:r>
      <w:proofErr w:type="spellStart"/>
      <w:r>
        <w:rPr>
          <w:rFonts w:ascii="Times New Roman" w:hAnsi="Times New Roman" w:cs="Times New Roman"/>
          <w:color w:val="000000" w:themeColor="text1"/>
          <w:sz w:val="24"/>
          <w:szCs w:val="24"/>
          <w:lang w:val="fr-FR"/>
        </w:rPr>
        <w:t>with</w:t>
      </w:r>
      <w:proofErr w:type="spellEnd"/>
      <w:r>
        <w:rPr>
          <w:rFonts w:ascii="Times New Roman" w:hAnsi="Times New Roman" w:cs="Times New Roman"/>
          <w:color w:val="000000" w:themeColor="text1"/>
          <w:sz w:val="24"/>
          <w:szCs w:val="24"/>
          <w:lang w:val="fr-FR"/>
        </w:rPr>
        <w:t xml:space="preserve"> the holding of the </w:t>
      </w:r>
      <w:proofErr w:type="spellStart"/>
      <w:r>
        <w:rPr>
          <w:rFonts w:ascii="Times New Roman" w:hAnsi="Times New Roman" w:cs="Times New Roman"/>
          <w:color w:val="000000" w:themeColor="text1"/>
          <w:sz w:val="24"/>
          <w:szCs w:val="24"/>
          <w:lang w:val="fr-FR"/>
        </w:rPr>
        <w:t>appeal</w:t>
      </w:r>
      <w:proofErr w:type="spellEnd"/>
      <w:r>
        <w:rPr>
          <w:rFonts w:ascii="Times New Roman" w:hAnsi="Times New Roman" w:cs="Times New Roman"/>
          <w:color w:val="000000" w:themeColor="text1"/>
          <w:sz w:val="24"/>
          <w:szCs w:val="24"/>
          <w:lang w:val="fr-FR"/>
        </w:rPr>
        <w:t xml:space="preserve"> and the </w:t>
      </w:r>
      <w:proofErr w:type="spellStart"/>
      <w:r>
        <w:rPr>
          <w:rFonts w:ascii="Times New Roman" w:hAnsi="Times New Roman" w:cs="Times New Roman"/>
          <w:color w:val="000000" w:themeColor="text1"/>
          <w:sz w:val="24"/>
          <w:szCs w:val="24"/>
          <w:lang w:val="fr-FR"/>
        </w:rPr>
        <w:t>orders</w:t>
      </w:r>
      <w:proofErr w:type="spellEnd"/>
      <w:r>
        <w:rPr>
          <w:rFonts w:ascii="Times New Roman" w:hAnsi="Times New Roman" w:cs="Times New Roman"/>
          <w:color w:val="000000" w:themeColor="text1"/>
          <w:sz w:val="24"/>
          <w:szCs w:val="24"/>
          <w:lang w:val="fr-FR"/>
        </w:rPr>
        <w:t xml:space="preserve"> made </w:t>
      </w:r>
      <w:proofErr w:type="spellStart"/>
      <w:r>
        <w:rPr>
          <w:rFonts w:ascii="Times New Roman" w:hAnsi="Times New Roman" w:cs="Times New Roman"/>
          <w:color w:val="000000" w:themeColor="text1"/>
          <w:sz w:val="24"/>
          <w:szCs w:val="24"/>
          <w:lang w:val="fr-FR"/>
        </w:rPr>
        <w:t>subject</w:t>
      </w:r>
      <w:proofErr w:type="spellEnd"/>
      <w:r>
        <w:rPr>
          <w:rFonts w:ascii="Times New Roman" w:hAnsi="Times New Roman" w:cs="Times New Roman"/>
          <w:color w:val="000000" w:themeColor="text1"/>
          <w:sz w:val="24"/>
          <w:szCs w:val="24"/>
          <w:lang w:val="fr-FR"/>
        </w:rPr>
        <w:t xml:space="preserve"> to the </w:t>
      </w:r>
      <w:proofErr w:type="spellStart"/>
      <w:r>
        <w:rPr>
          <w:rFonts w:ascii="Times New Roman" w:hAnsi="Times New Roman" w:cs="Times New Roman"/>
          <w:color w:val="000000" w:themeColor="text1"/>
          <w:sz w:val="24"/>
          <w:szCs w:val="24"/>
          <w:lang w:val="fr-FR"/>
        </w:rPr>
        <w:t>following</w:t>
      </w:r>
      <w:proofErr w:type="spellEnd"/>
      <w:r>
        <w:rPr>
          <w:rFonts w:ascii="Times New Roman" w:hAnsi="Times New Roman" w:cs="Times New Roman"/>
          <w:color w:val="000000" w:themeColor="text1"/>
          <w:sz w:val="24"/>
          <w:szCs w:val="24"/>
          <w:lang w:val="fr-FR"/>
        </w:rPr>
        <w:t> :</w:t>
      </w:r>
    </w:p>
    <w:p w14:paraId="4300C365" w14:textId="77777777" w:rsidR="000B33B0" w:rsidRPr="00A57D94" w:rsidRDefault="000B33B0" w:rsidP="0042706F">
      <w:pPr>
        <w:spacing w:after="0" w:line="360" w:lineRule="auto"/>
        <w:jc w:val="both"/>
        <w:rPr>
          <w:rFonts w:ascii="Times New Roman" w:hAnsi="Times New Roman" w:cs="Times New Roman"/>
          <w:color w:val="000000" w:themeColor="text1"/>
          <w:sz w:val="10"/>
          <w:szCs w:val="10"/>
          <w:lang w:val="fr-FR"/>
        </w:rPr>
      </w:pPr>
    </w:p>
    <w:p w14:paraId="76A9DD69" w14:textId="2BA3DC99" w:rsidR="00897754" w:rsidRPr="009A3238" w:rsidRDefault="000B33B0" w:rsidP="0042706F">
      <w:pPr>
        <w:spacing w:after="0" w:line="360" w:lineRule="auto"/>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 xml:space="preserve">I do not </w:t>
      </w:r>
      <w:proofErr w:type="spellStart"/>
      <w:r>
        <w:rPr>
          <w:rFonts w:ascii="Times New Roman" w:hAnsi="Times New Roman" w:cs="Times New Roman"/>
          <w:color w:val="000000" w:themeColor="text1"/>
          <w:sz w:val="24"/>
          <w:szCs w:val="24"/>
          <w:lang w:val="fr-FR"/>
        </w:rPr>
        <w:t>accept</w:t>
      </w:r>
      <w:proofErr w:type="spellEnd"/>
      <w:r>
        <w:rPr>
          <w:rFonts w:ascii="Times New Roman" w:hAnsi="Times New Roman" w:cs="Times New Roman"/>
          <w:color w:val="000000" w:themeColor="text1"/>
          <w:sz w:val="24"/>
          <w:szCs w:val="24"/>
          <w:lang w:val="fr-FR"/>
        </w:rPr>
        <w:t xml:space="preserve"> the </w:t>
      </w:r>
      <w:proofErr w:type="spellStart"/>
      <w:r>
        <w:rPr>
          <w:rFonts w:ascii="Times New Roman" w:hAnsi="Times New Roman" w:cs="Times New Roman"/>
          <w:color w:val="000000" w:themeColor="text1"/>
          <w:sz w:val="24"/>
          <w:szCs w:val="24"/>
          <w:lang w:val="fr-FR"/>
        </w:rPr>
        <w:t>reference</w:t>
      </w:r>
      <w:proofErr w:type="spellEnd"/>
      <w:r>
        <w:rPr>
          <w:rFonts w:ascii="Times New Roman" w:hAnsi="Times New Roman" w:cs="Times New Roman"/>
          <w:color w:val="000000" w:themeColor="text1"/>
          <w:sz w:val="24"/>
          <w:szCs w:val="24"/>
          <w:lang w:val="fr-FR"/>
        </w:rPr>
        <w:t xml:space="preserve"> by </w:t>
      </w:r>
      <w:proofErr w:type="spellStart"/>
      <w:r w:rsidR="00A57D94">
        <w:rPr>
          <w:rFonts w:ascii="Times New Roman" w:hAnsi="Times New Roman" w:cs="Times New Roman"/>
          <w:color w:val="000000" w:themeColor="text1"/>
          <w:sz w:val="24"/>
          <w:szCs w:val="24"/>
          <w:lang w:val="fr-FR"/>
        </w:rPr>
        <w:t>my</w:t>
      </w:r>
      <w:proofErr w:type="spellEnd"/>
      <w:r w:rsidR="00A57D94">
        <w:rPr>
          <w:rFonts w:ascii="Times New Roman" w:hAnsi="Times New Roman" w:cs="Times New Roman"/>
          <w:color w:val="000000" w:themeColor="text1"/>
          <w:sz w:val="24"/>
          <w:szCs w:val="24"/>
          <w:lang w:val="fr-FR"/>
        </w:rPr>
        <w:t xml:space="preserve"> </w:t>
      </w:r>
      <w:proofErr w:type="spellStart"/>
      <w:r w:rsidR="00A57D94">
        <w:rPr>
          <w:rFonts w:ascii="Times New Roman" w:hAnsi="Times New Roman" w:cs="Times New Roman"/>
          <w:color w:val="000000" w:themeColor="text1"/>
          <w:sz w:val="24"/>
          <w:szCs w:val="24"/>
          <w:lang w:val="fr-FR"/>
        </w:rPr>
        <w:t>learned</w:t>
      </w:r>
      <w:proofErr w:type="spellEnd"/>
      <w:r w:rsidR="00A57D94">
        <w:rPr>
          <w:rFonts w:ascii="Times New Roman" w:hAnsi="Times New Roman" w:cs="Times New Roman"/>
          <w:color w:val="000000" w:themeColor="text1"/>
          <w:sz w:val="24"/>
          <w:szCs w:val="24"/>
          <w:lang w:val="fr-FR"/>
        </w:rPr>
        <w:t xml:space="preserve"> </w:t>
      </w:r>
      <w:proofErr w:type="spellStart"/>
      <w:r w:rsidR="00A57D94">
        <w:rPr>
          <w:rFonts w:ascii="Times New Roman" w:hAnsi="Times New Roman" w:cs="Times New Roman"/>
          <w:color w:val="000000" w:themeColor="text1"/>
          <w:sz w:val="24"/>
          <w:szCs w:val="24"/>
          <w:lang w:val="fr-FR"/>
        </w:rPr>
        <w:t>sister</w:t>
      </w:r>
      <w:proofErr w:type="spellEnd"/>
      <w:r w:rsidR="00A57D94">
        <w:rPr>
          <w:rFonts w:ascii="Times New Roman" w:hAnsi="Times New Roman" w:cs="Times New Roman"/>
          <w:color w:val="000000" w:themeColor="text1"/>
          <w:sz w:val="24"/>
          <w:szCs w:val="24"/>
          <w:lang w:val="fr-FR"/>
        </w:rPr>
        <w:t xml:space="preserve"> Andre JA</w:t>
      </w:r>
      <w:r w:rsidR="003C4340">
        <w:rPr>
          <w:rFonts w:ascii="Times New Roman" w:hAnsi="Times New Roman" w:cs="Times New Roman"/>
          <w:color w:val="000000" w:themeColor="text1"/>
          <w:sz w:val="24"/>
          <w:szCs w:val="24"/>
          <w:lang w:val="fr-FR"/>
        </w:rPr>
        <w:t xml:space="preserve">, in </w:t>
      </w:r>
      <w:proofErr w:type="spellStart"/>
      <w:r w:rsidR="003C4340">
        <w:rPr>
          <w:rFonts w:ascii="Times New Roman" w:hAnsi="Times New Roman" w:cs="Times New Roman"/>
          <w:color w:val="000000" w:themeColor="text1"/>
          <w:sz w:val="24"/>
          <w:szCs w:val="24"/>
          <w:lang w:val="fr-FR"/>
        </w:rPr>
        <w:t>her</w:t>
      </w:r>
      <w:proofErr w:type="spellEnd"/>
      <w:r w:rsidR="003C4340">
        <w:rPr>
          <w:rFonts w:ascii="Times New Roman" w:hAnsi="Times New Roman" w:cs="Times New Roman"/>
          <w:color w:val="000000" w:themeColor="text1"/>
          <w:sz w:val="24"/>
          <w:szCs w:val="24"/>
          <w:lang w:val="fr-FR"/>
        </w:rPr>
        <w:t xml:space="preserve"> </w:t>
      </w:r>
      <w:proofErr w:type="spellStart"/>
      <w:r w:rsidR="003C4340">
        <w:rPr>
          <w:rFonts w:ascii="Times New Roman" w:hAnsi="Times New Roman" w:cs="Times New Roman"/>
          <w:color w:val="000000" w:themeColor="text1"/>
          <w:sz w:val="24"/>
          <w:szCs w:val="24"/>
          <w:lang w:val="fr-FR"/>
        </w:rPr>
        <w:t>judgment</w:t>
      </w:r>
      <w:proofErr w:type="spellEnd"/>
      <w:r w:rsidR="003C4340">
        <w:rPr>
          <w:rFonts w:ascii="Times New Roman" w:hAnsi="Times New Roman" w:cs="Times New Roman"/>
          <w:color w:val="000000" w:themeColor="text1"/>
          <w:sz w:val="24"/>
          <w:szCs w:val="24"/>
          <w:lang w:val="fr-FR"/>
        </w:rPr>
        <w:t>,</w:t>
      </w:r>
      <w:r w:rsidR="00A57D94">
        <w:rPr>
          <w:rFonts w:ascii="Times New Roman" w:hAnsi="Times New Roman" w:cs="Times New Roman"/>
          <w:color w:val="000000" w:themeColor="text1"/>
          <w:sz w:val="24"/>
          <w:szCs w:val="24"/>
          <w:lang w:val="fr-FR"/>
        </w:rPr>
        <w:t xml:space="preserve"> </w:t>
      </w:r>
      <w:r>
        <w:rPr>
          <w:rFonts w:ascii="Times New Roman" w:hAnsi="Times New Roman" w:cs="Times New Roman"/>
          <w:color w:val="000000" w:themeColor="text1"/>
          <w:sz w:val="24"/>
          <w:szCs w:val="24"/>
          <w:lang w:val="fr-FR"/>
        </w:rPr>
        <w:t xml:space="preserve">to the cases </w:t>
      </w:r>
      <w:proofErr w:type="spellStart"/>
      <w:r>
        <w:rPr>
          <w:rFonts w:ascii="Times New Roman" w:hAnsi="Times New Roman" w:cs="Times New Roman"/>
          <w:color w:val="000000" w:themeColor="text1"/>
          <w:sz w:val="24"/>
          <w:szCs w:val="24"/>
          <w:lang w:val="fr-FR"/>
        </w:rPr>
        <w:t>found</w:t>
      </w:r>
      <w:proofErr w:type="spellEnd"/>
      <w:r>
        <w:rPr>
          <w:rFonts w:ascii="Times New Roman" w:hAnsi="Times New Roman" w:cs="Times New Roman"/>
          <w:color w:val="000000" w:themeColor="text1"/>
          <w:sz w:val="24"/>
          <w:szCs w:val="24"/>
          <w:lang w:val="fr-FR"/>
        </w:rPr>
        <w:t xml:space="preserve"> </w:t>
      </w:r>
      <w:proofErr w:type="spellStart"/>
      <w:r>
        <w:rPr>
          <w:rFonts w:ascii="Times New Roman" w:hAnsi="Times New Roman" w:cs="Times New Roman"/>
          <w:color w:val="000000" w:themeColor="text1"/>
          <w:sz w:val="24"/>
          <w:szCs w:val="24"/>
          <w:lang w:val="fr-FR"/>
        </w:rPr>
        <w:t>at</w:t>
      </w:r>
      <w:proofErr w:type="spellEnd"/>
      <w:r>
        <w:rPr>
          <w:rFonts w:ascii="Times New Roman" w:hAnsi="Times New Roman" w:cs="Times New Roman"/>
          <w:color w:val="000000" w:themeColor="text1"/>
          <w:sz w:val="24"/>
          <w:szCs w:val="24"/>
          <w:lang w:val="fr-FR"/>
        </w:rPr>
        <w:t xml:space="preserve"> </w:t>
      </w:r>
      <w:proofErr w:type="spellStart"/>
      <w:r>
        <w:rPr>
          <w:rFonts w:ascii="Times New Roman" w:hAnsi="Times New Roman" w:cs="Times New Roman"/>
          <w:color w:val="000000" w:themeColor="text1"/>
          <w:sz w:val="24"/>
          <w:szCs w:val="24"/>
          <w:lang w:val="fr-FR"/>
        </w:rPr>
        <w:t>paragraph</w:t>
      </w:r>
      <w:proofErr w:type="spellEnd"/>
      <w:r>
        <w:rPr>
          <w:rFonts w:ascii="Times New Roman" w:hAnsi="Times New Roman" w:cs="Times New Roman"/>
          <w:color w:val="000000" w:themeColor="text1"/>
          <w:sz w:val="24"/>
          <w:szCs w:val="24"/>
          <w:lang w:val="fr-FR"/>
        </w:rPr>
        <w:t xml:space="preserve"> 36 or </w:t>
      </w:r>
      <w:proofErr w:type="spellStart"/>
      <w:r>
        <w:rPr>
          <w:rFonts w:ascii="Times New Roman" w:hAnsi="Times New Roman" w:cs="Times New Roman"/>
          <w:color w:val="000000" w:themeColor="text1"/>
          <w:sz w:val="24"/>
          <w:szCs w:val="24"/>
          <w:lang w:val="fr-FR"/>
        </w:rPr>
        <w:t>reference</w:t>
      </w:r>
      <w:proofErr w:type="spellEnd"/>
      <w:r>
        <w:rPr>
          <w:rFonts w:ascii="Times New Roman" w:hAnsi="Times New Roman" w:cs="Times New Roman"/>
          <w:color w:val="000000" w:themeColor="text1"/>
          <w:sz w:val="24"/>
          <w:szCs w:val="24"/>
          <w:lang w:val="fr-FR"/>
        </w:rPr>
        <w:t xml:space="preserve"> to the </w:t>
      </w:r>
      <w:proofErr w:type="spellStart"/>
      <w:r>
        <w:rPr>
          <w:rFonts w:ascii="Times New Roman" w:hAnsi="Times New Roman" w:cs="Times New Roman"/>
          <w:color w:val="000000" w:themeColor="text1"/>
          <w:sz w:val="24"/>
          <w:szCs w:val="24"/>
          <w:lang w:val="fr-FR"/>
        </w:rPr>
        <w:t>law</w:t>
      </w:r>
      <w:proofErr w:type="spellEnd"/>
      <w:r>
        <w:rPr>
          <w:rFonts w:ascii="Times New Roman" w:hAnsi="Times New Roman" w:cs="Times New Roman"/>
          <w:color w:val="000000" w:themeColor="text1"/>
          <w:sz w:val="24"/>
          <w:szCs w:val="24"/>
          <w:lang w:val="fr-FR"/>
        </w:rPr>
        <w:t xml:space="preserve"> of </w:t>
      </w:r>
      <w:proofErr w:type="spellStart"/>
      <w:r>
        <w:rPr>
          <w:rFonts w:ascii="Times New Roman" w:hAnsi="Times New Roman" w:cs="Times New Roman"/>
          <w:color w:val="000000" w:themeColor="text1"/>
          <w:sz w:val="24"/>
          <w:szCs w:val="24"/>
          <w:lang w:val="fr-FR"/>
        </w:rPr>
        <w:t>any</w:t>
      </w:r>
      <w:proofErr w:type="spellEnd"/>
      <w:r>
        <w:rPr>
          <w:rFonts w:ascii="Times New Roman" w:hAnsi="Times New Roman" w:cs="Times New Roman"/>
          <w:color w:val="000000" w:themeColor="text1"/>
          <w:sz w:val="24"/>
          <w:szCs w:val="24"/>
          <w:lang w:val="fr-FR"/>
        </w:rPr>
        <w:t xml:space="preserve"> </w:t>
      </w:r>
      <w:proofErr w:type="spellStart"/>
      <w:r>
        <w:rPr>
          <w:rFonts w:ascii="Times New Roman" w:hAnsi="Times New Roman" w:cs="Times New Roman"/>
          <w:color w:val="000000" w:themeColor="text1"/>
          <w:sz w:val="24"/>
          <w:szCs w:val="24"/>
          <w:lang w:val="fr-FR"/>
        </w:rPr>
        <w:t>jurisdiction</w:t>
      </w:r>
      <w:proofErr w:type="spellEnd"/>
      <w:r>
        <w:rPr>
          <w:rFonts w:ascii="Times New Roman" w:hAnsi="Times New Roman" w:cs="Times New Roman"/>
          <w:color w:val="000000" w:themeColor="text1"/>
          <w:sz w:val="24"/>
          <w:szCs w:val="24"/>
          <w:lang w:val="fr-FR"/>
        </w:rPr>
        <w:t xml:space="preserve"> </w:t>
      </w:r>
      <w:proofErr w:type="spellStart"/>
      <w:r>
        <w:rPr>
          <w:rFonts w:ascii="Times New Roman" w:hAnsi="Times New Roman" w:cs="Times New Roman"/>
          <w:color w:val="000000" w:themeColor="text1"/>
          <w:sz w:val="24"/>
          <w:szCs w:val="24"/>
          <w:lang w:val="fr-FR"/>
        </w:rPr>
        <w:t>that</w:t>
      </w:r>
      <w:proofErr w:type="spellEnd"/>
      <w:r>
        <w:rPr>
          <w:rFonts w:ascii="Times New Roman" w:hAnsi="Times New Roman" w:cs="Times New Roman"/>
          <w:color w:val="000000" w:themeColor="text1"/>
          <w:sz w:val="24"/>
          <w:szCs w:val="24"/>
          <w:lang w:val="fr-FR"/>
        </w:rPr>
        <w:t xml:space="preserve"> </w:t>
      </w:r>
      <w:proofErr w:type="spellStart"/>
      <w:r>
        <w:rPr>
          <w:rFonts w:ascii="Times New Roman" w:hAnsi="Times New Roman" w:cs="Times New Roman"/>
          <w:color w:val="000000" w:themeColor="text1"/>
          <w:sz w:val="24"/>
          <w:szCs w:val="24"/>
          <w:lang w:val="fr-FR"/>
        </w:rPr>
        <w:t>does</w:t>
      </w:r>
      <w:proofErr w:type="spellEnd"/>
      <w:r>
        <w:rPr>
          <w:rFonts w:ascii="Times New Roman" w:hAnsi="Times New Roman" w:cs="Times New Roman"/>
          <w:color w:val="000000" w:themeColor="text1"/>
          <w:sz w:val="24"/>
          <w:szCs w:val="24"/>
          <w:lang w:val="fr-FR"/>
        </w:rPr>
        <w:t xml:space="preserve"> not </w:t>
      </w:r>
      <w:proofErr w:type="spellStart"/>
      <w:r>
        <w:rPr>
          <w:rFonts w:ascii="Times New Roman" w:hAnsi="Times New Roman" w:cs="Times New Roman"/>
          <w:color w:val="000000" w:themeColor="text1"/>
          <w:sz w:val="24"/>
          <w:szCs w:val="24"/>
          <w:lang w:val="fr-FR"/>
        </w:rPr>
        <w:t>find</w:t>
      </w:r>
      <w:proofErr w:type="spellEnd"/>
      <w:r>
        <w:rPr>
          <w:rFonts w:ascii="Times New Roman" w:hAnsi="Times New Roman" w:cs="Times New Roman"/>
          <w:color w:val="000000" w:themeColor="text1"/>
          <w:sz w:val="24"/>
          <w:szCs w:val="24"/>
          <w:lang w:val="fr-FR"/>
        </w:rPr>
        <w:t xml:space="preserve"> application in </w:t>
      </w:r>
      <w:proofErr w:type="spellStart"/>
      <w:r>
        <w:rPr>
          <w:rFonts w:ascii="Times New Roman" w:hAnsi="Times New Roman" w:cs="Times New Roman"/>
          <w:color w:val="000000" w:themeColor="text1"/>
          <w:sz w:val="24"/>
          <w:szCs w:val="24"/>
          <w:lang w:val="fr-FR"/>
        </w:rPr>
        <w:t>this</w:t>
      </w:r>
      <w:proofErr w:type="spellEnd"/>
      <w:r>
        <w:rPr>
          <w:rFonts w:ascii="Times New Roman" w:hAnsi="Times New Roman" w:cs="Times New Roman"/>
          <w:color w:val="000000" w:themeColor="text1"/>
          <w:sz w:val="24"/>
          <w:szCs w:val="24"/>
          <w:lang w:val="fr-FR"/>
        </w:rPr>
        <w:t xml:space="preserve"> case.</w:t>
      </w:r>
    </w:p>
    <w:p w14:paraId="431A2C29" w14:textId="005DE504" w:rsidR="0042706F" w:rsidRDefault="0042706F" w:rsidP="0042706F">
      <w:pPr>
        <w:spacing w:after="0" w:line="360" w:lineRule="auto"/>
        <w:jc w:val="both"/>
        <w:rPr>
          <w:rFonts w:ascii="Times New Roman" w:hAnsi="Times New Roman" w:cs="Times New Roman"/>
          <w:color w:val="000000" w:themeColor="text1"/>
          <w:sz w:val="24"/>
          <w:szCs w:val="24"/>
          <w:lang w:val="en-ZA"/>
        </w:rPr>
      </w:pPr>
    </w:p>
    <w:p w14:paraId="2DDBB7F7" w14:textId="0B22E0A9" w:rsidR="00153B91" w:rsidRPr="00BD131E" w:rsidRDefault="00153B91" w:rsidP="0042706F">
      <w:pPr>
        <w:spacing w:after="0" w:line="360" w:lineRule="auto"/>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w:t>
      </w:r>
    </w:p>
    <w:p w14:paraId="671CC85A" w14:textId="2A4A9B5F" w:rsidR="00643A91" w:rsidRDefault="00BD131E" w:rsidP="0042706F">
      <w:pPr>
        <w:spacing w:after="0" w:line="360" w:lineRule="auto"/>
        <w:jc w:val="both"/>
        <w:rPr>
          <w:rFonts w:ascii="Times New Roman" w:hAnsi="Times New Roman" w:cs="Times New Roman"/>
          <w:color w:val="000000" w:themeColor="text1"/>
          <w:sz w:val="24"/>
          <w:szCs w:val="24"/>
          <w:lang w:val="en-ZA"/>
        </w:rPr>
      </w:pPr>
      <w:r w:rsidRPr="00BD131E">
        <w:rPr>
          <w:rFonts w:ascii="Times New Roman" w:hAnsi="Times New Roman" w:cs="Times New Roman"/>
          <w:color w:val="000000" w:themeColor="text1"/>
          <w:sz w:val="24"/>
          <w:szCs w:val="24"/>
          <w:lang w:val="en-ZA"/>
        </w:rPr>
        <w:t>F. Robinson JA</w:t>
      </w:r>
    </w:p>
    <w:p w14:paraId="0B3747FB" w14:textId="77777777" w:rsidR="00A57D94" w:rsidRDefault="00A57D94" w:rsidP="0042706F">
      <w:pPr>
        <w:spacing w:after="0" w:line="360" w:lineRule="auto"/>
        <w:jc w:val="both"/>
        <w:rPr>
          <w:rFonts w:ascii="Times New Roman" w:hAnsi="Times New Roman" w:cs="Times New Roman"/>
          <w:color w:val="000000" w:themeColor="text1"/>
          <w:sz w:val="24"/>
          <w:szCs w:val="24"/>
          <w:lang w:val="en-ZA"/>
        </w:rPr>
      </w:pPr>
    </w:p>
    <w:p w14:paraId="7D684F05" w14:textId="77777777" w:rsidR="00A57D94" w:rsidRPr="00A57D94" w:rsidRDefault="00A57D94" w:rsidP="0042706F">
      <w:pPr>
        <w:spacing w:after="0" w:line="360" w:lineRule="auto"/>
        <w:jc w:val="both"/>
        <w:rPr>
          <w:rFonts w:ascii="Times New Roman" w:hAnsi="Times New Roman" w:cs="Times New Roman"/>
          <w:color w:val="000000" w:themeColor="text1"/>
          <w:sz w:val="4"/>
          <w:szCs w:val="4"/>
          <w:lang w:val="en-ZA"/>
        </w:rPr>
      </w:pPr>
    </w:p>
    <w:p w14:paraId="29433840" w14:textId="77777777" w:rsidR="00A57D94" w:rsidRPr="00A57D94" w:rsidRDefault="00A57D94" w:rsidP="0042706F">
      <w:pPr>
        <w:spacing w:after="0" w:line="360" w:lineRule="auto"/>
        <w:jc w:val="both"/>
        <w:rPr>
          <w:rFonts w:ascii="Times New Roman" w:hAnsi="Times New Roman" w:cs="Times New Roman"/>
          <w:color w:val="000000" w:themeColor="text1"/>
          <w:sz w:val="2"/>
          <w:szCs w:val="2"/>
          <w:lang w:val="en-ZA"/>
        </w:rPr>
      </w:pPr>
    </w:p>
    <w:p w14:paraId="5E1CF7BC" w14:textId="11A34C9C" w:rsidR="0042706F" w:rsidRDefault="000B33B0" w:rsidP="00A57D94">
      <w:pPr>
        <w:spacing w:after="0" w:line="360" w:lineRule="auto"/>
        <w:jc w:val="both"/>
        <w:rPr>
          <w:rFonts w:ascii="Times New Roman" w:eastAsia="Times New Roman" w:hAnsi="Times New Roman" w:cs="Times New Roman"/>
          <w:sz w:val="24"/>
          <w:szCs w:val="24"/>
          <w:lang w:val="en-ZA"/>
        </w:rPr>
      </w:pPr>
      <w:r>
        <w:rPr>
          <w:rFonts w:ascii="Times New Roman" w:hAnsi="Times New Roman" w:cs="Times New Roman"/>
          <w:color w:val="000000" w:themeColor="text1"/>
          <w:sz w:val="24"/>
          <w:szCs w:val="24"/>
          <w:lang w:val="en-ZA"/>
        </w:rPr>
        <w:t xml:space="preserve"> </w:t>
      </w:r>
      <w:bookmarkStart w:id="3" w:name="_Toc409448291"/>
      <w:r w:rsidR="0042706F" w:rsidRPr="006F7935">
        <w:rPr>
          <w:rFonts w:ascii="Times New Roman" w:eastAsia="Times New Roman" w:hAnsi="Times New Roman" w:cs="Times New Roman"/>
          <w:sz w:val="24"/>
          <w:szCs w:val="24"/>
          <w:lang w:val="en-ZA"/>
        </w:rPr>
        <w:t xml:space="preserve">Signed, dated, and delivered at Ile du Port on </w:t>
      </w:r>
      <w:r w:rsidR="005A2DA6">
        <w:rPr>
          <w:rFonts w:ascii="Times New Roman" w:eastAsia="Times New Roman" w:hAnsi="Times New Roman" w:cs="Times New Roman"/>
          <w:sz w:val="24"/>
          <w:szCs w:val="24"/>
          <w:lang w:val="en-ZA"/>
        </w:rPr>
        <w:t>19 August</w:t>
      </w:r>
      <w:r w:rsidR="00643A91" w:rsidRPr="006F7935">
        <w:rPr>
          <w:rFonts w:ascii="Times New Roman" w:eastAsia="Times New Roman" w:hAnsi="Times New Roman" w:cs="Times New Roman"/>
          <w:sz w:val="24"/>
          <w:szCs w:val="24"/>
          <w:lang w:val="en-ZA"/>
        </w:rPr>
        <w:t xml:space="preserve"> </w:t>
      </w:r>
      <w:r w:rsidR="0042706F" w:rsidRPr="006F7935">
        <w:rPr>
          <w:rFonts w:ascii="Times New Roman" w:eastAsia="Times New Roman" w:hAnsi="Times New Roman" w:cs="Times New Roman"/>
          <w:sz w:val="24"/>
          <w:szCs w:val="24"/>
          <w:lang w:val="en-ZA"/>
        </w:rPr>
        <w:t xml:space="preserve">2022. </w:t>
      </w:r>
      <w:bookmarkEnd w:id="3"/>
    </w:p>
    <w:sectPr w:rsidR="0042706F" w:rsidSect="00A643EB">
      <w:footerReference w:type="default" r:id="rId8"/>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73D90" w14:textId="77777777" w:rsidR="00E50A4F" w:rsidRDefault="00E50A4F" w:rsidP="0042706F">
      <w:pPr>
        <w:spacing w:after="0" w:line="240" w:lineRule="auto"/>
      </w:pPr>
      <w:r>
        <w:separator/>
      </w:r>
    </w:p>
  </w:endnote>
  <w:endnote w:type="continuationSeparator" w:id="0">
    <w:p w14:paraId="70735A4E" w14:textId="77777777" w:rsidR="00E50A4F" w:rsidRDefault="00E50A4F" w:rsidP="0042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313744"/>
      <w:docPartObj>
        <w:docPartGallery w:val="Page Numbers (Bottom of Page)"/>
        <w:docPartUnique/>
      </w:docPartObj>
    </w:sdtPr>
    <w:sdtEndPr>
      <w:rPr>
        <w:noProof/>
        <w:sz w:val="18"/>
        <w:szCs w:val="18"/>
      </w:rPr>
    </w:sdtEndPr>
    <w:sdtContent>
      <w:p w14:paraId="0A36B7CB" w14:textId="523AD574" w:rsidR="00855161" w:rsidRPr="005936E8" w:rsidRDefault="00855161">
        <w:pPr>
          <w:pStyle w:val="Footer"/>
          <w:jc w:val="center"/>
          <w:rPr>
            <w:sz w:val="18"/>
            <w:szCs w:val="18"/>
          </w:rPr>
        </w:pPr>
        <w:r w:rsidRPr="005936E8">
          <w:rPr>
            <w:sz w:val="18"/>
            <w:szCs w:val="18"/>
          </w:rPr>
          <w:fldChar w:fldCharType="begin"/>
        </w:r>
        <w:r w:rsidRPr="005936E8">
          <w:rPr>
            <w:sz w:val="18"/>
            <w:szCs w:val="18"/>
          </w:rPr>
          <w:instrText xml:space="preserve"> PAGE   \* MERGEFORMAT </w:instrText>
        </w:r>
        <w:r w:rsidRPr="005936E8">
          <w:rPr>
            <w:sz w:val="18"/>
            <w:szCs w:val="18"/>
          </w:rPr>
          <w:fldChar w:fldCharType="separate"/>
        </w:r>
        <w:r w:rsidR="00FE7C59">
          <w:rPr>
            <w:noProof/>
            <w:sz w:val="18"/>
            <w:szCs w:val="18"/>
          </w:rPr>
          <w:t>11</w:t>
        </w:r>
        <w:r w:rsidRPr="005936E8">
          <w:rPr>
            <w:noProof/>
            <w:sz w:val="18"/>
            <w:szCs w:val="18"/>
          </w:rPr>
          <w:fldChar w:fldCharType="end"/>
        </w:r>
      </w:p>
    </w:sdtContent>
  </w:sdt>
  <w:p w14:paraId="7035A682" w14:textId="77777777" w:rsidR="00855161" w:rsidRDefault="00855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444D0" w14:textId="77777777" w:rsidR="00E50A4F" w:rsidRDefault="00E50A4F" w:rsidP="0042706F">
      <w:pPr>
        <w:spacing w:after="0" w:line="240" w:lineRule="auto"/>
      </w:pPr>
      <w:r>
        <w:separator/>
      </w:r>
    </w:p>
  </w:footnote>
  <w:footnote w:type="continuationSeparator" w:id="0">
    <w:p w14:paraId="5220AF1B" w14:textId="77777777" w:rsidR="00E50A4F" w:rsidRDefault="00E50A4F" w:rsidP="00427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2F"/>
    <w:multiLevelType w:val="hybridMultilevel"/>
    <w:tmpl w:val="59C2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84B6C"/>
    <w:multiLevelType w:val="multilevel"/>
    <w:tmpl w:val="224AC89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nsid w:val="0E8C4653"/>
    <w:multiLevelType w:val="hybridMultilevel"/>
    <w:tmpl w:val="E6B2C96E"/>
    <w:lvl w:ilvl="0" w:tplc="005657DC">
      <w:start w:val="1"/>
      <w:numFmt w:val="decimal"/>
      <w:lvlText w:val="%1."/>
      <w:lvlJc w:val="left"/>
      <w:pPr>
        <w:ind w:left="888" w:hanging="360"/>
      </w:pPr>
      <w:rPr>
        <w:rFonts w:hint="default"/>
      </w:rPr>
    </w:lvl>
    <w:lvl w:ilvl="1" w:tplc="1C090019">
      <w:start w:val="1"/>
      <w:numFmt w:val="lowerLetter"/>
      <w:lvlText w:val="%2."/>
      <w:lvlJc w:val="left"/>
      <w:pPr>
        <w:ind w:left="1608" w:hanging="360"/>
      </w:pPr>
    </w:lvl>
    <w:lvl w:ilvl="2" w:tplc="1C09001B" w:tentative="1">
      <w:start w:val="1"/>
      <w:numFmt w:val="lowerRoman"/>
      <w:lvlText w:val="%3."/>
      <w:lvlJc w:val="right"/>
      <w:pPr>
        <w:ind w:left="2328" w:hanging="180"/>
      </w:pPr>
    </w:lvl>
    <w:lvl w:ilvl="3" w:tplc="1C09000F" w:tentative="1">
      <w:start w:val="1"/>
      <w:numFmt w:val="decimal"/>
      <w:lvlText w:val="%4."/>
      <w:lvlJc w:val="left"/>
      <w:pPr>
        <w:ind w:left="3048" w:hanging="360"/>
      </w:pPr>
    </w:lvl>
    <w:lvl w:ilvl="4" w:tplc="1C090019" w:tentative="1">
      <w:start w:val="1"/>
      <w:numFmt w:val="lowerLetter"/>
      <w:lvlText w:val="%5."/>
      <w:lvlJc w:val="left"/>
      <w:pPr>
        <w:ind w:left="3768" w:hanging="360"/>
      </w:pPr>
    </w:lvl>
    <w:lvl w:ilvl="5" w:tplc="1C09001B" w:tentative="1">
      <w:start w:val="1"/>
      <w:numFmt w:val="lowerRoman"/>
      <w:lvlText w:val="%6."/>
      <w:lvlJc w:val="right"/>
      <w:pPr>
        <w:ind w:left="4488" w:hanging="180"/>
      </w:pPr>
    </w:lvl>
    <w:lvl w:ilvl="6" w:tplc="1C09000F" w:tentative="1">
      <w:start w:val="1"/>
      <w:numFmt w:val="decimal"/>
      <w:lvlText w:val="%7."/>
      <w:lvlJc w:val="left"/>
      <w:pPr>
        <w:ind w:left="5208" w:hanging="360"/>
      </w:pPr>
    </w:lvl>
    <w:lvl w:ilvl="7" w:tplc="1C090019" w:tentative="1">
      <w:start w:val="1"/>
      <w:numFmt w:val="lowerLetter"/>
      <w:lvlText w:val="%8."/>
      <w:lvlJc w:val="left"/>
      <w:pPr>
        <w:ind w:left="5928" w:hanging="360"/>
      </w:pPr>
    </w:lvl>
    <w:lvl w:ilvl="8" w:tplc="1C09001B" w:tentative="1">
      <w:start w:val="1"/>
      <w:numFmt w:val="lowerRoman"/>
      <w:lvlText w:val="%9."/>
      <w:lvlJc w:val="right"/>
      <w:pPr>
        <w:ind w:left="6648" w:hanging="180"/>
      </w:pPr>
    </w:lvl>
  </w:abstractNum>
  <w:abstractNum w:abstractNumId="3">
    <w:nsid w:val="166D08E6"/>
    <w:multiLevelType w:val="hybridMultilevel"/>
    <w:tmpl w:val="6B504E74"/>
    <w:lvl w:ilvl="0" w:tplc="E37234F0">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716F85"/>
    <w:multiLevelType w:val="hybridMultilevel"/>
    <w:tmpl w:val="8A2E693A"/>
    <w:lvl w:ilvl="0" w:tplc="7088A3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CDA7AEC"/>
    <w:multiLevelType w:val="multilevel"/>
    <w:tmpl w:val="24AC529A"/>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
    <w:nsid w:val="2187786A"/>
    <w:multiLevelType w:val="multilevel"/>
    <w:tmpl w:val="82EAD5C2"/>
    <w:lvl w:ilvl="0">
      <w:start w:val="18"/>
      <w:numFmt w:val="decimal"/>
      <w:lvlText w:val="%1"/>
      <w:lvlJc w:val="left"/>
      <w:pPr>
        <w:ind w:left="420" w:hanging="420"/>
      </w:pPr>
      <w:rPr>
        <w:rFonts w:hint="default"/>
      </w:rPr>
    </w:lvl>
    <w:lvl w:ilvl="1">
      <w:start w:val="1"/>
      <w:numFmt w:val="decimal"/>
      <w:lvlText w:val="%1.%2"/>
      <w:lvlJc w:val="left"/>
      <w:pPr>
        <w:ind w:left="2575" w:hanging="420"/>
      </w:pPr>
      <w:rPr>
        <w:rFonts w:hint="default"/>
      </w:rPr>
    </w:lvl>
    <w:lvl w:ilvl="2">
      <w:start w:val="1"/>
      <w:numFmt w:val="decimal"/>
      <w:lvlText w:val="%1.%2.%3"/>
      <w:lvlJc w:val="left"/>
      <w:pPr>
        <w:ind w:left="5030" w:hanging="720"/>
      </w:pPr>
      <w:rPr>
        <w:rFonts w:hint="default"/>
      </w:rPr>
    </w:lvl>
    <w:lvl w:ilvl="3">
      <w:start w:val="1"/>
      <w:numFmt w:val="decimal"/>
      <w:lvlText w:val="%1.%2.%3.%4"/>
      <w:lvlJc w:val="left"/>
      <w:pPr>
        <w:ind w:left="7185" w:hanging="720"/>
      </w:pPr>
      <w:rPr>
        <w:rFonts w:hint="default"/>
      </w:rPr>
    </w:lvl>
    <w:lvl w:ilvl="4">
      <w:start w:val="1"/>
      <w:numFmt w:val="decimal"/>
      <w:lvlText w:val="%1.%2.%3.%4.%5"/>
      <w:lvlJc w:val="left"/>
      <w:pPr>
        <w:ind w:left="9700" w:hanging="1080"/>
      </w:pPr>
      <w:rPr>
        <w:rFonts w:hint="default"/>
      </w:rPr>
    </w:lvl>
    <w:lvl w:ilvl="5">
      <w:start w:val="1"/>
      <w:numFmt w:val="decimal"/>
      <w:lvlText w:val="%1.%2.%3.%4.%5.%6"/>
      <w:lvlJc w:val="left"/>
      <w:pPr>
        <w:ind w:left="11855" w:hanging="1080"/>
      </w:pPr>
      <w:rPr>
        <w:rFonts w:hint="default"/>
      </w:rPr>
    </w:lvl>
    <w:lvl w:ilvl="6">
      <w:start w:val="1"/>
      <w:numFmt w:val="decimal"/>
      <w:lvlText w:val="%1.%2.%3.%4.%5.%6.%7"/>
      <w:lvlJc w:val="left"/>
      <w:pPr>
        <w:ind w:left="14370" w:hanging="1440"/>
      </w:pPr>
      <w:rPr>
        <w:rFonts w:hint="default"/>
      </w:rPr>
    </w:lvl>
    <w:lvl w:ilvl="7">
      <w:start w:val="1"/>
      <w:numFmt w:val="decimal"/>
      <w:lvlText w:val="%1.%2.%3.%4.%5.%6.%7.%8"/>
      <w:lvlJc w:val="left"/>
      <w:pPr>
        <w:ind w:left="16525" w:hanging="1440"/>
      </w:pPr>
      <w:rPr>
        <w:rFonts w:hint="default"/>
      </w:rPr>
    </w:lvl>
    <w:lvl w:ilvl="8">
      <w:start w:val="1"/>
      <w:numFmt w:val="decimal"/>
      <w:lvlText w:val="%1.%2.%3.%4.%5.%6.%7.%8.%9"/>
      <w:lvlJc w:val="left"/>
      <w:pPr>
        <w:ind w:left="19040" w:hanging="1800"/>
      </w:pPr>
      <w:rPr>
        <w:rFonts w:hint="default"/>
      </w:rPr>
    </w:lvl>
  </w:abstractNum>
  <w:abstractNum w:abstractNumId="7">
    <w:nsid w:val="21CC4356"/>
    <w:multiLevelType w:val="hybridMultilevel"/>
    <w:tmpl w:val="DF264C28"/>
    <w:lvl w:ilvl="0" w:tplc="1AD82B26">
      <w:start w:val="1"/>
      <w:numFmt w:val="lowerRoman"/>
      <w:lvlText w:val="(%1)"/>
      <w:lvlJc w:val="left"/>
      <w:pPr>
        <w:ind w:left="3600" w:hanging="81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8">
    <w:nsid w:val="2EC32EAB"/>
    <w:multiLevelType w:val="multilevel"/>
    <w:tmpl w:val="9CF04E48"/>
    <w:lvl w:ilvl="0">
      <w:start w:val="1"/>
      <w:numFmt w:val="decimal"/>
      <w:pStyle w:val="1"/>
      <w:lvlText w:val="%1"/>
      <w:lvlJc w:val="left"/>
      <w:pPr>
        <w:tabs>
          <w:tab w:val="num" w:pos="567"/>
        </w:tabs>
        <w:ind w:left="567" w:hanging="567"/>
      </w:pPr>
      <w:rPr>
        <w:rFonts w:ascii="Arial" w:hAnsi="Arial" w:cs="Arial" w:hint="default"/>
        <w:b w:val="0"/>
        <w:i w:val="0"/>
        <w:color w:val="auto"/>
        <w:sz w:val="24"/>
        <w:szCs w:val="24"/>
      </w:rPr>
    </w:lvl>
    <w:lvl w:ilvl="1">
      <w:start w:val="1"/>
      <w:numFmt w:val="lowerRoman"/>
      <w:pStyle w:val="2"/>
      <w:lvlText w:val="%2."/>
      <w:lvlJc w:val="left"/>
      <w:pPr>
        <w:tabs>
          <w:tab w:val="num" w:pos="2097"/>
        </w:tabs>
        <w:ind w:left="2097" w:hanging="680"/>
      </w:pPr>
      <w:rPr>
        <w:rFonts w:ascii="Times New Roman" w:eastAsia="Times New Roman" w:hAnsi="Times New Roman" w:cs="Times New Roman"/>
        <w:b w:val="0"/>
        <w:i w:val="0"/>
        <w:color w:val="auto"/>
      </w:rPr>
    </w:lvl>
    <w:lvl w:ilvl="2">
      <w:start w:val="1"/>
      <w:numFmt w:val="lowerRoman"/>
      <w:pStyle w:val="3"/>
      <w:lvlText w:val="%3."/>
      <w:lvlJc w:val="left"/>
      <w:pPr>
        <w:tabs>
          <w:tab w:val="num" w:pos="2155"/>
        </w:tabs>
        <w:ind w:left="2155" w:hanging="908"/>
      </w:pPr>
      <w:rPr>
        <w:rFonts w:ascii="Times New Roman" w:eastAsia="Times New Roman" w:hAnsi="Times New Roman" w:cs="Times New Roman"/>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07542D2"/>
    <w:multiLevelType w:val="multilevel"/>
    <w:tmpl w:val="1CC89892"/>
    <w:numStyleLink w:val="Judgments"/>
  </w:abstractNum>
  <w:abstractNum w:abstractNumId="1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1">
    <w:nsid w:val="31513F81"/>
    <w:multiLevelType w:val="hybridMultilevel"/>
    <w:tmpl w:val="FAAADCA8"/>
    <w:lvl w:ilvl="0" w:tplc="C03424E0">
      <w:start w:val="1"/>
      <w:numFmt w:val="lowerLetter"/>
      <w:pStyle w:val="heldsletters"/>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nsid w:val="6FF15349"/>
    <w:multiLevelType w:val="hybridMultilevel"/>
    <w:tmpl w:val="957AE7FE"/>
    <w:lvl w:ilvl="0" w:tplc="12CEC6C8">
      <w:start w:val="1"/>
      <w:numFmt w:val="lowerRoman"/>
      <w:lvlText w:val="%1."/>
      <w:lvlJc w:val="left"/>
      <w:pPr>
        <w:ind w:left="2421"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3"/>
  </w:num>
  <w:num w:numId="3">
    <w:abstractNumId w:val="12"/>
  </w:num>
  <w:num w:numId="4">
    <w:abstractNumId w:val="8"/>
  </w:num>
  <w:num w:numId="5">
    <w:abstractNumId w:val="8"/>
    <w:lvlOverride w:ilvl="0">
      <w:startOverride w:val="1"/>
    </w:lvlOverride>
    <w:lvlOverride w:ilvl="1">
      <w:startOverride w:val="1"/>
    </w:lvlOverride>
  </w:num>
  <w:num w:numId="6">
    <w:abstractNumId w:val="8"/>
    <w:lvlOverride w:ilvl="0">
      <w:startOverride w:val="1"/>
    </w:lvlOverride>
    <w:lvlOverride w:ilvl="1">
      <w:startOverride w:val="4"/>
    </w:lvlOverride>
  </w:num>
  <w:num w:numId="7">
    <w:abstractNumId w:val="5"/>
  </w:num>
  <w:num w:numId="8">
    <w:abstractNumId w:val="4"/>
  </w:num>
  <w:num w:numId="9">
    <w:abstractNumId w:val="10"/>
  </w:num>
  <w:num w:numId="10">
    <w:abstractNumId w:val="9"/>
    <w:lvlOverride w:ilvl="0">
      <w:lvl w:ilvl="0">
        <w:start w:val="1"/>
        <w:numFmt w:val="decimal"/>
        <w:pStyle w:val="JudgmentText"/>
        <w:lvlText w:val="[%1]"/>
        <w:lvlJc w:val="left"/>
        <w:pPr>
          <w:ind w:left="2520" w:hanging="720"/>
        </w:pPr>
        <w:rPr>
          <w:rFonts w:ascii="Times New Roman" w:hAnsi="Times New Roman" w:hint="default"/>
          <w:sz w:val="24"/>
        </w:rPr>
      </w:lvl>
    </w:lvlOverride>
    <w:lvlOverride w:ilvl="1">
      <w:lvl w:ilvl="1">
        <w:start w:val="1"/>
        <w:numFmt w:val="lowerLetter"/>
        <w:lvlText w:val="%2."/>
        <w:lvlJc w:val="left"/>
        <w:pPr>
          <w:ind w:left="2421" w:hanging="720"/>
        </w:pPr>
        <w:rPr>
          <w:rFonts w:hint="default"/>
        </w:rPr>
      </w:lvl>
    </w:lvlOverride>
    <w:lvlOverride w:ilvl="2">
      <w:lvl w:ilvl="2">
        <w:start w:val="1"/>
        <w:numFmt w:val="lowerRoman"/>
        <w:lvlText w:val="%3."/>
        <w:lvlJc w:val="right"/>
        <w:pPr>
          <w:ind w:left="3960" w:hanging="720"/>
        </w:pPr>
        <w:rPr>
          <w:rFonts w:hint="default"/>
        </w:rPr>
      </w:lvl>
    </w:lvlOverride>
    <w:lvlOverride w:ilvl="3">
      <w:lvl w:ilvl="3">
        <w:start w:val="1"/>
        <w:numFmt w:val="decimal"/>
        <w:lvlText w:val="%4."/>
        <w:lvlJc w:val="left"/>
        <w:pPr>
          <w:ind w:left="4680" w:hanging="720"/>
        </w:pPr>
        <w:rPr>
          <w:rFonts w:hint="default"/>
        </w:rPr>
      </w:lvl>
    </w:lvlOverride>
    <w:lvlOverride w:ilvl="4">
      <w:lvl w:ilvl="4">
        <w:start w:val="1"/>
        <w:numFmt w:val="lowerLetter"/>
        <w:lvlText w:val="%5."/>
        <w:lvlJc w:val="left"/>
        <w:pPr>
          <w:ind w:left="5400" w:hanging="720"/>
        </w:pPr>
        <w:rPr>
          <w:rFonts w:hint="default"/>
        </w:rPr>
      </w:lvl>
    </w:lvlOverride>
    <w:lvlOverride w:ilvl="5">
      <w:lvl w:ilvl="5">
        <w:start w:val="1"/>
        <w:numFmt w:val="lowerRoman"/>
        <w:lvlText w:val="%6."/>
        <w:lvlJc w:val="right"/>
        <w:pPr>
          <w:ind w:left="6120" w:hanging="720"/>
        </w:pPr>
        <w:rPr>
          <w:rFonts w:hint="default"/>
        </w:rPr>
      </w:lvl>
    </w:lvlOverride>
    <w:lvlOverride w:ilvl="6">
      <w:lvl w:ilvl="6">
        <w:start w:val="1"/>
        <w:numFmt w:val="decimal"/>
        <w:lvlText w:val="%7."/>
        <w:lvlJc w:val="left"/>
        <w:pPr>
          <w:ind w:left="6840" w:hanging="720"/>
        </w:pPr>
        <w:rPr>
          <w:rFonts w:hint="default"/>
        </w:rPr>
      </w:lvl>
    </w:lvlOverride>
    <w:lvlOverride w:ilvl="7">
      <w:lvl w:ilvl="7">
        <w:start w:val="1"/>
        <w:numFmt w:val="lowerLetter"/>
        <w:lvlText w:val="%8."/>
        <w:lvlJc w:val="left"/>
        <w:pPr>
          <w:ind w:left="7560" w:hanging="720"/>
        </w:pPr>
        <w:rPr>
          <w:rFonts w:hint="default"/>
        </w:rPr>
      </w:lvl>
    </w:lvlOverride>
    <w:lvlOverride w:ilvl="8">
      <w:lvl w:ilvl="8">
        <w:start w:val="1"/>
        <w:numFmt w:val="lowerRoman"/>
        <w:lvlText w:val="%9."/>
        <w:lvlJc w:val="right"/>
        <w:pPr>
          <w:ind w:left="8280" w:hanging="720"/>
        </w:pPr>
        <w:rPr>
          <w:rFonts w:hint="default"/>
        </w:rPr>
      </w:lvl>
    </w:lvlOverride>
  </w:num>
  <w:num w:numId="11">
    <w:abstractNumId w:val="0"/>
  </w:num>
  <w:num w:numId="12">
    <w:abstractNumId w:val="1"/>
  </w:num>
  <w:num w:numId="13">
    <w:abstractNumId w:val="9"/>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1713" w:hanging="720"/>
        </w:pPr>
        <w:rPr>
          <w:rFonts w:hint="default"/>
          <w:b w:val="0"/>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11"/>
  </w:num>
  <w:num w:numId="15">
    <w:abstractNumId w:val="11"/>
    <w:lvlOverride w:ilvl="0">
      <w:startOverride w:val="1"/>
    </w:lvlOverride>
  </w:num>
  <w:num w:numId="16">
    <w:abstractNumId w:val="9"/>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34"/>
    </w:lvlOverride>
    <w:lvlOverride w:ilvl="1">
      <w:startOverride w:val="1"/>
    </w:lvlOverride>
  </w:num>
  <w:num w:numId="20">
    <w:abstractNumId w:val="8"/>
    <w:lvlOverride w:ilvl="0">
      <w:startOverride w:val="34"/>
    </w:lvlOverride>
    <w:lvlOverride w:ilvl="1">
      <w:startOverride w:val="2"/>
    </w:lvlOverride>
  </w:num>
  <w:num w:numId="21">
    <w:abstractNumId w:val="8"/>
    <w:lvlOverride w:ilvl="0">
      <w:startOverride w:val="34"/>
    </w:lvlOverride>
    <w:lvlOverride w:ilvl="1">
      <w:startOverride w:val="2"/>
    </w:lvlOverride>
  </w:num>
  <w:num w:numId="22">
    <w:abstractNumId w:val="8"/>
    <w:lvlOverride w:ilvl="0">
      <w:startOverride w:val="34"/>
    </w:lvlOverride>
    <w:lvlOverride w:ilvl="1">
      <w:startOverride w:val="3"/>
    </w:lvlOverride>
  </w:num>
  <w:num w:numId="23">
    <w:abstractNumId w:val="8"/>
    <w:lvlOverride w:ilvl="0">
      <w:startOverride w:val="34"/>
    </w:lvlOverride>
    <w:lvlOverride w:ilvl="1">
      <w:startOverride w:val="3"/>
    </w:lvlOverride>
  </w:num>
  <w:num w:numId="24">
    <w:abstractNumId w:val="8"/>
    <w:lvlOverride w:ilvl="0">
      <w:startOverride w:val="34"/>
    </w:lvlOverride>
    <w:lvlOverride w:ilvl="1">
      <w:startOverride w:val="3"/>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ACIDI2NjUwsjC3MTUyUdpeDU4uLM/DyQAqNaAD5/72YsAAAA"/>
  </w:docVars>
  <w:rsids>
    <w:rsidRoot w:val="0042706F"/>
    <w:rsid w:val="00004FE8"/>
    <w:rsid w:val="00034802"/>
    <w:rsid w:val="000640C7"/>
    <w:rsid w:val="000910EC"/>
    <w:rsid w:val="000A0213"/>
    <w:rsid w:val="000A23FA"/>
    <w:rsid w:val="000B33B0"/>
    <w:rsid w:val="000D154D"/>
    <w:rsid w:val="000E1325"/>
    <w:rsid w:val="000E1650"/>
    <w:rsid w:val="000E4C22"/>
    <w:rsid w:val="001105C7"/>
    <w:rsid w:val="00142839"/>
    <w:rsid w:val="00153B91"/>
    <w:rsid w:val="001706C4"/>
    <w:rsid w:val="00175F8C"/>
    <w:rsid w:val="00182462"/>
    <w:rsid w:val="001F0B45"/>
    <w:rsid w:val="001F6CAE"/>
    <w:rsid w:val="00213EC2"/>
    <w:rsid w:val="00223675"/>
    <w:rsid w:val="00283A67"/>
    <w:rsid w:val="002C2C20"/>
    <w:rsid w:val="002F6629"/>
    <w:rsid w:val="00314937"/>
    <w:rsid w:val="00320987"/>
    <w:rsid w:val="003240F3"/>
    <w:rsid w:val="00331A9C"/>
    <w:rsid w:val="00331FA8"/>
    <w:rsid w:val="00333E69"/>
    <w:rsid w:val="003808C1"/>
    <w:rsid w:val="003A350F"/>
    <w:rsid w:val="003C19DD"/>
    <w:rsid w:val="003C4340"/>
    <w:rsid w:val="003C778D"/>
    <w:rsid w:val="003E1023"/>
    <w:rsid w:val="004141D4"/>
    <w:rsid w:val="0042706F"/>
    <w:rsid w:val="0045397A"/>
    <w:rsid w:val="0045510A"/>
    <w:rsid w:val="00472626"/>
    <w:rsid w:val="00473B2E"/>
    <w:rsid w:val="00476947"/>
    <w:rsid w:val="004A2248"/>
    <w:rsid w:val="004D7DA2"/>
    <w:rsid w:val="004F4E56"/>
    <w:rsid w:val="00540A88"/>
    <w:rsid w:val="00547575"/>
    <w:rsid w:val="00547C8E"/>
    <w:rsid w:val="00550F85"/>
    <w:rsid w:val="0056483B"/>
    <w:rsid w:val="005648B5"/>
    <w:rsid w:val="00584F4E"/>
    <w:rsid w:val="00594325"/>
    <w:rsid w:val="005970E9"/>
    <w:rsid w:val="005A2DA6"/>
    <w:rsid w:val="005B1FB2"/>
    <w:rsid w:val="005C0FB3"/>
    <w:rsid w:val="005C0FF3"/>
    <w:rsid w:val="005D08D8"/>
    <w:rsid w:val="005D57E4"/>
    <w:rsid w:val="005F1333"/>
    <w:rsid w:val="005F5F65"/>
    <w:rsid w:val="006035B1"/>
    <w:rsid w:val="00615B9A"/>
    <w:rsid w:val="006305EC"/>
    <w:rsid w:val="00641C5A"/>
    <w:rsid w:val="006427A0"/>
    <w:rsid w:val="00643A91"/>
    <w:rsid w:val="006550D0"/>
    <w:rsid w:val="006F7935"/>
    <w:rsid w:val="00751447"/>
    <w:rsid w:val="00757DDE"/>
    <w:rsid w:val="00791829"/>
    <w:rsid w:val="007942BF"/>
    <w:rsid w:val="007961FD"/>
    <w:rsid w:val="007B3DCC"/>
    <w:rsid w:val="007B5AB5"/>
    <w:rsid w:val="007D2BA2"/>
    <w:rsid w:val="007D79BB"/>
    <w:rsid w:val="00807C0E"/>
    <w:rsid w:val="00854DD6"/>
    <w:rsid w:val="00855161"/>
    <w:rsid w:val="00865BDE"/>
    <w:rsid w:val="0087010D"/>
    <w:rsid w:val="00897754"/>
    <w:rsid w:val="008A7DAD"/>
    <w:rsid w:val="008B4786"/>
    <w:rsid w:val="00900F44"/>
    <w:rsid w:val="00901C2C"/>
    <w:rsid w:val="009108AB"/>
    <w:rsid w:val="00916369"/>
    <w:rsid w:val="00917B6E"/>
    <w:rsid w:val="009254AA"/>
    <w:rsid w:val="0095539B"/>
    <w:rsid w:val="00981AAA"/>
    <w:rsid w:val="009A3238"/>
    <w:rsid w:val="009C2056"/>
    <w:rsid w:val="009C716C"/>
    <w:rsid w:val="009C7FCC"/>
    <w:rsid w:val="009F56E0"/>
    <w:rsid w:val="00A372C6"/>
    <w:rsid w:val="00A52B62"/>
    <w:rsid w:val="00A57D94"/>
    <w:rsid w:val="00A643EB"/>
    <w:rsid w:val="00A76F4F"/>
    <w:rsid w:val="00AB0AD9"/>
    <w:rsid w:val="00AD2543"/>
    <w:rsid w:val="00AD71E2"/>
    <w:rsid w:val="00AE73A7"/>
    <w:rsid w:val="00AE7E34"/>
    <w:rsid w:val="00B0006D"/>
    <w:rsid w:val="00B13AFD"/>
    <w:rsid w:val="00B63067"/>
    <w:rsid w:val="00B819E3"/>
    <w:rsid w:val="00B8471B"/>
    <w:rsid w:val="00BB40A8"/>
    <w:rsid w:val="00BD131E"/>
    <w:rsid w:val="00BE79F6"/>
    <w:rsid w:val="00C0452B"/>
    <w:rsid w:val="00C204A6"/>
    <w:rsid w:val="00C37C6E"/>
    <w:rsid w:val="00CA0ADF"/>
    <w:rsid w:val="00CA5E16"/>
    <w:rsid w:val="00CA783C"/>
    <w:rsid w:val="00CD3765"/>
    <w:rsid w:val="00CE3825"/>
    <w:rsid w:val="00D00E2A"/>
    <w:rsid w:val="00D013BB"/>
    <w:rsid w:val="00D13BAA"/>
    <w:rsid w:val="00D25912"/>
    <w:rsid w:val="00D25D26"/>
    <w:rsid w:val="00D44DE1"/>
    <w:rsid w:val="00D45CED"/>
    <w:rsid w:val="00D508B2"/>
    <w:rsid w:val="00D50A34"/>
    <w:rsid w:val="00D552ED"/>
    <w:rsid w:val="00D7184A"/>
    <w:rsid w:val="00D87F87"/>
    <w:rsid w:val="00DD306F"/>
    <w:rsid w:val="00DE4F00"/>
    <w:rsid w:val="00E00DB8"/>
    <w:rsid w:val="00E073AD"/>
    <w:rsid w:val="00E50A4F"/>
    <w:rsid w:val="00E53862"/>
    <w:rsid w:val="00E6074E"/>
    <w:rsid w:val="00E80B1E"/>
    <w:rsid w:val="00E941C8"/>
    <w:rsid w:val="00EB14DE"/>
    <w:rsid w:val="00EC6472"/>
    <w:rsid w:val="00ED11D9"/>
    <w:rsid w:val="00F03D6D"/>
    <w:rsid w:val="00F12DC1"/>
    <w:rsid w:val="00F223B6"/>
    <w:rsid w:val="00F46A72"/>
    <w:rsid w:val="00F47EF1"/>
    <w:rsid w:val="00F6027F"/>
    <w:rsid w:val="00F6122C"/>
    <w:rsid w:val="00F64E37"/>
    <w:rsid w:val="00F76FF6"/>
    <w:rsid w:val="00F900C0"/>
    <w:rsid w:val="00F90405"/>
    <w:rsid w:val="00F96087"/>
    <w:rsid w:val="00FA1C2D"/>
    <w:rsid w:val="00FB11A2"/>
    <w:rsid w:val="00FC444A"/>
    <w:rsid w:val="00FE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5C7B"/>
  <w15:chartTrackingRefBased/>
  <w15:docId w15:val="{DD17344A-F7EE-4A50-B820-C0950C6E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6F"/>
    <w:rPr>
      <w:lang w:val="en-GB"/>
    </w:rPr>
  </w:style>
  <w:style w:type="character" w:styleId="CommentReference">
    <w:name w:val="annotation reference"/>
    <w:basedOn w:val="DefaultParagraphFont"/>
    <w:uiPriority w:val="99"/>
    <w:semiHidden/>
    <w:unhideWhenUsed/>
    <w:rsid w:val="0042706F"/>
    <w:rPr>
      <w:sz w:val="16"/>
      <w:szCs w:val="16"/>
    </w:rPr>
  </w:style>
  <w:style w:type="paragraph" w:styleId="CommentText">
    <w:name w:val="annotation text"/>
    <w:basedOn w:val="Normal"/>
    <w:link w:val="CommentTextChar"/>
    <w:uiPriority w:val="99"/>
    <w:semiHidden/>
    <w:unhideWhenUsed/>
    <w:rsid w:val="0042706F"/>
    <w:pPr>
      <w:spacing w:line="240" w:lineRule="auto"/>
    </w:pPr>
    <w:rPr>
      <w:sz w:val="20"/>
      <w:szCs w:val="20"/>
    </w:rPr>
  </w:style>
  <w:style w:type="character" w:customStyle="1" w:styleId="CommentTextChar">
    <w:name w:val="Comment Text Char"/>
    <w:basedOn w:val="DefaultParagraphFont"/>
    <w:link w:val="CommentText"/>
    <w:uiPriority w:val="99"/>
    <w:semiHidden/>
    <w:rsid w:val="0042706F"/>
    <w:rPr>
      <w:sz w:val="20"/>
      <w:szCs w:val="20"/>
      <w:lang w:val="en-GB"/>
    </w:rPr>
  </w:style>
  <w:style w:type="character" w:styleId="FootnoteReference">
    <w:name w:val="footnote reference"/>
    <w:basedOn w:val="DefaultParagraphFont"/>
    <w:uiPriority w:val="99"/>
    <w:unhideWhenUsed/>
    <w:rsid w:val="0042706F"/>
    <w:rPr>
      <w:vertAlign w:val="superscript"/>
    </w:rPr>
  </w:style>
  <w:style w:type="paragraph" w:styleId="FootnoteText">
    <w:name w:val="footnote text"/>
    <w:basedOn w:val="Normal"/>
    <w:link w:val="FootnoteTextChar"/>
    <w:uiPriority w:val="99"/>
    <w:unhideWhenUsed/>
    <w:rsid w:val="0042706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2706F"/>
    <w:rPr>
      <w:sz w:val="20"/>
      <w:szCs w:val="20"/>
    </w:rPr>
  </w:style>
  <w:style w:type="paragraph" w:styleId="BalloonText">
    <w:name w:val="Balloon Text"/>
    <w:basedOn w:val="Normal"/>
    <w:link w:val="BalloonTextChar"/>
    <w:uiPriority w:val="99"/>
    <w:semiHidden/>
    <w:unhideWhenUsed/>
    <w:rsid w:val="0042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06F"/>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223675"/>
    <w:rPr>
      <w:b/>
      <w:bCs/>
    </w:rPr>
  </w:style>
  <w:style w:type="character" w:customStyle="1" w:styleId="CommentSubjectChar">
    <w:name w:val="Comment Subject Char"/>
    <w:basedOn w:val="CommentTextChar"/>
    <w:link w:val="CommentSubject"/>
    <w:uiPriority w:val="99"/>
    <w:semiHidden/>
    <w:rsid w:val="00223675"/>
    <w:rPr>
      <w:b/>
      <w:bCs/>
      <w:sz w:val="20"/>
      <w:szCs w:val="20"/>
      <w:lang w:val="en-GB"/>
    </w:rPr>
  </w:style>
  <w:style w:type="paragraph" w:customStyle="1" w:styleId="1">
    <w:name w:val="1"/>
    <w:basedOn w:val="Normal"/>
    <w:qFormat/>
    <w:rsid w:val="003C778D"/>
    <w:pPr>
      <w:numPr>
        <w:numId w:val="4"/>
      </w:numPr>
      <w:spacing w:after="240" w:line="360" w:lineRule="auto"/>
      <w:jc w:val="both"/>
    </w:pPr>
    <w:rPr>
      <w:rFonts w:ascii="Arial" w:eastAsia="Times New Roman" w:hAnsi="Arial" w:cs="Times New Roman"/>
      <w:iCs/>
      <w:color w:val="000000"/>
      <w:sz w:val="24"/>
      <w:szCs w:val="24"/>
      <w:lang w:val="en-ZA" w:eastAsia="en-GB"/>
    </w:rPr>
  </w:style>
  <w:style w:type="paragraph" w:customStyle="1" w:styleId="2">
    <w:name w:val="2"/>
    <w:basedOn w:val="1"/>
    <w:qFormat/>
    <w:rsid w:val="003C778D"/>
    <w:pPr>
      <w:numPr>
        <w:ilvl w:val="1"/>
      </w:numPr>
      <w:tabs>
        <w:tab w:val="clear" w:pos="2097"/>
        <w:tab w:val="num" w:pos="1248"/>
      </w:tabs>
      <w:ind w:left="1248"/>
    </w:pPr>
  </w:style>
  <w:style w:type="paragraph" w:customStyle="1" w:styleId="3">
    <w:name w:val="3"/>
    <w:basedOn w:val="2"/>
    <w:qFormat/>
    <w:rsid w:val="003C778D"/>
    <w:pPr>
      <w:numPr>
        <w:ilvl w:val="2"/>
      </w:numPr>
    </w:pPr>
  </w:style>
  <w:style w:type="paragraph" w:customStyle="1" w:styleId="4">
    <w:name w:val="4"/>
    <w:basedOn w:val="Normal"/>
    <w:qFormat/>
    <w:rsid w:val="003C778D"/>
    <w:pPr>
      <w:numPr>
        <w:ilvl w:val="3"/>
        <w:numId w:val="4"/>
      </w:numPr>
      <w:spacing w:before="240" w:after="0" w:line="480" w:lineRule="auto"/>
      <w:jc w:val="both"/>
    </w:pPr>
    <w:rPr>
      <w:rFonts w:ascii="Arial" w:eastAsia="Times New Roman" w:hAnsi="Arial" w:cs="Times New Roman"/>
      <w:iCs/>
      <w:color w:val="000000"/>
      <w:sz w:val="24"/>
      <w:szCs w:val="16"/>
      <w:lang w:val="en-ZA" w:eastAsia="en-ZA"/>
    </w:rPr>
  </w:style>
  <w:style w:type="paragraph" w:customStyle="1" w:styleId="5">
    <w:name w:val="5"/>
    <w:basedOn w:val="4"/>
    <w:qFormat/>
    <w:rsid w:val="003C778D"/>
    <w:pPr>
      <w:numPr>
        <w:ilvl w:val="4"/>
      </w:numPr>
    </w:pPr>
  </w:style>
  <w:style w:type="paragraph" w:styleId="ListParagraph">
    <w:name w:val="List Paragraph"/>
    <w:basedOn w:val="Normal"/>
    <w:uiPriority w:val="34"/>
    <w:qFormat/>
    <w:rsid w:val="001105C7"/>
    <w:pPr>
      <w:spacing w:after="0" w:line="240" w:lineRule="auto"/>
      <w:ind w:left="720"/>
      <w:contextualSpacing/>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105C7"/>
    <w:rPr>
      <w:i/>
      <w:iCs/>
    </w:rPr>
  </w:style>
  <w:style w:type="character" w:styleId="Strong">
    <w:name w:val="Strong"/>
    <w:basedOn w:val="DefaultParagraphFont"/>
    <w:uiPriority w:val="22"/>
    <w:qFormat/>
    <w:rsid w:val="001105C7"/>
    <w:rPr>
      <w:b/>
      <w:bCs/>
    </w:rPr>
  </w:style>
  <w:style w:type="character" w:styleId="IntenseEmphasis">
    <w:name w:val="Intense Emphasis"/>
    <w:basedOn w:val="DefaultParagraphFont"/>
    <w:uiPriority w:val="21"/>
    <w:qFormat/>
    <w:rsid w:val="005F5F65"/>
    <w:rPr>
      <w:i/>
      <w:iCs/>
      <w:color w:val="5B9BD5" w:themeColor="accent1"/>
    </w:rPr>
  </w:style>
  <w:style w:type="numbering" w:customStyle="1" w:styleId="Judgments">
    <w:name w:val="Judgments"/>
    <w:uiPriority w:val="99"/>
    <w:rsid w:val="00ED11D9"/>
    <w:pPr>
      <w:numPr>
        <w:numId w:val="9"/>
      </w:numPr>
    </w:pPr>
  </w:style>
  <w:style w:type="paragraph" w:customStyle="1" w:styleId="JudgmentText">
    <w:name w:val="Judgment Text"/>
    <w:basedOn w:val="ListParagraph"/>
    <w:qFormat/>
    <w:rsid w:val="00ED11D9"/>
    <w:pPr>
      <w:numPr>
        <w:numId w:val="10"/>
      </w:numPr>
      <w:spacing w:after="240" w:line="360" w:lineRule="auto"/>
      <w:ind w:left="720"/>
      <w:contextualSpacing w:val="0"/>
      <w:jc w:val="both"/>
    </w:pPr>
    <w:rPr>
      <w:lang w:eastAsia="en-US"/>
    </w:rPr>
  </w:style>
  <w:style w:type="paragraph" w:customStyle="1" w:styleId="heldsletters">
    <w:name w:val="helds letters"/>
    <w:basedOn w:val="Normal"/>
    <w:qFormat/>
    <w:rsid w:val="00D44DE1"/>
    <w:pPr>
      <w:numPr>
        <w:numId w:val="14"/>
      </w:numPr>
      <w:spacing w:before="60" w:after="0" w:line="276" w:lineRule="auto"/>
      <w:jc w:val="both"/>
    </w:pPr>
    <w:rPr>
      <w:rFonts w:ascii="Times New Roman" w:eastAsia="SimSun" w:hAnsi="Times New Roman" w:cs="Times New Roman"/>
      <w:sz w:val="21"/>
      <w:lang w:val="en-NZ" w:eastAsia="en-GB"/>
    </w:rPr>
  </w:style>
  <w:style w:type="character" w:customStyle="1" w:styleId="akn-p">
    <w:name w:val="akn-p"/>
    <w:basedOn w:val="DefaultParagraphFont"/>
    <w:rsid w:val="0090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AE2C-4F65-4796-BB26-43E225C8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Nyasha Katsenga</dc:creator>
  <cp:keywords/>
  <dc:description/>
  <cp:lastModifiedBy>Nyasha Katsenga</cp:lastModifiedBy>
  <cp:revision>3</cp:revision>
  <cp:lastPrinted>2022-08-19T07:10:00Z</cp:lastPrinted>
  <dcterms:created xsi:type="dcterms:W3CDTF">2022-08-22T03:53:00Z</dcterms:created>
  <dcterms:modified xsi:type="dcterms:W3CDTF">2022-08-30T11:42:00Z</dcterms:modified>
</cp:coreProperties>
</file>