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D69C" w14:textId="77777777" w:rsidR="001D33D2" w:rsidRPr="004A2599" w:rsidRDefault="008D0CD6" w:rsidP="005B5D7A">
      <w:pPr>
        <w:tabs>
          <w:tab w:val="left" w:pos="4092"/>
        </w:tabs>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 THE COURT OF APPEAL OF SEYCHELLES</w:t>
      </w:r>
    </w:p>
    <w:p w14:paraId="4A60D824" w14:textId="77777777" w:rsidR="009539C2" w:rsidRPr="004A2599" w:rsidRDefault="009539C2" w:rsidP="005B5D7A">
      <w:pPr>
        <w:pBdr>
          <w:bottom w:val="single" w:sz="4" w:space="1" w:color="auto"/>
        </w:pBdr>
        <w:tabs>
          <w:tab w:val="left" w:pos="4092"/>
        </w:tabs>
        <w:spacing w:line="360" w:lineRule="auto"/>
        <w:jc w:val="center"/>
        <w:rPr>
          <w:rFonts w:ascii="Times New Roman" w:hAnsi="Times New Roman" w:cs="Times New Roman"/>
          <w:b/>
          <w:sz w:val="24"/>
          <w:szCs w:val="24"/>
        </w:rPr>
      </w:pPr>
    </w:p>
    <w:p w14:paraId="0050C322" w14:textId="77777777" w:rsidR="00ED0BFC" w:rsidRPr="00380619" w:rsidRDefault="00F45C16" w:rsidP="005B5D7A">
      <w:pPr>
        <w:spacing w:after="0" w:line="36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14:paraId="355AB1F7" w14:textId="43EC396C" w:rsidR="002E2AE3" w:rsidRPr="004A2599" w:rsidRDefault="008D0CD6" w:rsidP="005B5D7A">
      <w:pPr>
        <w:spacing w:after="0" w:line="360" w:lineRule="auto"/>
        <w:ind w:left="5580"/>
        <w:rPr>
          <w:rFonts w:ascii="Times New Roman" w:hAnsi="Times New Roman" w:cs="Times New Roman"/>
          <w:sz w:val="24"/>
          <w:szCs w:val="24"/>
        </w:rPr>
      </w:pPr>
      <w:r>
        <w:rPr>
          <w:rFonts w:ascii="Times New Roman" w:hAnsi="Times New Roman" w:cs="Times New Roman"/>
          <w:sz w:val="24"/>
          <w:szCs w:val="24"/>
        </w:rPr>
        <w:t>[20</w:t>
      </w:r>
      <w:r w:rsidR="00D874E5">
        <w:rPr>
          <w:rFonts w:ascii="Times New Roman" w:hAnsi="Times New Roman" w:cs="Times New Roman"/>
          <w:sz w:val="24"/>
          <w:szCs w:val="24"/>
        </w:rPr>
        <w:t>22]</w:t>
      </w:r>
      <w:r>
        <w:rPr>
          <w:rFonts w:ascii="Times New Roman" w:hAnsi="Times New Roman" w:cs="Times New Roman"/>
          <w:sz w:val="24"/>
          <w:szCs w:val="24"/>
        </w:rPr>
        <w:t xml:space="preserve"> SC</w:t>
      </w:r>
      <w:r w:rsidR="00BC73B1">
        <w:rPr>
          <w:rFonts w:ascii="Times New Roman" w:hAnsi="Times New Roman" w:cs="Times New Roman"/>
          <w:sz w:val="24"/>
          <w:szCs w:val="24"/>
        </w:rPr>
        <w:t>C</w:t>
      </w:r>
      <w:r>
        <w:rPr>
          <w:rFonts w:ascii="Times New Roman" w:hAnsi="Times New Roman" w:cs="Times New Roman"/>
          <w:sz w:val="24"/>
          <w:szCs w:val="24"/>
        </w:rPr>
        <w:t>A</w:t>
      </w:r>
      <w:r w:rsidR="00C466E8">
        <w:rPr>
          <w:rFonts w:ascii="Times New Roman" w:hAnsi="Times New Roman" w:cs="Times New Roman"/>
          <w:sz w:val="24"/>
          <w:szCs w:val="24"/>
        </w:rPr>
        <w:t xml:space="preserve"> 63</w:t>
      </w:r>
      <w:r w:rsidR="00D874E5">
        <w:rPr>
          <w:rFonts w:ascii="Times New Roman" w:hAnsi="Times New Roman" w:cs="Times New Roman"/>
          <w:sz w:val="24"/>
          <w:szCs w:val="24"/>
        </w:rPr>
        <w:t xml:space="preserve"> (</w:t>
      </w:r>
      <w:r w:rsidR="00690A6E">
        <w:rPr>
          <w:rFonts w:ascii="Times New Roman" w:hAnsi="Times New Roman" w:cs="Times New Roman"/>
          <w:sz w:val="24"/>
          <w:szCs w:val="24"/>
        </w:rPr>
        <w:t>1</w:t>
      </w:r>
      <w:r w:rsidR="00BC0300">
        <w:rPr>
          <w:rFonts w:ascii="Times New Roman" w:hAnsi="Times New Roman" w:cs="Times New Roman"/>
          <w:sz w:val="24"/>
          <w:szCs w:val="24"/>
        </w:rPr>
        <w:t>6</w:t>
      </w:r>
      <w:r w:rsidR="00690A6E">
        <w:rPr>
          <w:rFonts w:ascii="Times New Roman" w:hAnsi="Times New Roman" w:cs="Times New Roman"/>
          <w:sz w:val="24"/>
          <w:szCs w:val="24"/>
        </w:rPr>
        <w:t xml:space="preserve"> December</w:t>
      </w:r>
      <w:r w:rsidR="00D874E5">
        <w:rPr>
          <w:rFonts w:ascii="Times New Roman" w:hAnsi="Times New Roman" w:cs="Times New Roman"/>
          <w:sz w:val="24"/>
          <w:szCs w:val="24"/>
        </w:rPr>
        <w:t xml:space="preserve"> 2022)</w:t>
      </w:r>
    </w:p>
    <w:p w14:paraId="736A1690" w14:textId="5577067D" w:rsidR="002E2AE3" w:rsidRPr="004A2599" w:rsidRDefault="00D874E5" w:rsidP="005B5D7A">
      <w:pPr>
        <w:spacing w:after="0" w:line="360" w:lineRule="auto"/>
        <w:ind w:left="5580"/>
        <w:rPr>
          <w:rFonts w:ascii="Times New Roman" w:hAnsi="Times New Roman" w:cs="Times New Roman"/>
          <w:sz w:val="24"/>
          <w:szCs w:val="24"/>
        </w:rPr>
      </w:pPr>
      <w:r>
        <w:rPr>
          <w:rFonts w:ascii="Times New Roman" w:hAnsi="Times New Roman" w:cs="Times New Roman"/>
          <w:sz w:val="24"/>
          <w:szCs w:val="24"/>
        </w:rPr>
        <w:t xml:space="preserve">SCA </w:t>
      </w:r>
      <w:r w:rsidR="008A731B">
        <w:rPr>
          <w:rFonts w:ascii="Times New Roman" w:hAnsi="Times New Roman" w:cs="Times New Roman"/>
          <w:sz w:val="24"/>
          <w:szCs w:val="24"/>
        </w:rPr>
        <w:t>41</w:t>
      </w:r>
      <w:r>
        <w:rPr>
          <w:rFonts w:ascii="Times New Roman" w:hAnsi="Times New Roman" w:cs="Times New Roman"/>
          <w:sz w:val="24"/>
          <w:szCs w:val="24"/>
        </w:rPr>
        <w:t>/202</w:t>
      </w:r>
      <w:r w:rsidR="008A731B">
        <w:rPr>
          <w:rFonts w:ascii="Times New Roman" w:hAnsi="Times New Roman" w:cs="Times New Roman"/>
          <w:sz w:val="24"/>
          <w:szCs w:val="24"/>
        </w:rPr>
        <w:t>0</w:t>
      </w:r>
    </w:p>
    <w:p w14:paraId="47F085A1" w14:textId="7103C609" w:rsidR="002E2AE3" w:rsidRDefault="002E2AE3" w:rsidP="005B5D7A">
      <w:pPr>
        <w:spacing w:after="0" w:line="36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8A731B">
        <w:rPr>
          <w:rFonts w:ascii="Times New Roman" w:hAnsi="Times New Roman" w:cs="Times New Roman"/>
          <w:sz w:val="24"/>
          <w:szCs w:val="24"/>
        </w:rPr>
        <w:t>MA 356</w:t>
      </w:r>
      <w:r w:rsidR="0006084B">
        <w:rPr>
          <w:rFonts w:ascii="Times New Roman" w:hAnsi="Times New Roman" w:cs="Times New Roman"/>
          <w:sz w:val="24"/>
          <w:szCs w:val="24"/>
        </w:rPr>
        <w:t>/20</w:t>
      </w:r>
      <w:r w:rsidR="008A731B">
        <w:rPr>
          <w:rFonts w:ascii="Times New Roman" w:hAnsi="Times New Roman" w:cs="Times New Roman"/>
          <w:sz w:val="24"/>
          <w:szCs w:val="24"/>
        </w:rPr>
        <w:t>16</w:t>
      </w:r>
      <w:r w:rsidR="00D874E5">
        <w:rPr>
          <w:rFonts w:ascii="Times New Roman" w:hAnsi="Times New Roman" w:cs="Times New Roman"/>
          <w:sz w:val="24"/>
          <w:szCs w:val="24"/>
        </w:rPr>
        <w:t>)</w:t>
      </w:r>
    </w:p>
    <w:p w14:paraId="38D14779" w14:textId="47DC3818" w:rsidR="008A731B" w:rsidRPr="004A2599" w:rsidRDefault="008A731B" w:rsidP="005B5D7A">
      <w:pPr>
        <w:spacing w:after="0" w:line="360" w:lineRule="auto"/>
        <w:ind w:left="5580"/>
        <w:rPr>
          <w:rFonts w:ascii="Times New Roman" w:hAnsi="Times New Roman" w:cs="Times New Roman"/>
          <w:sz w:val="24"/>
          <w:szCs w:val="24"/>
        </w:rPr>
      </w:pPr>
      <w:r>
        <w:rPr>
          <w:rFonts w:ascii="Times New Roman" w:hAnsi="Times New Roman" w:cs="Times New Roman"/>
          <w:sz w:val="24"/>
          <w:szCs w:val="24"/>
        </w:rPr>
        <w:t>Arising out of MC 62/2016</w:t>
      </w:r>
    </w:p>
    <w:p w14:paraId="3B12C531" w14:textId="77777777" w:rsidR="002D4EB8" w:rsidRPr="004A2599" w:rsidRDefault="002D4EB8" w:rsidP="008A731B">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1C3E6F26" w14:textId="77777777" w:rsidR="008A731B" w:rsidRDefault="008A731B" w:rsidP="008A731B">
      <w:pPr>
        <w:pStyle w:val="Partynames"/>
      </w:pPr>
      <w:r>
        <w:t>Radomir Prus</w:t>
      </w:r>
    </w:p>
    <w:p w14:paraId="04E18328" w14:textId="77777777" w:rsidR="008A731B" w:rsidRDefault="008A731B" w:rsidP="008A731B">
      <w:pPr>
        <w:pStyle w:val="Partynames"/>
      </w:pPr>
      <w:r>
        <w:t>Sandra Prus</w:t>
      </w:r>
    </w:p>
    <w:p w14:paraId="3E378CA8" w14:textId="77777777" w:rsidR="008A731B" w:rsidRDefault="008A731B" w:rsidP="008A731B">
      <w:pPr>
        <w:pStyle w:val="Partynames"/>
      </w:pPr>
      <w:r>
        <w:t>Exelsior Dreams</w:t>
      </w:r>
    </w:p>
    <w:p w14:paraId="5A23BF57" w14:textId="39F386B8" w:rsidR="002E2AE3" w:rsidRPr="00214DB4" w:rsidRDefault="008A731B" w:rsidP="00417519">
      <w:pPr>
        <w:pStyle w:val="Partynames"/>
        <w:tabs>
          <w:tab w:val="left" w:pos="5490"/>
        </w:tabs>
      </w:pPr>
      <w:r>
        <w:t>Free Sun Limited</w:t>
      </w:r>
      <w:r w:rsidR="0006084B">
        <w:tab/>
      </w:r>
      <w:r w:rsidR="00417519">
        <w:tab/>
      </w:r>
      <w:r w:rsidR="007B1F36">
        <w:t>Appellant</w:t>
      </w:r>
      <w:r>
        <w:t>s</w:t>
      </w:r>
    </w:p>
    <w:p w14:paraId="287064F1" w14:textId="3486B60F" w:rsidR="002E2AE3" w:rsidRPr="00214DB4" w:rsidRDefault="002E2AE3" w:rsidP="008A731B">
      <w:pPr>
        <w:pStyle w:val="Attorneysnames"/>
      </w:pPr>
      <w:r w:rsidRPr="00214DB4">
        <w:t xml:space="preserve">(rep. by </w:t>
      </w:r>
      <w:r w:rsidR="00D874E5">
        <w:t>M</w:t>
      </w:r>
      <w:r w:rsidR="00690A6E">
        <w:t xml:space="preserve">r. </w:t>
      </w:r>
      <w:r w:rsidR="008A731B">
        <w:t>Guy Ferley</w:t>
      </w:r>
      <w:r w:rsidR="0006084B">
        <w:t>)</w:t>
      </w:r>
    </w:p>
    <w:p w14:paraId="7ADD4072" w14:textId="77777777" w:rsidR="00380619" w:rsidRPr="004A2599" w:rsidRDefault="00380619" w:rsidP="005B5D7A">
      <w:pPr>
        <w:tabs>
          <w:tab w:val="left" w:pos="540"/>
          <w:tab w:val="left" w:pos="4092"/>
          <w:tab w:val="left" w:pos="5580"/>
        </w:tabs>
        <w:spacing w:after="0" w:line="360" w:lineRule="auto"/>
        <w:rPr>
          <w:rFonts w:ascii="Times New Roman" w:hAnsi="Times New Roman" w:cs="Times New Roman"/>
          <w:sz w:val="24"/>
          <w:szCs w:val="24"/>
        </w:rPr>
      </w:pPr>
    </w:p>
    <w:p w14:paraId="14FE5FE2" w14:textId="77777777" w:rsidR="009539C2" w:rsidRPr="004A2599" w:rsidRDefault="002D4EB8" w:rsidP="005B5D7A">
      <w:pPr>
        <w:tabs>
          <w:tab w:val="left" w:pos="540"/>
          <w:tab w:val="left" w:pos="4092"/>
          <w:tab w:val="left" w:pos="5580"/>
        </w:tabs>
        <w:spacing w:after="0" w:line="360" w:lineRule="auto"/>
        <w:rPr>
          <w:rFonts w:ascii="Times New Roman" w:hAnsi="Times New Roman" w:cs="Times New Roman"/>
          <w:sz w:val="24"/>
          <w:szCs w:val="24"/>
        </w:rPr>
      </w:pPr>
      <w:r w:rsidRPr="004A2599">
        <w:rPr>
          <w:rFonts w:ascii="Times New Roman" w:hAnsi="Times New Roman" w:cs="Times New Roman"/>
          <w:sz w:val="24"/>
          <w:szCs w:val="24"/>
        </w:rPr>
        <w:t>and</w:t>
      </w:r>
    </w:p>
    <w:p w14:paraId="7DB12E59" w14:textId="77777777" w:rsidR="00F33B83" w:rsidRDefault="00F33B83" w:rsidP="005B5D7A">
      <w:pPr>
        <w:tabs>
          <w:tab w:val="left" w:pos="540"/>
          <w:tab w:val="left" w:pos="5580"/>
          <w:tab w:val="left" w:pos="6480"/>
        </w:tabs>
        <w:spacing w:after="0" w:line="360" w:lineRule="auto"/>
        <w:rPr>
          <w:rFonts w:ascii="Times New Roman" w:hAnsi="Times New Roman" w:cs="Times New Roman"/>
          <w:b/>
          <w:sz w:val="24"/>
          <w:szCs w:val="24"/>
        </w:rPr>
      </w:pPr>
    </w:p>
    <w:p w14:paraId="114C16F4" w14:textId="72BD6661" w:rsidR="002E2AE3" w:rsidRPr="004A2599" w:rsidRDefault="00D874E5" w:rsidP="008A731B">
      <w:pPr>
        <w:pStyle w:val="Partynames"/>
      </w:pPr>
      <w:r>
        <w:t>The</w:t>
      </w:r>
      <w:r w:rsidR="008A731B">
        <w:t xml:space="preserve"> Government of Seychelles</w:t>
      </w:r>
      <w:r w:rsidR="002E2AE3" w:rsidRPr="004A2599">
        <w:tab/>
        <w:t>Respondent</w:t>
      </w:r>
    </w:p>
    <w:p w14:paraId="2F19439E" w14:textId="4B467BB7" w:rsidR="002E2AE3" w:rsidRDefault="002E2AE3" w:rsidP="008A731B">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E43BC4">
        <w:rPr>
          <w:rFonts w:ascii="Times New Roman" w:hAnsi="Times New Roman" w:cs="Times New Roman"/>
          <w:i/>
          <w:sz w:val="24"/>
          <w:szCs w:val="24"/>
        </w:rPr>
        <w:t>rep. by</w:t>
      </w:r>
      <w:r w:rsidR="008A731B">
        <w:rPr>
          <w:rFonts w:ascii="Times New Roman" w:hAnsi="Times New Roman" w:cs="Times New Roman"/>
          <w:i/>
          <w:sz w:val="24"/>
          <w:szCs w:val="24"/>
        </w:rPr>
        <w:t xml:space="preserve"> Ms. Nissa Thompson</w:t>
      </w:r>
      <w:r w:rsidRPr="004A2599">
        <w:rPr>
          <w:rFonts w:ascii="Times New Roman" w:hAnsi="Times New Roman" w:cs="Times New Roman"/>
          <w:i/>
          <w:sz w:val="24"/>
          <w:szCs w:val="24"/>
        </w:rPr>
        <w:t>)</w:t>
      </w:r>
    </w:p>
    <w:p w14:paraId="7743C7FB" w14:textId="77777777" w:rsidR="00BB1A3E" w:rsidRPr="00BB1A3E" w:rsidRDefault="00BB1A3E" w:rsidP="005B5D7A">
      <w:pPr>
        <w:pBdr>
          <w:bottom w:val="single" w:sz="4" w:space="1" w:color="auto"/>
        </w:pBdr>
        <w:tabs>
          <w:tab w:val="left" w:pos="540"/>
          <w:tab w:val="left" w:pos="5580"/>
        </w:tabs>
        <w:spacing w:after="0" w:line="360" w:lineRule="auto"/>
        <w:rPr>
          <w:rFonts w:ascii="Times New Roman" w:hAnsi="Times New Roman" w:cs="Times New Roman"/>
          <w:i/>
          <w:sz w:val="24"/>
          <w:szCs w:val="24"/>
        </w:rPr>
      </w:pPr>
    </w:p>
    <w:p w14:paraId="7E5BE23D" w14:textId="78C9F4B3" w:rsidR="0006084B" w:rsidRDefault="00405958" w:rsidP="000452BF">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8A731B">
        <w:rPr>
          <w:rFonts w:ascii="Times New Roman" w:hAnsi="Times New Roman" w:cs="Times New Roman"/>
          <w:i/>
          <w:sz w:val="24"/>
          <w:szCs w:val="24"/>
        </w:rPr>
        <w:t>Prus and Others</w:t>
      </w:r>
      <w:r w:rsidR="0006084B">
        <w:rPr>
          <w:rFonts w:ascii="Times New Roman" w:hAnsi="Times New Roman" w:cs="Times New Roman"/>
          <w:i/>
          <w:sz w:val="24"/>
          <w:szCs w:val="24"/>
        </w:rPr>
        <w:t xml:space="preserve"> v </w:t>
      </w:r>
      <w:r w:rsidR="008A731B">
        <w:rPr>
          <w:rFonts w:ascii="Times New Roman" w:hAnsi="Times New Roman" w:cs="Times New Roman"/>
          <w:i/>
          <w:sz w:val="24"/>
          <w:szCs w:val="24"/>
        </w:rPr>
        <w:t xml:space="preserve">The Government of Seychelles </w:t>
      </w:r>
      <w:r w:rsidR="008A731B">
        <w:rPr>
          <w:rFonts w:ascii="Times New Roman" w:hAnsi="Times New Roman" w:cs="Times New Roman"/>
          <w:sz w:val="24"/>
          <w:szCs w:val="24"/>
        </w:rPr>
        <w:br/>
        <w:t>SCA 41/</w:t>
      </w:r>
      <w:r w:rsidR="00D874E5">
        <w:rPr>
          <w:rFonts w:ascii="Times New Roman" w:hAnsi="Times New Roman" w:cs="Times New Roman"/>
          <w:sz w:val="24"/>
          <w:szCs w:val="24"/>
        </w:rPr>
        <w:t>202</w:t>
      </w:r>
      <w:r w:rsidR="008A731B">
        <w:rPr>
          <w:rFonts w:ascii="Times New Roman" w:hAnsi="Times New Roman" w:cs="Times New Roman"/>
          <w:sz w:val="24"/>
          <w:szCs w:val="24"/>
        </w:rPr>
        <w:t>0</w:t>
      </w:r>
      <w:r w:rsidR="00D874E5">
        <w:rPr>
          <w:rFonts w:ascii="Times New Roman" w:hAnsi="Times New Roman" w:cs="Times New Roman"/>
          <w:sz w:val="24"/>
          <w:szCs w:val="24"/>
        </w:rPr>
        <w:t xml:space="preserve">) [2022] </w:t>
      </w:r>
      <w:r w:rsidR="008A731B">
        <w:rPr>
          <w:rFonts w:ascii="Times New Roman" w:hAnsi="Times New Roman" w:cs="Times New Roman"/>
          <w:sz w:val="24"/>
          <w:szCs w:val="24"/>
        </w:rPr>
        <w:t xml:space="preserve">SCCA </w:t>
      </w:r>
      <w:r w:rsidR="00C466E8">
        <w:rPr>
          <w:rFonts w:ascii="Times New Roman" w:hAnsi="Times New Roman" w:cs="Times New Roman"/>
          <w:sz w:val="24"/>
          <w:szCs w:val="24"/>
        </w:rPr>
        <w:t>63</w:t>
      </w:r>
      <w:r w:rsidR="008A731B">
        <w:rPr>
          <w:rFonts w:ascii="Times New Roman" w:hAnsi="Times New Roman" w:cs="Times New Roman"/>
          <w:sz w:val="24"/>
          <w:szCs w:val="24"/>
        </w:rPr>
        <w:t xml:space="preserve"> </w:t>
      </w:r>
      <w:r w:rsidR="00D874E5">
        <w:rPr>
          <w:rFonts w:ascii="Times New Roman" w:hAnsi="Times New Roman" w:cs="Times New Roman"/>
          <w:sz w:val="24"/>
          <w:szCs w:val="24"/>
        </w:rPr>
        <w:t xml:space="preserve">(Arising in </w:t>
      </w:r>
      <w:r w:rsidR="008A731B">
        <w:rPr>
          <w:rFonts w:ascii="Times New Roman" w:hAnsi="Times New Roman" w:cs="Times New Roman"/>
          <w:sz w:val="24"/>
          <w:szCs w:val="24"/>
        </w:rPr>
        <w:t>MA 356/2019</w:t>
      </w:r>
      <w:r w:rsidR="00D874E5">
        <w:rPr>
          <w:rFonts w:ascii="Times New Roman" w:hAnsi="Times New Roman" w:cs="Times New Roman"/>
          <w:sz w:val="24"/>
          <w:szCs w:val="24"/>
        </w:rPr>
        <w:t>)</w:t>
      </w:r>
      <w:r w:rsidR="008A731B">
        <w:rPr>
          <w:rFonts w:ascii="Times New Roman" w:hAnsi="Times New Roman" w:cs="Times New Roman"/>
          <w:sz w:val="24"/>
          <w:szCs w:val="24"/>
        </w:rPr>
        <w:t xml:space="preserve"> Out of MC 62/2016</w:t>
      </w:r>
    </w:p>
    <w:p w14:paraId="26033A51" w14:textId="693BFE07" w:rsidR="00405958" w:rsidRPr="004A2599" w:rsidRDefault="00D874E5" w:rsidP="000452BF">
      <w:pPr>
        <w:spacing w:before="120" w:after="0" w:line="240" w:lineRule="auto"/>
        <w:ind w:left="1886" w:hanging="1886"/>
        <w:rPr>
          <w:rFonts w:ascii="Times New Roman" w:hAnsi="Times New Roman" w:cs="Times New Roman"/>
          <w:sz w:val="24"/>
          <w:szCs w:val="24"/>
        </w:rPr>
      </w:pPr>
      <w:r>
        <w:rPr>
          <w:rFonts w:ascii="Times New Roman" w:hAnsi="Times New Roman" w:cs="Times New Roman"/>
          <w:sz w:val="24"/>
          <w:szCs w:val="24"/>
        </w:rPr>
        <w:t xml:space="preserve"> </w:t>
      </w:r>
      <w:r w:rsidR="0006084B">
        <w:rPr>
          <w:rFonts w:ascii="Times New Roman" w:hAnsi="Times New Roman" w:cs="Times New Roman"/>
          <w:sz w:val="24"/>
          <w:szCs w:val="24"/>
        </w:rPr>
        <w:tab/>
      </w:r>
      <w:r>
        <w:rPr>
          <w:rFonts w:ascii="Times New Roman" w:hAnsi="Times New Roman" w:cs="Times New Roman"/>
          <w:sz w:val="24"/>
          <w:szCs w:val="24"/>
        </w:rPr>
        <w:t xml:space="preserve"> (</w:t>
      </w:r>
      <w:r w:rsidR="00B87F40">
        <w:rPr>
          <w:rFonts w:ascii="Times New Roman" w:hAnsi="Times New Roman" w:cs="Times New Roman"/>
          <w:sz w:val="24"/>
          <w:szCs w:val="24"/>
        </w:rPr>
        <w:t>1</w:t>
      </w:r>
      <w:r w:rsidR="00BC0300">
        <w:rPr>
          <w:rFonts w:ascii="Times New Roman" w:hAnsi="Times New Roman" w:cs="Times New Roman"/>
          <w:sz w:val="24"/>
          <w:szCs w:val="24"/>
        </w:rPr>
        <w:t>6</w:t>
      </w:r>
      <w:r w:rsidR="00B87F40">
        <w:rPr>
          <w:rFonts w:ascii="Times New Roman" w:hAnsi="Times New Roman" w:cs="Times New Roman"/>
          <w:sz w:val="24"/>
          <w:szCs w:val="24"/>
        </w:rPr>
        <w:t xml:space="preserve"> December</w:t>
      </w:r>
      <w:r>
        <w:rPr>
          <w:rFonts w:ascii="Times New Roman" w:hAnsi="Times New Roman" w:cs="Times New Roman"/>
          <w:sz w:val="24"/>
          <w:szCs w:val="24"/>
        </w:rPr>
        <w:t xml:space="preserve"> 2022)</w:t>
      </w:r>
    </w:p>
    <w:p w14:paraId="64E10E83" w14:textId="6762AB9E" w:rsidR="002E2AE3" w:rsidRDefault="009F125D" w:rsidP="000452BF">
      <w:pPr>
        <w:spacing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D0CD6" w:rsidRPr="00D874E5">
        <w:rPr>
          <w:rFonts w:ascii="Times New Roman" w:hAnsi="Times New Roman" w:cs="Times New Roman"/>
          <w:sz w:val="24"/>
          <w:szCs w:val="24"/>
        </w:rPr>
        <w:t>Fernando P</w:t>
      </w:r>
      <w:r w:rsidR="00D874E5" w:rsidRPr="00D874E5">
        <w:rPr>
          <w:rFonts w:ascii="Times New Roman" w:hAnsi="Times New Roman" w:cs="Times New Roman"/>
          <w:sz w:val="24"/>
          <w:szCs w:val="24"/>
        </w:rPr>
        <w:t>resident</w:t>
      </w:r>
      <w:r w:rsidR="008D0CD6" w:rsidRPr="00D874E5">
        <w:rPr>
          <w:rFonts w:ascii="Times New Roman" w:hAnsi="Times New Roman" w:cs="Times New Roman"/>
          <w:sz w:val="24"/>
          <w:szCs w:val="24"/>
        </w:rPr>
        <w:t>,</w:t>
      </w:r>
      <w:r w:rsidR="008D0CD6">
        <w:rPr>
          <w:rFonts w:ascii="Times New Roman" w:hAnsi="Times New Roman" w:cs="Times New Roman"/>
          <w:b/>
          <w:sz w:val="24"/>
          <w:szCs w:val="24"/>
        </w:rPr>
        <w:t xml:space="preserve"> </w:t>
      </w:r>
      <w:r w:rsidR="00D874E5">
        <w:rPr>
          <w:rFonts w:ascii="Times New Roman" w:hAnsi="Times New Roman" w:cs="Times New Roman"/>
          <w:sz w:val="24"/>
          <w:szCs w:val="24"/>
        </w:rPr>
        <w:t>Robinson JA</w:t>
      </w:r>
      <w:r w:rsidR="0006084B">
        <w:rPr>
          <w:rFonts w:ascii="Times New Roman" w:hAnsi="Times New Roman" w:cs="Times New Roman"/>
          <w:sz w:val="24"/>
          <w:szCs w:val="24"/>
        </w:rPr>
        <w:t xml:space="preserve">, </w:t>
      </w:r>
      <w:r w:rsidR="000452BF">
        <w:rPr>
          <w:rFonts w:ascii="Times New Roman" w:hAnsi="Times New Roman" w:cs="Times New Roman"/>
          <w:sz w:val="24"/>
          <w:szCs w:val="24"/>
        </w:rPr>
        <w:t>Andre</w:t>
      </w:r>
      <w:r w:rsidR="0006084B">
        <w:rPr>
          <w:rFonts w:ascii="Times New Roman" w:hAnsi="Times New Roman" w:cs="Times New Roman"/>
          <w:sz w:val="24"/>
          <w:szCs w:val="24"/>
        </w:rPr>
        <w:t xml:space="preserve"> JA</w:t>
      </w:r>
    </w:p>
    <w:p w14:paraId="28F6B6AC" w14:textId="7C64FAEC" w:rsidR="00344425" w:rsidRPr="0006084B" w:rsidRDefault="00346D7F" w:rsidP="000452BF">
      <w:pPr>
        <w:spacing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0452BF" w:rsidRPr="000452BF">
        <w:rPr>
          <w:rFonts w:ascii="Times New Roman" w:hAnsi="Times New Roman" w:cs="Times New Roman"/>
          <w:sz w:val="24"/>
          <w:szCs w:val="24"/>
        </w:rPr>
        <w:t>A</w:t>
      </w:r>
      <w:r w:rsidR="000452BF">
        <w:rPr>
          <w:rFonts w:ascii="Times New Roman" w:hAnsi="Times New Roman" w:cs="Times New Roman"/>
          <w:sz w:val="24"/>
          <w:szCs w:val="24"/>
        </w:rPr>
        <w:t>ppeal</w:t>
      </w:r>
      <w:r w:rsidR="000452BF" w:rsidRPr="000452BF">
        <w:rPr>
          <w:rFonts w:ascii="Times New Roman" w:hAnsi="Times New Roman" w:cs="Times New Roman"/>
          <w:sz w:val="24"/>
          <w:szCs w:val="24"/>
        </w:rPr>
        <w:t xml:space="preserve"> against the disposal order made by the Supreme Court pursuant to section 5 of </w:t>
      </w:r>
      <w:r w:rsidR="000452BF">
        <w:rPr>
          <w:rFonts w:ascii="Times New Roman" w:hAnsi="Times New Roman" w:cs="Times New Roman"/>
          <w:sz w:val="24"/>
          <w:szCs w:val="24"/>
        </w:rPr>
        <w:t>POCA</w:t>
      </w:r>
      <w:r w:rsidR="0006084B" w:rsidRPr="000452BF">
        <w:rPr>
          <w:rFonts w:ascii="Times New Roman" w:hAnsi="Times New Roman" w:cs="Times New Roman"/>
          <w:sz w:val="24"/>
          <w:szCs w:val="24"/>
        </w:rPr>
        <w:t>.</w:t>
      </w:r>
    </w:p>
    <w:p w14:paraId="1BCA9A5C" w14:textId="004A4BF2" w:rsidR="00344425" w:rsidRPr="005B12AA" w:rsidRDefault="00344425" w:rsidP="005B5D7A">
      <w:pPr>
        <w:tabs>
          <w:tab w:val="left" w:pos="720"/>
          <w:tab w:val="left" w:pos="1440"/>
          <w:tab w:val="left" w:pos="2160"/>
        </w:tabs>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CF569C">
        <w:rPr>
          <w:rFonts w:ascii="Times New Roman" w:hAnsi="Times New Roman" w:cs="Times New Roman"/>
          <w:sz w:val="24"/>
          <w:szCs w:val="24"/>
        </w:rPr>
        <w:t>1</w:t>
      </w:r>
      <w:r w:rsidR="000452BF">
        <w:rPr>
          <w:rFonts w:ascii="Times New Roman" w:hAnsi="Times New Roman" w:cs="Times New Roman"/>
          <w:sz w:val="24"/>
          <w:szCs w:val="24"/>
        </w:rPr>
        <w:t xml:space="preserve"> Decemb</w:t>
      </w:r>
      <w:r w:rsidR="00B87F40">
        <w:rPr>
          <w:rFonts w:ascii="Times New Roman" w:hAnsi="Times New Roman" w:cs="Times New Roman"/>
          <w:sz w:val="24"/>
          <w:szCs w:val="24"/>
        </w:rPr>
        <w:t>er</w:t>
      </w:r>
      <w:r w:rsidR="00D874E5">
        <w:rPr>
          <w:rFonts w:ascii="Times New Roman" w:hAnsi="Times New Roman" w:cs="Times New Roman"/>
          <w:sz w:val="24"/>
          <w:szCs w:val="24"/>
        </w:rPr>
        <w:t xml:space="preserve"> 2022</w:t>
      </w:r>
    </w:p>
    <w:p w14:paraId="469085E7" w14:textId="721DA0BB" w:rsidR="00344425" w:rsidRPr="00F33B83" w:rsidRDefault="00344425" w:rsidP="005B5D7A">
      <w:pPr>
        <w:pBdr>
          <w:bottom w:val="single" w:sz="4" w:space="1" w:color="auto"/>
        </w:pBdr>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87F40" w:rsidRPr="00B87F40">
        <w:rPr>
          <w:rFonts w:ascii="Times New Roman" w:hAnsi="Times New Roman" w:cs="Times New Roman"/>
          <w:sz w:val="24"/>
          <w:szCs w:val="24"/>
        </w:rPr>
        <w:t>1</w:t>
      </w:r>
      <w:r w:rsidR="00BC0300">
        <w:rPr>
          <w:rFonts w:ascii="Times New Roman" w:hAnsi="Times New Roman" w:cs="Times New Roman"/>
          <w:sz w:val="24"/>
          <w:szCs w:val="24"/>
        </w:rPr>
        <w:t>6</w:t>
      </w:r>
      <w:r w:rsidR="00B87F40" w:rsidRPr="00B87F40">
        <w:rPr>
          <w:rFonts w:ascii="Times New Roman" w:hAnsi="Times New Roman" w:cs="Times New Roman"/>
          <w:sz w:val="24"/>
          <w:szCs w:val="24"/>
        </w:rPr>
        <w:t xml:space="preserve"> De</w:t>
      </w:r>
      <w:r w:rsidR="00B87F40">
        <w:rPr>
          <w:rFonts w:ascii="Times New Roman" w:hAnsi="Times New Roman" w:cs="Times New Roman"/>
          <w:sz w:val="24"/>
          <w:szCs w:val="24"/>
        </w:rPr>
        <w:t>cember</w:t>
      </w:r>
      <w:r w:rsidR="00D874E5">
        <w:rPr>
          <w:rFonts w:ascii="Times New Roman" w:hAnsi="Times New Roman" w:cs="Times New Roman"/>
          <w:sz w:val="24"/>
          <w:szCs w:val="24"/>
        </w:rPr>
        <w:t xml:space="preserve"> 2022</w:t>
      </w:r>
    </w:p>
    <w:p w14:paraId="316DB786" w14:textId="15B2F04F" w:rsidR="00ED0BFC" w:rsidRPr="00AE7B0A" w:rsidRDefault="00CD5632" w:rsidP="005B5D7A">
      <w:pPr>
        <w:tabs>
          <w:tab w:val="left" w:pos="2892"/>
        </w:tabs>
        <w:spacing w:before="120" w:after="0" w:line="360"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47709280" w14:textId="2FDE0FE8" w:rsidR="00AE7B0A" w:rsidRPr="00AE7B0A" w:rsidRDefault="006830D0" w:rsidP="00AE7B0A">
      <w:pPr>
        <w:spacing w:line="240" w:lineRule="auto"/>
        <w:jc w:val="both"/>
        <w:rPr>
          <w:rFonts w:ascii="Times New Roman" w:hAnsi="Times New Roman" w:cs="Times New Roman"/>
          <w:sz w:val="24"/>
          <w:szCs w:val="24"/>
        </w:rPr>
      </w:pPr>
      <w:r w:rsidRPr="00AE7B0A">
        <w:rPr>
          <w:rFonts w:ascii="Times New Roman" w:hAnsi="Times New Roman" w:cs="Times New Roman"/>
          <w:sz w:val="24"/>
          <w:szCs w:val="24"/>
        </w:rPr>
        <w:t>Appeal</w:t>
      </w:r>
      <w:r w:rsidR="0006084B" w:rsidRPr="00AE7B0A">
        <w:rPr>
          <w:rFonts w:ascii="Times New Roman" w:hAnsi="Times New Roman" w:cs="Times New Roman"/>
          <w:sz w:val="24"/>
          <w:szCs w:val="24"/>
        </w:rPr>
        <w:t xml:space="preserve"> </w:t>
      </w:r>
      <w:r w:rsidR="000452BF" w:rsidRPr="00AE7B0A">
        <w:rPr>
          <w:rFonts w:ascii="Times New Roman" w:hAnsi="Times New Roman" w:cs="Times New Roman"/>
          <w:sz w:val="24"/>
          <w:szCs w:val="24"/>
        </w:rPr>
        <w:t>dismissed</w:t>
      </w:r>
      <w:r w:rsidR="00B87F40" w:rsidRPr="00AE7B0A">
        <w:rPr>
          <w:rFonts w:ascii="Times New Roman" w:hAnsi="Times New Roman" w:cs="Times New Roman"/>
          <w:sz w:val="24"/>
          <w:szCs w:val="24"/>
        </w:rPr>
        <w:t>.</w:t>
      </w:r>
    </w:p>
    <w:p w14:paraId="592669E4" w14:textId="6BF839EE" w:rsidR="00F33B83" w:rsidRPr="005C2955" w:rsidRDefault="005C2955" w:rsidP="00AE7B0A">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w:t>
      </w:r>
      <w:r w:rsidR="00AE7B0A">
        <w:rPr>
          <w:rFonts w:ascii="Times New Roman" w:hAnsi="Times New Roman" w:cs="Times New Roman"/>
          <w:sz w:val="24"/>
          <w:szCs w:val="24"/>
          <w:u w:val="single"/>
        </w:rPr>
        <w:t>_________________</w:t>
      </w:r>
      <w:r>
        <w:rPr>
          <w:rFonts w:ascii="Times New Roman" w:hAnsi="Times New Roman" w:cs="Times New Roman"/>
          <w:sz w:val="24"/>
          <w:szCs w:val="24"/>
          <w:u w:val="single"/>
        </w:rPr>
        <w:t>____</w:t>
      </w:r>
    </w:p>
    <w:p w14:paraId="0F3AF97E" w14:textId="77777777" w:rsidR="005C2955" w:rsidRDefault="005C2955" w:rsidP="005C2955">
      <w:pPr>
        <w:spacing w:before="120" w:after="120" w:line="360" w:lineRule="auto"/>
        <w:jc w:val="center"/>
        <w:rPr>
          <w:rFonts w:ascii="Times New Roman" w:hAnsi="Times New Roman" w:cs="Times New Roman"/>
          <w:b/>
          <w:sz w:val="24"/>
          <w:szCs w:val="24"/>
        </w:rPr>
      </w:pPr>
    </w:p>
    <w:p w14:paraId="50DD81A3" w14:textId="77777777" w:rsidR="00AE4B18" w:rsidRPr="00AE4B18" w:rsidRDefault="00AE4B18" w:rsidP="005B5D7A">
      <w:pPr>
        <w:pBdr>
          <w:top w:val="single" w:sz="4" w:space="1" w:color="auto"/>
          <w:bottom w:val="single" w:sz="4" w:space="1" w:color="auto"/>
        </w:pBdr>
        <w:spacing w:before="120" w:after="120" w:line="360" w:lineRule="auto"/>
        <w:jc w:val="center"/>
        <w:rPr>
          <w:rFonts w:ascii="Times New Roman" w:hAnsi="Times New Roman" w:cs="Times New Roman"/>
          <w:b/>
          <w:sz w:val="6"/>
          <w:szCs w:val="6"/>
        </w:rPr>
      </w:pPr>
    </w:p>
    <w:p w14:paraId="2B7FA8C1" w14:textId="2AB084A5" w:rsidR="00F33B83" w:rsidRDefault="0021402A" w:rsidP="005B5D7A">
      <w:pPr>
        <w:pBdr>
          <w:top w:val="single" w:sz="4" w:space="1" w:color="auto"/>
          <w:bottom w:val="single" w:sz="4" w:space="1" w:color="auto"/>
        </w:pBdr>
        <w:spacing w:before="120" w:after="120" w:line="36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5B79C436" w14:textId="77777777" w:rsidR="00AC4395" w:rsidRPr="00AC4395" w:rsidRDefault="00AC4395" w:rsidP="005B5D7A">
      <w:pPr>
        <w:pBdr>
          <w:top w:val="single" w:sz="4" w:space="1" w:color="auto"/>
          <w:bottom w:val="single" w:sz="4" w:space="1" w:color="auto"/>
        </w:pBdr>
        <w:spacing w:before="120" w:after="120" w:line="360" w:lineRule="auto"/>
        <w:jc w:val="center"/>
        <w:rPr>
          <w:rFonts w:ascii="Times New Roman" w:hAnsi="Times New Roman" w:cs="Times New Roman"/>
          <w:b/>
          <w:sz w:val="4"/>
          <w:szCs w:val="4"/>
        </w:rPr>
      </w:pPr>
    </w:p>
    <w:p w14:paraId="69692C1F" w14:textId="77777777" w:rsidR="00722761" w:rsidRPr="000452BF" w:rsidRDefault="00722761" w:rsidP="005B5D7A">
      <w:pPr>
        <w:spacing w:line="360" w:lineRule="auto"/>
        <w:rPr>
          <w:rFonts w:ascii="Times New Roman" w:hAnsi="Times New Roman" w:cs="Times New Roman"/>
          <w:sz w:val="26"/>
          <w:szCs w:val="26"/>
        </w:rPr>
      </w:pPr>
    </w:p>
    <w:p w14:paraId="02CE9FAB" w14:textId="16417A8F" w:rsidR="005B12AA" w:rsidRPr="000452BF" w:rsidRDefault="00D723EF" w:rsidP="005B5D7A">
      <w:pPr>
        <w:pStyle w:val="JudgmentText"/>
        <w:numPr>
          <w:ilvl w:val="0"/>
          <w:numId w:val="0"/>
        </w:numPr>
        <w:ind w:left="720" w:hanging="720"/>
        <w:rPr>
          <w:b/>
          <w:sz w:val="26"/>
          <w:szCs w:val="26"/>
        </w:rPr>
      </w:pPr>
      <w:r w:rsidRPr="000452BF">
        <w:rPr>
          <w:b/>
          <w:sz w:val="26"/>
          <w:szCs w:val="26"/>
        </w:rPr>
        <w:t>FERNANDO, PRESIDENT</w:t>
      </w:r>
    </w:p>
    <w:p w14:paraId="14B4B849" w14:textId="0342AFF3" w:rsidR="000452BF" w:rsidRPr="00992136" w:rsidRDefault="000452BF" w:rsidP="000452BF">
      <w:pPr>
        <w:pStyle w:val="ListParagraph"/>
        <w:numPr>
          <w:ilvl w:val="0"/>
          <w:numId w:val="20"/>
        </w:numPr>
        <w:jc w:val="both"/>
        <w:rPr>
          <w:rFonts w:ascii="Times New Roman" w:hAnsi="Times New Roman" w:cs="Times New Roman"/>
          <w:sz w:val="25"/>
          <w:szCs w:val="25"/>
        </w:rPr>
      </w:pPr>
      <w:r w:rsidRPr="00992136">
        <w:rPr>
          <w:rFonts w:ascii="Times New Roman" w:hAnsi="Times New Roman" w:cs="Times New Roman"/>
          <w:sz w:val="25"/>
          <w:szCs w:val="25"/>
        </w:rPr>
        <w:t>The Appellants have appealed against the disposal order made</w:t>
      </w:r>
      <w:r w:rsidR="00FC0F56">
        <w:rPr>
          <w:rFonts w:ascii="Times New Roman" w:hAnsi="Times New Roman" w:cs="Times New Roman"/>
          <w:sz w:val="25"/>
          <w:szCs w:val="25"/>
        </w:rPr>
        <w:t xml:space="preserve"> on </w:t>
      </w:r>
      <w:r w:rsidR="00FC0F56" w:rsidRPr="00B967D7">
        <w:rPr>
          <w:rFonts w:ascii="Times New Roman" w:hAnsi="Times New Roman" w:cs="Times New Roman"/>
          <w:sz w:val="25"/>
          <w:szCs w:val="25"/>
        </w:rPr>
        <w:t>14 September 2020,</w:t>
      </w:r>
      <w:r w:rsidR="007F73F3" w:rsidRPr="00B967D7">
        <w:rPr>
          <w:rFonts w:ascii="Times New Roman" w:hAnsi="Times New Roman" w:cs="Times New Roman"/>
          <w:sz w:val="25"/>
          <w:szCs w:val="25"/>
        </w:rPr>
        <w:t xml:space="preserve"> </w:t>
      </w:r>
      <w:r w:rsidR="007F73F3" w:rsidRPr="00992136">
        <w:rPr>
          <w:rFonts w:ascii="Times New Roman" w:hAnsi="Times New Roman" w:cs="Times New Roman"/>
          <w:sz w:val="25"/>
          <w:szCs w:val="25"/>
        </w:rPr>
        <w:t>by the Supreme Court pursuant to section 5 of the Proceeds of Crime (Civil Confiscation) Act 2008 (he</w:t>
      </w:r>
      <w:r w:rsidR="007F73F3">
        <w:rPr>
          <w:rFonts w:ascii="Times New Roman" w:hAnsi="Times New Roman" w:cs="Times New Roman"/>
          <w:sz w:val="25"/>
          <w:szCs w:val="25"/>
        </w:rPr>
        <w:t xml:space="preserve">reinafter referred to as POCA), </w:t>
      </w:r>
      <w:r w:rsidR="00E146D5" w:rsidRPr="00992136">
        <w:rPr>
          <w:rFonts w:ascii="Times New Roman" w:hAnsi="Times New Roman" w:cs="Times New Roman"/>
          <w:sz w:val="25"/>
          <w:szCs w:val="25"/>
        </w:rPr>
        <w:t>on an application</w:t>
      </w:r>
      <w:r w:rsidR="0019569C">
        <w:rPr>
          <w:rFonts w:ascii="Times New Roman" w:hAnsi="Times New Roman" w:cs="Times New Roman"/>
          <w:sz w:val="25"/>
          <w:szCs w:val="25"/>
        </w:rPr>
        <w:t xml:space="preserve"> dated 13 November 2019</w:t>
      </w:r>
      <w:r w:rsidR="00E146D5" w:rsidRPr="00B967D7">
        <w:rPr>
          <w:rFonts w:ascii="Times New Roman" w:hAnsi="Times New Roman" w:cs="Times New Roman"/>
          <w:sz w:val="25"/>
          <w:szCs w:val="25"/>
        </w:rPr>
        <w:t xml:space="preserve"> </w:t>
      </w:r>
      <w:r w:rsidR="00E146D5" w:rsidRPr="00992136">
        <w:rPr>
          <w:rFonts w:ascii="Times New Roman" w:hAnsi="Times New Roman" w:cs="Times New Roman"/>
          <w:sz w:val="25"/>
          <w:szCs w:val="25"/>
        </w:rPr>
        <w:t>by the Government,</w:t>
      </w:r>
      <w:r w:rsidRPr="00992136">
        <w:rPr>
          <w:rFonts w:ascii="Times New Roman" w:hAnsi="Times New Roman" w:cs="Times New Roman"/>
          <w:sz w:val="25"/>
          <w:szCs w:val="25"/>
        </w:rPr>
        <w:t xml:space="preserve"> of the specified property of the Appellants, namely the four bedroom ‘Maison</w:t>
      </w:r>
      <w:r w:rsidR="00FC0F56">
        <w:rPr>
          <w:rFonts w:ascii="Times New Roman" w:hAnsi="Times New Roman" w:cs="Times New Roman"/>
          <w:sz w:val="25"/>
          <w:szCs w:val="25"/>
        </w:rPr>
        <w:t>’ on parcel number 72,</w:t>
      </w:r>
      <w:r w:rsidRPr="00992136">
        <w:rPr>
          <w:rFonts w:ascii="Times New Roman" w:hAnsi="Times New Roman" w:cs="Times New Roman"/>
          <w:sz w:val="25"/>
          <w:szCs w:val="25"/>
        </w:rPr>
        <w:t xml:space="preserve"> situate</w:t>
      </w:r>
      <w:r w:rsidR="004E71F1">
        <w:rPr>
          <w:rFonts w:ascii="Times New Roman" w:hAnsi="Times New Roman" w:cs="Times New Roman"/>
          <w:sz w:val="25"/>
          <w:szCs w:val="25"/>
        </w:rPr>
        <w:t>d</w:t>
      </w:r>
      <w:r w:rsidRPr="00992136">
        <w:rPr>
          <w:rFonts w:ascii="Times New Roman" w:hAnsi="Times New Roman" w:cs="Times New Roman"/>
          <w:sz w:val="25"/>
          <w:szCs w:val="25"/>
        </w:rPr>
        <w:t xml:space="preserve"> on Eden Island and the 28.8-meter</w:t>
      </w:r>
      <w:r w:rsidR="004E71F1">
        <w:rPr>
          <w:rFonts w:ascii="Times New Roman" w:hAnsi="Times New Roman" w:cs="Times New Roman"/>
          <w:sz w:val="25"/>
          <w:szCs w:val="25"/>
        </w:rPr>
        <w:t xml:space="preserve"> long motor</w:t>
      </w:r>
      <w:r w:rsidRPr="00992136">
        <w:rPr>
          <w:rFonts w:ascii="Times New Roman" w:hAnsi="Times New Roman" w:cs="Times New Roman"/>
          <w:sz w:val="25"/>
          <w:szCs w:val="25"/>
        </w:rPr>
        <w:t xml:space="preserve"> yacht,</w:t>
      </w:r>
      <w:r w:rsidR="004E71F1">
        <w:rPr>
          <w:rFonts w:ascii="Times New Roman" w:hAnsi="Times New Roman" w:cs="Times New Roman"/>
          <w:sz w:val="25"/>
          <w:szCs w:val="25"/>
        </w:rPr>
        <w:t xml:space="preserve"> named</w:t>
      </w:r>
      <w:r w:rsidRPr="00992136">
        <w:rPr>
          <w:rFonts w:ascii="Times New Roman" w:hAnsi="Times New Roman" w:cs="Times New Roman"/>
          <w:sz w:val="25"/>
          <w:szCs w:val="25"/>
        </w:rPr>
        <w:t xml:space="preserve"> ‘Dream Angel’ moored at Eden Island Marina.</w:t>
      </w:r>
    </w:p>
    <w:p w14:paraId="740E862F" w14:textId="77777777" w:rsidR="000452BF" w:rsidRPr="00992136" w:rsidRDefault="000452BF" w:rsidP="000452BF">
      <w:pPr>
        <w:pStyle w:val="ListParagraph"/>
        <w:jc w:val="both"/>
        <w:rPr>
          <w:rFonts w:ascii="Times New Roman" w:hAnsi="Times New Roman" w:cs="Times New Roman"/>
          <w:sz w:val="25"/>
          <w:szCs w:val="25"/>
        </w:rPr>
      </w:pPr>
    </w:p>
    <w:p w14:paraId="1836285B" w14:textId="1A71AF17" w:rsidR="005C5B5C" w:rsidRDefault="000452BF" w:rsidP="005C5B5C">
      <w:pPr>
        <w:pStyle w:val="ListParagraph"/>
        <w:numPr>
          <w:ilvl w:val="0"/>
          <w:numId w:val="20"/>
        </w:numPr>
        <w:jc w:val="both"/>
        <w:rPr>
          <w:rFonts w:ascii="Times New Roman" w:hAnsi="Times New Roman" w:cs="Times New Roman"/>
          <w:sz w:val="25"/>
          <w:szCs w:val="25"/>
        </w:rPr>
      </w:pPr>
      <w:r w:rsidRPr="00992136">
        <w:rPr>
          <w:rFonts w:ascii="Times New Roman" w:hAnsi="Times New Roman" w:cs="Times New Roman"/>
          <w:sz w:val="25"/>
          <w:szCs w:val="25"/>
        </w:rPr>
        <w:t xml:space="preserve">The disposal order had been made 12 months after the interlocutory order made under section </w:t>
      </w:r>
      <w:r w:rsidRPr="00B967D7">
        <w:rPr>
          <w:rFonts w:ascii="Times New Roman" w:hAnsi="Times New Roman" w:cs="Times New Roman"/>
          <w:sz w:val="25"/>
          <w:szCs w:val="25"/>
        </w:rPr>
        <w:t>4</w:t>
      </w:r>
      <w:r w:rsidR="0019569C">
        <w:rPr>
          <w:rFonts w:ascii="Times New Roman" w:hAnsi="Times New Roman" w:cs="Times New Roman"/>
          <w:sz w:val="25"/>
          <w:szCs w:val="25"/>
        </w:rPr>
        <w:t xml:space="preserve"> on 15 November 2017</w:t>
      </w:r>
      <w:r w:rsidRPr="00B967D7">
        <w:rPr>
          <w:rFonts w:ascii="Times New Roman" w:hAnsi="Times New Roman" w:cs="Times New Roman"/>
          <w:sz w:val="25"/>
          <w:szCs w:val="25"/>
        </w:rPr>
        <w:t xml:space="preserve"> </w:t>
      </w:r>
      <w:r w:rsidRPr="00992136">
        <w:rPr>
          <w:rFonts w:ascii="Times New Roman" w:hAnsi="Times New Roman" w:cs="Times New Roman"/>
          <w:sz w:val="25"/>
          <w:szCs w:val="25"/>
        </w:rPr>
        <w:t>and the dismissal of the set aside application</w:t>
      </w:r>
      <w:r w:rsidR="00CF6227">
        <w:rPr>
          <w:rFonts w:ascii="Times New Roman" w:hAnsi="Times New Roman" w:cs="Times New Roman"/>
          <w:sz w:val="25"/>
          <w:szCs w:val="25"/>
        </w:rPr>
        <w:t xml:space="preserve"> </w:t>
      </w:r>
      <w:r w:rsidR="00CF6227" w:rsidRPr="00B967D7">
        <w:rPr>
          <w:rFonts w:ascii="Times New Roman" w:hAnsi="Times New Roman" w:cs="Times New Roman"/>
          <w:sz w:val="25"/>
          <w:szCs w:val="25"/>
        </w:rPr>
        <w:t>on 8 July 2019</w:t>
      </w:r>
      <w:r w:rsidRPr="00992136">
        <w:rPr>
          <w:rFonts w:ascii="Times New Roman" w:hAnsi="Times New Roman" w:cs="Times New Roman"/>
          <w:sz w:val="25"/>
          <w:szCs w:val="25"/>
        </w:rPr>
        <w:t>. At the time of the application pursuant to section 5 of POCA there had been no application pending under section 4(3) of POCA for the discharge of the interlocutory order before the Supreme Court in respect of the specified property nor was there any appeal pending before this Court.</w:t>
      </w:r>
    </w:p>
    <w:p w14:paraId="3E0E07D9" w14:textId="77777777" w:rsidR="005C5B5C" w:rsidRPr="005C5B5C" w:rsidRDefault="005C5B5C" w:rsidP="005C5B5C">
      <w:pPr>
        <w:pStyle w:val="ListParagraph"/>
        <w:rPr>
          <w:rFonts w:ascii="Times New Roman" w:hAnsi="Times New Roman" w:cs="Times New Roman"/>
          <w:sz w:val="25"/>
          <w:szCs w:val="25"/>
        </w:rPr>
      </w:pPr>
    </w:p>
    <w:p w14:paraId="18B468CF" w14:textId="6830E42C" w:rsidR="00C005BF" w:rsidRDefault="005C5B5C" w:rsidP="00900983">
      <w:pPr>
        <w:pStyle w:val="ListParagraph"/>
        <w:numPr>
          <w:ilvl w:val="0"/>
          <w:numId w:val="20"/>
        </w:numPr>
        <w:jc w:val="both"/>
        <w:rPr>
          <w:rFonts w:ascii="Times New Roman" w:hAnsi="Times New Roman" w:cs="Times New Roman"/>
          <w:sz w:val="25"/>
          <w:szCs w:val="25"/>
        </w:rPr>
      </w:pPr>
      <w:r w:rsidRPr="00E47C38">
        <w:rPr>
          <w:rFonts w:ascii="Times New Roman" w:hAnsi="Times New Roman" w:cs="Times New Roman"/>
          <w:b/>
          <w:sz w:val="25"/>
          <w:szCs w:val="25"/>
        </w:rPr>
        <w:t>Section 5(1) of POCA</w:t>
      </w:r>
      <w:r w:rsidRPr="005C5B5C">
        <w:rPr>
          <w:rFonts w:ascii="Times New Roman" w:hAnsi="Times New Roman" w:cs="Times New Roman"/>
          <w:sz w:val="25"/>
          <w:szCs w:val="25"/>
        </w:rPr>
        <w:t xml:space="preserve"> states: “</w:t>
      </w:r>
      <w:r w:rsidRPr="00BB3990">
        <w:rPr>
          <w:rFonts w:ascii="Times New Roman" w:hAnsi="Times New Roman" w:cs="Times New Roman"/>
          <w:i/>
          <w:sz w:val="25"/>
          <w:szCs w:val="25"/>
        </w:rPr>
        <w:t xml:space="preserve">Subject to subsection (2), </w:t>
      </w:r>
      <w:r w:rsidRPr="00FC0F56">
        <w:rPr>
          <w:rFonts w:ascii="Times New Roman" w:hAnsi="Times New Roman" w:cs="Times New Roman"/>
          <w:i/>
          <w:sz w:val="25"/>
          <w:szCs w:val="25"/>
          <w:u w:val="single"/>
        </w:rPr>
        <w:t>where an </w:t>
      </w:r>
      <w:hyperlink r:id="rId7" w:anchor="defn-term-interlocutory_order" w:history="1">
        <w:r w:rsidRPr="00FC0F56">
          <w:rPr>
            <w:rFonts w:ascii="Times New Roman" w:hAnsi="Times New Roman" w:cs="Times New Roman"/>
            <w:i/>
            <w:sz w:val="25"/>
            <w:szCs w:val="25"/>
            <w:u w:val="single"/>
          </w:rPr>
          <w:t>interlocutory order</w:t>
        </w:r>
      </w:hyperlink>
      <w:r w:rsidRPr="00FC0F56">
        <w:rPr>
          <w:rFonts w:ascii="Times New Roman" w:hAnsi="Times New Roman" w:cs="Times New Roman"/>
          <w:i/>
          <w:sz w:val="25"/>
          <w:szCs w:val="25"/>
          <w:u w:val="single"/>
        </w:rPr>
        <w:t> has been in force for not less than 12 months in relation to </w:t>
      </w:r>
      <w:hyperlink r:id="rId8" w:anchor="defn-term-specified_property" w:history="1">
        <w:r w:rsidRPr="00FC0F56">
          <w:rPr>
            <w:rFonts w:ascii="Times New Roman" w:hAnsi="Times New Roman" w:cs="Times New Roman"/>
            <w:i/>
            <w:sz w:val="25"/>
            <w:szCs w:val="25"/>
            <w:u w:val="single"/>
          </w:rPr>
          <w:t>specified property</w:t>
        </w:r>
      </w:hyperlink>
      <w:r w:rsidRPr="00FC0F56">
        <w:rPr>
          <w:rFonts w:ascii="Times New Roman" w:hAnsi="Times New Roman" w:cs="Times New Roman"/>
          <w:i/>
          <w:sz w:val="25"/>
          <w:szCs w:val="25"/>
          <w:u w:val="single"/>
        </w:rPr>
        <w:t> and there is no appeal pending before Court in respect of the </w:t>
      </w:r>
      <w:hyperlink r:id="rId9" w:anchor="defn-term-interlocutory_order" w:history="1">
        <w:r w:rsidRPr="00FC0F56">
          <w:rPr>
            <w:rFonts w:ascii="Times New Roman" w:hAnsi="Times New Roman" w:cs="Times New Roman"/>
            <w:i/>
            <w:sz w:val="25"/>
            <w:szCs w:val="25"/>
            <w:u w:val="single"/>
          </w:rPr>
          <w:t>interlocutory order</w:t>
        </w:r>
      </w:hyperlink>
      <w:r w:rsidRPr="00FC0F56">
        <w:rPr>
          <w:rFonts w:ascii="Times New Roman" w:hAnsi="Times New Roman" w:cs="Times New Roman"/>
          <w:i/>
          <w:sz w:val="25"/>
          <w:szCs w:val="25"/>
          <w:u w:val="single"/>
        </w:rPr>
        <w:t>, the Court, on application to it in that behalf by the </w:t>
      </w:r>
      <w:hyperlink r:id="rId10" w:anchor="defn-term-applicant" w:history="1">
        <w:r w:rsidRPr="00FC0F56">
          <w:rPr>
            <w:rFonts w:ascii="Times New Roman" w:hAnsi="Times New Roman" w:cs="Times New Roman"/>
            <w:i/>
            <w:sz w:val="25"/>
            <w:szCs w:val="25"/>
            <w:u w:val="single"/>
          </w:rPr>
          <w:t>applicant</w:t>
        </w:r>
      </w:hyperlink>
      <w:r w:rsidRPr="00FC0F56">
        <w:rPr>
          <w:rFonts w:ascii="Times New Roman" w:hAnsi="Times New Roman" w:cs="Times New Roman"/>
          <w:i/>
          <w:sz w:val="25"/>
          <w:szCs w:val="25"/>
          <w:u w:val="single"/>
        </w:rPr>
        <w:t>, may make a </w:t>
      </w:r>
      <w:hyperlink r:id="rId11" w:anchor="defn-term-disposal_order" w:history="1">
        <w:r w:rsidRPr="00FC0F56">
          <w:rPr>
            <w:rFonts w:ascii="Times New Roman" w:hAnsi="Times New Roman" w:cs="Times New Roman"/>
            <w:i/>
            <w:sz w:val="25"/>
            <w:szCs w:val="25"/>
            <w:u w:val="single"/>
          </w:rPr>
          <w:t>disposal order</w:t>
        </w:r>
      </w:hyperlink>
      <w:r w:rsidRPr="00BB3990">
        <w:rPr>
          <w:rFonts w:ascii="Times New Roman" w:hAnsi="Times New Roman" w:cs="Times New Roman"/>
          <w:i/>
          <w:sz w:val="25"/>
          <w:szCs w:val="25"/>
        </w:rPr>
        <w:t> directing that the whole or a specified part of the </w:t>
      </w:r>
      <w:hyperlink r:id="rId12" w:anchor="defn-term-property" w:history="1">
        <w:r w:rsidRPr="00BB3990">
          <w:rPr>
            <w:rFonts w:ascii="Times New Roman" w:hAnsi="Times New Roman" w:cs="Times New Roman"/>
            <w:i/>
            <w:sz w:val="25"/>
            <w:szCs w:val="25"/>
          </w:rPr>
          <w:t>property</w:t>
        </w:r>
      </w:hyperlink>
      <w:r w:rsidRPr="00BB3990">
        <w:rPr>
          <w:rFonts w:ascii="Times New Roman" w:hAnsi="Times New Roman" w:cs="Times New Roman"/>
          <w:i/>
          <w:sz w:val="25"/>
          <w:szCs w:val="25"/>
        </w:rPr>
        <w:t> be transferred, subject to such terms and conditions as the Court may specify, to the </w:t>
      </w:r>
      <w:hyperlink r:id="rId13" w:anchor="defn-term-Republic" w:history="1">
        <w:r w:rsidRPr="00BB3990">
          <w:rPr>
            <w:rFonts w:ascii="Times New Roman" w:hAnsi="Times New Roman" w:cs="Times New Roman"/>
            <w:i/>
            <w:sz w:val="25"/>
            <w:szCs w:val="25"/>
          </w:rPr>
          <w:t>Republic</w:t>
        </w:r>
      </w:hyperlink>
      <w:r w:rsidRPr="00BB3990">
        <w:rPr>
          <w:rFonts w:ascii="Times New Roman" w:hAnsi="Times New Roman" w:cs="Times New Roman"/>
          <w:i/>
          <w:sz w:val="25"/>
          <w:szCs w:val="25"/>
        </w:rPr>
        <w:t> or to such other person as the Court may determine and such transfer shall confer absolute title free from any claim of any </w:t>
      </w:r>
      <w:hyperlink r:id="rId14" w:anchor="defn-term-interest" w:history="1">
        <w:r w:rsidRPr="00BB3990">
          <w:rPr>
            <w:rFonts w:ascii="Times New Roman" w:hAnsi="Times New Roman" w:cs="Times New Roman"/>
            <w:i/>
            <w:sz w:val="25"/>
            <w:szCs w:val="25"/>
          </w:rPr>
          <w:t>interest</w:t>
        </w:r>
      </w:hyperlink>
      <w:r w:rsidRPr="00BB3990">
        <w:rPr>
          <w:rFonts w:ascii="Times New Roman" w:hAnsi="Times New Roman" w:cs="Times New Roman"/>
          <w:i/>
          <w:sz w:val="25"/>
          <w:szCs w:val="25"/>
        </w:rPr>
        <w:t> therein or encumbrances to the </w:t>
      </w:r>
      <w:hyperlink r:id="rId15" w:anchor="defn-term-Republic" w:history="1">
        <w:r w:rsidRPr="00BB3990">
          <w:rPr>
            <w:rFonts w:ascii="Times New Roman" w:hAnsi="Times New Roman" w:cs="Times New Roman"/>
            <w:i/>
            <w:sz w:val="25"/>
            <w:szCs w:val="25"/>
          </w:rPr>
          <w:t>Republic</w:t>
        </w:r>
      </w:hyperlink>
      <w:r w:rsidRPr="00BB3990">
        <w:rPr>
          <w:rFonts w:ascii="Times New Roman" w:hAnsi="Times New Roman" w:cs="Times New Roman"/>
          <w:i/>
          <w:sz w:val="25"/>
          <w:szCs w:val="25"/>
        </w:rPr>
        <w:t> or such person</w:t>
      </w:r>
      <w:r w:rsidRPr="005C5B5C">
        <w:rPr>
          <w:rFonts w:ascii="Times New Roman" w:hAnsi="Times New Roman" w:cs="Times New Roman"/>
          <w:sz w:val="25"/>
          <w:szCs w:val="25"/>
        </w:rPr>
        <w:t xml:space="preserve">.” </w:t>
      </w:r>
      <w:r w:rsidRPr="00E47C38">
        <w:rPr>
          <w:rFonts w:ascii="Times New Roman" w:hAnsi="Times New Roman" w:cs="Times New Roman"/>
          <w:b/>
          <w:sz w:val="25"/>
          <w:szCs w:val="25"/>
        </w:rPr>
        <w:t>Subsection 5 (2)</w:t>
      </w:r>
      <w:r w:rsidRPr="005C5B5C">
        <w:rPr>
          <w:rFonts w:ascii="Times New Roman" w:hAnsi="Times New Roman" w:cs="Times New Roman"/>
          <w:sz w:val="25"/>
          <w:szCs w:val="25"/>
        </w:rPr>
        <w:t xml:space="preserve"> states that an application for a disposal order cannot be made </w:t>
      </w:r>
      <w:r w:rsidR="00BB3990">
        <w:rPr>
          <w:rFonts w:ascii="Times New Roman" w:hAnsi="Times New Roman" w:cs="Times New Roman"/>
          <w:sz w:val="25"/>
          <w:szCs w:val="25"/>
        </w:rPr>
        <w:t>“</w:t>
      </w:r>
      <w:r w:rsidRPr="00BB3990">
        <w:rPr>
          <w:rFonts w:ascii="Times New Roman" w:hAnsi="Times New Roman" w:cs="Times New Roman"/>
          <w:i/>
          <w:sz w:val="25"/>
          <w:szCs w:val="25"/>
        </w:rPr>
        <w:t>while (a) an application made under </w:t>
      </w:r>
      <w:hyperlink r:id="rId16" w:anchor="sec_4" w:history="1">
        <w:r w:rsidRPr="00BB3990">
          <w:rPr>
            <w:rFonts w:ascii="Times New Roman" w:hAnsi="Times New Roman" w:cs="Times New Roman"/>
            <w:i/>
            <w:sz w:val="25"/>
            <w:szCs w:val="25"/>
          </w:rPr>
          <w:t>section 4</w:t>
        </w:r>
      </w:hyperlink>
      <w:r w:rsidRPr="00BB3990">
        <w:rPr>
          <w:rFonts w:ascii="Times New Roman" w:hAnsi="Times New Roman" w:cs="Times New Roman"/>
          <w:i/>
          <w:sz w:val="25"/>
          <w:szCs w:val="25"/>
        </w:rPr>
        <w:t>(3); or (b) an appeal against an order made under the application referred to in paragraph (a); or; (c) an appeal against any order made under </w:t>
      </w:r>
      <w:hyperlink r:id="rId17" w:anchor="sec_4" w:history="1">
        <w:r w:rsidRPr="00BB3990">
          <w:rPr>
            <w:rFonts w:ascii="Times New Roman" w:hAnsi="Times New Roman" w:cs="Times New Roman"/>
            <w:i/>
            <w:sz w:val="25"/>
            <w:szCs w:val="25"/>
          </w:rPr>
          <w:t>section 4</w:t>
        </w:r>
      </w:hyperlink>
      <w:r w:rsidRPr="00BB3990">
        <w:rPr>
          <w:rFonts w:ascii="Times New Roman" w:hAnsi="Times New Roman" w:cs="Times New Roman"/>
          <w:i/>
          <w:sz w:val="25"/>
          <w:szCs w:val="25"/>
        </w:rPr>
        <w:t xml:space="preserve">, </w:t>
      </w:r>
      <w:r w:rsidRPr="005C5B5C">
        <w:rPr>
          <w:rFonts w:ascii="Times New Roman" w:hAnsi="Times New Roman" w:cs="Times New Roman"/>
          <w:i/>
          <w:sz w:val="25"/>
          <w:szCs w:val="25"/>
        </w:rPr>
        <w:t>is pending</w:t>
      </w:r>
      <w:r>
        <w:rPr>
          <w:rFonts w:ascii="Times New Roman" w:hAnsi="Times New Roman" w:cs="Times New Roman"/>
          <w:sz w:val="25"/>
          <w:szCs w:val="25"/>
        </w:rPr>
        <w:t>.</w:t>
      </w:r>
      <w:r w:rsidR="00BB3990">
        <w:rPr>
          <w:rFonts w:ascii="Times New Roman" w:hAnsi="Times New Roman" w:cs="Times New Roman"/>
          <w:sz w:val="25"/>
          <w:szCs w:val="25"/>
        </w:rPr>
        <w:t>”</w:t>
      </w:r>
      <w:r w:rsidRPr="00BB3990">
        <w:rPr>
          <w:rFonts w:ascii="Times New Roman" w:hAnsi="Times New Roman" w:cs="Times New Roman"/>
          <w:sz w:val="25"/>
          <w:szCs w:val="25"/>
        </w:rPr>
        <w:t xml:space="preserve"> </w:t>
      </w:r>
      <w:r w:rsidR="00900983" w:rsidRPr="00900983">
        <w:rPr>
          <w:rFonts w:ascii="Times New Roman" w:hAnsi="Times New Roman" w:cs="Times New Roman"/>
          <w:sz w:val="25"/>
          <w:szCs w:val="25"/>
        </w:rPr>
        <w:t>According to</w:t>
      </w:r>
      <w:r w:rsidR="00900983">
        <w:rPr>
          <w:rFonts w:ascii="Times New Roman" w:hAnsi="Times New Roman" w:cs="Times New Roman"/>
          <w:sz w:val="25"/>
          <w:szCs w:val="25"/>
        </w:rPr>
        <w:t xml:space="preserve"> subsection 5(2) of </w:t>
      </w:r>
      <w:r w:rsidR="00900983" w:rsidRPr="00900983">
        <w:rPr>
          <w:rFonts w:ascii="Times New Roman" w:hAnsi="Times New Roman" w:cs="Times New Roman"/>
          <w:sz w:val="25"/>
          <w:szCs w:val="25"/>
        </w:rPr>
        <w:t xml:space="preserve"> POCA, the 12 month period shall be calculated from the making of the interlocutory order under </w:t>
      </w:r>
      <w:hyperlink r:id="rId18" w:anchor="sec_4" w:history="1">
        <w:r w:rsidR="00900983" w:rsidRPr="00900983">
          <w:rPr>
            <w:rFonts w:ascii="Times New Roman" w:hAnsi="Times New Roman" w:cs="Times New Roman"/>
            <w:sz w:val="25"/>
            <w:szCs w:val="25"/>
          </w:rPr>
          <w:t>section 4</w:t>
        </w:r>
      </w:hyperlink>
      <w:r w:rsidR="00900983" w:rsidRPr="00900983">
        <w:rPr>
          <w:rFonts w:ascii="Times New Roman" w:hAnsi="Times New Roman" w:cs="Times New Roman"/>
          <w:sz w:val="25"/>
          <w:szCs w:val="25"/>
        </w:rPr>
        <w:t>, which was in the instant case on 15 November 2019,  unless the Court for good cause shall otherwise determine.</w:t>
      </w:r>
    </w:p>
    <w:p w14:paraId="775F0316" w14:textId="12F4D595" w:rsidR="00900983" w:rsidRDefault="00900983" w:rsidP="00900983">
      <w:pPr>
        <w:ind w:left="450"/>
        <w:jc w:val="both"/>
        <w:rPr>
          <w:rFonts w:ascii="Times New Roman" w:hAnsi="Times New Roman" w:cs="Times New Roman"/>
          <w:sz w:val="25"/>
          <w:szCs w:val="25"/>
        </w:rPr>
      </w:pPr>
    </w:p>
    <w:p w14:paraId="55B27664" w14:textId="77777777" w:rsidR="00900983" w:rsidRPr="00900983" w:rsidRDefault="00900983" w:rsidP="00900983">
      <w:pPr>
        <w:ind w:left="450"/>
        <w:jc w:val="both"/>
        <w:rPr>
          <w:rFonts w:ascii="Times New Roman" w:hAnsi="Times New Roman" w:cs="Times New Roman"/>
          <w:sz w:val="25"/>
          <w:szCs w:val="25"/>
        </w:rPr>
      </w:pPr>
    </w:p>
    <w:p w14:paraId="53123AF9" w14:textId="77777777" w:rsidR="000452BF" w:rsidRPr="00992136" w:rsidRDefault="000452BF" w:rsidP="000452BF">
      <w:pPr>
        <w:pStyle w:val="ListParagraph"/>
        <w:numPr>
          <w:ilvl w:val="0"/>
          <w:numId w:val="20"/>
        </w:numPr>
        <w:jc w:val="both"/>
        <w:rPr>
          <w:rFonts w:ascii="Times New Roman" w:hAnsi="Times New Roman" w:cs="Times New Roman"/>
          <w:sz w:val="25"/>
          <w:szCs w:val="25"/>
        </w:rPr>
      </w:pPr>
      <w:r w:rsidRPr="00992136">
        <w:rPr>
          <w:rFonts w:ascii="Times New Roman" w:hAnsi="Times New Roman" w:cs="Times New Roman"/>
          <w:sz w:val="25"/>
          <w:szCs w:val="25"/>
        </w:rPr>
        <w:lastRenderedPageBreak/>
        <w:t>The Appellants have filed the following grounds of appeal:</w:t>
      </w:r>
    </w:p>
    <w:p w14:paraId="7D6D40B7" w14:textId="77777777" w:rsidR="000452BF" w:rsidRPr="00992136" w:rsidRDefault="000452BF" w:rsidP="000452BF">
      <w:pPr>
        <w:pStyle w:val="ListParagraph"/>
        <w:rPr>
          <w:rFonts w:ascii="Times New Roman" w:hAnsi="Times New Roman" w:cs="Times New Roman"/>
          <w:sz w:val="25"/>
          <w:szCs w:val="25"/>
        </w:rPr>
      </w:pPr>
    </w:p>
    <w:p w14:paraId="635899A6" w14:textId="6578193D" w:rsidR="000452BF" w:rsidRPr="00992136" w:rsidRDefault="00F34FCC" w:rsidP="000452BF">
      <w:pPr>
        <w:pStyle w:val="ListParagraph"/>
        <w:numPr>
          <w:ilvl w:val="0"/>
          <w:numId w:val="21"/>
        </w:numPr>
        <w:jc w:val="both"/>
        <w:rPr>
          <w:rFonts w:ascii="Times New Roman" w:hAnsi="Times New Roman" w:cs="Times New Roman"/>
          <w:sz w:val="25"/>
          <w:szCs w:val="25"/>
        </w:rPr>
      </w:pPr>
      <w:r w:rsidRPr="00992136">
        <w:rPr>
          <w:rFonts w:ascii="Times New Roman" w:hAnsi="Times New Roman" w:cs="Times New Roman"/>
          <w:sz w:val="25"/>
          <w:szCs w:val="25"/>
        </w:rPr>
        <w:t>“</w:t>
      </w:r>
      <w:r w:rsidR="000452BF" w:rsidRPr="00992136">
        <w:rPr>
          <w:rFonts w:ascii="Times New Roman" w:hAnsi="Times New Roman" w:cs="Times New Roman"/>
          <w:sz w:val="25"/>
          <w:szCs w:val="25"/>
        </w:rPr>
        <w:t>The Honourable Judge erred in law in failing to hold that the Appellants’ constitutional rights would be violated should the court fail to hold;</w:t>
      </w:r>
    </w:p>
    <w:p w14:paraId="590B682B" w14:textId="3C24B3C5" w:rsidR="000452BF" w:rsidRPr="00992136" w:rsidRDefault="000452BF" w:rsidP="000452BF">
      <w:pPr>
        <w:pStyle w:val="ListParagraph"/>
        <w:numPr>
          <w:ilvl w:val="0"/>
          <w:numId w:val="22"/>
        </w:numPr>
        <w:jc w:val="both"/>
        <w:rPr>
          <w:rFonts w:ascii="Times New Roman" w:hAnsi="Times New Roman" w:cs="Times New Roman"/>
          <w:sz w:val="25"/>
          <w:szCs w:val="25"/>
        </w:rPr>
      </w:pPr>
      <w:r w:rsidRPr="00992136">
        <w:rPr>
          <w:rFonts w:ascii="Times New Roman" w:hAnsi="Times New Roman" w:cs="Times New Roman"/>
          <w:sz w:val="25"/>
          <w:szCs w:val="25"/>
        </w:rPr>
        <w:t>That a conviction must be proven by the Government</w:t>
      </w:r>
    </w:p>
    <w:p w14:paraId="3E9D2968" w14:textId="7807C523" w:rsidR="000452BF" w:rsidRPr="00992136" w:rsidRDefault="000452BF" w:rsidP="00731DC3">
      <w:pPr>
        <w:pStyle w:val="ListParagraph"/>
        <w:numPr>
          <w:ilvl w:val="0"/>
          <w:numId w:val="22"/>
        </w:numPr>
        <w:jc w:val="both"/>
        <w:rPr>
          <w:rFonts w:ascii="Times New Roman" w:hAnsi="Times New Roman" w:cs="Times New Roman"/>
          <w:sz w:val="25"/>
          <w:szCs w:val="25"/>
        </w:rPr>
      </w:pPr>
      <w:r w:rsidRPr="00992136">
        <w:rPr>
          <w:rFonts w:ascii="Times New Roman" w:hAnsi="Times New Roman" w:cs="Times New Roman"/>
          <w:sz w:val="25"/>
          <w:szCs w:val="25"/>
        </w:rPr>
        <w:t>The standard of proof should be between probable and beyond a reasonable doubt</w:t>
      </w:r>
    </w:p>
    <w:p w14:paraId="5D22C3A1" w14:textId="5C78D640" w:rsidR="000452BF" w:rsidRPr="00992136" w:rsidRDefault="000452BF" w:rsidP="00731DC3">
      <w:pPr>
        <w:pStyle w:val="ListParagraph"/>
        <w:numPr>
          <w:ilvl w:val="0"/>
          <w:numId w:val="22"/>
        </w:numPr>
        <w:jc w:val="both"/>
        <w:rPr>
          <w:rFonts w:ascii="Times New Roman" w:hAnsi="Times New Roman" w:cs="Times New Roman"/>
          <w:sz w:val="25"/>
          <w:szCs w:val="25"/>
        </w:rPr>
      </w:pPr>
      <w:r w:rsidRPr="00992136">
        <w:rPr>
          <w:rFonts w:ascii="Times New Roman" w:hAnsi="Times New Roman" w:cs="Times New Roman"/>
          <w:sz w:val="25"/>
          <w:szCs w:val="25"/>
        </w:rPr>
        <w:t>The burden of proof rests with the Respondent</w:t>
      </w:r>
      <w:r w:rsidR="00F34FCC" w:rsidRPr="00992136">
        <w:rPr>
          <w:rFonts w:ascii="Times New Roman" w:hAnsi="Times New Roman" w:cs="Times New Roman"/>
          <w:sz w:val="25"/>
          <w:szCs w:val="25"/>
        </w:rPr>
        <w:t>.</w:t>
      </w:r>
    </w:p>
    <w:p w14:paraId="354FDA5C" w14:textId="77777777" w:rsidR="000452BF" w:rsidRPr="00992136" w:rsidRDefault="000452BF" w:rsidP="000452BF">
      <w:pPr>
        <w:pStyle w:val="ListParagraph"/>
        <w:ind w:left="2160"/>
        <w:jc w:val="both"/>
        <w:rPr>
          <w:rFonts w:ascii="Times New Roman" w:hAnsi="Times New Roman" w:cs="Times New Roman"/>
          <w:sz w:val="25"/>
          <w:szCs w:val="25"/>
        </w:rPr>
      </w:pPr>
    </w:p>
    <w:p w14:paraId="2E4A530C" w14:textId="3C65AB3E" w:rsidR="000452BF" w:rsidRPr="00992136" w:rsidRDefault="000452BF" w:rsidP="000452BF">
      <w:pPr>
        <w:pStyle w:val="ListParagraph"/>
        <w:numPr>
          <w:ilvl w:val="0"/>
          <w:numId w:val="21"/>
        </w:numPr>
        <w:jc w:val="both"/>
        <w:rPr>
          <w:rFonts w:ascii="Times New Roman" w:hAnsi="Times New Roman" w:cs="Times New Roman"/>
          <w:sz w:val="25"/>
          <w:szCs w:val="25"/>
        </w:rPr>
      </w:pPr>
      <w:r w:rsidRPr="00992136">
        <w:rPr>
          <w:rFonts w:ascii="Times New Roman" w:hAnsi="Times New Roman" w:cs="Times New Roman"/>
          <w:sz w:val="25"/>
          <w:szCs w:val="25"/>
        </w:rPr>
        <w:t>The Honourable Judge erred in law in failing to hold that the allegations and suspicions of the Respondent did not meet the required standard of proof to deprive the Appellants of their right in property.</w:t>
      </w:r>
    </w:p>
    <w:p w14:paraId="4084B103" w14:textId="3FC9072D" w:rsidR="000452BF" w:rsidRPr="00992136" w:rsidRDefault="000452BF" w:rsidP="00C71F0B">
      <w:pPr>
        <w:pStyle w:val="ListParagraph"/>
        <w:numPr>
          <w:ilvl w:val="0"/>
          <w:numId w:val="21"/>
        </w:numPr>
        <w:jc w:val="both"/>
        <w:rPr>
          <w:rFonts w:ascii="Times New Roman" w:hAnsi="Times New Roman" w:cs="Times New Roman"/>
          <w:sz w:val="25"/>
          <w:szCs w:val="25"/>
        </w:rPr>
      </w:pPr>
      <w:r w:rsidRPr="00992136">
        <w:rPr>
          <w:rFonts w:ascii="Times New Roman" w:hAnsi="Times New Roman" w:cs="Times New Roman"/>
          <w:sz w:val="25"/>
          <w:szCs w:val="25"/>
        </w:rPr>
        <w:t>The Honourable Judge erred in law in failing to hold that nonetheless and on the facts, the Appellant</w:t>
      </w:r>
      <w:r w:rsidR="00F34FCC" w:rsidRPr="00992136">
        <w:rPr>
          <w:rFonts w:ascii="Times New Roman" w:hAnsi="Times New Roman" w:cs="Times New Roman"/>
          <w:sz w:val="25"/>
          <w:szCs w:val="25"/>
        </w:rPr>
        <w:t xml:space="preserve"> had proven their defence and the properties were not proceeds from criminal or illegal acts.</w:t>
      </w:r>
    </w:p>
    <w:p w14:paraId="3D878673" w14:textId="62788100" w:rsidR="000452BF" w:rsidRPr="00992136" w:rsidRDefault="00F34FCC" w:rsidP="000452BF">
      <w:pPr>
        <w:pStyle w:val="ListParagraph"/>
        <w:numPr>
          <w:ilvl w:val="0"/>
          <w:numId w:val="21"/>
        </w:numPr>
        <w:jc w:val="both"/>
        <w:rPr>
          <w:rFonts w:ascii="Times New Roman" w:hAnsi="Times New Roman" w:cs="Times New Roman"/>
          <w:sz w:val="25"/>
          <w:szCs w:val="25"/>
        </w:rPr>
      </w:pPr>
      <w:r w:rsidRPr="00992136">
        <w:rPr>
          <w:rFonts w:ascii="Times New Roman" w:hAnsi="Times New Roman" w:cs="Times New Roman"/>
          <w:sz w:val="25"/>
          <w:szCs w:val="25"/>
        </w:rPr>
        <w:t>The Honourable Judge erred in law in failing to properly and adequately assess the facts and evidence and thereby the findings in the judgment were flawed in law.</w:t>
      </w:r>
    </w:p>
    <w:p w14:paraId="50D6EDD6" w14:textId="05AE70B6" w:rsidR="00F34FCC" w:rsidRPr="00992136" w:rsidRDefault="00F34FCC" w:rsidP="000452BF">
      <w:pPr>
        <w:pStyle w:val="ListParagraph"/>
        <w:numPr>
          <w:ilvl w:val="0"/>
          <w:numId w:val="21"/>
        </w:numPr>
        <w:jc w:val="both"/>
        <w:rPr>
          <w:rFonts w:ascii="Times New Roman" w:hAnsi="Times New Roman" w:cs="Times New Roman"/>
          <w:sz w:val="25"/>
          <w:szCs w:val="25"/>
        </w:rPr>
      </w:pPr>
      <w:r w:rsidRPr="00992136">
        <w:rPr>
          <w:rFonts w:ascii="Times New Roman" w:hAnsi="Times New Roman" w:cs="Times New Roman"/>
          <w:sz w:val="25"/>
          <w:szCs w:val="25"/>
        </w:rPr>
        <w:t>The Honourable Judge erred in law in failing to hold that the Respondents had failed to discharge their legal and evidential burdens of proof.”</w:t>
      </w:r>
    </w:p>
    <w:p w14:paraId="399B8958" w14:textId="57CD7F38" w:rsidR="00D42FE7" w:rsidRPr="00C005BF" w:rsidRDefault="000452BF" w:rsidP="00D42FE7">
      <w:pPr>
        <w:tabs>
          <w:tab w:val="left" w:pos="450"/>
          <w:tab w:val="left" w:pos="630"/>
        </w:tabs>
        <w:ind w:left="720"/>
        <w:jc w:val="both"/>
        <w:rPr>
          <w:rFonts w:ascii="Times New Roman" w:hAnsi="Times New Roman" w:cs="Times New Roman"/>
          <w:sz w:val="25"/>
          <w:szCs w:val="25"/>
        </w:rPr>
      </w:pPr>
      <w:r w:rsidRPr="00992136">
        <w:rPr>
          <w:rFonts w:ascii="Times New Roman" w:hAnsi="Times New Roman" w:cs="Times New Roman"/>
          <w:sz w:val="25"/>
          <w:szCs w:val="25"/>
        </w:rPr>
        <w:t>By way of relief the Appellants have prayed that the entire judgment of the</w:t>
      </w:r>
      <w:r w:rsidR="003A2114">
        <w:rPr>
          <w:rFonts w:ascii="Times New Roman" w:hAnsi="Times New Roman" w:cs="Times New Roman"/>
          <w:sz w:val="25"/>
          <w:szCs w:val="25"/>
        </w:rPr>
        <w:t xml:space="preserve"> </w:t>
      </w:r>
      <w:r w:rsidRPr="00992136">
        <w:rPr>
          <w:rFonts w:ascii="Times New Roman" w:hAnsi="Times New Roman" w:cs="Times New Roman"/>
          <w:sz w:val="25"/>
          <w:szCs w:val="25"/>
        </w:rPr>
        <w:t>Supreme Court be set aside.</w:t>
      </w:r>
    </w:p>
    <w:p w14:paraId="562D1647" w14:textId="71C3286B" w:rsidR="00E47C38" w:rsidRDefault="00D42FE7" w:rsidP="00F03833">
      <w:pPr>
        <w:pStyle w:val="ListParagraph"/>
        <w:numPr>
          <w:ilvl w:val="0"/>
          <w:numId w:val="20"/>
        </w:numPr>
        <w:jc w:val="both"/>
        <w:rPr>
          <w:rFonts w:ascii="Times New Roman" w:hAnsi="Times New Roman" w:cs="Times New Roman"/>
          <w:sz w:val="25"/>
          <w:szCs w:val="25"/>
        </w:rPr>
      </w:pPr>
      <w:r w:rsidRPr="00F03833">
        <w:rPr>
          <w:rFonts w:ascii="Times New Roman" w:hAnsi="Times New Roman" w:cs="Times New Roman"/>
          <w:sz w:val="25"/>
          <w:szCs w:val="25"/>
        </w:rPr>
        <w:t>The Respondent had raised a preliminary objection to the maintenance of this appeal on the basis that a ‘disposal order’ made pursuant to section 5 of POCA cannot be appealed.</w:t>
      </w:r>
      <w:r w:rsidR="00A407C9" w:rsidRPr="00F03833">
        <w:rPr>
          <w:rFonts w:ascii="Times New Roman" w:hAnsi="Times New Roman" w:cs="Times New Roman"/>
          <w:sz w:val="25"/>
          <w:szCs w:val="25"/>
        </w:rPr>
        <w:t xml:space="preserve"> It is the argument of the</w:t>
      </w:r>
      <w:r w:rsidR="005878E1" w:rsidRPr="00F03833">
        <w:rPr>
          <w:rFonts w:ascii="Times New Roman" w:hAnsi="Times New Roman" w:cs="Times New Roman"/>
          <w:sz w:val="25"/>
          <w:szCs w:val="25"/>
        </w:rPr>
        <w:t xml:space="preserve"> Respondent that section 5 of POCA, or POCA in general, does not m</w:t>
      </w:r>
      <w:r w:rsidR="00431053">
        <w:rPr>
          <w:rFonts w:ascii="Times New Roman" w:hAnsi="Times New Roman" w:cs="Times New Roman"/>
          <w:sz w:val="25"/>
          <w:szCs w:val="25"/>
        </w:rPr>
        <w:t>ake statutory provisions for an</w:t>
      </w:r>
      <w:r w:rsidR="005878E1" w:rsidRPr="00F03833">
        <w:rPr>
          <w:rFonts w:ascii="Times New Roman" w:hAnsi="Times New Roman" w:cs="Times New Roman"/>
          <w:sz w:val="25"/>
          <w:szCs w:val="25"/>
        </w:rPr>
        <w:t xml:space="preserve"> appeal against a Disposal Order to the Court of Appeal. This is erroneous since section </w:t>
      </w:r>
      <w:r w:rsidR="005878E1" w:rsidRPr="00F03833">
        <w:rPr>
          <w:rFonts w:ascii="Times New Roman" w:hAnsi="Times New Roman" w:cs="Times New Roman"/>
          <w:b/>
          <w:sz w:val="25"/>
          <w:szCs w:val="25"/>
        </w:rPr>
        <w:t>22 of POCA</w:t>
      </w:r>
      <w:r w:rsidR="00F03833">
        <w:rPr>
          <w:rFonts w:ascii="Times New Roman" w:hAnsi="Times New Roman" w:cs="Times New Roman"/>
          <w:b/>
          <w:sz w:val="25"/>
          <w:szCs w:val="25"/>
        </w:rPr>
        <w:t xml:space="preserve"> </w:t>
      </w:r>
      <w:r w:rsidR="00F03833" w:rsidRPr="00F03833">
        <w:rPr>
          <w:rFonts w:ascii="Times New Roman" w:hAnsi="Times New Roman" w:cs="Times New Roman"/>
          <w:sz w:val="25"/>
          <w:szCs w:val="25"/>
        </w:rPr>
        <w:t>does in fact</w:t>
      </w:r>
      <w:r w:rsidR="005878E1" w:rsidRPr="00F03833">
        <w:rPr>
          <w:rFonts w:ascii="Times New Roman" w:hAnsi="Times New Roman" w:cs="Times New Roman"/>
          <w:sz w:val="25"/>
          <w:szCs w:val="25"/>
        </w:rPr>
        <w:t xml:space="preserve"> states: “</w:t>
      </w:r>
      <w:r w:rsidR="005878E1" w:rsidRPr="00F03833">
        <w:rPr>
          <w:rFonts w:ascii="Times New Roman" w:hAnsi="Times New Roman" w:cs="Times New Roman"/>
          <w:i/>
          <w:sz w:val="25"/>
          <w:szCs w:val="25"/>
        </w:rPr>
        <w:t>For the avoidance of doubt an appeal from an order made under this Act, other than an interim order shall lie to the Court of Appeal</w:t>
      </w:r>
      <w:r w:rsidR="005878E1" w:rsidRPr="00F03833">
        <w:rPr>
          <w:rFonts w:ascii="Times New Roman" w:hAnsi="Times New Roman" w:cs="Times New Roman"/>
          <w:sz w:val="25"/>
          <w:szCs w:val="25"/>
        </w:rPr>
        <w:t xml:space="preserve">.” Further, </w:t>
      </w:r>
      <w:r w:rsidR="0029682B" w:rsidRPr="00F03833">
        <w:rPr>
          <w:rFonts w:ascii="Times New Roman" w:hAnsi="Times New Roman" w:cs="Times New Roman"/>
          <w:b/>
          <w:sz w:val="25"/>
          <w:szCs w:val="25"/>
        </w:rPr>
        <w:t>A</w:t>
      </w:r>
      <w:r w:rsidRPr="00F03833">
        <w:rPr>
          <w:rFonts w:ascii="Times New Roman" w:hAnsi="Times New Roman" w:cs="Times New Roman"/>
          <w:b/>
          <w:sz w:val="25"/>
          <w:szCs w:val="25"/>
        </w:rPr>
        <w:t>rticle</w:t>
      </w:r>
      <w:r w:rsidR="003B7A9A" w:rsidRPr="00F03833">
        <w:rPr>
          <w:rFonts w:ascii="Times New Roman" w:hAnsi="Times New Roman" w:cs="Times New Roman"/>
          <w:b/>
          <w:sz w:val="25"/>
          <w:szCs w:val="25"/>
        </w:rPr>
        <w:t>s</w:t>
      </w:r>
      <w:r w:rsidRPr="00F03833">
        <w:rPr>
          <w:rFonts w:ascii="Times New Roman" w:hAnsi="Times New Roman" w:cs="Times New Roman"/>
          <w:b/>
          <w:sz w:val="25"/>
          <w:szCs w:val="25"/>
        </w:rPr>
        <w:t xml:space="preserve"> 120</w:t>
      </w:r>
      <w:r w:rsidR="003B7A9A" w:rsidRPr="00F03833">
        <w:rPr>
          <w:rFonts w:ascii="Times New Roman" w:hAnsi="Times New Roman" w:cs="Times New Roman"/>
          <w:b/>
          <w:sz w:val="25"/>
          <w:szCs w:val="25"/>
        </w:rPr>
        <w:t xml:space="preserve"> (1) and</w:t>
      </w:r>
      <w:r w:rsidRPr="00F03833">
        <w:rPr>
          <w:rFonts w:ascii="Times New Roman" w:hAnsi="Times New Roman" w:cs="Times New Roman"/>
          <w:b/>
          <w:sz w:val="25"/>
          <w:szCs w:val="25"/>
        </w:rPr>
        <w:t xml:space="preserve"> (2) of the Constitution</w:t>
      </w:r>
      <w:r w:rsidRPr="00F03833">
        <w:rPr>
          <w:rFonts w:ascii="Times New Roman" w:hAnsi="Times New Roman" w:cs="Times New Roman"/>
          <w:sz w:val="25"/>
          <w:szCs w:val="25"/>
        </w:rPr>
        <w:t xml:space="preserve"> states</w:t>
      </w:r>
      <w:r w:rsidR="003B7A9A" w:rsidRPr="00F03833">
        <w:rPr>
          <w:rFonts w:ascii="Times New Roman" w:hAnsi="Times New Roman" w:cs="Times New Roman"/>
          <w:sz w:val="25"/>
          <w:szCs w:val="25"/>
        </w:rPr>
        <w:t xml:space="preserve"> as follows</w:t>
      </w:r>
      <w:r w:rsidRPr="00F03833">
        <w:rPr>
          <w:rFonts w:ascii="Times New Roman" w:hAnsi="Times New Roman" w:cs="Times New Roman"/>
          <w:sz w:val="25"/>
          <w:szCs w:val="25"/>
        </w:rPr>
        <w:t>:</w:t>
      </w:r>
      <w:r w:rsidR="003B7A9A" w:rsidRPr="00F03833">
        <w:rPr>
          <w:rFonts w:ascii="Times New Roman" w:hAnsi="Times New Roman" w:cs="Times New Roman"/>
          <w:sz w:val="25"/>
          <w:szCs w:val="25"/>
        </w:rPr>
        <w:t xml:space="preserve"> </w:t>
      </w:r>
      <w:r w:rsidR="00F03833" w:rsidRPr="00F03833">
        <w:rPr>
          <w:rFonts w:ascii="Times New Roman" w:hAnsi="Times New Roman" w:cs="Times New Roman"/>
          <w:b/>
          <w:sz w:val="25"/>
          <w:szCs w:val="25"/>
        </w:rPr>
        <w:t>Article</w:t>
      </w:r>
      <w:r w:rsidR="00F03833">
        <w:rPr>
          <w:rFonts w:ascii="Times New Roman" w:hAnsi="Times New Roman" w:cs="Times New Roman"/>
          <w:sz w:val="25"/>
          <w:szCs w:val="25"/>
        </w:rPr>
        <w:t xml:space="preserve"> </w:t>
      </w:r>
      <w:r w:rsidR="003B7A9A" w:rsidRPr="00F03833">
        <w:rPr>
          <w:rFonts w:ascii="Times New Roman" w:hAnsi="Times New Roman" w:cs="Times New Roman"/>
          <w:b/>
          <w:sz w:val="25"/>
          <w:szCs w:val="25"/>
        </w:rPr>
        <w:t xml:space="preserve">(1) </w:t>
      </w:r>
      <w:r w:rsidR="003B7A9A" w:rsidRPr="00F03833">
        <w:rPr>
          <w:rFonts w:ascii="Times New Roman" w:hAnsi="Times New Roman" w:cs="Times New Roman"/>
          <w:sz w:val="25"/>
          <w:szCs w:val="25"/>
        </w:rPr>
        <w:t>“</w:t>
      </w:r>
      <w:r w:rsidR="003B7A9A" w:rsidRPr="00F03833">
        <w:rPr>
          <w:rFonts w:ascii="Times New Roman" w:hAnsi="Times New Roman" w:cs="Times New Roman"/>
          <w:i/>
          <w:sz w:val="25"/>
          <w:szCs w:val="25"/>
        </w:rPr>
        <w:t>There shall be a Court of Appeal which shall, subject to this Constitution, have jurisdiction to hear and determine appeals from a judgement, direction, decision, declaration, decree, writ or order of the Supreme Court and such other appellate jurisdiction as may be conferred upon the Court of Appeal by this Constitution and by or under an </w:t>
      </w:r>
      <w:hyperlink r:id="rId19" w:anchor="defn-term-Act" w:history="1">
        <w:r w:rsidR="003B7A9A" w:rsidRPr="00F03833">
          <w:rPr>
            <w:rFonts w:ascii="Times New Roman" w:hAnsi="Times New Roman" w:cs="Times New Roman"/>
            <w:i/>
            <w:sz w:val="25"/>
            <w:szCs w:val="25"/>
          </w:rPr>
          <w:t>Act</w:t>
        </w:r>
      </w:hyperlink>
      <w:r w:rsidR="003B7A9A" w:rsidRPr="00F03833">
        <w:rPr>
          <w:rFonts w:ascii="Times New Roman" w:hAnsi="Times New Roman" w:cs="Times New Roman"/>
          <w:sz w:val="25"/>
          <w:szCs w:val="25"/>
        </w:rPr>
        <w:t>.”</w:t>
      </w:r>
      <w:r w:rsidR="00737D50">
        <w:rPr>
          <w:rFonts w:ascii="Times New Roman" w:hAnsi="Times New Roman" w:cs="Times New Roman"/>
          <w:sz w:val="25"/>
          <w:szCs w:val="25"/>
        </w:rPr>
        <w:t>, and</w:t>
      </w:r>
      <w:r w:rsidR="003B7A9A" w:rsidRPr="00F03833">
        <w:rPr>
          <w:rFonts w:ascii="Times New Roman" w:hAnsi="Times New Roman" w:cs="Times New Roman"/>
          <w:sz w:val="25"/>
          <w:szCs w:val="25"/>
        </w:rPr>
        <w:t xml:space="preserve"> </w:t>
      </w:r>
      <w:r w:rsidR="00F03833" w:rsidRPr="00F03833">
        <w:rPr>
          <w:rFonts w:ascii="Times New Roman" w:hAnsi="Times New Roman" w:cs="Times New Roman"/>
          <w:b/>
          <w:sz w:val="25"/>
          <w:szCs w:val="25"/>
        </w:rPr>
        <w:t>Article</w:t>
      </w:r>
      <w:r w:rsidR="00F03833">
        <w:rPr>
          <w:rFonts w:ascii="Times New Roman" w:hAnsi="Times New Roman" w:cs="Times New Roman"/>
          <w:sz w:val="25"/>
          <w:szCs w:val="25"/>
        </w:rPr>
        <w:t xml:space="preserve"> </w:t>
      </w:r>
      <w:r w:rsidR="003B7A9A" w:rsidRPr="00F03833">
        <w:rPr>
          <w:rFonts w:ascii="Times New Roman" w:hAnsi="Times New Roman" w:cs="Times New Roman"/>
          <w:b/>
          <w:sz w:val="25"/>
          <w:szCs w:val="25"/>
        </w:rPr>
        <w:t>(2)</w:t>
      </w:r>
      <w:r w:rsidRPr="00F03833">
        <w:rPr>
          <w:rFonts w:ascii="Times New Roman" w:hAnsi="Times New Roman" w:cs="Times New Roman"/>
          <w:sz w:val="25"/>
          <w:szCs w:val="25"/>
        </w:rPr>
        <w:t xml:space="preserve"> “</w:t>
      </w:r>
      <w:r w:rsidRPr="00F03833">
        <w:rPr>
          <w:rFonts w:ascii="Times New Roman" w:hAnsi="Times New Roman" w:cs="Times New Roman"/>
          <w:i/>
          <w:sz w:val="25"/>
          <w:szCs w:val="25"/>
        </w:rPr>
        <w:t>Except as this Constitution or an </w:t>
      </w:r>
      <w:hyperlink r:id="rId20" w:anchor="defn-term-Act" w:history="1">
        <w:r w:rsidRPr="00F03833">
          <w:rPr>
            <w:rFonts w:ascii="Times New Roman" w:hAnsi="Times New Roman" w:cs="Times New Roman"/>
            <w:i/>
            <w:sz w:val="25"/>
            <w:szCs w:val="25"/>
          </w:rPr>
          <w:t>Act</w:t>
        </w:r>
      </w:hyperlink>
      <w:r w:rsidRPr="00F03833">
        <w:rPr>
          <w:rFonts w:ascii="Times New Roman" w:hAnsi="Times New Roman" w:cs="Times New Roman"/>
          <w:i/>
          <w:sz w:val="25"/>
          <w:szCs w:val="25"/>
        </w:rPr>
        <w:t> otherwise provides, there shall be a right of appeal to the Court of Appeal from a judgment, direction, decision, declaration, decree, writ or order of the Supreme Court</w:t>
      </w:r>
      <w:r w:rsidRPr="00F03833">
        <w:rPr>
          <w:rFonts w:ascii="Times New Roman" w:hAnsi="Times New Roman" w:cs="Times New Roman"/>
          <w:sz w:val="25"/>
          <w:szCs w:val="25"/>
        </w:rPr>
        <w:t>.” There is no doubt that</w:t>
      </w:r>
      <w:r w:rsidR="00642E00" w:rsidRPr="00F03833">
        <w:rPr>
          <w:rFonts w:ascii="Times New Roman" w:hAnsi="Times New Roman" w:cs="Times New Roman"/>
          <w:sz w:val="25"/>
          <w:szCs w:val="25"/>
        </w:rPr>
        <w:t xml:space="preserve"> what has been appealed against is an order made by the Supreme Court.</w:t>
      </w:r>
      <w:r w:rsidR="0029682B" w:rsidRPr="00F03833">
        <w:rPr>
          <w:rFonts w:ascii="Times New Roman" w:hAnsi="Times New Roman" w:cs="Times New Roman"/>
          <w:sz w:val="25"/>
          <w:szCs w:val="25"/>
        </w:rPr>
        <w:t xml:space="preserve"> There is nothing to the effect in the Constitution or in</w:t>
      </w:r>
      <w:r w:rsidR="00E47C38" w:rsidRPr="00F03833">
        <w:rPr>
          <w:rFonts w:ascii="Times New Roman" w:hAnsi="Times New Roman" w:cs="Times New Roman"/>
          <w:sz w:val="25"/>
          <w:szCs w:val="25"/>
        </w:rPr>
        <w:t xml:space="preserve"> section 5 or elsewhere in</w:t>
      </w:r>
      <w:r w:rsidR="0029682B" w:rsidRPr="00F03833">
        <w:rPr>
          <w:rFonts w:ascii="Times New Roman" w:hAnsi="Times New Roman" w:cs="Times New Roman"/>
          <w:sz w:val="25"/>
          <w:szCs w:val="25"/>
        </w:rPr>
        <w:t xml:space="preserve"> POCA or in any other Act</w:t>
      </w:r>
      <w:r w:rsidR="00E47C38" w:rsidRPr="00F03833">
        <w:rPr>
          <w:rFonts w:ascii="Times New Roman" w:hAnsi="Times New Roman" w:cs="Times New Roman"/>
          <w:sz w:val="25"/>
          <w:szCs w:val="25"/>
        </w:rPr>
        <w:t>,</w:t>
      </w:r>
      <w:r w:rsidR="0029682B" w:rsidRPr="00F03833">
        <w:rPr>
          <w:rFonts w:ascii="Times New Roman" w:hAnsi="Times New Roman" w:cs="Times New Roman"/>
          <w:sz w:val="25"/>
          <w:szCs w:val="25"/>
        </w:rPr>
        <w:t xml:space="preserve"> </w:t>
      </w:r>
      <w:r w:rsidR="00E47C38" w:rsidRPr="00F03833">
        <w:rPr>
          <w:rFonts w:ascii="Times New Roman" w:hAnsi="Times New Roman" w:cs="Times New Roman"/>
          <w:sz w:val="25"/>
          <w:szCs w:val="25"/>
        </w:rPr>
        <w:t>excluding</w:t>
      </w:r>
      <w:r w:rsidR="0029682B" w:rsidRPr="00F03833">
        <w:rPr>
          <w:rFonts w:ascii="Times New Roman" w:hAnsi="Times New Roman" w:cs="Times New Roman"/>
          <w:sz w:val="25"/>
          <w:szCs w:val="25"/>
        </w:rPr>
        <w:t xml:space="preserve"> the right of appeal against a ‘disposal order’ made pursuant to section 5 of POCA.</w:t>
      </w:r>
      <w:r w:rsidR="00F03833" w:rsidRPr="00F03833">
        <w:rPr>
          <w:rFonts w:ascii="Times New Roman" w:hAnsi="Times New Roman" w:cs="Times New Roman"/>
          <w:iCs/>
          <w:sz w:val="25"/>
          <w:szCs w:val="25"/>
        </w:rPr>
        <w:t xml:space="preserve"> It was held </w:t>
      </w:r>
      <w:r w:rsidR="00F03833" w:rsidRPr="00F03833">
        <w:rPr>
          <w:rFonts w:ascii="Times New Roman" w:hAnsi="Times New Roman" w:cs="Times New Roman"/>
          <w:b/>
          <w:iCs/>
          <w:sz w:val="25"/>
          <w:szCs w:val="25"/>
        </w:rPr>
        <w:t>in</w:t>
      </w:r>
      <w:r w:rsidR="00F03833" w:rsidRPr="00F03833">
        <w:rPr>
          <w:rFonts w:ascii="Times New Roman" w:hAnsi="Times New Roman" w:cs="Times New Roman"/>
          <w:b/>
          <w:i/>
          <w:iCs/>
          <w:sz w:val="25"/>
          <w:szCs w:val="25"/>
        </w:rPr>
        <w:t xml:space="preserve"> </w:t>
      </w:r>
      <w:r w:rsidR="00F03833" w:rsidRPr="00F03833">
        <w:rPr>
          <w:rFonts w:ascii="Times New Roman" w:hAnsi="Times New Roman" w:cs="Times New Roman"/>
          <w:b/>
          <w:iCs/>
          <w:sz w:val="25"/>
          <w:szCs w:val="25"/>
        </w:rPr>
        <w:t xml:space="preserve">Treffle </w:t>
      </w:r>
      <w:r w:rsidR="00F03833" w:rsidRPr="00F03833">
        <w:rPr>
          <w:rFonts w:ascii="Times New Roman" w:hAnsi="Times New Roman" w:cs="Times New Roman"/>
          <w:b/>
          <w:iCs/>
          <w:sz w:val="25"/>
          <w:szCs w:val="25"/>
        </w:rPr>
        <w:lastRenderedPageBreak/>
        <w:t>Finesse V The Republic CR Appeal No</w:t>
      </w:r>
      <w:r w:rsidR="00F03833" w:rsidRPr="00F03833">
        <w:rPr>
          <w:rFonts w:ascii="Times New Roman" w:hAnsi="Times New Roman" w:cs="Times New Roman"/>
          <w:b/>
          <w:i/>
          <w:iCs/>
          <w:sz w:val="25"/>
          <w:szCs w:val="25"/>
        </w:rPr>
        <w:t xml:space="preserve"> </w:t>
      </w:r>
      <w:r w:rsidR="00F03833" w:rsidRPr="00F03833">
        <w:rPr>
          <w:rFonts w:ascii="Times New Roman" w:hAnsi="Times New Roman" w:cs="Times New Roman"/>
          <w:b/>
          <w:iCs/>
          <w:sz w:val="25"/>
          <w:szCs w:val="25"/>
        </w:rPr>
        <w:t>1 of 1995</w:t>
      </w:r>
      <w:r w:rsidR="00F03833" w:rsidRPr="00F03833">
        <w:rPr>
          <w:rFonts w:ascii="Times New Roman" w:hAnsi="Times New Roman" w:cs="Times New Roman"/>
          <w:iCs/>
          <w:sz w:val="25"/>
          <w:szCs w:val="25"/>
        </w:rPr>
        <w:t>:</w:t>
      </w:r>
      <w:r w:rsidR="00F03833" w:rsidRPr="00F03833">
        <w:rPr>
          <w:rFonts w:ascii="Times New Roman" w:hAnsi="Times New Roman" w:cs="Times New Roman"/>
          <w:i/>
          <w:iCs/>
          <w:sz w:val="25"/>
          <w:szCs w:val="25"/>
        </w:rPr>
        <w:t xml:space="preserve"> "The general right of appeal conferred by Article 120(2) of the Constitution and the general jurisdiction of this Court to hear appeals from the Supreme Court conferred by Article 120(1) can only be restricted by the Constitution itself or by an Act which provides that there shall be no such jurisdiction or no such right</w:t>
      </w:r>
      <w:r w:rsidR="00F03833" w:rsidRPr="00F03833">
        <w:rPr>
          <w:rFonts w:ascii="Times New Roman" w:hAnsi="Times New Roman" w:cs="Times New Roman"/>
          <w:iCs/>
          <w:sz w:val="25"/>
          <w:szCs w:val="25"/>
        </w:rPr>
        <w:t>...</w:t>
      </w:r>
      <w:r w:rsidR="00F03833" w:rsidRPr="00F03833">
        <w:rPr>
          <w:rFonts w:ascii="Arial" w:hAnsi="Arial" w:cs="Arial"/>
          <w:color w:val="4A4A4A"/>
          <w:sz w:val="21"/>
          <w:szCs w:val="21"/>
          <w:shd w:val="clear" w:color="auto" w:fill="FFFFFF"/>
        </w:rPr>
        <w:t xml:space="preserve"> </w:t>
      </w:r>
      <w:r w:rsidR="00F03833" w:rsidRPr="00F03833">
        <w:rPr>
          <w:rFonts w:ascii="Times New Roman" w:hAnsi="Times New Roman" w:cs="Times New Roman"/>
          <w:i/>
          <w:iCs/>
          <w:sz w:val="25"/>
          <w:szCs w:val="25"/>
        </w:rPr>
        <w:t>The words “Except as this Constitution or an Act otherwise provides” envisage provisions which are expressly exclusionary and which exclude a right of appeal. Where the Constitution confers a right such right can only be taken away, where the Constitution so permits, by statutory provisions which are expressly and manifestly exclusionary.</w:t>
      </w:r>
      <w:r w:rsidR="00737D50">
        <w:rPr>
          <w:rFonts w:ascii="Times New Roman" w:hAnsi="Times New Roman" w:cs="Times New Roman"/>
          <w:iCs/>
          <w:sz w:val="25"/>
          <w:szCs w:val="25"/>
        </w:rPr>
        <w:t>”</w:t>
      </w:r>
      <w:r w:rsidR="00F03833" w:rsidRPr="00F03833">
        <w:rPr>
          <w:rFonts w:ascii="Times New Roman" w:hAnsi="Times New Roman" w:cs="Times New Roman"/>
          <w:iCs/>
          <w:sz w:val="25"/>
          <w:szCs w:val="25"/>
        </w:rPr>
        <w:t xml:space="preserve"> It would have been a different matter if POCA had provided that no appeal shall lie to the Court of Appeal from a disposal order under section 5.</w:t>
      </w:r>
      <w:r w:rsidR="00F03833">
        <w:rPr>
          <w:rFonts w:ascii="Times New Roman" w:hAnsi="Times New Roman" w:cs="Times New Roman"/>
          <w:iCs/>
          <w:sz w:val="25"/>
          <w:szCs w:val="25"/>
        </w:rPr>
        <w:t xml:space="preserve"> Quite contrarily section 22 of POCA referred to earlier</w:t>
      </w:r>
      <w:r w:rsidR="00737D50">
        <w:rPr>
          <w:rFonts w:ascii="Times New Roman" w:hAnsi="Times New Roman" w:cs="Times New Roman"/>
          <w:iCs/>
          <w:sz w:val="25"/>
          <w:szCs w:val="25"/>
        </w:rPr>
        <w:t>,</w:t>
      </w:r>
      <w:r w:rsidR="00F03833">
        <w:rPr>
          <w:rFonts w:ascii="Times New Roman" w:hAnsi="Times New Roman" w:cs="Times New Roman"/>
          <w:iCs/>
          <w:sz w:val="25"/>
          <w:szCs w:val="25"/>
        </w:rPr>
        <w:t xml:space="preserve"> provides otherwise.</w:t>
      </w:r>
      <w:r w:rsidR="0029682B" w:rsidRPr="00F03833">
        <w:rPr>
          <w:rFonts w:ascii="Times New Roman" w:hAnsi="Times New Roman" w:cs="Times New Roman"/>
          <w:sz w:val="25"/>
          <w:szCs w:val="25"/>
        </w:rPr>
        <w:t xml:space="preserve"> I</w:t>
      </w:r>
      <w:r w:rsidR="00E47C38" w:rsidRPr="00F03833">
        <w:rPr>
          <w:rFonts w:ascii="Times New Roman" w:hAnsi="Times New Roman" w:cs="Times New Roman"/>
          <w:sz w:val="25"/>
          <w:szCs w:val="25"/>
        </w:rPr>
        <w:t xml:space="preserve"> therefore</w:t>
      </w:r>
      <w:r w:rsidR="0029682B" w:rsidRPr="00F03833">
        <w:rPr>
          <w:rFonts w:ascii="Times New Roman" w:hAnsi="Times New Roman" w:cs="Times New Roman"/>
          <w:sz w:val="25"/>
          <w:szCs w:val="25"/>
        </w:rPr>
        <w:t xml:space="preserve"> have no hesitation in dismissing the objection</w:t>
      </w:r>
      <w:r w:rsidR="00E47C38" w:rsidRPr="00F03833">
        <w:rPr>
          <w:rFonts w:ascii="Times New Roman" w:hAnsi="Times New Roman" w:cs="Times New Roman"/>
          <w:sz w:val="25"/>
          <w:szCs w:val="25"/>
        </w:rPr>
        <w:t xml:space="preserve"> raised by the Respondent.</w:t>
      </w:r>
      <w:r w:rsidR="0029682B" w:rsidRPr="00F03833">
        <w:rPr>
          <w:rFonts w:ascii="Times New Roman" w:hAnsi="Times New Roman" w:cs="Times New Roman"/>
          <w:sz w:val="25"/>
          <w:szCs w:val="25"/>
        </w:rPr>
        <w:t xml:space="preserve"> </w:t>
      </w:r>
    </w:p>
    <w:p w14:paraId="46338539" w14:textId="77777777" w:rsidR="00F03833" w:rsidRPr="00F03833" w:rsidRDefault="00F03833" w:rsidP="00F03833">
      <w:pPr>
        <w:pStyle w:val="ListParagraph"/>
        <w:ind w:left="810"/>
        <w:jc w:val="both"/>
        <w:rPr>
          <w:rFonts w:ascii="Times New Roman" w:hAnsi="Times New Roman" w:cs="Times New Roman"/>
          <w:sz w:val="25"/>
          <w:szCs w:val="25"/>
        </w:rPr>
      </w:pPr>
    </w:p>
    <w:p w14:paraId="7586C547" w14:textId="445AB987" w:rsidR="00E628CC" w:rsidRDefault="00E628CC" w:rsidP="001B76AB">
      <w:pPr>
        <w:pStyle w:val="ListParagraph"/>
        <w:numPr>
          <w:ilvl w:val="0"/>
          <w:numId w:val="20"/>
        </w:numPr>
        <w:jc w:val="both"/>
        <w:rPr>
          <w:rFonts w:ascii="Times New Roman" w:hAnsi="Times New Roman" w:cs="Times New Roman"/>
          <w:sz w:val="25"/>
          <w:szCs w:val="25"/>
        </w:rPr>
      </w:pPr>
      <w:r>
        <w:rPr>
          <w:rFonts w:ascii="Times New Roman" w:hAnsi="Times New Roman" w:cs="Times New Roman"/>
          <w:sz w:val="25"/>
          <w:szCs w:val="25"/>
        </w:rPr>
        <w:t xml:space="preserve">In the Skeleton Heads of Argument of </w:t>
      </w:r>
      <w:r w:rsidR="008C4810">
        <w:rPr>
          <w:rFonts w:ascii="Times New Roman" w:hAnsi="Times New Roman" w:cs="Times New Roman"/>
          <w:sz w:val="25"/>
          <w:szCs w:val="25"/>
        </w:rPr>
        <w:t>Appellants,</w:t>
      </w:r>
      <w:r>
        <w:rPr>
          <w:rFonts w:ascii="Times New Roman" w:hAnsi="Times New Roman" w:cs="Times New Roman"/>
          <w:sz w:val="25"/>
          <w:szCs w:val="25"/>
        </w:rPr>
        <w:t xml:space="preserve"> they have stated they will not at the hearing canvass ground (a), (i</w:t>
      </w:r>
      <w:r w:rsidR="008C4810">
        <w:rPr>
          <w:rFonts w:ascii="Times New Roman" w:hAnsi="Times New Roman" w:cs="Times New Roman"/>
          <w:sz w:val="25"/>
          <w:szCs w:val="25"/>
        </w:rPr>
        <w:t>), (</w:t>
      </w:r>
      <w:r>
        <w:rPr>
          <w:rFonts w:ascii="Times New Roman" w:hAnsi="Times New Roman" w:cs="Times New Roman"/>
          <w:sz w:val="25"/>
          <w:szCs w:val="25"/>
        </w:rPr>
        <w:t>ii)</w:t>
      </w:r>
      <w:r w:rsidR="008C4810">
        <w:rPr>
          <w:rFonts w:ascii="Times New Roman" w:hAnsi="Times New Roman" w:cs="Times New Roman"/>
          <w:sz w:val="25"/>
          <w:szCs w:val="25"/>
        </w:rPr>
        <w:t xml:space="preserve"> and </w:t>
      </w:r>
      <w:r>
        <w:rPr>
          <w:rFonts w:ascii="Times New Roman" w:hAnsi="Times New Roman" w:cs="Times New Roman"/>
          <w:sz w:val="25"/>
          <w:szCs w:val="25"/>
        </w:rPr>
        <w:t>(iii).</w:t>
      </w:r>
      <w:r w:rsidR="008C4810">
        <w:rPr>
          <w:rFonts w:ascii="Times New Roman" w:hAnsi="Times New Roman" w:cs="Times New Roman"/>
          <w:sz w:val="25"/>
          <w:szCs w:val="25"/>
        </w:rPr>
        <w:t xml:space="preserve"> I have however decided to deal with them for future reference since they raise important issues pertaining to civil confiscation of proceeds of crime.</w:t>
      </w:r>
    </w:p>
    <w:p w14:paraId="1A7A0D89" w14:textId="77777777" w:rsidR="008C4810" w:rsidRDefault="008C4810" w:rsidP="008C4810">
      <w:pPr>
        <w:pStyle w:val="ListParagraph"/>
        <w:ind w:left="810"/>
        <w:jc w:val="both"/>
        <w:rPr>
          <w:rFonts w:ascii="Times New Roman" w:hAnsi="Times New Roman" w:cs="Times New Roman"/>
          <w:sz w:val="25"/>
          <w:szCs w:val="25"/>
        </w:rPr>
      </w:pPr>
    </w:p>
    <w:p w14:paraId="27BDB888" w14:textId="011F3087" w:rsidR="000452BF" w:rsidRPr="001B76AB" w:rsidRDefault="000452BF" w:rsidP="001B76AB">
      <w:pPr>
        <w:pStyle w:val="ListParagraph"/>
        <w:numPr>
          <w:ilvl w:val="0"/>
          <w:numId w:val="20"/>
        </w:numPr>
        <w:jc w:val="both"/>
        <w:rPr>
          <w:rFonts w:ascii="Times New Roman" w:hAnsi="Times New Roman" w:cs="Times New Roman"/>
          <w:sz w:val="25"/>
          <w:szCs w:val="25"/>
        </w:rPr>
      </w:pPr>
      <w:r w:rsidRPr="00992136">
        <w:rPr>
          <w:rFonts w:ascii="Times New Roman" w:hAnsi="Times New Roman" w:cs="Times New Roman"/>
          <w:sz w:val="25"/>
          <w:szCs w:val="25"/>
        </w:rPr>
        <w:t xml:space="preserve"> Grounds of appeal (a) and (b), ambiguous as they can be, is </w:t>
      </w:r>
      <w:r w:rsidRPr="003E1F0B">
        <w:rPr>
          <w:rFonts w:ascii="Times New Roman" w:hAnsi="Times New Roman" w:cs="Times New Roman"/>
          <w:sz w:val="25"/>
          <w:szCs w:val="25"/>
          <w:u w:val="single"/>
        </w:rPr>
        <w:t>a complaint of the failure by the learned Judge to hold</w:t>
      </w:r>
      <w:r w:rsidR="00E146D5">
        <w:rPr>
          <w:rFonts w:ascii="Times New Roman" w:hAnsi="Times New Roman" w:cs="Times New Roman"/>
          <w:sz w:val="25"/>
          <w:szCs w:val="25"/>
        </w:rPr>
        <w:t>,</w:t>
      </w:r>
      <w:r w:rsidRPr="00992136">
        <w:rPr>
          <w:rFonts w:ascii="Times New Roman" w:hAnsi="Times New Roman" w:cs="Times New Roman"/>
          <w:sz w:val="25"/>
          <w:szCs w:val="25"/>
        </w:rPr>
        <w:t xml:space="preserve"> that the Appellants’ right to a fair hearing and the right to property guaranteed under the Constitution, would be violated should the Court fail to hold in relation to the matters itemized therein. It is clear from the judgment that the learned Judge was very much aware, made reference, and dealt with these matters in detail in the judgment. The learned Judge had dealt with the issue whether a conviction needs to be proven by the Government at length from paragraphs 49 – 58 of the judgment and has in my view correctly </w:t>
      </w:r>
      <w:r w:rsidR="003A2114">
        <w:rPr>
          <w:rFonts w:ascii="Times New Roman" w:hAnsi="Times New Roman" w:cs="Times New Roman"/>
          <w:sz w:val="25"/>
          <w:szCs w:val="25"/>
        </w:rPr>
        <w:t>held</w:t>
      </w:r>
      <w:r w:rsidRPr="00992136">
        <w:rPr>
          <w:rFonts w:ascii="Times New Roman" w:hAnsi="Times New Roman" w:cs="Times New Roman"/>
          <w:sz w:val="25"/>
          <w:szCs w:val="25"/>
        </w:rPr>
        <w:t xml:space="preserve"> that a conviction need not be proved. The learned Judge had said: “The thrust of modern proceeds of crime legislation is to target the unexplained wealth of the criminal and not the criminal himself. The POCA regime in Seychelles adopts much of the </w:t>
      </w:r>
      <w:r w:rsidRPr="00992136">
        <w:rPr>
          <w:rFonts w:ascii="Times New Roman" w:hAnsi="Times New Roman" w:cs="Times New Roman"/>
          <w:b/>
          <w:sz w:val="25"/>
          <w:szCs w:val="25"/>
        </w:rPr>
        <w:t>model proposed in the United Nations Convention Against Corruption</w:t>
      </w:r>
      <w:r w:rsidRPr="00992136">
        <w:rPr>
          <w:rFonts w:ascii="Times New Roman" w:hAnsi="Times New Roman" w:cs="Times New Roman"/>
          <w:sz w:val="25"/>
          <w:szCs w:val="25"/>
        </w:rPr>
        <w:t xml:space="preserve">, in which legislation provides for non-confiscation-based confiscation/forfeiture proceedings that do not require a predicate offence to be established.” The learned Judge had cited the </w:t>
      </w:r>
      <w:r w:rsidRPr="00992136">
        <w:rPr>
          <w:rFonts w:ascii="Times New Roman" w:hAnsi="Times New Roman" w:cs="Times New Roman"/>
          <w:b/>
          <w:sz w:val="25"/>
          <w:szCs w:val="25"/>
        </w:rPr>
        <w:t>South African case of Prophet V National Director of Public Prosecutions 2006 (2) SACR 525</w:t>
      </w:r>
      <w:r w:rsidRPr="00992136">
        <w:rPr>
          <w:rFonts w:ascii="Times New Roman" w:hAnsi="Times New Roman" w:cs="Times New Roman"/>
          <w:sz w:val="25"/>
          <w:szCs w:val="25"/>
        </w:rPr>
        <w:t xml:space="preserve"> where the Constitutional Court had held: “Civil forfeiture provides a unique remedy used as a measure to combat organized crime. </w:t>
      </w:r>
      <w:r w:rsidRPr="00992136">
        <w:rPr>
          <w:rFonts w:ascii="Times New Roman" w:hAnsi="Times New Roman" w:cs="Times New Roman"/>
          <w:sz w:val="25"/>
          <w:szCs w:val="25"/>
          <w:u w:val="single"/>
        </w:rPr>
        <w:t>It rests on the legal fiction that the property and not the owner has contravened the law. It does not require a conviction or even a criminal charge against the owner</w:t>
      </w:r>
      <w:r w:rsidRPr="00992136">
        <w:rPr>
          <w:rFonts w:ascii="Times New Roman" w:hAnsi="Times New Roman" w:cs="Times New Roman"/>
          <w:sz w:val="25"/>
          <w:szCs w:val="25"/>
        </w:rPr>
        <w:t>”.</w:t>
      </w:r>
      <w:r w:rsidR="002F11A4" w:rsidRPr="002F11A4">
        <w:t xml:space="preserve"> </w:t>
      </w:r>
      <w:r w:rsidR="002F11A4" w:rsidRPr="002F11A4">
        <w:rPr>
          <w:rFonts w:ascii="Times New Roman" w:hAnsi="Times New Roman" w:cs="Times New Roman"/>
          <w:sz w:val="25"/>
          <w:szCs w:val="25"/>
        </w:rPr>
        <w:t>The aim of the civil</w:t>
      </w:r>
      <w:r w:rsidR="002F11A4">
        <w:rPr>
          <w:rFonts w:ascii="Times New Roman" w:hAnsi="Times New Roman" w:cs="Times New Roman"/>
          <w:sz w:val="25"/>
          <w:szCs w:val="25"/>
        </w:rPr>
        <w:t xml:space="preserve"> </w:t>
      </w:r>
      <w:r w:rsidR="002F11A4" w:rsidRPr="002F11A4">
        <w:rPr>
          <w:rFonts w:ascii="Times New Roman" w:hAnsi="Times New Roman" w:cs="Times New Roman"/>
          <w:sz w:val="25"/>
          <w:szCs w:val="25"/>
        </w:rPr>
        <w:t>proceedings in rem was to prevent unjust enrichment through corruption</w:t>
      </w:r>
      <w:r w:rsidR="007F73F3">
        <w:rPr>
          <w:rFonts w:ascii="Times New Roman" w:hAnsi="Times New Roman" w:cs="Times New Roman"/>
          <w:sz w:val="25"/>
          <w:szCs w:val="25"/>
        </w:rPr>
        <w:t>,</w:t>
      </w:r>
      <w:r w:rsidR="002F11A4" w:rsidRPr="002F11A4">
        <w:rPr>
          <w:rFonts w:ascii="Times New Roman" w:hAnsi="Times New Roman" w:cs="Times New Roman"/>
          <w:sz w:val="25"/>
          <w:szCs w:val="25"/>
        </w:rPr>
        <w:t xml:space="preserve"> by sending a clear signal to public officials already involved in</w:t>
      </w:r>
      <w:r w:rsidR="002F11A4">
        <w:rPr>
          <w:rFonts w:ascii="Times New Roman" w:hAnsi="Times New Roman" w:cs="Times New Roman"/>
          <w:sz w:val="25"/>
          <w:szCs w:val="25"/>
        </w:rPr>
        <w:t xml:space="preserve"> </w:t>
      </w:r>
      <w:r w:rsidR="007F73F3">
        <w:rPr>
          <w:rFonts w:ascii="Times New Roman" w:hAnsi="Times New Roman" w:cs="Times New Roman"/>
          <w:sz w:val="25"/>
          <w:szCs w:val="25"/>
        </w:rPr>
        <w:t xml:space="preserve">corruption or considering </w:t>
      </w:r>
      <w:r w:rsidR="002F11A4" w:rsidRPr="002F11A4">
        <w:rPr>
          <w:rFonts w:ascii="Times New Roman" w:hAnsi="Times New Roman" w:cs="Times New Roman"/>
          <w:sz w:val="25"/>
          <w:szCs w:val="25"/>
        </w:rPr>
        <w:t>doing</w:t>
      </w:r>
      <w:r w:rsidR="007F73F3">
        <w:rPr>
          <w:rFonts w:ascii="Times New Roman" w:hAnsi="Times New Roman" w:cs="Times New Roman"/>
          <w:sz w:val="25"/>
          <w:szCs w:val="25"/>
        </w:rPr>
        <w:t xml:space="preserve"> so,</w:t>
      </w:r>
      <w:r w:rsidR="002F11A4" w:rsidRPr="002F11A4">
        <w:rPr>
          <w:rFonts w:ascii="Times New Roman" w:hAnsi="Times New Roman" w:cs="Times New Roman"/>
          <w:sz w:val="25"/>
          <w:szCs w:val="25"/>
        </w:rPr>
        <w:t xml:space="preserve"> that their wrongful acts, even if they</w:t>
      </w:r>
      <w:r w:rsidR="002F11A4">
        <w:rPr>
          <w:rFonts w:ascii="Times New Roman" w:hAnsi="Times New Roman" w:cs="Times New Roman"/>
          <w:sz w:val="25"/>
          <w:szCs w:val="25"/>
        </w:rPr>
        <w:t xml:space="preserve"> </w:t>
      </w:r>
      <w:r w:rsidR="002F11A4" w:rsidRPr="002F11A4">
        <w:rPr>
          <w:rFonts w:ascii="Times New Roman" w:hAnsi="Times New Roman" w:cs="Times New Roman"/>
          <w:sz w:val="25"/>
          <w:szCs w:val="25"/>
        </w:rPr>
        <w:t xml:space="preserve">passed unscaled by the criminal justice system, would nevertheless </w:t>
      </w:r>
      <w:r w:rsidR="002F11A4" w:rsidRPr="002F11A4">
        <w:rPr>
          <w:rFonts w:ascii="Times New Roman" w:hAnsi="Times New Roman" w:cs="Times New Roman"/>
          <w:sz w:val="25"/>
          <w:szCs w:val="25"/>
        </w:rPr>
        <w:lastRenderedPageBreak/>
        <w:t>not</w:t>
      </w:r>
      <w:r w:rsidR="002F11A4">
        <w:rPr>
          <w:rFonts w:ascii="Times New Roman" w:hAnsi="Times New Roman" w:cs="Times New Roman"/>
          <w:sz w:val="25"/>
          <w:szCs w:val="25"/>
        </w:rPr>
        <w:t xml:space="preserve"> </w:t>
      </w:r>
      <w:r w:rsidR="002F11A4" w:rsidRPr="002F11A4">
        <w:rPr>
          <w:rFonts w:ascii="Times New Roman" w:hAnsi="Times New Roman" w:cs="Times New Roman"/>
          <w:sz w:val="25"/>
          <w:szCs w:val="25"/>
        </w:rPr>
        <w:t>procure pecuniary advantage either for them or for their families</w:t>
      </w:r>
      <w:r w:rsidR="002F11A4">
        <w:rPr>
          <w:rFonts w:ascii="Times New Roman" w:hAnsi="Times New Roman" w:cs="Times New Roman"/>
          <w:sz w:val="25"/>
          <w:szCs w:val="25"/>
        </w:rPr>
        <w:t>. See</w:t>
      </w:r>
      <w:r w:rsidR="0079638F">
        <w:rPr>
          <w:rFonts w:ascii="Times New Roman" w:hAnsi="Times New Roman" w:cs="Times New Roman"/>
          <w:sz w:val="25"/>
          <w:szCs w:val="25"/>
        </w:rPr>
        <w:t xml:space="preserve"> ECHR judgment</w:t>
      </w:r>
      <w:r w:rsidR="008C4810">
        <w:rPr>
          <w:rFonts w:ascii="Times New Roman" w:hAnsi="Times New Roman" w:cs="Times New Roman"/>
          <w:sz w:val="25"/>
          <w:szCs w:val="25"/>
        </w:rPr>
        <w:t>s</w:t>
      </w:r>
      <w:r w:rsidR="0079638F">
        <w:rPr>
          <w:rFonts w:ascii="Times New Roman" w:hAnsi="Times New Roman" w:cs="Times New Roman"/>
          <w:sz w:val="25"/>
          <w:szCs w:val="25"/>
        </w:rPr>
        <w:t xml:space="preserve"> in</w:t>
      </w:r>
      <w:r w:rsidR="002F11A4">
        <w:rPr>
          <w:rFonts w:ascii="Times New Roman" w:hAnsi="Times New Roman" w:cs="Times New Roman"/>
          <w:sz w:val="25"/>
          <w:szCs w:val="25"/>
        </w:rPr>
        <w:t xml:space="preserve"> </w:t>
      </w:r>
      <w:r w:rsidR="002F11A4" w:rsidRPr="002F11A4">
        <w:rPr>
          <w:rFonts w:ascii="Times New Roman" w:hAnsi="Times New Roman" w:cs="Times New Roman"/>
          <w:b/>
          <w:sz w:val="25"/>
          <w:szCs w:val="25"/>
        </w:rPr>
        <w:t>Silickiene V Lithuania,</w:t>
      </w:r>
      <w:r w:rsidR="002F11A4" w:rsidRPr="002F11A4">
        <w:rPr>
          <w:rFonts w:ascii="Arial" w:hAnsi="Arial" w:cs="Arial"/>
          <w:b/>
          <w:color w:val="4D5156"/>
          <w:sz w:val="21"/>
          <w:szCs w:val="21"/>
          <w:shd w:val="clear" w:color="auto" w:fill="FFFFFF"/>
        </w:rPr>
        <w:t xml:space="preserve"> </w:t>
      </w:r>
      <w:r w:rsidR="002F11A4" w:rsidRPr="002F11A4">
        <w:rPr>
          <w:rFonts w:ascii="Arial" w:hAnsi="Arial" w:cs="Arial"/>
          <w:b/>
          <w:sz w:val="21"/>
          <w:szCs w:val="21"/>
          <w:shd w:val="clear" w:color="auto" w:fill="FFFFFF"/>
        </w:rPr>
        <w:t>(</w:t>
      </w:r>
      <w:r w:rsidR="002F11A4" w:rsidRPr="002F11A4">
        <w:rPr>
          <w:rFonts w:ascii="Times New Roman" w:hAnsi="Times New Roman" w:cs="Times New Roman"/>
          <w:b/>
          <w:sz w:val="25"/>
          <w:szCs w:val="25"/>
        </w:rPr>
        <w:t>Application no. 20496/02), 10 April 2012</w:t>
      </w:r>
      <w:r w:rsidR="0079638F">
        <w:rPr>
          <w:rFonts w:ascii="Times New Roman" w:hAnsi="Times New Roman" w:cs="Times New Roman"/>
          <w:sz w:val="25"/>
          <w:szCs w:val="25"/>
        </w:rPr>
        <w:t xml:space="preserve"> and </w:t>
      </w:r>
      <w:r w:rsidR="0079638F" w:rsidRPr="0079638F">
        <w:rPr>
          <w:rFonts w:ascii="Times New Roman" w:hAnsi="Times New Roman" w:cs="Times New Roman"/>
          <w:b/>
          <w:sz w:val="25"/>
          <w:szCs w:val="25"/>
        </w:rPr>
        <w:t>Veits V Estonia, (Application no. 12951/11), 27 April 2008</w:t>
      </w:r>
      <w:r w:rsidR="001B76AB">
        <w:rPr>
          <w:rFonts w:ascii="Times New Roman" w:hAnsi="Times New Roman" w:cs="Times New Roman"/>
          <w:b/>
          <w:sz w:val="25"/>
          <w:szCs w:val="25"/>
        </w:rPr>
        <w:t>.</w:t>
      </w:r>
      <w:r w:rsidR="002F11A4" w:rsidRPr="001B76AB">
        <w:rPr>
          <w:rFonts w:ascii="Times New Roman" w:hAnsi="Times New Roman" w:cs="Times New Roman"/>
          <w:sz w:val="25"/>
          <w:szCs w:val="25"/>
        </w:rPr>
        <w:t> </w:t>
      </w:r>
    </w:p>
    <w:p w14:paraId="4DADC0B8" w14:textId="77777777" w:rsidR="00B01436" w:rsidRDefault="00B01436" w:rsidP="00B01436">
      <w:pPr>
        <w:pStyle w:val="ListParagraph"/>
        <w:jc w:val="both"/>
        <w:rPr>
          <w:rFonts w:ascii="Times New Roman" w:hAnsi="Times New Roman" w:cs="Times New Roman"/>
          <w:sz w:val="25"/>
          <w:szCs w:val="25"/>
        </w:rPr>
      </w:pPr>
    </w:p>
    <w:p w14:paraId="7580995F" w14:textId="642964B4" w:rsidR="00B01436" w:rsidRPr="00A676D7" w:rsidRDefault="00B01436" w:rsidP="00B01436">
      <w:pPr>
        <w:pStyle w:val="ListParagraph"/>
        <w:numPr>
          <w:ilvl w:val="0"/>
          <w:numId w:val="20"/>
        </w:numPr>
        <w:jc w:val="both"/>
        <w:rPr>
          <w:rFonts w:ascii="Times New Roman" w:hAnsi="Times New Roman" w:cs="Times New Roman"/>
          <w:i/>
          <w:sz w:val="25"/>
          <w:szCs w:val="25"/>
        </w:rPr>
      </w:pPr>
      <w:r w:rsidRPr="00A676D7">
        <w:rPr>
          <w:rFonts w:ascii="Times New Roman" w:hAnsi="Times New Roman" w:cs="Times New Roman"/>
          <w:b/>
          <w:sz w:val="25"/>
          <w:szCs w:val="25"/>
        </w:rPr>
        <w:t>Article 48 of the Constitution of Seychelles</w:t>
      </w:r>
      <w:r>
        <w:rPr>
          <w:rFonts w:ascii="Times New Roman" w:hAnsi="Times New Roman" w:cs="Times New Roman"/>
          <w:sz w:val="25"/>
          <w:szCs w:val="25"/>
        </w:rPr>
        <w:t xml:space="preserve"> </w:t>
      </w:r>
      <w:r w:rsidR="00411B9B">
        <w:rPr>
          <w:rFonts w:ascii="Times New Roman" w:hAnsi="Times New Roman" w:cs="Times New Roman"/>
          <w:sz w:val="25"/>
          <w:szCs w:val="25"/>
        </w:rPr>
        <w:t>states that Chapter III of the C</w:t>
      </w:r>
      <w:r>
        <w:rPr>
          <w:rFonts w:ascii="Times New Roman" w:hAnsi="Times New Roman" w:cs="Times New Roman"/>
          <w:sz w:val="25"/>
          <w:szCs w:val="25"/>
        </w:rPr>
        <w:t>onstitution which contains the Seychellois Charter of Fundamental Human Rights and Freedoms “</w:t>
      </w:r>
      <w:r w:rsidRPr="00A676D7">
        <w:rPr>
          <w:rFonts w:ascii="Times New Roman" w:hAnsi="Times New Roman" w:cs="Times New Roman"/>
          <w:i/>
          <w:sz w:val="25"/>
          <w:szCs w:val="25"/>
        </w:rPr>
        <w:t>shall be interpreted in such a way so as not to be inconsistent with any international obligations of Seychelles relating to human rights and freedoms and a </w:t>
      </w:r>
      <w:hyperlink r:id="rId21" w:anchor="defn-term-court" w:history="1">
        <w:r w:rsidRPr="00A676D7">
          <w:rPr>
            <w:rFonts w:ascii="Times New Roman" w:hAnsi="Times New Roman" w:cs="Times New Roman"/>
            <w:i/>
            <w:sz w:val="25"/>
            <w:szCs w:val="25"/>
          </w:rPr>
          <w:t>court</w:t>
        </w:r>
      </w:hyperlink>
      <w:r w:rsidRPr="00A676D7">
        <w:rPr>
          <w:rFonts w:ascii="Times New Roman" w:hAnsi="Times New Roman" w:cs="Times New Roman"/>
          <w:i/>
          <w:sz w:val="25"/>
          <w:szCs w:val="25"/>
        </w:rPr>
        <w:t> shall, when interpreting the provision of this Chapter, take judicial notice of—</w:t>
      </w:r>
    </w:p>
    <w:p w14:paraId="0DA7E2F8" w14:textId="77777777" w:rsidR="00B01436" w:rsidRPr="00A676D7" w:rsidRDefault="00B01436" w:rsidP="00B01436">
      <w:pPr>
        <w:pStyle w:val="ListParagraph"/>
        <w:rPr>
          <w:rFonts w:ascii="Times New Roman" w:hAnsi="Times New Roman" w:cs="Times New Roman"/>
          <w:i/>
          <w:sz w:val="25"/>
          <w:szCs w:val="25"/>
        </w:rPr>
      </w:pPr>
    </w:p>
    <w:p w14:paraId="0EC328C3" w14:textId="77777777" w:rsidR="00B01436" w:rsidRPr="00A676D7" w:rsidRDefault="00B01436" w:rsidP="00B01436">
      <w:pPr>
        <w:pStyle w:val="ListParagraph"/>
        <w:numPr>
          <w:ilvl w:val="0"/>
          <w:numId w:val="23"/>
        </w:numPr>
        <w:jc w:val="both"/>
        <w:rPr>
          <w:rFonts w:ascii="Times New Roman" w:hAnsi="Times New Roman" w:cs="Times New Roman"/>
          <w:i/>
          <w:sz w:val="25"/>
          <w:szCs w:val="25"/>
        </w:rPr>
      </w:pPr>
      <w:r w:rsidRPr="00A676D7">
        <w:rPr>
          <w:rFonts w:ascii="Times New Roman" w:hAnsi="Times New Roman" w:cs="Times New Roman"/>
          <w:i/>
          <w:sz w:val="25"/>
          <w:szCs w:val="25"/>
        </w:rPr>
        <w:t>the international instrument containing these obligations;</w:t>
      </w:r>
    </w:p>
    <w:p w14:paraId="4322608A" w14:textId="77777777" w:rsidR="00B01436" w:rsidRPr="00A676D7" w:rsidRDefault="00B01436" w:rsidP="00B01436">
      <w:pPr>
        <w:ind w:left="720"/>
        <w:jc w:val="both"/>
        <w:rPr>
          <w:rFonts w:ascii="Times New Roman" w:hAnsi="Times New Roman" w:cs="Times New Roman"/>
          <w:i/>
          <w:sz w:val="25"/>
          <w:szCs w:val="25"/>
        </w:rPr>
      </w:pPr>
      <w:r w:rsidRPr="00A676D7">
        <w:rPr>
          <w:rFonts w:ascii="Times New Roman" w:hAnsi="Times New Roman" w:cs="Times New Roman"/>
          <w:i/>
          <w:sz w:val="25"/>
          <w:szCs w:val="25"/>
        </w:rPr>
        <w:t>(b)the reports and expression of views of bodies administering or enforcing these instruments;</w:t>
      </w:r>
    </w:p>
    <w:p w14:paraId="7E1A7F9C" w14:textId="77777777" w:rsidR="004940F7" w:rsidRPr="00A676D7" w:rsidRDefault="00B01436" w:rsidP="00B01436">
      <w:pPr>
        <w:ind w:left="720"/>
        <w:jc w:val="both"/>
        <w:rPr>
          <w:rFonts w:ascii="Times New Roman" w:hAnsi="Times New Roman" w:cs="Times New Roman"/>
          <w:i/>
          <w:sz w:val="25"/>
          <w:szCs w:val="25"/>
        </w:rPr>
      </w:pPr>
      <w:r w:rsidRPr="00A676D7">
        <w:rPr>
          <w:rFonts w:ascii="Times New Roman" w:hAnsi="Times New Roman" w:cs="Times New Roman"/>
          <w:i/>
          <w:sz w:val="25"/>
          <w:szCs w:val="25"/>
        </w:rPr>
        <w:t>(</w:t>
      </w:r>
      <w:r w:rsidR="004940F7" w:rsidRPr="00A676D7">
        <w:rPr>
          <w:rFonts w:ascii="Times New Roman" w:hAnsi="Times New Roman" w:cs="Times New Roman"/>
          <w:i/>
          <w:sz w:val="25"/>
          <w:szCs w:val="25"/>
        </w:rPr>
        <w:t>c</w:t>
      </w:r>
      <w:r w:rsidRPr="00A676D7">
        <w:rPr>
          <w:rFonts w:ascii="Times New Roman" w:hAnsi="Times New Roman" w:cs="Times New Roman"/>
          <w:i/>
          <w:sz w:val="25"/>
          <w:szCs w:val="25"/>
        </w:rPr>
        <w:t>)the reports, decisions or opinions of international and regional institutions administering or enforcing Conventions on human rights and freedoms;</w:t>
      </w:r>
    </w:p>
    <w:p w14:paraId="369FE127" w14:textId="39387F1B" w:rsidR="00B01436" w:rsidRPr="00B01436" w:rsidRDefault="00B01436" w:rsidP="001B76AB">
      <w:pPr>
        <w:ind w:left="720"/>
        <w:jc w:val="both"/>
        <w:rPr>
          <w:rFonts w:ascii="Times New Roman" w:hAnsi="Times New Roman" w:cs="Times New Roman"/>
          <w:sz w:val="25"/>
          <w:szCs w:val="25"/>
        </w:rPr>
      </w:pPr>
      <w:r w:rsidRPr="00A676D7">
        <w:rPr>
          <w:rFonts w:ascii="Times New Roman" w:hAnsi="Times New Roman" w:cs="Times New Roman"/>
          <w:i/>
          <w:sz w:val="25"/>
          <w:szCs w:val="25"/>
        </w:rPr>
        <w:t>(d)the Constitutions of other democratic States or nations and decisions of the courts of the States or nations in respect of their Constitutions</w:t>
      </w:r>
      <w:r w:rsidRPr="00B01436">
        <w:rPr>
          <w:rFonts w:ascii="Times New Roman" w:hAnsi="Times New Roman" w:cs="Times New Roman"/>
          <w:sz w:val="25"/>
          <w:szCs w:val="25"/>
        </w:rPr>
        <w:t>.</w:t>
      </w:r>
      <w:r w:rsidR="004940F7">
        <w:rPr>
          <w:rFonts w:ascii="Times New Roman" w:hAnsi="Times New Roman" w:cs="Times New Roman"/>
          <w:sz w:val="25"/>
          <w:szCs w:val="25"/>
        </w:rPr>
        <w:t>”</w:t>
      </w:r>
    </w:p>
    <w:p w14:paraId="149E3F10" w14:textId="17023A78" w:rsidR="002B0530" w:rsidRDefault="004940F7" w:rsidP="002B0530">
      <w:pPr>
        <w:pStyle w:val="ListParagraph"/>
        <w:numPr>
          <w:ilvl w:val="0"/>
          <w:numId w:val="20"/>
        </w:numPr>
        <w:spacing w:line="240" w:lineRule="auto"/>
        <w:jc w:val="both"/>
        <w:rPr>
          <w:rFonts w:ascii="Times New Roman" w:hAnsi="Times New Roman" w:cs="Times New Roman"/>
          <w:sz w:val="25"/>
          <w:szCs w:val="25"/>
        </w:rPr>
      </w:pPr>
      <w:r w:rsidRPr="002B0530">
        <w:rPr>
          <w:rFonts w:ascii="Times New Roman" w:hAnsi="Times New Roman" w:cs="Times New Roman"/>
          <w:sz w:val="25"/>
          <w:szCs w:val="25"/>
        </w:rPr>
        <w:t xml:space="preserve">The United Nations Convention Against Corruption (UNCAC) entered into force in the Seychelles on 15 April 2006 having ratified it on 16 March 2006. </w:t>
      </w:r>
      <w:r w:rsidRPr="00A676D7">
        <w:rPr>
          <w:rFonts w:ascii="Times New Roman" w:hAnsi="Times New Roman" w:cs="Times New Roman"/>
          <w:b/>
          <w:sz w:val="25"/>
          <w:szCs w:val="25"/>
        </w:rPr>
        <w:t>Article 54 of UNCAC</w:t>
      </w:r>
      <w:r w:rsidR="001646E2" w:rsidRPr="002B0530">
        <w:rPr>
          <w:rFonts w:ascii="Times New Roman" w:hAnsi="Times New Roman" w:cs="Times New Roman"/>
          <w:sz w:val="25"/>
          <w:szCs w:val="25"/>
        </w:rPr>
        <w:t xml:space="preserve"> states that each State Party shall in accordance with its domestic law consider taking such measures as may be necessary to allow confiscation of such property withou</w:t>
      </w:r>
      <w:r w:rsidR="00A676D7">
        <w:rPr>
          <w:rFonts w:ascii="Times New Roman" w:hAnsi="Times New Roman" w:cs="Times New Roman"/>
          <w:sz w:val="25"/>
          <w:szCs w:val="25"/>
        </w:rPr>
        <w:t>t a criminal conviction</w:t>
      </w:r>
      <w:r w:rsidR="001646E2" w:rsidRPr="002B0530">
        <w:rPr>
          <w:rFonts w:ascii="Times New Roman" w:hAnsi="Times New Roman" w:cs="Times New Roman"/>
          <w:sz w:val="25"/>
          <w:szCs w:val="25"/>
        </w:rPr>
        <w:t xml:space="preserve">. The </w:t>
      </w:r>
      <w:r w:rsidR="001646E2" w:rsidRPr="00A676D7">
        <w:rPr>
          <w:rFonts w:ascii="Times New Roman" w:hAnsi="Times New Roman" w:cs="Times New Roman"/>
          <w:b/>
          <w:sz w:val="25"/>
          <w:szCs w:val="25"/>
        </w:rPr>
        <w:t>Financial Action Task Force (FATF)</w:t>
      </w:r>
      <w:r w:rsidR="001646E2" w:rsidRPr="002B0530">
        <w:rPr>
          <w:rFonts w:ascii="Times New Roman" w:hAnsi="Times New Roman" w:cs="Times New Roman"/>
          <w:sz w:val="25"/>
          <w:szCs w:val="25"/>
        </w:rPr>
        <w:t xml:space="preserve"> was established in July1989 as an inter-governmental group by a Group of Seven (G-7) Summit in Paris. It has since been globally recognised</w:t>
      </w:r>
      <w:r w:rsidR="0000448C">
        <w:rPr>
          <w:rFonts w:ascii="Times New Roman" w:hAnsi="Times New Roman" w:cs="Times New Roman"/>
          <w:sz w:val="25"/>
          <w:szCs w:val="25"/>
        </w:rPr>
        <w:t>, including Seychelles,</w:t>
      </w:r>
      <w:r w:rsidR="001646E2" w:rsidRPr="002B0530">
        <w:rPr>
          <w:rFonts w:ascii="Times New Roman" w:hAnsi="Times New Roman" w:cs="Times New Roman"/>
          <w:sz w:val="25"/>
          <w:szCs w:val="25"/>
        </w:rPr>
        <w:t xml:space="preserve"> as an authoritative body setting universal standards and developing policies for combating, amongst other, money laundering. In 2003 it issued a specific recommendation, which was calling for confiscation</w:t>
      </w:r>
      <w:r w:rsidR="002B0530" w:rsidRPr="002B0530">
        <w:rPr>
          <w:rFonts w:ascii="Times New Roman" w:hAnsi="Times New Roman" w:cs="Times New Roman"/>
          <w:sz w:val="25"/>
          <w:szCs w:val="25"/>
        </w:rPr>
        <w:t xml:space="preserve"> even in the absence of a prior </w:t>
      </w:r>
      <w:r w:rsidR="001646E2" w:rsidRPr="002B0530">
        <w:rPr>
          <w:rFonts w:ascii="Times New Roman" w:hAnsi="Times New Roman" w:cs="Times New Roman"/>
          <w:sz w:val="25"/>
          <w:szCs w:val="25"/>
        </w:rPr>
        <w:t xml:space="preserve">criminal conviction </w:t>
      </w:r>
      <w:r w:rsidR="00960566">
        <w:rPr>
          <w:rFonts w:ascii="Times New Roman" w:hAnsi="Times New Roman" w:cs="Times New Roman"/>
          <w:sz w:val="25"/>
          <w:szCs w:val="25"/>
        </w:rPr>
        <w:t>(known as Recommendation no.</w:t>
      </w:r>
      <w:r w:rsidR="002B0530" w:rsidRPr="002B0530">
        <w:rPr>
          <w:rFonts w:ascii="Times New Roman" w:hAnsi="Times New Roman" w:cs="Times New Roman"/>
          <w:sz w:val="25"/>
          <w:szCs w:val="25"/>
        </w:rPr>
        <w:t xml:space="preserve">3), which was to the effect that </w:t>
      </w:r>
      <w:r w:rsidR="008F6017">
        <w:rPr>
          <w:rFonts w:ascii="Times New Roman" w:hAnsi="Times New Roman" w:cs="Times New Roman"/>
          <w:sz w:val="25"/>
          <w:szCs w:val="25"/>
        </w:rPr>
        <w:t>c</w:t>
      </w:r>
      <w:r w:rsidR="001646E2" w:rsidRPr="002B0530">
        <w:rPr>
          <w:rFonts w:ascii="Times New Roman" w:hAnsi="Times New Roman" w:cs="Times New Roman"/>
          <w:sz w:val="25"/>
          <w:szCs w:val="25"/>
        </w:rPr>
        <w:t>ountries may consider adopting measu</w:t>
      </w:r>
      <w:r w:rsidR="002B0530" w:rsidRPr="002B0530">
        <w:rPr>
          <w:rFonts w:ascii="Times New Roman" w:hAnsi="Times New Roman" w:cs="Times New Roman"/>
          <w:sz w:val="25"/>
          <w:szCs w:val="25"/>
        </w:rPr>
        <w:t xml:space="preserve">res that allow such proceeds or </w:t>
      </w:r>
      <w:r w:rsidR="001646E2" w:rsidRPr="002B0530">
        <w:rPr>
          <w:rFonts w:ascii="Times New Roman" w:hAnsi="Times New Roman" w:cs="Times New Roman"/>
          <w:sz w:val="25"/>
          <w:szCs w:val="25"/>
        </w:rPr>
        <w:t xml:space="preserve">instrumentalities to be confiscated without requiring </w:t>
      </w:r>
      <w:r w:rsidR="002B0530" w:rsidRPr="002B0530">
        <w:rPr>
          <w:rFonts w:ascii="Times New Roman" w:hAnsi="Times New Roman" w:cs="Times New Roman"/>
          <w:sz w:val="25"/>
          <w:szCs w:val="25"/>
        </w:rPr>
        <w:t xml:space="preserve">a criminal conviction, or which </w:t>
      </w:r>
      <w:r w:rsidR="001646E2" w:rsidRPr="002B0530">
        <w:rPr>
          <w:rFonts w:ascii="Times New Roman" w:hAnsi="Times New Roman" w:cs="Times New Roman"/>
          <w:sz w:val="25"/>
          <w:szCs w:val="25"/>
        </w:rPr>
        <w:t>require an offender to demonstrate the lawful origin of</w:t>
      </w:r>
      <w:r w:rsidR="002B0530" w:rsidRPr="002B0530">
        <w:rPr>
          <w:rFonts w:ascii="Times New Roman" w:hAnsi="Times New Roman" w:cs="Times New Roman"/>
          <w:sz w:val="25"/>
          <w:szCs w:val="25"/>
        </w:rPr>
        <w:t xml:space="preserve"> the property alleged to be </w:t>
      </w:r>
      <w:r w:rsidR="001646E2" w:rsidRPr="002B0530">
        <w:rPr>
          <w:rFonts w:ascii="Times New Roman" w:hAnsi="Times New Roman" w:cs="Times New Roman"/>
          <w:sz w:val="25"/>
          <w:szCs w:val="25"/>
        </w:rPr>
        <w:t>liable to confiscation, to the extent that such a req</w:t>
      </w:r>
      <w:r w:rsidR="002B0530" w:rsidRPr="002B0530">
        <w:rPr>
          <w:rFonts w:ascii="Times New Roman" w:hAnsi="Times New Roman" w:cs="Times New Roman"/>
          <w:sz w:val="25"/>
          <w:szCs w:val="25"/>
        </w:rPr>
        <w:t xml:space="preserve">uirement is consistent with the </w:t>
      </w:r>
      <w:r w:rsidR="001646E2" w:rsidRPr="002B0530">
        <w:rPr>
          <w:rFonts w:ascii="Times New Roman" w:hAnsi="Times New Roman" w:cs="Times New Roman"/>
          <w:sz w:val="25"/>
          <w:szCs w:val="25"/>
        </w:rPr>
        <w:t>pr</w:t>
      </w:r>
      <w:r w:rsidR="002B0530">
        <w:rPr>
          <w:rFonts w:ascii="Times New Roman" w:hAnsi="Times New Roman" w:cs="Times New Roman"/>
          <w:sz w:val="25"/>
          <w:szCs w:val="25"/>
        </w:rPr>
        <w:t>inciples of their domestic law.</w:t>
      </w:r>
    </w:p>
    <w:p w14:paraId="5C7EFA63" w14:textId="45EFBC6E" w:rsidR="001B76AB" w:rsidRPr="001B76AB" w:rsidRDefault="001B76AB" w:rsidP="001B76AB">
      <w:pPr>
        <w:pStyle w:val="NoSpacing"/>
        <w:numPr>
          <w:ilvl w:val="0"/>
          <w:numId w:val="20"/>
        </w:numPr>
        <w:jc w:val="both"/>
        <w:rPr>
          <w:rFonts w:ascii="Times New Roman" w:hAnsi="Times New Roman" w:cs="Times New Roman"/>
          <w:sz w:val="25"/>
          <w:szCs w:val="25"/>
        </w:rPr>
      </w:pPr>
      <w:r>
        <w:rPr>
          <w:rFonts w:ascii="Times New Roman" w:hAnsi="Times New Roman" w:cs="Times New Roman"/>
          <w:sz w:val="25"/>
          <w:szCs w:val="25"/>
        </w:rPr>
        <w:t xml:space="preserve">The ECHR in the case of </w:t>
      </w:r>
      <w:r w:rsidRPr="001B76AB">
        <w:rPr>
          <w:rFonts w:ascii="Times New Roman" w:hAnsi="Times New Roman" w:cs="Times New Roman"/>
          <w:b/>
          <w:sz w:val="25"/>
          <w:szCs w:val="25"/>
        </w:rPr>
        <w:t>Gogitidze and Others V Georgia (Application no. 36862/05) 12 May 2015</w:t>
      </w:r>
      <w:r>
        <w:rPr>
          <w:rFonts w:ascii="Times New Roman" w:hAnsi="Times New Roman" w:cs="Times New Roman"/>
          <w:sz w:val="25"/>
          <w:szCs w:val="25"/>
        </w:rPr>
        <w:t>, observed that “</w:t>
      </w:r>
      <w:r w:rsidRPr="001B76AB">
        <w:rPr>
          <w:rFonts w:ascii="Times New Roman" w:hAnsi="Times New Roman" w:cs="Times New Roman"/>
          <w:i/>
          <w:sz w:val="25"/>
          <w:szCs w:val="25"/>
        </w:rPr>
        <w:t xml:space="preserve">Having regard to such international legal mechanisms as the 2005 UNCAC, FATF, Recommendations and the two relevant Council of Europe Conventions of 1990 and 2005 concerning confiscation of the proceeds of crime that common European and even universal legal standards can be said to exist which encourage, firstly, the confiscation of property linked to serious criminal offences such as corruption, money laundering, drug offences and so on, </w:t>
      </w:r>
      <w:r w:rsidRPr="00275C79">
        <w:rPr>
          <w:rFonts w:ascii="Times New Roman" w:hAnsi="Times New Roman" w:cs="Times New Roman"/>
          <w:i/>
          <w:sz w:val="25"/>
          <w:szCs w:val="25"/>
          <w:u w:val="single"/>
        </w:rPr>
        <w:t>without the prior existence of a criminal conviction</w:t>
      </w:r>
      <w:r w:rsidRPr="001B76AB">
        <w:rPr>
          <w:rFonts w:ascii="Times New Roman" w:hAnsi="Times New Roman" w:cs="Times New Roman"/>
          <w:i/>
          <w:sz w:val="25"/>
          <w:szCs w:val="25"/>
        </w:rPr>
        <w:t>. Secondly</w:t>
      </w:r>
      <w:r w:rsidRPr="00275C79">
        <w:rPr>
          <w:rFonts w:ascii="Times New Roman" w:hAnsi="Times New Roman" w:cs="Times New Roman"/>
          <w:i/>
          <w:sz w:val="25"/>
          <w:szCs w:val="25"/>
          <w:u w:val="single"/>
        </w:rPr>
        <w:t xml:space="preserve">, the onus of proving the </w:t>
      </w:r>
      <w:r w:rsidRPr="00275C79">
        <w:rPr>
          <w:rFonts w:ascii="Times New Roman" w:hAnsi="Times New Roman" w:cs="Times New Roman"/>
          <w:i/>
          <w:sz w:val="25"/>
          <w:szCs w:val="25"/>
          <w:u w:val="single"/>
        </w:rPr>
        <w:lastRenderedPageBreak/>
        <w:t>lawful origin of the property presumed to have been wrongfully acquired may legitimately be shifted onto the respondents in such non-criminal proceedings for confiscation, including civil proceedings in rem.</w:t>
      </w:r>
      <w:r w:rsidRPr="001B76AB">
        <w:rPr>
          <w:rFonts w:ascii="Times New Roman" w:hAnsi="Times New Roman" w:cs="Times New Roman"/>
          <w:i/>
          <w:sz w:val="25"/>
          <w:szCs w:val="25"/>
        </w:rPr>
        <w:t xml:space="preserve"> Thirdly, confiscation measures may be applied </w:t>
      </w:r>
      <w:r w:rsidRPr="00275C79">
        <w:rPr>
          <w:rFonts w:ascii="Times New Roman" w:hAnsi="Times New Roman" w:cs="Times New Roman"/>
          <w:i/>
          <w:sz w:val="25"/>
          <w:szCs w:val="25"/>
          <w:u w:val="single"/>
        </w:rPr>
        <w:t>not only to the direct proceeds of crime but also to property, including any incomes and other indirect benefits, obtained by converting or transforming the direct proceeds of crime or intermingling them with other, possibly lawful, assets</w:t>
      </w:r>
      <w:r w:rsidRPr="001B76AB">
        <w:rPr>
          <w:rFonts w:ascii="Times New Roman" w:hAnsi="Times New Roman" w:cs="Times New Roman"/>
          <w:i/>
          <w:sz w:val="25"/>
          <w:szCs w:val="25"/>
        </w:rPr>
        <w:t xml:space="preserve">. Finally, </w:t>
      </w:r>
      <w:r w:rsidRPr="00775885">
        <w:rPr>
          <w:rFonts w:ascii="Times New Roman" w:hAnsi="Times New Roman" w:cs="Times New Roman"/>
          <w:i/>
          <w:sz w:val="25"/>
          <w:szCs w:val="25"/>
          <w:u w:val="single"/>
        </w:rPr>
        <w:t>confiscation measures may be applied</w:t>
      </w:r>
      <w:r w:rsidRPr="001B76AB">
        <w:rPr>
          <w:rFonts w:ascii="Times New Roman" w:hAnsi="Times New Roman" w:cs="Times New Roman"/>
          <w:i/>
          <w:sz w:val="25"/>
          <w:szCs w:val="25"/>
        </w:rPr>
        <w:t xml:space="preserve"> not only to persons directly suspected of criminal offences but also </w:t>
      </w:r>
      <w:r w:rsidRPr="00775885">
        <w:rPr>
          <w:rFonts w:ascii="Times New Roman" w:hAnsi="Times New Roman" w:cs="Times New Roman"/>
          <w:i/>
          <w:sz w:val="25"/>
          <w:szCs w:val="25"/>
          <w:u w:val="single"/>
        </w:rPr>
        <w:t>to any third parties which hold ownership rights without the requisite bona fide with a view to disguising their wrongful role in amassing the wealth in question</w:t>
      </w:r>
      <w:r w:rsidRPr="001B76AB">
        <w:rPr>
          <w:rFonts w:ascii="Times New Roman" w:hAnsi="Times New Roman" w:cs="Times New Roman"/>
          <w:sz w:val="25"/>
          <w:szCs w:val="25"/>
        </w:rPr>
        <w:t>.</w:t>
      </w:r>
      <w:r>
        <w:rPr>
          <w:rFonts w:ascii="Times New Roman" w:hAnsi="Times New Roman" w:cs="Times New Roman"/>
          <w:sz w:val="25"/>
          <w:szCs w:val="25"/>
        </w:rPr>
        <w:t>”</w:t>
      </w:r>
    </w:p>
    <w:p w14:paraId="428685BB" w14:textId="77777777" w:rsidR="002B0530" w:rsidRDefault="002B0530" w:rsidP="002B0530">
      <w:pPr>
        <w:pStyle w:val="ListParagraph"/>
        <w:spacing w:line="240" w:lineRule="auto"/>
        <w:jc w:val="both"/>
        <w:rPr>
          <w:rFonts w:ascii="Times New Roman" w:hAnsi="Times New Roman" w:cs="Times New Roman"/>
          <w:sz w:val="25"/>
          <w:szCs w:val="25"/>
        </w:rPr>
      </w:pPr>
    </w:p>
    <w:p w14:paraId="4D58418E" w14:textId="77777777" w:rsidR="00597F08" w:rsidRDefault="000452BF" w:rsidP="00597F08">
      <w:pPr>
        <w:pStyle w:val="ListParagraph"/>
        <w:numPr>
          <w:ilvl w:val="0"/>
          <w:numId w:val="20"/>
        </w:numPr>
        <w:spacing w:line="240" w:lineRule="auto"/>
        <w:jc w:val="both"/>
        <w:rPr>
          <w:rFonts w:ascii="Times New Roman" w:hAnsi="Times New Roman" w:cs="Times New Roman"/>
          <w:sz w:val="25"/>
          <w:szCs w:val="25"/>
        </w:rPr>
      </w:pPr>
      <w:r w:rsidRPr="002B0530">
        <w:rPr>
          <w:rFonts w:ascii="Times New Roman" w:hAnsi="Times New Roman" w:cs="Times New Roman"/>
          <w:sz w:val="25"/>
          <w:szCs w:val="25"/>
        </w:rPr>
        <w:t>In the affidavit supporting the application under section 5 of POCA, for disposal of property, Assistant Commissioner, Jean Celliers</w:t>
      </w:r>
      <w:r w:rsidR="00E146D5" w:rsidRPr="002B0530">
        <w:rPr>
          <w:rFonts w:ascii="Times New Roman" w:hAnsi="Times New Roman" w:cs="Times New Roman"/>
          <w:sz w:val="25"/>
          <w:szCs w:val="25"/>
        </w:rPr>
        <w:t>,</w:t>
      </w:r>
      <w:r w:rsidRPr="002B0530">
        <w:rPr>
          <w:rFonts w:ascii="Times New Roman" w:hAnsi="Times New Roman" w:cs="Times New Roman"/>
          <w:sz w:val="25"/>
          <w:szCs w:val="25"/>
        </w:rPr>
        <w:t xml:space="preserve"> had summarized the criminal conduct of the Appellants’ in this case as stated at paragraph 8 of the judgment as follows: “</w:t>
      </w:r>
      <w:r w:rsidRPr="00122E79">
        <w:rPr>
          <w:rFonts w:ascii="Times New Roman" w:hAnsi="Times New Roman" w:cs="Times New Roman"/>
          <w:sz w:val="25"/>
          <w:szCs w:val="25"/>
        </w:rPr>
        <w:t>The fraud believed to have been committed by the Respondents [</w:t>
      </w:r>
      <w:r w:rsidRPr="00122E79">
        <w:rPr>
          <w:rFonts w:ascii="Times New Roman" w:hAnsi="Times New Roman" w:cs="Times New Roman"/>
          <w:i/>
          <w:sz w:val="25"/>
          <w:szCs w:val="25"/>
        </w:rPr>
        <w:t>Appellants before this Court</w:t>
      </w:r>
      <w:r w:rsidRPr="00122E79">
        <w:rPr>
          <w:rFonts w:ascii="Times New Roman" w:hAnsi="Times New Roman" w:cs="Times New Roman"/>
          <w:sz w:val="25"/>
          <w:szCs w:val="25"/>
        </w:rPr>
        <w:t xml:space="preserve">] consisted of the </w:t>
      </w:r>
      <w:r w:rsidRPr="0000448C">
        <w:rPr>
          <w:rFonts w:ascii="Times New Roman" w:hAnsi="Times New Roman" w:cs="Times New Roman"/>
          <w:sz w:val="25"/>
          <w:szCs w:val="25"/>
        </w:rPr>
        <w:t xml:space="preserve">diversion of part of a subsidy paid </w:t>
      </w:r>
      <w:r w:rsidRPr="00122E79">
        <w:rPr>
          <w:rFonts w:ascii="Times New Roman" w:hAnsi="Times New Roman" w:cs="Times New Roman"/>
          <w:sz w:val="25"/>
          <w:szCs w:val="25"/>
        </w:rPr>
        <w:t xml:space="preserve">by the European Union for new technology and machinery associated with waste management in the Czech Republic, Hungary and Poland for the benefit of a Czech group of companies (Exelsior Group Ltd, hereinafter Exelsior) to be supplied by a UK company, FPR Engineering Limited (a shell company, herein after FPR) </w:t>
      </w:r>
      <w:r w:rsidRPr="0000448C">
        <w:rPr>
          <w:rFonts w:ascii="Times New Roman" w:hAnsi="Times New Roman" w:cs="Times New Roman"/>
          <w:sz w:val="25"/>
          <w:szCs w:val="25"/>
        </w:rPr>
        <w:t xml:space="preserve">to the Respondents in Seychelles </w:t>
      </w:r>
      <w:r w:rsidRPr="00122E79">
        <w:rPr>
          <w:rFonts w:ascii="Times New Roman" w:hAnsi="Times New Roman" w:cs="Times New Roman"/>
          <w:sz w:val="25"/>
          <w:szCs w:val="25"/>
        </w:rPr>
        <w:t>and that this conduct further amounted to mo</w:t>
      </w:r>
      <w:r w:rsidR="007A3204">
        <w:rPr>
          <w:rFonts w:ascii="Times New Roman" w:hAnsi="Times New Roman" w:cs="Times New Roman"/>
          <w:sz w:val="25"/>
          <w:szCs w:val="25"/>
        </w:rPr>
        <w:t xml:space="preserve">ney laundering”. </w:t>
      </w:r>
      <w:r w:rsidRPr="002B0530">
        <w:rPr>
          <w:rFonts w:ascii="Times New Roman" w:hAnsi="Times New Roman" w:cs="Times New Roman"/>
          <w:sz w:val="25"/>
          <w:szCs w:val="25"/>
        </w:rPr>
        <w:t>It was the position of Superintendent Prinsloo that the stages of money laundering are all evident in the transactions, namely ‘the placement stage’, ‘the integration stage’, and ‘the layering stage’.</w:t>
      </w:r>
    </w:p>
    <w:p w14:paraId="35BAC480" w14:textId="77777777" w:rsidR="00597F08" w:rsidRPr="00597F08" w:rsidRDefault="00597F08" w:rsidP="00597F08">
      <w:pPr>
        <w:pStyle w:val="ListParagraph"/>
        <w:rPr>
          <w:rFonts w:ascii="Times New Roman" w:hAnsi="Times New Roman" w:cs="Times New Roman"/>
          <w:sz w:val="25"/>
          <w:szCs w:val="25"/>
        </w:rPr>
      </w:pPr>
    </w:p>
    <w:p w14:paraId="3C347D4B" w14:textId="7EF079E3" w:rsidR="00BB3990" w:rsidRPr="00F449D9" w:rsidRDefault="000452BF" w:rsidP="00BB3990">
      <w:pPr>
        <w:pStyle w:val="ListParagraph"/>
        <w:numPr>
          <w:ilvl w:val="0"/>
          <w:numId w:val="20"/>
        </w:numPr>
        <w:spacing w:line="240" w:lineRule="auto"/>
        <w:jc w:val="both"/>
        <w:rPr>
          <w:rFonts w:ascii="Times New Roman" w:hAnsi="Times New Roman" w:cs="Times New Roman"/>
          <w:sz w:val="25"/>
          <w:szCs w:val="25"/>
        </w:rPr>
      </w:pPr>
      <w:r w:rsidRPr="00E47C38">
        <w:rPr>
          <w:rFonts w:ascii="Times New Roman" w:hAnsi="Times New Roman" w:cs="Times New Roman"/>
          <w:b/>
          <w:sz w:val="25"/>
          <w:szCs w:val="25"/>
        </w:rPr>
        <w:t>Section 5 (3) of POCA</w:t>
      </w:r>
      <w:r w:rsidR="00597F08" w:rsidRPr="00597F08">
        <w:rPr>
          <w:rFonts w:ascii="Times New Roman" w:hAnsi="Times New Roman" w:cs="Times New Roman"/>
          <w:sz w:val="25"/>
          <w:szCs w:val="25"/>
        </w:rPr>
        <w:t xml:space="preserve"> states: </w:t>
      </w:r>
      <w:r w:rsidR="00597F08">
        <w:rPr>
          <w:rFonts w:ascii="Times New Roman" w:hAnsi="Times New Roman" w:cs="Times New Roman"/>
          <w:sz w:val="25"/>
          <w:szCs w:val="25"/>
        </w:rPr>
        <w:t>“</w:t>
      </w:r>
      <w:r w:rsidR="00597F08" w:rsidRPr="00597F08">
        <w:rPr>
          <w:rFonts w:ascii="Times New Roman" w:hAnsi="Times New Roman" w:cs="Times New Roman"/>
          <w:i/>
          <w:sz w:val="25"/>
          <w:szCs w:val="25"/>
        </w:rPr>
        <w:t>The Court shall make a </w:t>
      </w:r>
      <w:hyperlink r:id="rId22" w:anchor="defn-term-disposal_order" w:history="1">
        <w:r w:rsidR="00597F08" w:rsidRPr="00597F08">
          <w:rPr>
            <w:rFonts w:ascii="Times New Roman" w:hAnsi="Times New Roman" w:cs="Times New Roman"/>
            <w:i/>
            <w:sz w:val="25"/>
            <w:szCs w:val="25"/>
          </w:rPr>
          <w:t>disposal order</w:t>
        </w:r>
      </w:hyperlink>
      <w:r w:rsidR="00597F08" w:rsidRPr="00597F08">
        <w:rPr>
          <w:rFonts w:ascii="Times New Roman" w:hAnsi="Times New Roman" w:cs="Times New Roman"/>
          <w:i/>
          <w:sz w:val="25"/>
          <w:szCs w:val="25"/>
        </w:rPr>
        <w:t> in relation to any </w:t>
      </w:r>
      <w:hyperlink r:id="rId23" w:anchor="defn-term-property" w:history="1">
        <w:r w:rsidR="00597F08" w:rsidRPr="00597F08">
          <w:rPr>
            <w:rFonts w:ascii="Times New Roman" w:hAnsi="Times New Roman" w:cs="Times New Roman"/>
            <w:i/>
            <w:sz w:val="25"/>
            <w:szCs w:val="25"/>
          </w:rPr>
          <w:t>property</w:t>
        </w:r>
      </w:hyperlink>
      <w:r w:rsidR="00597F08" w:rsidRPr="00597F08">
        <w:rPr>
          <w:rFonts w:ascii="Times New Roman" w:hAnsi="Times New Roman" w:cs="Times New Roman"/>
          <w:i/>
          <w:sz w:val="25"/>
          <w:szCs w:val="25"/>
        </w:rPr>
        <w:t>, the subject of an application</w:t>
      </w:r>
      <w:r w:rsidR="00597F08" w:rsidRPr="00597F08">
        <w:rPr>
          <w:rFonts w:ascii="Book Antiqua" w:hAnsi="Book Antiqua"/>
          <w:i/>
          <w:color w:val="4A4A4A"/>
          <w:sz w:val="23"/>
          <w:szCs w:val="23"/>
          <w:shd w:val="clear" w:color="auto" w:fill="FFFFFF"/>
        </w:rPr>
        <w:t xml:space="preserve"> </w:t>
      </w:r>
      <w:r w:rsidR="00597F08" w:rsidRPr="00597F08">
        <w:rPr>
          <w:rFonts w:ascii="Times New Roman" w:hAnsi="Times New Roman" w:cs="Times New Roman"/>
          <w:i/>
          <w:sz w:val="25"/>
          <w:szCs w:val="25"/>
        </w:rPr>
        <w:t xml:space="preserve">under subsection (1) </w:t>
      </w:r>
      <w:r w:rsidR="00597F08" w:rsidRPr="007E57C3">
        <w:rPr>
          <w:rFonts w:ascii="Times New Roman" w:hAnsi="Times New Roman" w:cs="Times New Roman"/>
          <w:i/>
          <w:sz w:val="25"/>
          <w:szCs w:val="25"/>
          <w:u w:val="single"/>
        </w:rPr>
        <w:t xml:space="preserve">unless it is shown to its satisfaction </w:t>
      </w:r>
      <w:r w:rsidR="00597F08" w:rsidRPr="007E57C3">
        <w:rPr>
          <w:rFonts w:ascii="Times New Roman" w:hAnsi="Times New Roman" w:cs="Times New Roman"/>
          <w:b/>
          <w:i/>
          <w:sz w:val="25"/>
          <w:szCs w:val="25"/>
          <w:u w:val="single"/>
        </w:rPr>
        <w:t>by the </w:t>
      </w:r>
      <w:hyperlink r:id="rId24" w:anchor="defn-term-respondent" w:history="1">
        <w:r w:rsidR="00597F08" w:rsidRPr="007E57C3">
          <w:rPr>
            <w:rFonts w:ascii="Times New Roman" w:hAnsi="Times New Roman" w:cs="Times New Roman"/>
            <w:b/>
            <w:i/>
            <w:sz w:val="25"/>
            <w:szCs w:val="25"/>
            <w:u w:val="single"/>
          </w:rPr>
          <w:t>respondent</w:t>
        </w:r>
      </w:hyperlink>
      <w:r w:rsidR="00597F08">
        <w:rPr>
          <w:rFonts w:ascii="Times New Roman" w:hAnsi="Times New Roman" w:cs="Times New Roman"/>
          <w:sz w:val="25"/>
          <w:szCs w:val="25"/>
        </w:rPr>
        <w:t>…</w:t>
      </w:r>
      <w:r w:rsidRPr="00597F08">
        <w:rPr>
          <w:rFonts w:ascii="Times New Roman" w:hAnsi="Times New Roman" w:cs="Times New Roman"/>
          <w:i/>
          <w:sz w:val="25"/>
          <w:szCs w:val="25"/>
        </w:rPr>
        <w:t>that the property does not constitute, directly or indirectly, proceeds of criminal conduct and was not acquired, in whole or in part, with or in connection with property that, directly or indirectly constitut</w:t>
      </w:r>
      <w:r w:rsidR="00E146D5" w:rsidRPr="00597F08">
        <w:rPr>
          <w:rFonts w:ascii="Times New Roman" w:hAnsi="Times New Roman" w:cs="Times New Roman"/>
          <w:i/>
          <w:sz w:val="25"/>
          <w:szCs w:val="25"/>
        </w:rPr>
        <w:t>es proceeds of criminal conduct</w:t>
      </w:r>
      <w:r w:rsidR="00BB3990" w:rsidRPr="00597F08">
        <w:rPr>
          <w:rFonts w:ascii="Times New Roman" w:hAnsi="Times New Roman" w:cs="Times New Roman"/>
          <w:sz w:val="25"/>
          <w:szCs w:val="25"/>
        </w:rPr>
        <w:t>”</w:t>
      </w:r>
      <w:r w:rsidR="00597F08">
        <w:rPr>
          <w:rFonts w:ascii="Times New Roman" w:hAnsi="Times New Roman" w:cs="Times New Roman"/>
          <w:sz w:val="25"/>
          <w:szCs w:val="25"/>
        </w:rPr>
        <w:t xml:space="preserve">. Thus at the stage of section 5(3) the burden shifts entirely to the person against whom an application under section 5 of POCA has been made and there is no burden on the </w:t>
      </w:r>
      <w:r w:rsidR="008E0424">
        <w:rPr>
          <w:rFonts w:ascii="Times New Roman" w:hAnsi="Times New Roman" w:cs="Times New Roman"/>
          <w:sz w:val="25"/>
          <w:szCs w:val="25"/>
        </w:rPr>
        <w:t>applicant who is seeking</w:t>
      </w:r>
      <w:r w:rsidR="00597F08">
        <w:rPr>
          <w:rFonts w:ascii="Times New Roman" w:hAnsi="Times New Roman" w:cs="Times New Roman"/>
          <w:sz w:val="25"/>
          <w:szCs w:val="25"/>
        </w:rPr>
        <w:t xml:space="preserve"> the disposal order. </w:t>
      </w:r>
      <w:r w:rsidRPr="00597F08">
        <w:rPr>
          <w:rFonts w:ascii="Times New Roman" w:hAnsi="Times New Roman" w:cs="Times New Roman"/>
          <w:sz w:val="25"/>
          <w:szCs w:val="25"/>
        </w:rPr>
        <w:t xml:space="preserve">The learned Judge has referred to this at paragraph 66 of the judgment. </w:t>
      </w:r>
      <w:r w:rsidR="00477808" w:rsidRPr="00597F08">
        <w:rPr>
          <w:rFonts w:ascii="Times New Roman" w:hAnsi="Times New Roman" w:cs="Times New Roman"/>
          <w:sz w:val="25"/>
          <w:szCs w:val="25"/>
        </w:rPr>
        <w:t>Given the ‘civil’ nature of the proceedings in question, it is acceptable that the burden of proof in the proceedings should be shifted on to the person against whom an application under section 5 of</w:t>
      </w:r>
      <w:r w:rsidR="00A868D8" w:rsidRPr="00597F08">
        <w:rPr>
          <w:rFonts w:ascii="Times New Roman" w:hAnsi="Times New Roman" w:cs="Times New Roman"/>
          <w:sz w:val="25"/>
          <w:szCs w:val="25"/>
        </w:rPr>
        <w:t xml:space="preserve"> POCA is made. Such civil mechanisms, involving the forfeiture of the proceeds of crime or otherwise unlawfully obtained or unexplained property</w:t>
      </w:r>
      <w:r w:rsidR="00431053">
        <w:rPr>
          <w:rFonts w:ascii="Times New Roman" w:hAnsi="Times New Roman" w:cs="Times New Roman"/>
          <w:sz w:val="25"/>
          <w:szCs w:val="25"/>
        </w:rPr>
        <w:t>,</w:t>
      </w:r>
      <w:r w:rsidR="00A868D8" w:rsidRPr="00597F08">
        <w:rPr>
          <w:rFonts w:ascii="Times New Roman" w:hAnsi="Times New Roman" w:cs="Times New Roman"/>
          <w:sz w:val="25"/>
          <w:szCs w:val="25"/>
        </w:rPr>
        <w:t xml:space="preserve"> are known in UK, Italy and the USA. See the ECHR cases of </w:t>
      </w:r>
      <w:r w:rsidR="00A868D8" w:rsidRPr="00597F08">
        <w:rPr>
          <w:rFonts w:ascii="Times New Roman" w:hAnsi="Times New Roman" w:cs="Times New Roman"/>
          <w:b/>
          <w:sz w:val="25"/>
          <w:szCs w:val="25"/>
        </w:rPr>
        <w:t>Raimondo V Italy</w:t>
      </w:r>
      <w:r w:rsidR="00665215" w:rsidRPr="00597F08">
        <w:rPr>
          <w:rFonts w:ascii="Times New Roman" w:hAnsi="Times New Roman" w:cs="Times New Roman"/>
          <w:sz w:val="25"/>
          <w:szCs w:val="25"/>
        </w:rPr>
        <w:t>,</w:t>
      </w:r>
      <w:r w:rsidR="00A868D8" w:rsidRPr="00597F08">
        <w:rPr>
          <w:rFonts w:ascii="Times New Roman" w:hAnsi="Times New Roman" w:cs="Times New Roman"/>
          <w:sz w:val="25"/>
          <w:szCs w:val="25"/>
        </w:rPr>
        <w:t xml:space="preserve"> </w:t>
      </w:r>
      <w:r w:rsidR="00665215" w:rsidRPr="00597F08">
        <w:rPr>
          <w:rFonts w:ascii="Arial" w:hAnsi="Arial" w:cs="Arial"/>
          <w:b/>
          <w:sz w:val="21"/>
          <w:szCs w:val="21"/>
          <w:shd w:val="clear" w:color="auto" w:fill="FFFFFF"/>
        </w:rPr>
        <w:t>(</w:t>
      </w:r>
      <w:r w:rsidR="00665215" w:rsidRPr="00597F08">
        <w:rPr>
          <w:rFonts w:ascii="Times New Roman" w:hAnsi="Times New Roman" w:cs="Times New Roman"/>
          <w:b/>
          <w:sz w:val="25"/>
          <w:szCs w:val="25"/>
        </w:rPr>
        <w:t xml:space="preserve">Application no. 12954/87), </w:t>
      </w:r>
      <w:r w:rsidR="00A868D8" w:rsidRPr="00597F08">
        <w:rPr>
          <w:rFonts w:ascii="Times New Roman" w:hAnsi="Times New Roman" w:cs="Times New Roman"/>
          <w:b/>
          <w:sz w:val="25"/>
          <w:szCs w:val="25"/>
        </w:rPr>
        <w:t>22 February 1994</w:t>
      </w:r>
      <w:r w:rsidR="00A868D8" w:rsidRPr="00597F08">
        <w:rPr>
          <w:rFonts w:ascii="Times New Roman" w:hAnsi="Times New Roman" w:cs="Times New Roman"/>
          <w:sz w:val="25"/>
          <w:szCs w:val="25"/>
        </w:rPr>
        <w:t xml:space="preserve">, and </w:t>
      </w:r>
      <w:r w:rsidR="00A868D8" w:rsidRPr="00597F08">
        <w:rPr>
          <w:rFonts w:ascii="Times New Roman" w:hAnsi="Times New Roman" w:cs="Times New Roman"/>
          <w:b/>
          <w:sz w:val="25"/>
          <w:szCs w:val="25"/>
        </w:rPr>
        <w:t>AGOSI V the United Kingdom</w:t>
      </w:r>
      <w:r w:rsidR="00A868D8" w:rsidRPr="00597F08">
        <w:rPr>
          <w:rFonts w:ascii="Times New Roman" w:hAnsi="Times New Roman" w:cs="Times New Roman"/>
          <w:sz w:val="25"/>
          <w:szCs w:val="25"/>
        </w:rPr>
        <w:t>,</w:t>
      </w:r>
      <w:r w:rsidR="00A868D8" w:rsidRPr="00597F08">
        <w:rPr>
          <w:rFonts w:ascii="Times New Roman" w:hAnsi="Times New Roman" w:cs="Times New Roman"/>
          <w:b/>
          <w:sz w:val="25"/>
          <w:szCs w:val="25"/>
        </w:rPr>
        <w:t xml:space="preserve"> (Application No 9118/80)24 October 1986</w:t>
      </w:r>
      <w:r w:rsidR="00A868D8" w:rsidRPr="00597F08">
        <w:rPr>
          <w:rFonts w:ascii="Times New Roman" w:hAnsi="Times New Roman" w:cs="Times New Roman"/>
          <w:sz w:val="25"/>
          <w:szCs w:val="25"/>
        </w:rPr>
        <w:t>.</w:t>
      </w:r>
      <w:r w:rsidR="00665215" w:rsidRPr="00597F08">
        <w:rPr>
          <w:rFonts w:ascii="Times New Roman" w:hAnsi="Times New Roman" w:cs="Times New Roman"/>
          <w:color w:val="00B050"/>
          <w:sz w:val="25"/>
          <w:szCs w:val="25"/>
        </w:rPr>
        <w:t xml:space="preserve"> </w:t>
      </w:r>
    </w:p>
    <w:p w14:paraId="62F495CF" w14:textId="77777777" w:rsidR="00D025FA" w:rsidRPr="00D025FA" w:rsidRDefault="00D025FA" w:rsidP="00D025FA">
      <w:pPr>
        <w:pStyle w:val="ListParagraph"/>
        <w:rPr>
          <w:rFonts w:ascii="Times New Roman" w:hAnsi="Times New Roman" w:cs="Times New Roman"/>
          <w:sz w:val="25"/>
          <w:szCs w:val="25"/>
        </w:rPr>
      </w:pPr>
    </w:p>
    <w:p w14:paraId="404281B9" w14:textId="2B53BD82" w:rsidR="00C005BF" w:rsidRPr="00D025FA" w:rsidRDefault="00665215" w:rsidP="00D025FA">
      <w:pPr>
        <w:pStyle w:val="ListParagraph"/>
        <w:numPr>
          <w:ilvl w:val="0"/>
          <w:numId w:val="20"/>
        </w:numPr>
        <w:spacing w:line="240" w:lineRule="auto"/>
        <w:jc w:val="both"/>
        <w:rPr>
          <w:rFonts w:ascii="Times New Roman" w:hAnsi="Times New Roman" w:cs="Times New Roman"/>
          <w:color w:val="00B050"/>
          <w:sz w:val="25"/>
          <w:szCs w:val="25"/>
        </w:rPr>
      </w:pPr>
      <w:r w:rsidRPr="00D025FA">
        <w:rPr>
          <w:rFonts w:ascii="Times New Roman" w:hAnsi="Times New Roman" w:cs="Times New Roman"/>
          <w:sz w:val="25"/>
          <w:szCs w:val="25"/>
        </w:rPr>
        <w:t>A reading of the judgment clearly shows that the learned Judge was very much aware of the standard of proof required in establishing a section 5 POCA application.</w:t>
      </w:r>
      <w:r w:rsidR="00D025FA" w:rsidRPr="00D025FA">
        <w:rPr>
          <w:rFonts w:ascii="Times New Roman" w:hAnsi="Times New Roman" w:cs="Times New Roman"/>
          <w:sz w:val="25"/>
          <w:szCs w:val="25"/>
        </w:rPr>
        <w:t xml:space="preserve"> </w:t>
      </w:r>
      <w:r w:rsidR="00D025FA" w:rsidRPr="00D025FA">
        <w:rPr>
          <w:rFonts w:ascii="Times New Roman" w:hAnsi="Times New Roman" w:cs="Times New Roman"/>
          <w:sz w:val="25"/>
          <w:szCs w:val="25"/>
        </w:rPr>
        <w:lastRenderedPageBreak/>
        <w:t>According to section 9(3) of POCA, the standard of proof required to determine any question arising under this Act, other than proceedings for an offence contrary to </w:t>
      </w:r>
      <w:hyperlink r:id="rId25" w:anchor="sec_23" w:history="1">
        <w:r w:rsidR="00D025FA" w:rsidRPr="00D025FA">
          <w:rPr>
            <w:rFonts w:ascii="Times New Roman" w:hAnsi="Times New Roman" w:cs="Times New Roman"/>
            <w:sz w:val="25"/>
            <w:szCs w:val="25"/>
          </w:rPr>
          <w:t>section 23</w:t>
        </w:r>
      </w:hyperlink>
      <w:r w:rsidR="00D025FA" w:rsidRPr="00D025FA">
        <w:rPr>
          <w:rFonts w:ascii="Times New Roman" w:hAnsi="Times New Roman" w:cs="Times New Roman"/>
          <w:sz w:val="25"/>
          <w:szCs w:val="25"/>
        </w:rPr>
        <w:t> shall be that applicable to civil proceedings.</w:t>
      </w:r>
      <w:r w:rsidR="00C005BF" w:rsidRPr="00D025FA">
        <w:rPr>
          <w:rFonts w:ascii="Times New Roman" w:hAnsi="Times New Roman" w:cs="Times New Roman"/>
          <w:sz w:val="25"/>
          <w:szCs w:val="25"/>
        </w:rPr>
        <w:t xml:space="preserve"> The ECHR in the case of </w:t>
      </w:r>
      <w:r w:rsidR="00C005BF" w:rsidRPr="00D025FA">
        <w:rPr>
          <w:rFonts w:ascii="Times New Roman" w:hAnsi="Times New Roman" w:cs="Times New Roman"/>
          <w:b/>
          <w:sz w:val="25"/>
          <w:szCs w:val="25"/>
        </w:rPr>
        <w:t>Gogitidze and Others V Georgia (Application no. 36862/05) 12 May 2015</w:t>
      </w:r>
      <w:r w:rsidR="00C005BF" w:rsidRPr="00D025FA">
        <w:rPr>
          <w:rFonts w:ascii="Times New Roman" w:hAnsi="Times New Roman" w:cs="Times New Roman"/>
          <w:sz w:val="25"/>
          <w:szCs w:val="25"/>
        </w:rPr>
        <w:t>, stated</w:t>
      </w:r>
      <w:r w:rsidR="004E15BC" w:rsidRPr="00D025FA">
        <w:rPr>
          <w:rFonts w:ascii="Times New Roman" w:hAnsi="Times New Roman" w:cs="Times New Roman"/>
          <w:sz w:val="25"/>
          <w:szCs w:val="25"/>
        </w:rPr>
        <w:t xml:space="preserve"> that</w:t>
      </w:r>
      <w:r w:rsidR="00C005BF" w:rsidRPr="00D025FA">
        <w:rPr>
          <w:rFonts w:ascii="Times New Roman" w:hAnsi="Times New Roman" w:cs="Times New Roman"/>
          <w:sz w:val="25"/>
          <w:szCs w:val="25"/>
        </w:rPr>
        <w:t xml:space="preserve">, whenever a confiscation order was the result of civil proceedings in rem which related to the proceeds of crime derived from </w:t>
      </w:r>
      <w:r w:rsidR="004E15BC" w:rsidRPr="00D025FA">
        <w:rPr>
          <w:rFonts w:ascii="Times New Roman" w:hAnsi="Times New Roman" w:cs="Times New Roman"/>
          <w:sz w:val="25"/>
          <w:szCs w:val="25"/>
        </w:rPr>
        <w:t xml:space="preserve">serious offences, </w:t>
      </w:r>
      <w:r w:rsidR="004E15BC" w:rsidRPr="00D025FA">
        <w:rPr>
          <w:rFonts w:ascii="Times New Roman" w:hAnsi="Times New Roman" w:cs="Times New Roman"/>
          <w:sz w:val="25"/>
          <w:szCs w:val="25"/>
          <w:u w:val="single"/>
        </w:rPr>
        <w:t>the court does</w:t>
      </w:r>
      <w:r w:rsidR="00C005BF" w:rsidRPr="00D025FA">
        <w:rPr>
          <w:rFonts w:ascii="Times New Roman" w:hAnsi="Times New Roman" w:cs="Times New Roman"/>
          <w:sz w:val="25"/>
          <w:szCs w:val="25"/>
          <w:u w:val="single"/>
        </w:rPr>
        <w:t xml:space="preserve"> not require proof “beyond reasonable doubt” of the illicit origins of the property in such proceedings. Instead, proof on a balance of probabilities or a high probability of illicit origins, combined with the inability of the o</w:t>
      </w:r>
      <w:r w:rsidR="004E15BC" w:rsidRPr="00D025FA">
        <w:rPr>
          <w:rFonts w:ascii="Times New Roman" w:hAnsi="Times New Roman" w:cs="Times New Roman"/>
          <w:sz w:val="25"/>
          <w:szCs w:val="25"/>
          <w:u w:val="single"/>
        </w:rPr>
        <w:t>wner to prove the contrary, would</w:t>
      </w:r>
      <w:r w:rsidR="00C005BF" w:rsidRPr="00D025FA">
        <w:rPr>
          <w:rFonts w:ascii="Times New Roman" w:hAnsi="Times New Roman" w:cs="Times New Roman"/>
          <w:sz w:val="25"/>
          <w:szCs w:val="25"/>
          <w:u w:val="single"/>
        </w:rPr>
        <w:t xml:space="preserve"> suffice</w:t>
      </w:r>
      <w:r w:rsidR="00C005BF" w:rsidRPr="00D025FA">
        <w:rPr>
          <w:rFonts w:ascii="Times New Roman" w:hAnsi="Times New Roman" w:cs="Times New Roman"/>
          <w:sz w:val="25"/>
          <w:szCs w:val="25"/>
        </w:rPr>
        <w:t>.</w:t>
      </w:r>
    </w:p>
    <w:p w14:paraId="59EA4DC9" w14:textId="77777777" w:rsidR="00C005BF" w:rsidRPr="00C005BF" w:rsidRDefault="00C005BF" w:rsidP="00C005BF">
      <w:pPr>
        <w:pStyle w:val="ListParagraph"/>
        <w:spacing w:line="240" w:lineRule="auto"/>
        <w:ind w:left="810"/>
        <w:jc w:val="both"/>
        <w:rPr>
          <w:rFonts w:ascii="Times New Roman" w:hAnsi="Times New Roman" w:cs="Times New Roman"/>
          <w:color w:val="00B050"/>
          <w:sz w:val="25"/>
          <w:szCs w:val="25"/>
        </w:rPr>
      </w:pPr>
    </w:p>
    <w:p w14:paraId="032A9873" w14:textId="01151AF8" w:rsidR="002B0530" w:rsidRDefault="000452BF" w:rsidP="002B0530">
      <w:pPr>
        <w:pStyle w:val="ListParagraph"/>
        <w:numPr>
          <w:ilvl w:val="0"/>
          <w:numId w:val="20"/>
        </w:numPr>
        <w:spacing w:line="240" w:lineRule="auto"/>
        <w:jc w:val="both"/>
        <w:rPr>
          <w:rFonts w:ascii="Times New Roman" w:hAnsi="Times New Roman" w:cs="Times New Roman"/>
          <w:sz w:val="25"/>
          <w:szCs w:val="25"/>
        </w:rPr>
      </w:pPr>
      <w:r w:rsidRPr="002B0530">
        <w:rPr>
          <w:rFonts w:ascii="Times New Roman" w:hAnsi="Times New Roman" w:cs="Times New Roman"/>
          <w:sz w:val="25"/>
          <w:szCs w:val="25"/>
        </w:rPr>
        <w:t>The learned Judge had at paragraph 63 of the judgment stated that no application was made</w:t>
      </w:r>
      <w:r w:rsidR="00E146D5" w:rsidRPr="002B0530">
        <w:rPr>
          <w:rFonts w:ascii="Times New Roman" w:hAnsi="Times New Roman" w:cs="Times New Roman"/>
          <w:sz w:val="25"/>
          <w:szCs w:val="25"/>
        </w:rPr>
        <w:t>, during the proceedings</w:t>
      </w:r>
      <w:r w:rsidRPr="002B0530">
        <w:rPr>
          <w:rFonts w:ascii="Times New Roman" w:hAnsi="Times New Roman" w:cs="Times New Roman"/>
          <w:sz w:val="25"/>
          <w:szCs w:val="25"/>
        </w:rPr>
        <w:t xml:space="preserve"> before the Supreme Court for a determination of whether there has been or is likely to be a contravention of the Appellants’ charter rights so as to refer the matter to the Constitutional Court. It is only if it had been done that the question whether the alleged complaint of contravention of the Constitution, was frivolous or vexatious or the issue raised had not previously been decided by the Constitutional Court or the Court of Appeal could have been determined, which is a sine qua non, prior to referral. It is to be noted that the </w:t>
      </w:r>
      <w:r w:rsidRPr="002B0530">
        <w:rPr>
          <w:rFonts w:ascii="Times New Roman" w:hAnsi="Times New Roman" w:cs="Times New Roman"/>
          <w:b/>
          <w:sz w:val="25"/>
          <w:szCs w:val="25"/>
        </w:rPr>
        <w:t>Constitution provides in article 26(2)(d)</w:t>
      </w:r>
      <w:r w:rsidRPr="002B0530">
        <w:rPr>
          <w:rFonts w:ascii="Times New Roman" w:hAnsi="Times New Roman" w:cs="Times New Roman"/>
          <w:sz w:val="25"/>
          <w:szCs w:val="25"/>
        </w:rPr>
        <w:t xml:space="preserve"> that the right to property may be subject to such limitations as may be prescribed by law and necessary in a democratic society in the case of property reasonably suspected of being acquired by the proceeds of drug trafficking or serious crime. </w:t>
      </w:r>
      <w:r w:rsidR="00477808">
        <w:rPr>
          <w:rFonts w:ascii="Times New Roman" w:hAnsi="Times New Roman" w:cs="Times New Roman"/>
          <w:sz w:val="25"/>
          <w:szCs w:val="25"/>
        </w:rPr>
        <w:t>I</w:t>
      </w:r>
      <w:r w:rsidR="00665215">
        <w:rPr>
          <w:rFonts w:ascii="Times New Roman" w:hAnsi="Times New Roman" w:cs="Times New Roman"/>
          <w:sz w:val="25"/>
          <w:szCs w:val="25"/>
        </w:rPr>
        <w:t>t is to be emphasized</w:t>
      </w:r>
      <w:r w:rsidR="00477808">
        <w:rPr>
          <w:rFonts w:ascii="Times New Roman" w:hAnsi="Times New Roman" w:cs="Times New Roman"/>
          <w:sz w:val="25"/>
          <w:szCs w:val="25"/>
        </w:rPr>
        <w:t xml:space="preserve"> that only lawfully obtained property enjoyed full constitutional protection.</w:t>
      </w:r>
      <w:r w:rsidRPr="002B0530">
        <w:rPr>
          <w:rFonts w:ascii="Times New Roman" w:hAnsi="Times New Roman" w:cs="Times New Roman"/>
          <w:sz w:val="25"/>
          <w:szCs w:val="25"/>
        </w:rPr>
        <w:t xml:space="preserve"> </w:t>
      </w:r>
      <w:r w:rsidR="00665215" w:rsidRPr="002B0530">
        <w:rPr>
          <w:rFonts w:ascii="Times New Roman" w:hAnsi="Times New Roman" w:cs="Times New Roman"/>
          <w:sz w:val="25"/>
          <w:szCs w:val="25"/>
        </w:rPr>
        <w:t>For the</w:t>
      </w:r>
      <w:r w:rsidR="0000448C">
        <w:rPr>
          <w:rFonts w:ascii="Times New Roman" w:hAnsi="Times New Roman" w:cs="Times New Roman"/>
          <w:sz w:val="25"/>
          <w:szCs w:val="25"/>
        </w:rPr>
        <w:t xml:space="preserve"> reasons set out in paragraphs 5 to 8</w:t>
      </w:r>
      <w:r w:rsidR="00665215" w:rsidRPr="002B0530">
        <w:rPr>
          <w:rFonts w:ascii="Times New Roman" w:hAnsi="Times New Roman" w:cs="Times New Roman"/>
          <w:sz w:val="25"/>
          <w:szCs w:val="25"/>
        </w:rPr>
        <w:t>,</w:t>
      </w:r>
      <w:r w:rsidR="0000448C">
        <w:rPr>
          <w:rFonts w:ascii="Times New Roman" w:hAnsi="Times New Roman" w:cs="Times New Roman"/>
          <w:sz w:val="25"/>
          <w:szCs w:val="25"/>
        </w:rPr>
        <w:t xml:space="preserve"> and 10 to 12</w:t>
      </w:r>
      <w:r w:rsidR="003E46AA">
        <w:rPr>
          <w:rFonts w:ascii="Times New Roman" w:hAnsi="Times New Roman" w:cs="Times New Roman"/>
          <w:sz w:val="25"/>
          <w:szCs w:val="25"/>
        </w:rPr>
        <w:t>,</w:t>
      </w:r>
      <w:r w:rsidR="00665215" w:rsidRPr="002B0530">
        <w:rPr>
          <w:rFonts w:ascii="Times New Roman" w:hAnsi="Times New Roman" w:cs="Times New Roman"/>
          <w:sz w:val="25"/>
          <w:szCs w:val="25"/>
        </w:rPr>
        <w:t xml:space="preserve"> I dismiss ground (a) of appeal.</w:t>
      </w:r>
      <w:r w:rsidR="00665215">
        <w:rPr>
          <w:rFonts w:ascii="Times New Roman" w:hAnsi="Times New Roman" w:cs="Times New Roman"/>
          <w:sz w:val="25"/>
          <w:szCs w:val="25"/>
        </w:rPr>
        <w:t xml:space="preserve"> </w:t>
      </w:r>
      <w:r w:rsidRPr="002B0530">
        <w:rPr>
          <w:rFonts w:ascii="Times New Roman" w:hAnsi="Times New Roman" w:cs="Times New Roman"/>
          <w:sz w:val="25"/>
          <w:szCs w:val="25"/>
        </w:rPr>
        <w:t xml:space="preserve">       </w:t>
      </w:r>
    </w:p>
    <w:p w14:paraId="710DA224" w14:textId="77777777" w:rsidR="002B0530" w:rsidRPr="002B0530" w:rsidRDefault="002B0530" w:rsidP="002B0530">
      <w:pPr>
        <w:pStyle w:val="ListParagraph"/>
        <w:rPr>
          <w:rFonts w:ascii="Times New Roman" w:hAnsi="Times New Roman" w:cs="Times New Roman"/>
          <w:sz w:val="25"/>
          <w:szCs w:val="25"/>
        </w:rPr>
      </w:pPr>
    </w:p>
    <w:p w14:paraId="6477E286" w14:textId="39DEABA4" w:rsidR="00122E79" w:rsidRPr="005F0F08" w:rsidRDefault="000452BF" w:rsidP="005F0F08">
      <w:pPr>
        <w:pStyle w:val="ListParagraph"/>
        <w:numPr>
          <w:ilvl w:val="0"/>
          <w:numId w:val="20"/>
        </w:numPr>
        <w:spacing w:line="240" w:lineRule="auto"/>
        <w:jc w:val="both"/>
        <w:rPr>
          <w:rFonts w:ascii="Times New Roman" w:hAnsi="Times New Roman" w:cs="Times New Roman"/>
          <w:color w:val="C00000"/>
          <w:sz w:val="25"/>
          <w:szCs w:val="25"/>
        </w:rPr>
      </w:pPr>
      <w:r w:rsidRPr="002B0530">
        <w:rPr>
          <w:rFonts w:ascii="Times New Roman" w:hAnsi="Times New Roman" w:cs="Times New Roman"/>
          <w:sz w:val="25"/>
          <w:szCs w:val="25"/>
        </w:rPr>
        <w:t>Grounds (b), (c), (d) and (e</w:t>
      </w:r>
      <w:r w:rsidR="00E146D5" w:rsidRPr="002B0530">
        <w:rPr>
          <w:rFonts w:ascii="Times New Roman" w:hAnsi="Times New Roman" w:cs="Times New Roman"/>
          <w:sz w:val="25"/>
          <w:szCs w:val="25"/>
        </w:rPr>
        <w:t>) of appeal,</w:t>
      </w:r>
      <w:r w:rsidRPr="002B0530">
        <w:rPr>
          <w:rFonts w:ascii="Times New Roman" w:hAnsi="Times New Roman" w:cs="Times New Roman"/>
          <w:sz w:val="25"/>
          <w:szCs w:val="25"/>
        </w:rPr>
        <w:t xml:space="preserve"> are almost to the same effect, namely the failure of the learned Trial Judge to hold that the Respondent failed to discharge its legal burden set out in POCA due to insufficiency of evidence. I find that the said ground</w:t>
      </w:r>
      <w:r w:rsidR="003E1F0B" w:rsidRPr="002B0530">
        <w:rPr>
          <w:rFonts w:ascii="Times New Roman" w:hAnsi="Times New Roman" w:cs="Times New Roman"/>
          <w:sz w:val="25"/>
          <w:szCs w:val="25"/>
        </w:rPr>
        <w:t>s</w:t>
      </w:r>
      <w:r w:rsidR="00E146D5" w:rsidRPr="002B0530">
        <w:rPr>
          <w:rFonts w:ascii="Times New Roman" w:hAnsi="Times New Roman" w:cs="Times New Roman"/>
          <w:sz w:val="25"/>
          <w:szCs w:val="25"/>
        </w:rPr>
        <w:t xml:space="preserve"> of appeal,</w:t>
      </w:r>
      <w:r w:rsidRPr="002B0530">
        <w:rPr>
          <w:rFonts w:ascii="Times New Roman" w:hAnsi="Times New Roman" w:cs="Times New Roman"/>
          <w:sz w:val="25"/>
          <w:szCs w:val="25"/>
        </w:rPr>
        <w:t xml:space="preserve"> do not </w:t>
      </w:r>
      <w:r w:rsidRPr="00733471">
        <w:rPr>
          <w:rFonts w:ascii="Times New Roman" w:hAnsi="Times New Roman" w:cs="Times New Roman"/>
          <w:sz w:val="25"/>
          <w:szCs w:val="25"/>
          <w:u w:val="single"/>
        </w:rPr>
        <w:t xml:space="preserve">set forth </w:t>
      </w:r>
      <w:r w:rsidR="00733471" w:rsidRPr="00733471">
        <w:rPr>
          <w:rFonts w:ascii="Times New Roman" w:hAnsi="Times New Roman" w:cs="Times New Roman"/>
          <w:sz w:val="25"/>
          <w:szCs w:val="25"/>
          <w:u w:val="single"/>
        </w:rPr>
        <w:t xml:space="preserve">in separate numbered paragraphs </w:t>
      </w:r>
      <w:r w:rsidRPr="00733471">
        <w:rPr>
          <w:rFonts w:ascii="Times New Roman" w:hAnsi="Times New Roman" w:cs="Times New Roman"/>
          <w:sz w:val="25"/>
          <w:szCs w:val="25"/>
          <w:u w:val="single"/>
        </w:rPr>
        <w:t>the</w:t>
      </w:r>
      <w:r w:rsidRPr="002B0530">
        <w:rPr>
          <w:rFonts w:ascii="Times New Roman" w:hAnsi="Times New Roman" w:cs="Times New Roman"/>
          <w:sz w:val="25"/>
          <w:szCs w:val="25"/>
          <w:u w:val="single"/>
        </w:rPr>
        <w:t xml:space="preserve"> findings of fact to which the </w:t>
      </w:r>
      <w:r w:rsidR="00F4724F" w:rsidRPr="002B0530">
        <w:rPr>
          <w:rFonts w:ascii="Times New Roman" w:hAnsi="Times New Roman" w:cs="Times New Roman"/>
          <w:sz w:val="25"/>
          <w:szCs w:val="25"/>
          <w:u w:val="single"/>
        </w:rPr>
        <w:t>Appellants</w:t>
      </w:r>
      <w:r w:rsidRPr="002B0530">
        <w:rPr>
          <w:rFonts w:ascii="Times New Roman" w:hAnsi="Times New Roman" w:cs="Times New Roman"/>
          <w:sz w:val="25"/>
          <w:szCs w:val="25"/>
          <w:u w:val="single"/>
        </w:rPr>
        <w:t xml:space="preserve"> are objecting</w:t>
      </w:r>
      <w:r w:rsidRPr="002B0530">
        <w:rPr>
          <w:rFonts w:ascii="Times New Roman" w:hAnsi="Times New Roman" w:cs="Times New Roman"/>
          <w:sz w:val="25"/>
          <w:szCs w:val="25"/>
        </w:rPr>
        <w:t xml:space="preserve">, and are therefore </w:t>
      </w:r>
      <w:r w:rsidRPr="00733471">
        <w:rPr>
          <w:rFonts w:ascii="Times New Roman" w:hAnsi="Times New Roman" w:cs="Times New Roman"/>
          <w:sz w:val="25"/>
          <w:szCs w:val="25"/>
          <w:u w:val="single"/>
        </w:rPr>
        <w:t>vague or general in terms</w:t>
      </w:r>
      <w:r w:rsidRPr="002B0530">
        <w:rPr>
          <w:rFonts w:ascii="Times New Roman" w:hAnsi="Times New Roman" w:cs="Times New Roman"/>
          <w:sz w:val="25"/>
          <w:szCs w:val="25"/>
        </w:rPr>
        <w:t>, thus in contravention of rules 18(3) and 18(7) of the Seychelles Court of Appeal Rules 2005. A simple and general statement that the allegations and suspicions of the Respondent did not meet the required standard of proof, or that the Appellants’ had proven their defence, or that the learned Judge had failed to properly and adequately assess the facts and evidence;</w:t>
      </w:r>
      <w:r w:rsidR="003A2114" w:rsidRPr="002B0530">
        <w:rPr>
          <w:rFonts w:ascii="Times New Roman" w:hAnsi="Times New Roman" w:cs="Times New Roman"/>
          <w:sz w:val="25"/>
          <w:szCs w:val="25"/>
        </w:rPr>
        <w:t xml:space="preserve"> was totally insufficient to satisfy the requirements of rules 18(3) and 18(7) of the Seychelles Court of Appeal Rules 2005,</w:t>
      </w:r>
      <w:r w:rsidRPr="002B0530">
        <w:rPr>
          <w:rFonts w:ascii="Times New Roman" w:hAnsi="Times New Roman" w:cs="Times New Roman"/>
          <w:sz w:val="25"/>
          <w:szCs w:val="25"/>
        </w:rPr>
        <w:t xml:space="preserve"> in the face of the detailed judgment making reference to the evidence of the Respondent (paragraphs 8, 15 – 22,</w:t>
      </w:r>
      <w:r w:rsidR="00E146D5" w:rsidRPr="002B0530">
        <w:rPr>
          <w:rFonts w:ascii="Times New Roman" w:hAnsi="Times New Roman" w:cs="Times New Roman"/>
          <w:sz w:val="25"/>
          <w:szCs w:val="25"/>
        </w:rPr>
        <w:t xml:space="preserve"> and</w:t>
      </w:r>
      <w:r w:rsidRPr="002B0530">
        <w:rPr>
          <w:rFonts w:ascii="Times New Roman" w:hAnsi="Times New Roman" w:cs="Times New Roman"/>
          <w:sz w:val="25"/>
          <w:szCs w:val="25"/>
        </w:rPr>
        <w:t xml:space="preserve"> 24) and the evidence of the Appellants’ (paragraphs 12, 13, 26 – 35, 38,</w:t>
      </w:r>
      <w:r w:rsidR="00E146D5" w:rsidRPr="002B0530">
        <w:rPr>
          <w:rFonts w:ascii="Times New Roman" w:hAnsi="Times New Roman" w:cs="Times New Roman"/>
          <w:sz w:val="25"/>
          <w:szCs w:val="25"/>
        </w:rPr>
        <w:t xml:space="preserve"> and</w:t>
      </w:r>
      <w:r w:rsidRPr="002B0530">
        <w:rPr>
          <w:rFonts w:ascii="Times New Roman" w:hAnsi="Times New Roman" w:cs="Times New Roman"/>
          <w:sz w:val="25"/>
          <w:szCs w:val="25"/>
        </w:rPr>
        <w:t xml:space="preserve"> 39) and setting out the different explanations by the Appellants’ at different times during the several proceedi</w:t>
      </w:r>
      <w:r w:rsidR="00E146D5" w:rsidRPr="002B0530">
        <w:rPr>
          <w:rFonts w:ascii="Times New Roman" w:hAnsi="Times New Roman" w:cs="Times New Roman"/>
          <w:sz w:val="25"/>
          <w:szCs w:val="25"/>
        </w:rPr>
        <w:t>ngs of this case (paragraphs 69</w:t>
      </w:r>
      <w:r w:rsidRPr="002B0530">
        <w:rPr>
          <w:rFonts w:ascii="Times New Roman" w:hAnsi="Times New Roman" w:cs="Times New Roman"/>
          <w:sz w:val="25"/>
          <w:szCs w:val="25"/>
        </w:rPr>
        <w:t xml:space="preserve"> and 70), indicating their lack of credibility. That alone should suffice to dismiss grounds (b), (c), (d) and (e).</w:t>
      </w:r>
      <w:r w:rsidR="0000448C">
        <w:rPr>
          <w:rFonts w:ascii="Times New Roman" w:hAnsi="Times New Roman" w:cs="Times New Roman"/>
          <w:sz w:val="25"/>
          <w:szCs w:val="25"/>
        </w:rPr>
        <w:t xml:space="preserve"> </w:t>
      </w:r>
      <w:r w:rsidRPr="002B0530">
        <w:rPr>
          <w:rFonts w:ascii="Times New Roman" w:hAnsi="Times New Roman" w:cs="Times New Roman"/>
          <w:sz w:val="25"/>
          <w:szCs w:val="25"/>
        </w:rPr>
        <w:t>I do not believe it is the duty of this Court to pin-point what evidence was available to substantiate the disposal order made by the Supreme Court pursuant to section 5 of POCA. It was the duty of the Appellant to have set forth the findings of fact to which they are objecting</w:t>
      </w:r>
      <w:r w:rsidR="001F4124">
        <w:rPr>
          <w:rFonts w:ascii="Times New Roman" w:hAnsi="Times New Roman" w:cs="Times New Roman"/>
          <w:sz w:val="25"/>
          <w:szCs w:val="25"/>
        </w:rPr>
        <w:t xml:space="preserve"> in filing the Notice of Appeal</w:t>
      </w:r>
      <w:r w:rsidRPr="002B0530">
        <w:rPr>
          <w:rFonts w:ascii="Times New Roman" w:hAnsi="Times New Roman" w:cs="Times New Roman"/>
          <w:sz w:val="25"/>
          <w:szCs w:val="25"/>
        </w:rPr>
        <w:t xml:space="preserve">, none of which had been stated. The </w:t>
      </w:r>
      <w:r w:rsidRPr="002B0530">
        <w:rPr>
          <w:rFonts w:ascii="Times New Roman" w:hAnsi="Times New Roman" w:cs="Times New Roman"/>
          <w:sz w:val="25"/>
          <w:szCs w:val="25"/>
        </w:rPr>
        <w:lastRenderedPageBreak/>
        <w:t xml:space="preserve">learned Judge had at paragraphs 71 -73 of the judgment reasoned out why </w:t>
      </w:r>
      <w:r w:rsidR="00F4724F" w:rsidRPr="002B0530">
        <w:rPr>
          <w:rFonts w:ascii="Times New Roman" w:hAnsi="Times New Roman" w:cs="Times New Roman"/>
          <w:sz w:val="25"/>
          <w:szCs w:val="25"/>
        </w:rPr>
        <w:t>she</w:t>
      </w:r>
      <w:r w:rsidRPr="002B0530">
        <w:rPr>
          <w:rFonts w:ascii="Times New Roman" w:hAnsi="Times New Roman" w:cs="Times New Roman"/>
          <w:sz w:val="25"/>
          <w:szCs w:val="25"/>
        </w:rPr>
        <w:t xml:space="preserve"> had concluded that the Appellants had failed in its burden of establishing to the satisfaction of court; that the property does not constitute, directly or indirectly, proceeds of criminal conduct.</w:t>
      </w:r>
    </w:p>
    <w:p w14:paraId="59EE3A80" w14:textId="77777777" w:rsidR="00122E79" w:rsidRDefault="00122E79" w:rsidP="00122E79">
      <w:pPr>
        <w:pStyle w:val="ListParagraph"/>
        <w:spacing w:line="240" w:lineRule="auto"/>
        <w:ind w:left="810"/>
        <w:jc w:val="both"/>
        <w:rPr>
          <w:rFonts w:ascii="Times New Roman" w:hAnsi="Times New Roman" w:cs="Times New Roman"/>
          <w:sz w:val="25"/>
          <w:szCs w:val="25"/>
        </w:rPr>
      </w:pPr>
    </w:p>
    <w:p w14:paraId="073A980C" w14:textId="395565CE" w:rsidR="002B0530" w:rsidRDefault="00947300" w:rsidP="00122E79">
      <w:pPr>
        <w:pStyle w:val="ListParagraph"/>
        <w:numPr>
          <w:ilvl w:val="0"/>
          <w:numId w:val="20"/>
        </w:numPr>
        <w:spacing w:line="240" w:lineRule="auto"/>
        <w:jc w:val="both"/>
        <w:rPr>
          <w:rFonts w:ascii="Times New Roman" w:hAnsi="Times New Roman" w:cs="Times New Roman"/>
          <w:sz w:val="25"/>
          <w:szCs w:val="25"/>
        </w:rPr>
      </w:pPr>
      <w:r>
        <w:rPr>
          <w:rFonts w:ascii="Times New Roman" w:hAnsi="Times New Roman" w:cs="Times New Roman"/>
          <w:sz w:val="25"/>
          <w:szCs w:val="25"/>
        </w:rPr>
        <w:t>I wish to state</w:t>
      </w:r>
      <w:r w:rsidR="000452BF" w:rsidRPr="00122E79">
        <w:rPr>
          <w:rFonts w:ascii="Times New Roman" w:hAnsi="Times New Roman" w:cs="Times New Roman"/>
          <w:sz w:val="25"/>
          <w:szCs w:val="25"/>
        </w:rPr>
        <w:t xml:space="preserve"> that sufficiency or insufficiency of evidence and credibility of witnesses are factual issues, which are essentially matters for the Trial Judge. </w:t>
      </w:r>
      <w:r w:rsidR="00122E79" w:rsidRPr="00122E79">
        <w:rPr>
          <w:rFonts w:ascii="Times New Roman" w:hAnsi="Times New Roman" w:cs="Times New Roman"/>
          <w:sz w:val="25"/>
          <w:szCs w:val="25"/>
        </w:rPr>
        <w:t>The ECHR in the case of</w:t>
      </w:r>
      <w:r w:rsidR="00122E79" w:rsidRPr="00122E79">
        <w:rPr>
          <w:rFonts w:ascii="Times New Roman" w:hAnsi="Times New Roman" w:cs="Times New Roman"/>
          <w:b/>
          <w:sz w:val="25"/>
          <w:szCs w:val="25"/>
        </w:rPr>
        <w:t xml:space="preserve"> </w:t>
      </w:r>
      <w:r w:rsidR="00122E79" w:rsidRPr="00C005BF">
        <w:rPr>
          <w:rFonts w:ascii="Times New Roman" w:hAnsi="Times New Roman" w:cs="Times New Roman"/>
          <w:b/>
          <w:sz w:val="25"/>
          <w:szCs w:val="25"/>
        </w:rPr>
        <w:t>Gogitidze and Others V Georgia (Application no. 36862/05) 12 May 2015</w:t>
      </w:r>
      <w:r w:rsidR="00122E79">
        <w:rPr>
          <w:rFonts w:ascii="Times New Roman" w:hAnsi="Times New Roman" w:cs="Times New Roman"/>
          <w:sz w:val="25"/>
          <w:szCs w:val="25"/>
        </w:rPr>
        <w:t>,</w:t>
      </w:r>
      <w:r w:rsidR="00122E79" w:rsidRPr="00122E79">
        <w:rPr>
          <w:rFonts w:ascii="Times New Roman" w:hAnsi="Times New Roman" w:cs="Times New Roman"/>
          <w:sz w:val="25"/>
          <w:szCs w:val="25"/>
        </w:rPr>
        <w:t xml:space="preserve"> reiterated that </w:t>
      </w:r>
      <w:r w:rsidR="00122E79">
        <w:rPr>
          <w:rFonts w:ascii="Times New Roman" w:hAnsi="Times New Roman" w:cs="Times New Roman"/>
          <w:sz w:val="25"/>
          <w:szCs w:val="25"/>
        </w:rPr>
        <w:t>“</w:t>
      </w:r>
      <w:r w:rsidR="00122E79" w:rsidRPr="00122E79">
        <w:rPr>
          <w:rFonts w:ascii="Times New Roman" w:hAnsi="Times New Roman" w:cs="Times New Roman"/>
          <w:i/>
          <w:sz w:val="25"/>
          <w:szCs w:val="25"/>
        </w:rPr>
        <w:t>It is not within its province to substitute its own assessment of the facts for that of the domestic courts, who are better placed to assess the evidence before them”</w:t>
      </w:r>
      <w:r w:rsidR="00122E79">
        <w:rPr>
          <w:rFonts w:ascii="Times New Roman" w:hAnsi="Times New Roman" w:cs="Times New Roman"/>
          <w:sz w:val="25"/>
          <w:szCs w:val="25"/>
        </w:rPr>
        <w:t xml:space="preserve"> </w:t>
      </w:r>
      <w:r w:rsidR="00122E79" w:rsidRPr="00122E79">
        <w:rPr>
          <w:rFonts w:ascii="Times New Roman" w:hAnsi="Times New Roman" w:cs="Times New Roman"/>
          <w:sz w:val="25"/>
          <w:szCs w:val="25"/>
        </w:rPr>
        <w:t xml:space="preserve">(see </w:t>
      </w:r>
      <w:r w:rsidR="00122E79" w:rsidRPr="00122E79">
        <w:rPr>
          <w:rFonts w:ascii="Times New Roman" w:hAnsi="Times New Roman" w:cs="Times New Roman"/>
          <w:b/>
          <w:sz w:val="25"/>
          <w:szCs w:val="25"/>
        </w:rPr>
        <w:t>Grayson and Barnham v. the United Kingdom, no</w:t>
      </w:r>
      <w:r w:rsidR="00122E79">
        <w:rPr>
          <w:rFonts w:ascii="Times New Roman" w:hAnsi="Times New Roman" w:cs="Times New Roman"/>
          <w:b/>
          <w:sz w:val="25"/>
          <w:szCs w:val="25"/>
        </w:rPr>
        <w:t>s. 19955/05 and 15085/06,</w:t>
      </w:r>
      <w:r w:rsidR="00122E79" w:rsidRPr="00122E79">
        <w:rPr>
          <w:rFonts w:ascii="Times New Roman" w:hAnsi="Times New Roman" w:cs="Times New Roman"/>
          <w:b/>
          <w:sz w:val="25"/>
          <w:szCs w:val="25"/>
        </w:rPr>
        <w:t xml:space="preserve"> 23 September 2008)</w:t>
      </w:r>
      <w:r w:rsidR="00122E79" w:rsidRPr="00122E79">
        <w:rPr>
          <w:rFonts w:ascii="Times New Roman" w:hAnsi="Times New Roman" w:cs="Times New Roman"/>
          <w:sz w:val="25"/>
          <w:szCs w:val="25"/>
        </w:rPr>
        <w:t>. An appellate court would</w:t>
      </w:r>
      <w:r w:rsidR="00122E79">
        <w:rPr>
          <w:rFonts w:ascii="Times New Roman" w:hAnsi="Times New Roman" w:cs="Times New Roman"/>
          <w:sz w:val="25"/>
          <w:szCs w:val="25"/>
        </w:rPr>
        <w:t xml:space="preserve"> also</w:t>
      </w:r>
      <w:r w:rsidR="00122E79" w:rsidRPr="00122E79">
        <w:rPr>
          <w:rFonts w:ascii="Times New Roman" w:hAnsi="Times New Roman" w:cs="Times New Roman"/>
          <w:sz w:val="25"/>
          <w:szCs w:val="25"/>
        </w:rPr>
        <w:t xml:space="preserve"> rarely interfere with the findings of a Trial Judge on factual matters unless they are palpably wrong. </w:t>
      </w:r>
      <w:r w:rsidR="000452BF" w:rsidRPr="00122E79">
        <w:rPr>
          <w:rFonts w:ascii="Times New Roman" w:hAnsi="Times New Roman" w:cs="Times New Roman"/>
          <w:sz w:val="25"/>
          <w:szCs w:val="25"/>
        </w:rPr>
        <w:t xml:space="preserve">At paragraph 74 of the judgment the learned Judge had stated: “…but of utmost importance is the fact that the Court is not satisfied that the Respondents have been able to show the legitimate source of their funds to acquire the specified property in this application. The different explanations by the Respondents at different times during these proceedings indicate their lack of credibility and I have no hesitation in disregarding their evidence.” At paragraph 75 of the judgment the learned Judge had said: “I am satisfied on the pleadings and the evidence before me, namely the affidavits of Assistant Commissioner Jan Celliers and Superintendent Hein Prinsloo and the exhibits appended to their affidavit that a disposal order in favour of the Applicant should issue in respect of the property.” For the reasons set out in paragraphs </w:t>
      </w:r>
      <w:r w:rsidR="003E46AA">
        <w:rPr>
          <w:rFonts w:ascii="Times New Roman" w:hAnsi="Times New Roman" w:cs="Times New Roman"/>
          <w:sz w:val="25"/>
          <w:szCs w:val="25"/>
        </w:rPr>
        <w:t>12</w:t>
      </w:r>
      <w:r w:rsidR="000452BF" w:rsidRPr="00122E79">
        <w:rPr>
          <w:rFonts w:ascii="Times New Roman" w:hAnsi="Times New Roman" w:cs="Times New Roman"/>
          <w:sz w:val="25"/>
          <w:szCs w:val="25"/>
        </w:rPr>
        <w:t xml:space="preserve"> and </w:t>
      </w:r>
      <w:r w:rsidR="003E46AA">
        <w:rPr>
          <w:rFonts w:ascii="Times New Roman" w:hAnsi="Times New Roman" w:cs="Times New Roman"/>
          <w:sz w:val="25"/>
          <w:szCs w:val="25"/>
        </w:rPr>
        <w:t>13</w:t>
      </w:r>
      <w:r w:rsidR="00B91187" w:rsidRPr="00122E79">
        <w:rPr>
          <w:rFonts w:ascii="Times New Roman" w:hAnsi="Times New Roman" w:cs="Times New Roman"/>
          <w:sz w:val="25"/>
          <w:szCs w:val="25"/>
        </w:rPr>
        <w:t>,</w:t>
      </w:r>
      <w:r w:rsidR="000452BF" w:rsidRPr="00122E79">
        <w:rPr>
          <w:rFonts w:ascii="Times New Roman" w:hAnsi="Times New Roman" w:cs="Times New Roman"/>
          <w:sz w:val="25"/>
          <w:szCs w:val="25"/>
        </w:rPr>
        <w:t xml:space="preserve"> I dismiss grounds (b), (c), (d), and (e)</w:t>
      </w:r>
      <w:r w:rsidR="002B0530" w:rsidRPr="00122E79">
        <w:rPr>
          <w:rFonts w:ascii="Times New Roman" w:hAnsi="Times New Roman" w:cs="Times New Roman"/>
          <w:sz w:val="25"/>
          <w:szCs w:val="25"/>
        </w:rPr>
        <w:t>.</w:t>
      </w:r>
    </w:p>
    <w:p w14:paraId="13128E66" w14:textId="77777777" w:rsidR="005F0F08" w:rsidRDefault="005F0F08" w:rsidP="005F0F08">
      <w:pPr>
        <w:pStyle w:val="ListParagraph"/>
        <w:spacing w:line="240" w:lineRule="auto"/>
        <w:ind w:left="810"/>
        <w:jc w:val="both"/>
        <w:rPr>
          <w:rFonts w:ascii="Times New Roman" w:hAnsi="Times New Roman" w:cs="Times New Roman"/>
          <w:sz w:val="25"/>
          <w:szCs w:val="25"/>
        </w:rPr>
      </w:pPr>
    </w:p>
    <w:p w14:paraId="0FBD6B8B" w14:textId="207CB828" w:rsidR="005F0F08" w:rsidRPr="007E57C3" w:rsidRDefault="005F0F08" w:rsidP="005F0F08">
      <w:pPr>
        <w:pStyle w:val="ListParagraph"/>
        <w:numPr>
          <w:ilvl w:val="0"/>
          <w:numId w:val="20"/>
        </w:numPr>
        <w:spacing w:line="240" w:lineRule="auto"/>
        <w:jc w:val="both"/>
        <w:rPr>
          <w:rFonts w:ascii="Times New Roman" w:hAnsi="Times New Roman" w:cs="Times New Roman"/>
          <w:sz w:val="25"/>
          <w:szCs w:val="25"/>
        </w:rPr>
      </w:pPr>
      <w:r w:rsidRPr="007E57C3">
        <w:rPr>
          <w:rFonts w:ascii="Times New Roman" w:hAnsi="Times New Roman" w:cs="Times New Roman"/>
          <w:sz w:val="25"/>
          <w:szCs w:val="25"/>
        </w:rPr>
        <w:t>The Appellants have through their Skeleton Heads of Argument in support of grounds (b) and (e) of appeal, filed in violation of this Court’s Practice Direction, 2 of 2019 dated 2</w:t>
      </w:r>
      <w:r w:rsidRPr="007E57C3">
        <w:rPr>
          <w:rFonts w:ascii="Times New Roman" w:hAnsi="Times New Roman" w:cs="Times New Roman"/>
          <w:sz w:val="25"/>
          <w:szCs w:val="25"/>
          <w:vertAlign w:val="superscript"/>
        </w:rPr>
        <w:t>nd</w:t>
      </w:r>
      <w:r w:rsidRPr="007E57C3">
        <w:rPr>
          <w:rFonts w:ascii="Times New Roman" w:hAnsi="Times New Roman" w:cs="Times New Roman"/>
          <w:sz w:val="25"/>
          <w:szCs w:val="25"/>
        </w:rPr>
        <w:t xml:space="preserve"> December 2019, erroneously made an attempt to place reliance on the provisions of section 9 of POCA, which only applies to proceedings under section 3 (when there is an application for an interim order) or section 4 (when there is an application for an interlocutory order) of POCA. Those stages had passed when the application was made under section 5 for a disposal order and the disposal order was made, as stated at paragraph 2 above.</w:t>
      </w:r>
      <w:r w:rsidR="005D0678">
        <w:rPr>
          <w:rFonts w:ascii="Times New Roman" w:hAnsi="Times New Roman" w:cs="Times New Roman"/>
          <w:sz w:val="25"/>
          <w:szCs w:val="25"/>
        </w:rPr>
        <w:t xml:space="preserve"> When this was pointed out to Counsel for the Appellant at the hearing he agreed and said that he will not be pursuing grounds (b) and (e).</w:t>
      </w:r>
      <w:r w:rsidRPr="007E57C3">
        <w:rPr>
          <w:rFonts w:ascii="Times New Roman" w:hAnsi="Times New Roman" w:cs="Times New Roman"/>
          <w:sz w:val="25"/>
          <w:szCs w:val="25"/>
        </w:rPr>
        <w:t xml:space="preserve"> </w:t>
      </w:r>
    </w:p>
    <w:p w14:paraId="6AC8C49C" w14:textId="77777777" w:rsidR="005F0F08" w:rsidRPr="005F0F08" w:rsidRDefault="005F0F08" w:rsidP="005F0F08">
      <w:pPr>
        <w:pStyle w:val="ListParagraph"/>
        <w:rPr>
          <w:rFonts w:ascii="Times New Roman" w:hAnsi="Times New Roman" w:cs="Times New Roman"/>
          <w:color w:val="C00000"/>
          <w:sz w:val="25"/>
          <w:szCs w:val="25"/>
        </w:rPr>
      </w:pPr>
    </w:p>
    <w:p w14:paraId="29A60A3A" w14:textId="2FB809C2" w:rsidR="00642E00" w:rsidRDefault="005F0F08" w:rsidP="005F0F08">
      <w:pPr>
        <w:pStyle w:val="ListParagraph"/>
        <w:numPr>
          <w:ilvl w:val="0"/>
          <w:numId w:val="20"/>
        </w:numPr>
        <w:spacing w:line="240" w:lineRule="auto"/>
        <w:jc w:val="both"/>
        <w:rPr>
          <w:rFonts w:ascii="Times New Roman" w:hAnsi="Times New Roman" w:cs="Times New Roman"/>
          <w:sz w:val="25"/>
          <w:szCs w:val="25"/>
        </w:rPr>
      </w:pPr>
      <w:r w:rsidRPr="00733471">
        <w:rPr>
          <w:rFonts w:ascii="Times New Roman" w:hAnsi="Times New Roman" w:cs="Times New Roman"/>
          <w:color w:val="C00000"/>
          <w:sz w:val="25"/>
          <w:szCs w:val="25"/>
        </w:rPr>
        <w:t xml:space="preserve"> </w:t>
      </w:r>
      <w:r w:rsidRPr="007E57C3">
        <w:rPr>
          <w:rFonts w:ascii="Times New Roman" w:hAnsi="Times New Roman" w:cs="Times New Roman"/>
          <w:sz w:val="25"/>
          <w:szCs w:val="25"/>
        </w:rPr>
        <w:t>The Appellants have in support of grounds (</w:t>
      </w:r>
      <w:r w:rsidR="007E57C3" w:rsidRPr="007E57C3">
        <w:rPr>
          <w:rFonts w:ascii="Times New Roman" w:hAnsi="Times New Roman" w:cs="Times New Roman"/>
          <w:sz w:val="25"/>
          <w:szCs w:val="25"/>
        </w:rPr>
        <w:t>c</w:t>
      </w:r>
      <w:r w:rsidRPr="007E57C3">
        <w:rPr>
          <w:rFonts w:ascii="Times New Roman" w:hAnsi="Times New Roman" w:cs="Times New Roman"/>
          <w:sz w:val="25"/>
          <w:szCs w:val="25"/>
        </w:rPr>
        <w:t>) and (</w:t>
      </w:r>
      <w:r w:rsidR="007E57C3" w:rsidRPr="007E57C3">
        <w:rPr>
          <w:rFonts w:ascii="Times New Roman" w:hAnsi="Times New Roman" w:cs="Times New Roman"/>
          <w:sz w:val="25"/>
          <w:szCs w:val="25"/>
        </w:rPr>
        <w:t>d</w:t>
      </w:r>
      <w:r w:rsidRPr="007E57C3">
        <w:rPr>
          <w:rFonts w:ascii="Times New Roman" w:hAnsi="Times New Roman" w:cs="Times New Roman"/>
          <w:sz w:val="25"/>
          <w:szCs w:val="25"/>
        </w:rPr>
        <w:t>) of appeal, erroneously made an attempt to</w:t>
      </w:r>
      <w:r w:rsidR="007E57C3" w:rsidRPr="007E57C3">
        <w:rPr>
          <w:rFonts w:ascii="Times New Roman" w:hAnsi="Times New Roman" w:cs="Times New Roman"/>
          <w:sz w:val="25"/>
          <w:szCs w:val="25"/>
        </w:rPr>
        <w:t xml:space="preserve"> shift the burden of proof to the Respondent when it was entirely upon them as stated at pa</w:t>
      </w:r>
      <w:r w:rsidR="00947300">
        <w:rPr>
          <w:rFonts w:ascii="Times New Roman" w:hAnsi="Times New Roman" w:cs="Times New Roman"/>
          <w:sz w:val="25"/>
          <w:szCs w:val="25"/>
        </w:rPr>
        <w:t>ragraph 12</w:t>
      </w:r>
      <w:r w:rsidR="007E57C3" w:rsidRPr="007E57C3">
        <w:rPr>
          <w:rFonts w:ascii="Times New Roman" w:hAnsi="Times New Roman" w:cs="Times New Roman"/>
          <w:sz w:val="25"/>
          <w:szCs w:val="25"/>
        </w:rPr>
        <w:t xml:space="preserve"> above. Here again the Appellants have made an attempt to place reliance on the provisions of section 9 of POCA, which has no appli</w:t>
      </w:r>
      <w:r w:rsidR="005D0678">
        <w:rPr>
          <w:rFonts w:ascii="Times New Roman" w:hAnsi="Times New Roman" w:cs="Times New Roman"/>
          <w:sz w:val="25"/>
          <w:szCs w:val="25"/>
        </w:rPr>
        <w:t>cation as stated at paragraph 17</w:t>
      </w:r>
      <w:r w:rsidR="007E57C3" w:rsidRPr="007E57C3">
        <w:rPr>
          <w:rFonts w:ascii="Times New Roman" w:hAnsi="Times New Roman" w:cs="Times New Roman"/>
          <w:sz w:val="25"/>
          <w:szCs w:val="25"/>
        </w:rPr>
        <w:t xml:space="preserve"> above. </w:t>
      </w:r>
    </w:p>
    <w:p w14:paraId="0F8754ED" w14:textId="77777777" w:rsidR="00642E00" w:rsidRPr="00642E00" w:rsidRDefault="00642E00" w:rsidP="00642E00">
      <w:pPr>
        <w:pStyle w:val="ListParagraph"/>
        <w:rPr>
          <w:rFonts w:ascii="Times New Roman" w:hAnsi="Times New Roman" w:cs="Times New Roman"/>
          <w:sz w:val="25"/>
          <w:szCs w:val="25"/>
        </w:rPr>
      </w:pPr>
    </w:p>
    <w:p w14:paraId="73011DBF" w14:textId="2E3C400E" w:rsidR="005F0F08" w:rsidRPr="00D05A0E" w:rsidRDefault="00642E00" w:rsidP="00D05A0E">
      <w:pPr>
        <w:pStyle w:val="ListParagraph"/>
        <w:numPr>
          <w:ilvl w:val="0"/>
          <w:numId w:val="20"/>
        </w:numPr>
        <w:jc w:val="both"/>
        <w:rPr>
          <w:rFonts w:ascii="Times New Roman" w:hAnsi="Times New Roman" w:cs="Times New Roman"/>
          <w:sz w:val="25"/>
          <w:szCs w:val="25"/>
        </w:rPr>
      </w:pPr>
      <w:r>
        <w:rPr>
          <w:rFonts w:ascii="Times New Roman" w:hAnsi="Times New Roman" w:cs="Times New Roman"/>
          <w:sz w:val="25"/>
          <w:szCs w:val="25"/>
        </w:rPr>
        <w:t>I am surprised to find that</w:t>
      </w:r>
      <w:r w:rsidR="00EF0142">
        <w:rPr>
          <w:rFonts w:ascii="Times New Roman" w:hAnsi="Times New Roman" w:cs="Times New Roman"/>
          <w:sz w:val="25"/>
          <w:szCs w:val="25"/>
        </w:rPr>
        <w:t xml:space="preserve"> even</w:t>
      </w:r>
      <w:r>
        <w:rPr>
          <w:rFonts w:ascii="Times New Roman" w:hAnsi="Times New Roman" w:cs="Times New Roman"/>
          <w:sz w:val="25"/>
          <w:szCs w:val="25"/>
        </w:rPr>
        <w:t xml:space="preserve"> C</w:t>
      </w:r>
      <w:r w:rsidR="00EF0142">
        <w:rPr>
          <w:rFonts w:ascii="Times New Roman" w:hAnsi="Times New Roman" w:cs="Times New Roman"/>
          <w:sz w:val="25"/>
          <w:szCs w:val="25"/>
        </w:rPr>
        <w:t>ounsel for the</w:t>
      </w:r>
      <w:r>
        <w:rPr>
          <w:rFonts w:ascii="Times New Roman" w:hAnsi="Times New Roman" w:cs="Times New Roman"/>
          <w:sz w:val="25"/>
          <w:szCs w:val="25"/>
        </w:rPr>
        <w:t xml:space="preserve"> Respondent had fallen into the error of considering that a </w:t>
      </w:r>
      <w:r w:rsidR="00EF0142">
        <w:rPr>
          <w:rFonts w:ascii="Times New Roman" w:hAnsi="Times New Roman" w:cs="Times New Roman"/>
          <w:sz w:val="25"/>
          <w:szCs w:val="25"/>
        </w:rPr>
        <w:t>‘</w:t>
      </w:r>
      <w:r>
        <w:rPr>
          <w:rFonts w:ascii="Times New Roman" w:hAnsi="Times New Roman" w:cs="Times New Roman"/>
          <w:sz w:val="25"/>
          <w:szCs w:val="25"/>
        </w:rPr>
        <w:t>disposal order</w:t>
      </w:r>
      <w:r w:rsidR="00EF0142">
        <w:rPr>
          <w:rFonts w:ascii="Times New Roman" w:hAnsi="Times New Roman" w:cs="Times New Roman"/>
          <w:sz w:val="25"/>
          <w:szCs w:val="25"/>
        </w:rPr>
        <w:t>’</w:t>
      </w:r>
      <w:r>
        <w:rPr>
          <w:rFonts w:ascii="Times New Roman" w:hAnsi="Times New Roman" w:cs="Times New Roman"/>
          <w:sz w:val="25"/>
          <w:szCs w:val="25"/>
        </w:rPr>
        <w:t xml:space="preserve"> made by the Supreme Court</w:t>
      </w:r>
      <w:r w:rsidR="00EF0142">
        <w:rPr>
          <w:rFonts w:ascii="Times New Roman" w:hAnsi="Times New Roman" w:cs="Times New Roman"/>
          <w:sz w:val="25"/>
          <w:szCs w:val="25"/>
        </w:rPr>
        <w:t>,</w:t>
      </w:r>
      <w:r>
        <w:rPr>
          <w:rFonts w:ascii="Times New Roman" w:hAnsi="Times New Roman" w:cs="Times New Roman"/>
          <w:sz w:val="25"/>
          <w:szCs w:val="25"/>
        </w:rPr>
        <w:t xml:space="preserve"> as one made under </w:t>
      </w:r>
      <w:r>
        <w:rPr>
          <w:rFonts w:ascii="Times New Roman" w:hAnsi="Times New Roman" w:cs="Times New Roman"/>
          <w:sz w:val="25"/>
          <w:szCs w:val="25"/>
        </w:rPr>
        <w:lastRenderedPageBreak/>
        <w:t>sections 3 or 4 of POCA and thu</w:t>
      </w:r>
      <w:r w:rsidR="00EF0142">
        <w:rPr>
          <w:rFonts w:ascii="Times New Roman" w:hAnsi="Times New Roman" w:cs="Times New Roman"/>
          <w:sz w:val="25"/>
          <w:szCs w:val="25"/>
        </w:rPr>
        <w:t>s in relation to which section 9</w:t>
      </w:r>
      <w:r>
        <w:rPr>
          <w:rFonts w:ascii="Times New Roman" w:hAnsi="Times New Roman" w:cs="Times New Roman"/>
          <w:sz w:val="25"/>
          <w:szCs w:val="25"/>
        </w:rPr>
        <w:t xml:space="preserve"> of POCA applies.</w:t>
      </w:r>
      <w:r w:rsidR="00EF0142">
        <w:rPr>
          <w:rFonts w:ascii="Times New Roman" w:hAnsi="Times New Roman" w:cs="Times New Roman"/>
          <w:sz w:val="25"/>
          <w:szCs w:val="25"/>
        </w:rPr>
        <w:t xml:space="preserve"> It is only</w:t>
      </w:r>
      <w:r w:rsidR="00D05A0E">
        <w:rPr>
          <w:rFonts w:ascii="Times New Roman" w:hAnsi="Times New Roman" w:cs="Times New Roman"/>
          <w:sz w:val="25"/>
          <w:szCs w:val="25"/>
        </w:rPr>
        <w:t xml:space="preserve"> at paragraphs 52 - </w:t>
      </w:r>
      <w:r w:rsidR="00EF0142">
        <w:rPr>
          <w:rFonts w:ascii="Times New Roman" w:hAnsi="Times New Roman" w:cs="Times New Roman"/>
          <w:sz w:val="25"/>
          <w:szCs w:val="25"/>
        </w:rPr>
        <w:t>54 of the submissions of the Respondent, that Counsel for the Respondent, had identified a ‘disposal order’ made as one to be distinguished from sections 3 and 4 of POCA. A</w:t>
      </w:r>
      <w:r w:rsidR="00D05A0E">
        <w:rPr>
          <w:rFonts w:ascii="Times New Roman" w:hAnsi="Times New Roman" w:cs="Times New Roman"/>
          <w:sz w:val="25"/>
          <w:szCs w:val="25"/>
        </w:rPr>
        <w:t>t paragraph 53</w:t>
      </w:r>
      <w:r w:rsidR="00EF0142">
        <w:rPr>
          <w:rFonts w:ascii="Times New Roman" w:hAnsi="Times New Roman" w:cs="Times New Roman"/>
          <w:sz w:val="25"/>
          <w:szCs w:val="25"/>
        </w:rPr>
        <w:t xml:space="preserve"> it is correctly stated that the</w:t>
      </w:r>
      <w:r w:rsidR="00D05A0E">
        <w:rPr>
          <w:rFonts w:ascii="Times New Roman" w:hAnsi="Times New Roman" w:cs="Times New Roman"/>
          <w:sz w:val="25"/>
          <w:szCs w:val="25"/>
        </w:rPr>
        <w:t xml:space="preserve"> ‘disposal order’ was only an extension of the proceedings already had in the</w:t>
      </w:r>
      <w:r w:rsidR="00D05A0E" w:rsidRPr="00D05A0E">
        <w:rPr>
          <w:rFonts w:ascii="Times New Roman" w:hAnsi="Times New Roman" w:cs="Times New Roman"/>
          <w:sz w:val="25"/>
          <w:szCs w:val="25"/>
        </w:rPr>
        <w:t xml:space="preserve"> </w:t>
      </w:r>
      <w:r w:rsidR="00D05A0E">
        <w:rPr>
          <w:rFonts w:ascii="Times New Roman" w:hAnsi="Times New Roman" w:cs="Times New Roman"/>
          <w:sz w:val="25"/>
          <w:szCs w:val="25"/>
        </w:rPr>
        <w:t>interlocutory and receivership orders. As stated at paragraph 2 above at</w:t>
      </w:r>
      <w:r w:rsidR="00D05A0E" w:rsidRPr="00992136">
        <w:rPr>
          <w:rFonts w:ascii="Times New Roman" w:hAnsi="Times New Roman" w:cs="Times New Roman"/>
          <w:sz w:val="25"/>
          <w:szCs w:val="25"/>
        </w:rPr>
        <w:t xml:space="preserve"> the time of the application pursuant to section 5 of POCA there had been no application pending under section 4(3) of POCA for the discharge of the interlocutory order before the Supreme Court in respect of the specified property nor was there any appeal pending before this Court.</w:t>
      </w:r>
    </w:p>
    <w:p w14:paraId="100C6020" w14:textId="699B55E1" w:rsidR="002B0530" w:rsidRDefault="000452BF" w:rsidP="002B0530">
      <w:pPr>
        <w:pStyle w:val="ListParagraph"/>
        <w:spacing w:line="240" w:lineRule="auto"/>
        <w:jc w:val="both"/>
        <w:rPr>
          <w:rFonts w:ascii="Times New Roman" w:hAnsi="Times New Roman" w:cs="Times New Roman"/>
          <w:sz w:val="25"/>
          <w:szCs w:val="25"/>
        </w:rPr>
      </w:pPr>
      <w:r w:rsidRPr="002B0530">
        <w:rPr>
          <w:rFonts w:ascii="Times New Roman" w:hAnsi="Times New Roman" w:cs="Times New Roman"/>
          <w:sz w:val="25"/>
          <w:szCs w:val="25"/>
        </w:rPr>
        <w:t xml:space="preserve"> </w:t>
      </w:r>
    </w:p>
    <w:p w14:paraId="609BF36D" w14:textId="5BDBE7CE" w:rsidR="00D05A0E" w:rsidRDefault="000452BF" w:rsidP="00D05A0E">
      <w:pPr>
        <w:pStyle w:val="ListParagraph"/>
        <w:numPr>
          <w:ilvl w:val="0"/>
          <w:numId w:val="20"/>
        </w:numPr>
        <w:spacing w:line="240" w:lineRule="auto"/>
        <w:jc w:val="both"/>
        <w:rPr>
          <w:rFonts w:ascii="Times New Roman" w:hAnsi="Times New Roman" w:cs="Times New Roman"/>
          <w:sz w:val="25"/>
          <w:szCs w:val="25"/>
        </w:rPr>
      </w:pPr>
      <w:r w:rsidRPr="002B0530">
        <w:rPr>
          <w:rFonts w:ascii="Times New Roman" w:hAnsi="Times New Roman" w:cs="Times New Roman"/>
          <w:sz w:val="25"/>
          <w:szCs w:val="25"/>
        </w:rPr>
        <w:t>In view of what has been stated above I dismiss the appeal.</w:t>
      </w:r>
    </w:p>
    <w:p w14:paraId="27860994" w14:textId="77777777" w:rsidR="005D0678" w:rsidRPr="005D0678" w:rsidRDefault="005D0678" w:rsidP="005D0678">
      <w:pPr>
        <w:pStyle w:val="ListParagraph"/>
        <w:rPr>
          <w:rFonts w:ascii="Times New Roman" w:hAnsi="Times New Roman" w:cs="Times New Roman"/>
          <w:sz w:val="25"/>
          <w:szCs w:val="25"/>
        </w:rPr>
      </w:pPr>
    </w:p>
    <w:p w14:paraId="1FFDD3FD" w14:textId="204EF816" w:rsidR="005D0678" w:rsidRDefault="005D0678" w:rsidP="005D0678">
      <w:pPr>
        <w:spacing w:line="240" w:lineRule="auto"/>
        <w:jc w:val="both"/>
        <w:rPr>
          <w:rFonts w:ascii="Times New Roman" w:hAnsi="Times New Roman" w:cs="Times New Roman"/>
          <w:sz w:val="25"/>
          <w:szCs w:val="25"/>
        </w:rPr>
      </w:pPr>
    </w:p>
    <w:p w14:paraId="4574B499" w14:textId="77777777" w:rsidR="00D953CD" w:rsidRPr="00E12C55" w:rsidRDefault="00D953CD" w:rsidP="00D953CD">
      <w:pPr>
        <w:pStyle w:val="NoSpacing"/>
        <w:rPr>
          <w:rFonts w:ascii="Times New Roman" w:hAnsi="Times New Roman" w:cs="Times New Roman"/>
          <w:sz w:val="24"/>
          <w:szCs w:val="24"/>
        </w:rPr>
      </w:pPr>
      <w:r w:rsidRPr="00E12C55">
        <w:rPr>
          <w:rFonts w:ascii="Times New Roman" w:hAnsi="Times New Roman" w:cs="Times New Roman"/>
          <w:sz w:val="24"/>
          <w:szCs w:val="24"/>
        </w:rPr>
        <w:t>________________</w:t>
      </w:r>
    </w:p>
    <w:p w14:paraId="2941201C" w14:textId="77777777" w:rsidR="00D953CD" w:rsidRPr="00E12C55" w:rsidRDefault="00D953CD" w:rsidP="00D953CD">
      <w:pPr>
        <w:pStyle w:val="NoSpacing"/>
        <w:rPr>
          <w:rFonts w:ascii="Times New Roman" w:hAnsi="Times New Roman" w:cs="Times New Roman"/>
          <w:sz w:val="24"/>
          <w:szCs w:val="24"/>
        </w:rPr>
      </w:pPr>
      <w:r w:rsidRPr="00E12C55">
        <w:rPr>
          <w:rFonts w:ascii="Times New Roman" w:hAnsi="Times New Roman" w:cs="Times New Roman"/>
          <w:sz w:val="24"/>
          <w:szCs w:val="24"/>
        </w:rPr>
        <w:t>Fernando President</w:t>
      </w:r>
    </w:p>
    <w:p w14:paraId="77562F8C" w14:textId="2C1EE848" w:rsidR="00D953CD" w:rsidRDefault="00D953CD" w:rsidP="005D0678">
      <w:pPr>
        <w:spacing w:line="240" w:lineRule="auto"/>
        <w:jc w:val="both"/>
        <w:rPr>
          <w:rFonts w:ascii="Times New Roman" w:hAnsi="Times New Roman" w:cs="Times New Roman"/>
          <w:sz w:val="25"/>
          <w:szCs w:val="25"/>
        </w:rPr>
      </w:pPr>
    </w:p>
    <w:p w14:paraId="38C1CA21" w14:textId="0EBCD044" w:rsidR="00D953CD" w:rsidRDefault="00D953CD" w:rsidP="005D0678">
      <w:pPr>
        <w:spacing w:line="240" w:lineRule="auto"/>
        <w:jc w:val="both"/>
        <w:rPr>
          <w:rFonts w:ascii="Times New Roman" w:hAnsi="Times New Roman" w:cs="Times New Roman"/>
          <w:b/>
          <w:sz w:val="25"/>
          <w:szCs w:val="25"/>
        </w:rPr>
      </w:pPr>
    </w:p>
    <w:p w14:paraId="7C8E87A8" w14:textId="50DC39C7" w:rsidR="002F0C83" w:rsidRDefault="002F0C83" w:rsidP="005D0678">
      <w:pPr>
        <w:spacing w:line="240" w:lineRule="auto"/>
        <w:jc w:val="both"/>
        <w:rPr>
          <w:rFonts w:ascii="Times New Roman" w:hAnsi="Times New Roman" w:cs="Times New Roman"/>
          <w:b/>
          <w:sz w:val="25"/>
          <w:szCs w:val="25"/>
        </w:rPr>
      </w:pPr>
      <w:r>
        <w:rPr>
          <w:rFonts w:ascii="Times New Roman" w:hAnsi="Times New Roman" w:cs="Times New Roman"/>
          <w:b/>
          <w:sz w:val="25"/>
          <w:szCs w:val="25"/>
        </w:rPr>
        <w:t>ROBINSON JA</w:t>
      </w:r>
    </w:p>
    <w:p w14:paraId="2BA15812" w14:textId="301859F1" w:rsidR="002F0C83" w:rsidRPr="002F0C83" w:rsidRDefault="002F0C83" w:rsidP="002F0C83">
      <w:pPr>
        <w:pStyle w:val="ListParagraph"/>
        <w:numPr>
          <w:ilvl w:val="0"/>
          <w:numId w:val="20"/>
        </w:numPr>
        <w:spacing w:line="240" w:lineRule="auto"/>
        <w:jc w:val="both"/>
        <w:rPr>
          <w:rFonts w:ascii="Times New Roman" w:hAnsi="Times New Roman" w:cs="Times New Roman"/>
          <w:sz w:val="25"/>
          <w:szCs w:val="25"/>
        </w:rPr>
      </w:pPr>
      <w:r w:rsidRPr="002F0C83">
        <w:rPr>
          <w:rFonts w:ascii="Times New Roman" w:hAnsi="Times New Roman" w:cs="Times New Roman"/>
          <w:sz w:val="25"/>
          <w:szCs w:val="25"/>
        </w:rPr>
        <w:t>I agree with the conclusion arrived at by the President in his judgment that the appeal should be dismissed.</w:t>
      </w:r>
    </w:p>
    <w:p w14:paraId="67936DC0" w14:textId="024667A7" w:rsidR="00596D3E" w:rsidRDefault="00596D3E" w:rsidP="00596D3E">
      <w:pPr>
        <w:pStyle w:val="NoSpacing"/>
        <w:rPr>
          <w:rFonts w:ascii="Times New Roman" w:hAnsi="Times New Roman" w:cs="Times New Roman"/>
          <w:sz w:val="25"/>
          <w:szCs w:val="25"/>
        </w:rPr>
      </w:pPr>
    </w:p>
    <w:p w14:paraId="62032CA3" w14:textId="660EA5CB" w:rsidR="002F0C83" w:rsidRDefault="002F0C83" w:rsidP="00596D3E">
      <w:pPr>
        <w:pStyle w:val="NoSpacing"/>
        <w:rPr>
          <w:rFonts w:ascii="Times New Roman" w:hAnsi="Times New Roman" w:cs="Times New Roman"/>
          <w:sz w:val="25"/>
          <w:szCs w:val="25"/>
        </w:rPr>
      </w:pPr>
    </w:p>
    <w:p w14:paraId="5AFB41AD" w14:textId="77777777" w:rsidR="002F0C83" w:rsidRPr="00992136" w:rsidRDefault="002F0C83" w:rsidP="00596D3E">
      <w:pPr>
        <w:pStyle w:val="NoSpacing"/>
        <w:rPr>
          <w:rFonts w:ascii="Times New Roman" w:hAnsi="Times New Roman" w:cs="Times New Roman"/>
          <w:sz w:val="25"/>
          <w:szCs w:val="25"/>
        </w:rPr>
      </w:pPr>
    </w:p>
    <w:p w14:paraId="5EF8EB44" w14:textId="05214DBC" w:rsidR="005D0678" w:rsidRPr="00992136" w:rsidRDefault="00596D3E" w:rsidP="00596D3E">
      <w:pPr>
        <w:pStyle w:val="NoSpacing"/>
        <w:rPr>
          <w:rFonts w:ascii="Times New Roman" w:hAnsi="Times New Roman" w:cs="Times New Roman"/>
          <w:sz w:val="25"/>
          <w:szCs w:val="25"/>
        </w:rPr>
      </w:pPr>
      <w:r w:rsidRPr="00992136">
        <w:rPr>
          <w:rFonts w:ascii="Times New Roman" w:hAnsi="Times New Roman" w:cs="Times New Roman"/>
          <w:sz w:val="25"/>
          <w:szCs w:val="25"/>
        </w:rPr>
        <w:tab/>
      </w:r>
      <w:r w:rsidRPr="00992136">
        <w:rPr>
          <w:rFonts w:ascii="Times New Roman" w:hAnsi="Times New Roman" w:cs="Times New Roman"/>
          <w:sz w:val="25"/>
          <w:szCs w:val="25"/>
        </w:rPr>
        <w:tab/>
      </w:r>
      <w:r w:rsidRPr="00992136">
        <w:rPr>
          <w:rFonts w:ascii="Times New Roman" w:hAnsi="Times New Roman" w:cs="Times New Roman"/>
          <w:sz w:val="25"/>
          <w:szCs w:val="25"/>
        </w:rPr>
        <w:tab/>
      </w:r>
      <w:r w:rsidRPr="00992136">
        <w:rPr>
          <w:rFonts w:ascii="Times New Roman" w:hAnsi="Times New Roman" w:cs="Times New Roman"/>
          <w:sz w:val="25"/>
          <w:szCs w:val="25"/>
        </w:rPr>
        <w:tab/>
      </w:r>
      <w:r w:rsidRPr="00992136">
        <w:rPr>
          <w:rFonts w:ascii="Times New Roman" w:hAnsi="Times New Roman" w:cs="Times New Roman"/>
          <w:sz w:val="25"/>
          <w:szCs w:val="25"/>
        </w:rPr>
        <w:tab/>
        <w:t>_________________</w:t>
      </w:r>
    </w:p>
    <w:p w14:paraId="25B0D809" w14:textId="3B8543BD" w:rsidR="00596D3E" w:rsidRDefault="002F0C83" w:rsidP="00596D3E">
      <w:pPr>
        <w:pStyle w:val="NoSpacing"/>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009E5A4D">
        <w:rPr>
          <w:rFonts w:ascii="Times New Roman" w:hAnsi="Times New Roman" w:cs="Times New Roman"/>
          <w:sz w:val="25"/>
          <w:szCs w:val="25"/>
        </w:rPr>
        <w:t xml:space="preserve">F. </w:t>
      </w:r>
      <w:r w:rsidR="00596D3E" w:rsidRPr="00992136">
        <w:rPr>
          <w:rFonts w:ascii="Times New Roman" w:hAnsi="Times New Roman" w:cs="Times New Roman"/>
          <w:sz w:val="25"/>
          <w:szCs w:val="25"/>
        </w:rPr>
        <w:t xml:space="preserve">Robinson JA </w:t>
      </w:r>
    </w:p>
    <w:p w14:paraId="2103586C" w14:textId="77777777" w:rsidR="005D0678" w:rsidRPr="00992136" w:rsidRDefault="005D0678" w:rsidP="00596D3E">
      <w:pPr>
        <w:pStyle w:val="NoSpacing"/>
        <w:rPr>
          <w:rFonts w:ascii="Times New Roman" w:hAnsi="Times New Roman" w:cs="Times New Roman"/>
          <w:sz w:val="25"/>
          <w:szCs w:val="25"/>
        </w:rPr>
      </w:pPr>
    </w:p>
    <w:p w14:paraId="644590BD" w14:textId="6EE8B755" w:rsidR="00596D3E" w:rsidRPr="00992136" w:rsidRDefault="00596D3E" w:rsidP="00596D3E">
      <w:pPr>
        <w:pStyle w:val="NoSpacing"/>
        <w:rPr>
          <w:rFonts w:ascii="Times New Roman" w:hAnsi="Times New Roman" w:cs="Times New Roman"/>
          <w:sz w:val="25"/>
          <w:szCs w:val="25"/>
        </w:rPr>
      </w:pPr>
    </w:p>
    <w:p w14:paraId="5BCE9C6B" w14:textId="77777777" w:rsidR="00596D3E" w:rsidRPr="00992136" w:rsidRDefault="00596D3E" w:rsidP="00596D3E">
      <w:pPr>
        <w:pStyle w:val="NoSpacing"/>
        <w:rPr>
          <w:rFonts w:ascii="Times New Roman" w:hAnsi="Times New Roman" w:cs="Times New Roman"/>
          <w:sz w:val="25"/>
          <w:szCs w:val="25"/>
        </w:rPr>
      </w:pPr>
    </w:p>
    <w:p w14:paraId="7FA5D663" w14:textId="77777777" w:rsidR="00596D3E" w:rsidRPr="00992136" w:rsidRDefault="00596D3E" w:rsidP="00596D3E">
      <w:pPr>
        <w:pStyle w:val="NoSpacing"/>
        <w:rPr>
          <w:rFonts w:ascii="Times New Roman" w:hAnsi="Times New Roman" w:cs="Times New Roman"/>
          <w:sz w:val="25"/>
          <w:szCs w:val="25"/>
        </w:rPr>
      </w:pPr>
    </w:p>
    <w:p w14:paraId="181E8DA7" w14:textId="77777777" w:rsidR="00596D3E" w:rsidRPr="00992136" w:rsidRDefault="00596D3E" w:rsidP="00596D3E">
      <w:pPr>
        <w:pStyle w:val="NoSpacing"/>
        <w:rPr>
          <w:rFonts w:ascii="Times New Roman" w:hAnsi="Times New Roman" w:cs="Times New Roman"/>
          <w:sz w:val="25"/>
          <w:szCs w:val="25"/>
        </w:rPr>
      </w:pPr>
    </w:p>
    <w:p w14:paraId="4261A526" w14:textId="34A92AA1" w:rsidR="00596D3E" w:rsidRDefault="00596D3E" w:rsidP="00D05A0E">
      <w:pPr>
        <w:pStyle w:val="NoSpacing"/>
        <w:jc w:val="center"/>
        <w:rPr>
          <w:rFonts w:ascii="Times New Roman" w:hAnsi="Times New Roman" w:cs="Times New Roman"/>
          <w:sz w:val="25"/>
          <w:szCs w:val="25"/>
        </w:rPr>
      </w:pPr>
      <w:r w:rsidRPr="00992136">
        <w:rPr>
          <w:rFonts w:ascii="Times New Roman" w:hAnsi="Times New Roman" w:cs="Times New Roman"/>
          <w:sz w:val="25"/>
          <w:szCs w:val="25"/>
        </w:rPr>
        <w:t xml:space="preserve">Signed, dated and delivered at Ile du Port on </w:t>
      </w:r>
      <w:r w:rsidR="003E1049" w:rsidRPr="00992136">
        <w:rPr>
          <w:rFonts w:ascii="Times New Roman" w:hAnsi="Times New Roman" w:cs="Times New Roman"/>
          <w:sz w:val="25"/>
          <w:szCs w:val="25"/>
        </w:rPr>
        <w:t>16</w:t>
      </w:r>
      <w:r w:rsidRPr="00992136">
        <w:rPr>
          <w:rFonts w:ascii="Times New Roman" w:hAnsi="Times New Roman" w:cs="Times New Roman"/>
          <w:sz w:val="25"/>
          <w:szCs w:val="25"/>
        </w:rPr>
        <w:t xml:space="preserve"> </w:t>
      </w:r>
      <w:r w:rsidR="00BC0300" w:rsidRPr="00992136">
        <w:rPr>
          <w:rFonts w:ascii="Times New Roman" w:hAnsi="Times New Roman" w:cs="Times New Roman"/>
          <w:sz w:val="25"/>
          <w:szCs w:val="25"/>
        </w:rPr>
        <w:t>December</w:t>
      </w:r>
      <w:r w:rsidRPr="00992136">
        <w:rPr>
          <w:rFonts w:ascii="Times New Roman" w:hAnsi="Times New Roman" w:cs="Times New Roman"/>
          <w:sz w:val="25"/>
          <w:szCs w:val="25"/>
        </w:rPr>
        <w:t xml:space="preserve"> 2022.</w:t>
      </w:r>
    </w:p>
    <w:p w14:paraId="58D53DC0" w14:textId="115EFD19" w:rsidR="00C466E8" w:rsidRDefault="00C466E8" w:rsidP="00D05A0E">
      <w:pPr>
        <w:pStyle w:val="NoSpacing"/>
        <w:jc w:val="center"/>
        <w:rPr>
          <w:rFonts w:ascii="Times New Roman" w:hAnsi="Times New Roman" w:cs="Times New Roman"/>
          <w:sz w:val="25"/>
          <w:szCs w:val="25"/>
        </w:rPr>
      </w:pPr>
    </w:p>
    <w:p w14:paraId="0420574A" w14:textId="2135E1D6" w:rsidR="00C466E8" w:rsidRDefault="00C466E8" w:rsidP="00D05A0E">
      <w:pPr>
        <w:pStyle w:val="NoSpacing"/>
        <w:jc w:val="center"/>
        <w:rPr>
          <w:rFonts w:ascii="Times New Roman" w:hAnsi="Times New Roman" w:cs="Times New Roman"/>
          <w:sz w:val="25"/>
          <w:szCs w:val="25"/>
        </w:rPr>
      </w:pPr>
    </w:p>
    <w:p w14:paraId="2B25A36A" w14:textId="24DB5085" w:rsidR="00C466E8" w:rsidRDefault="00C466E8" w:rsidP="00D05A0E">
      <w:pPr>
        <w:pStyle w:val="NoSpacing"/>
        <w:jc w:val="center"/>
        <w:rPr>
          <w:rFonts w:ascii="Times New Roman" w:hAnsi="Times New Roman" w:cs="Times New Roman"/>
          <w:sz w:val="25"/>
          <w:szCs w:val="25"/>
        </w:rPr>
      </w:pPr>
    </w:p>
    <w:p w14:paraId="0CACD6F6" w14:textId="729FB122" w:rsidR="00C466E8" w:rsidRDefault="00C466E8" w:rsidP="00D05A0E">
      <w:pPr>
        <w:pStyle w:val="NoSpacing"/>
        <w:jc w:val="center"/>
        <w:rPr>
          <w:rFonts w:ascii="Times New Roman" w:hAnsi="Times New Roman" w:cs="Times New Roman"/>
          <w:sz w:val="25"/>
          <w:szCs w:val="25"/>
        </w:rPr>
      </w:pPr>
    </w:p>
    <w:p w14:paraId="735B6973" w14:textId="7420BBAD" w:rsidR="00C466E8" w:rsidRDefault="00C466E8" w:rsidP="00D05A0E">
      <w:pPr>
        <w:pStyle w:val="NoSpacing"/>
        <w:jc w:val="center"/>
        <w:rPr>
          <w:rFonts w:ascii="Times New Roman" w:hAnsi="Times New Roman" w:cs="Times New Roman"/>
          <w:sz w:val="25"/>
          <w:szCs w:val="25"/>
        </w:rPr>
      </w:pPr>
    </w:p>
    <w:p w14:paraId="26CCD2E9" w14:textId="7AB6E101" w:rsidR="00C466E8" w:rsidRDefault="00C466E8" w:rsidP="00D05A0E">
      <w:pPr>
        <w:pStyle w:val="NoSpacing"/>
        <w:jc w:val="center"/>
        <w:rPr>
          <w:rFonts w:ascii="Times New Roman" w:hAnsi="Times New Roman" w:cs="Times New Roman"/>
          <w:sz w:val="25"/>
          <w:szCs w:val="25"/>
        </w:rPr>
      </w:pPr>
    </w:p>
    <w:p w14:paraId="54E2DD92" w14:textId="03554F1B" w:rsidR="00C466E8" w:rsidRDefault="00C466E8" w:rsidP="00D05A0E">
      <w:pPr>
        <w:pStyle w:val="NoSpacing"/>
        <w:jc w:val="center"/>
        <w:rPr>
          <w:rFonts w:ascii="Times New Roman" w:hAnsi="Times New Roman" w:cs="Times New Roman"/>
          <w:sz w:val="25"/>
          <w:szCs w:val="25"/>
        </w:rPr>
      </w:pPr>
    </w:p>
    <w:p w14:paraId="7AC871C2" w14:textId="5FE7C5FA" w:rsidR="00C466E8" w:rsidRDefault="00C466E8" w:rsidP="00D05A0E">
      <w:pPr>
        <w:pStyle w:val="NoSpacing"/>
        <w:jc w:val="center"/>
        <w:rPr>
          <w:rFonts w:ascii="Times New Roman" w:hAnsi="Times New Roman" w:cs="Times New Roman"/>
          <w:sz w:val="25"/>
          <w:szCs w:val="25"/>
        </w:rPr>
      </w:pPr>
    </w:p>
    <w:p w14:paraId="59A2F404" w14:textId="68FB6D94" w:rsidR="00C466E8" w:rsidRDefault="00C466E8" w:rsidP="00D05A0E">
      <w:pPr>
        <w:pStyle w:val="NoSpacing"/>
        <w:jc w:val="center"/>
        <w:rPr>
          <w:rFonts w:ascii="Times New Roman" w:hAnsi="Times New Roman" w:cs="Times New Roman"/>
          <w:sz w:val="25"/>
          <w:szCs w:val="25"/>
        </w:rPr>
      </w:pPr>
    </w:p>
    <w:p w14:paraId="10A7A614" w14:textId="3370556E" w:rsidR="00C466E8" w:rsidRDefault="00C466E8" w:rsidP="00D05A0E">
      <w:pPr>
        <w:pStyle w:val="NoSpacing"/>
        <w:jc w:val="center"/>
        <w:rPr>
          <w:rFonts w:ascii="Times New Roman" w:hAnsi="Times New Roman" w:cs="Times New Roman"/>
          <w:sz w:val="25"/>
          <w:szCs w:val="25"/>
        </w:rPr>
      </w:pPr>
    </w:p>
    <w:p w14:paraId="778A3440" w14:textId="7D84CEB5" w:rsidR="00C466E8" w:rsidRDefault="00C466E8" w:rsidP="00D05A0E">
      <w:pPr>
        <w:pStyle w:val="NoSpacing"/>
        <w:jc w:val="center"/>
        <w:rPr>
          <w:rFonts w:ascii="Times New Roman" w:hAnsi="Times New Roman" w:cs="Times New Roman"/>
          <w:sz w:val="25"/>
          <w:szCs w:val="25"/>
        </w:rPr>
      </w:pPr>
    </w:p>
    <w:p w14:paraId="070457DE" w14:textId="4ADACF3F" w:rsidR="00C466E8" w:rsidRDefault="00C466E8" w:rsidP="00D05A0E">
      <w:pPr>
        <w:pStyle w:val="NoSpacing"/>
        <w:jc w:val="center"/>
        <w:rPr>
          <w:rFonts w:ascii="Times New Roman" w:hAnsi="Times New Roman" w:cs="Times New Roman"/>
          <w:sz w:val="25"/>
          <w:szCs w:val="25"/>
        </w:rPr>
      </w:pPr>
    </w:p>
    <w:p w14:paraId="4EF7E060" w14:textId="0EBC2F87" w:rsidR="00C466E8" w:rsidRPr="00A903E7" w:rsidRDefault="00C466E8" w:rsidP="00C466E8">
      <w:pPr>
        <w:keepNext/>
        <w:spacing w:line="480" w:lineRule="auto"/>
        <w:jc w:val="both"/>
        <w:rPr>
          <w:rFonts w:ascii="Times New Roman" w:hAnsi="Times New Roman" w:cs="Times New Roman"/>
          <w:b/>
          <w:sz w:val="25"/>
          <w:szCs w:val="25"/>
        </w:rPr>
      </w:pPr>
      <w:r w:rsidRPr="00A903E7">
        <w:rPr>
          <w:rFonts w:ascii="Times New Roman" w:hAnsi="Times New Roman" w:cs="Times New Roman"/>
          <w:b/>
          <w:sz w:val="25"/>
          <w:szCs w:val="25"/>
        </w:rPr>
        <w:t xml:space="preserve">ANDRE JA </w:t>
      </w:r>
    </w:p>
    <w:p w14:paraId="1667AC4D" w14:textId="77777777" w:rsidR="00C466E8" w:rsidRPr="00A903E7" w:rsidRDefault="00C466E8" w:rsidP="00C466E8">
      <w:pPr>
        <w:keepNext/>
        <w:rPr>
          <w:rFonts w:ascii="Times New Roman" w:hAnsi="Times New Roman" w:cs="Times New Roman"/>
          <w:b/>
          <w:sz w:val="25"/>
          <w:szCs w:val="25"/>
        </w:rPr>
      </w:pPr>
      <w:r w:rsidRPr="00A903E7">
        <w:rPr>
          <w:rFonts w:ascii="Times New Roman" w:hAnsi="Times New Roman" w:cs="Times New Roman"/>
          <w:b/>
          <w:sz w:val="25"/>
          <w:szCs w:val="25"/>
        </w:rPr>
        <w:t xml:space="preserve">IN ADDITION TO THE JUDGMENT OF FERNANDO PRESIDENT  </w:t>
      </w:r>
    </w:p>
    <w:p w14:paraId="2249CF41" w14:textId="77777777" w:rsidR="00C466E8" w:rsidRPr="00A903E7" w:rsidRDefault="00C466E8" w:rsidP="00C466E8">
      <w:pPr>
        <w:ind w:left="720" w:hanging="720"/>
        <w:jc w:val="both"/>
        <w:rPr>
          <w:rFonts w:ascii="Times New Roman" w:hAnsi="Times New Roman" w:cs="Times New Roman"/>
          <w:sz w:val="25"/>
          <w:szCs w:val="25"/>
        </w:rPr>
      </w:pPr>
      <w:r w:rsidRPr="00A903E7">
        <w:rPr>
          <w:rFonts w:ascii="Times New Roman" w:hAnsi="Times New Roman" w:cs="Times New Roman"/>
          <w:sz w:val="25"/>
          <w:szCs w:val="25"/>
        </w:rPr>
        <w:t>[1]</w:t>
      </w:r>
      <w:r w:rsidRPr="00A903E7">
        <w:rPr>
          <w:rFonts w:ascii="Times New Roman" w:hAnsi="Times New Roman" w:cs="Times New Roman"/>
          <w:sz w:val="25"/>
          <w:szCs w:val="25"/>
        </w:rPr>
        <w:tab/>
        <w:t>I have read the Judgment of the Learned Fernando President, and I am in concurrence with the judgment but I wish to however add to paragraph 5 of the judgment of Fernando President which addresses the question as to whether the Appellant had a right of appeal against the Disposal Order dated 14 September 2020.</w:t>
      </w:r>
    </w:p>
    <w:p w14:paraId="04A0BCD2" w14:textId="77777777" w:rsidR="00C466E8" w:rsidRPr="00A903E7" w:rsidRDefault="00C466E8" w:rsidP="00C466E8">
      <w:pPr>
        <w:ind w:left="720" w:hanging="720"/>
        <w:jc w:val="both"/>
        <w:rPr>
          <w:rFonts w:ascii="Times New Roman" w:hAnsi="Times New Roman" w:cs="Times New Roman"/>
          <w:sz w:val="25"/>
          <w:szCs w:val="25"/>
        </w:rPr>
      </w:pPr>
      <w:r w:rsidRPr="00A903E7">
        <w:rPr>
          <w:rFonts w:ascii="Times New Roman" w:hAnsi="Times New Roman" w:cs="Times New Roman"/>
          <w:sz w:val="25"/>
          <w:szCs w:val="25"/>
        </w:rPr>
        <w:t>[2]</w:t>
      </w:r>
      <w:r w:rsidRPr="00A903E7">
        <w:rPr>
          <w:rFonts w:ascii="Times New Roman" w:hAnsi="Times New Roman" w:cs="Times New Roman"/>
          <w:sz w:val="25"/>
          <w:szCs w:val="25"/>
        </w:rPr>
        <w:tab/>
        <w:t>The Learned Fernando President’s pronouncement in paragraph 5 of said judgment is applicable in cases of a right to appeal generally. A more specific appeal against disposal orders is provided for in section 4(5) of POCA which states:</w:t>
      </w:r>
    </w:p>
    <w:p w14:paraId="25786D5A" w14:textId="77777777" w:rsidR="00C466E8" w:rsidRPr="00A903E7" w:rsidRDefault="00C466E8" w:rsidP="00C466E8">
      <w:pPr>
        <w:ind w:left="1440"/>
        <w:contextualSpacing/>
        <w:jc w:val="both"/>
        <w:rPr>
          <w:rFonts w:ascii="Times New Roman" w:hAnsi="Times New Roman" w:cs="Times New Roman"/>
          <w:i/>
          <w:sz w:val="25"/>
          <w:szCs w:val="25"/>
        </w:rPr>
      </w:pPr>
      <w:r w:rsidRPr="00A903E7">
        <w:rPr>
          <w:rFonts w:ascii="Times New Roman" w:hAnsi="Times New Roman" w:cs="Times New Roman"/>
          <w:sz w:val="25"/>
          <w:szCs w:val="25"/>
        </w:rPr>
        <w:t>“</w:t>
      </w:r>
      <w:r w:rsidRPr="00A903E7">
        <w:rPr>
          <w:rFonts w:ascii="Times New Roman" w:hAnsi="Times New Roman" w:cs="Times New Roman"/>
          <w:i/>
          <w:sz w:val="25"/>
          <w:szCs w:val="25"/>
        </w:rPr>
        <w:t>Subject to subsections (3) and (4), an interlocutory order shall continue in force until—</w:t>
      </w:r>
    </w:p>
    <w:p w14:paraId="1807DDDB" w14:textId="77777777" w:rsidR="00C466E8" w:rsidRPr="00A903E7" w:rsidRDefault="00C466E8" w:rsidP="00C466E8">
      <w:pPr>
        <w:ind w:left="1440"/>
        <w:contextualSpacing/>
        <w:jc w:val="both"/>
        <w:rPr>
          <w:rFonts w:ascii="Times New Roman" w:hAnsi="Times New Roman" w:cs="Times New Roman"/>
          <w:i/>
          <w:sz w:val="25"/>
          <w:szCs w:val="25"/>
        </w:rPr>
      </w:pPr>
      <w:r w:rsidRPr="00A903E7">
        <w:rPr>
          <w:rFonts w:ascii="Times New Roman" w:hAnsi="Times New Roman" w:cs="Times New Roman"/>
          <w:i/>
          <w:sz w:val="25"/>
          <w:szCs w:val="25"/>
        </w:rPr>
        <w:t xml:space="preserve">(a) the </w:t>
      </w:r>
      <w:r w:rsidRPr="00A903E7">
        <w:rPr>
          <w:rFonts w:ascii="Times New Roman" w:hAnsi="Times New Roman" w:cs="Times New Roman"/>
          <w:i/>
          <w:sz w:val="25"/>
          <w:szCs w:val="25"/>
          <w:u w:val="single"/>
        </w:rPr>
        <w:t>determination</w:t>
      </w:r>
      <w:r w:rsidRPr="00A903E7">
        <w:rPr>
          <w:rFonts w:ascii="Times New Roman" w:hAnsi="Times New Roman" w:cs="Times New Roman"/>
          <w:i/>
          <w:sz w:val="25"/>
          <w:szCs w:val="25"/>
        </w:rPr>
        <w:t xml:space="preserve"> of an application for a </w:t>
      </w:r>
      <w:r w:rsidRPr="00A903E7">
        <w:rPr>
          <w:rFonts w:ascii="Times New Roman" w:hAnsi="Times New Roman" w:cs="Times New Roman"/>
          <w:i/>
          <w:sz w:val="25"/>
          <w:szCs w:val="25"/>
          <w:u w:val="single"/>
        </w:rPr>
        <w:t>disposal order</w:t>
      </w:r>
      <w:r w:rsidRPr="00A903E7">
        <w:rPr>
          <w:rFonts w:ascii="Times New Roman" w:hAnsi="Times New Roman" w:cs="Times New Roman"/>
          <w:i/>
          <w:sz w:val="25"/>
          <w:szCs w:val="25"/>
        </w:rPr>
        <w:t xml:space="preserve"> in relation to the property concerned;</w:t>
      </w:r>
    </w:p>
    <w:p w14:paraId="00D6CAF7" w14:textId="77777777" w:rsidR="00C466E8" w:rsidRPr="00A903E7" w:rsidRDefault="00C466E8" w:rsidP="00C466E8">
      <w:pPr>
        <w:ind w:left="1440"/>
        <w:contextualSpacing/>
        <w:jc w:val="both"/>
        <w:rPr>
          <w:rFonts w:ascii="Times New Roman" w:hAnsi="Times New Roman" w:cs="Times New Roman"/>
          <w:i/>
          <w:sz w:val="25"/>
          <w:szCs w:val="25"/>
        </w:rPr>
      </w:pPr>
      <w:r w:rsidRPr="00A903E7">
        <w:rPr>
          <w:rFonts w:ascii="Times New Roman" w:hAnsi="Times New Roman" w:cs="Times New Roman"/>
          <w:i/>
          <w:sz w:val="25"/>
          <w:szCs w:val="25"/>
        </w:rPr>
        <w:t xml:space="preserve">(b) the expiration of the ordinary time for </w:t>
      </w:r>
      <w:r w:rsidRPr="00A903E7">
        <w:rPr>
          <w:rFonts w:ascii="Times New Roman" w:hAnsi="Times New Roman" w:cs="Times New Roman"/>
          <w:i/>
          <w:sz w:val="25"/>
          <w:szCs w:val="25"/>
          <w:u w:val="single"/>
        </w:rPr>
        <w:t>bringing an appeal from that determination;</w:t>
      </w:r>
      <w:r w:rsidRPr="00A903E7">
        <w:rPr>
          <w:rFonts w:ascii="Times New Roman" w:hAnsi="Times New Roman" w:cs="Times New Roman"/>
          <w:i/>
          <w:sz w:val="25"/>
          <w:szCs w:val="25"/>
        </w:rPr>
        <w:t xml:space="preserve"> or,</w:t>
      </w:r>
    </w:p>
    <w:p w14:paraId="4B35263E" w14:textId="77777777" w:rsidR="00C466E8" w:rsidRPr="00A903E7" w:rsidRDefault="00C466E8" w:rsidP="00C466E8">
      <w:pPr>
        <w:ind w:left="1440"/>
        <w:contextualSpacing/>
        <w:jc w:val="both"/>
        <w:rPr>
          <w:rFonts w:ascii="Times New Roman" w:hAnsi="Times New Roman" w:cs="Times New Roman"/>
          <w:sz w:val="25"/>
          <w:szCs w:val="25"/>
        </w:rPr>
      </w:pPr>
      <w:r w:rsidRPr="00A903E7">
        <w:rPr>
          <w:rFonts w:ascii="Times New Roman" w:hAnsi="Times New Roman" w:cs="Times New Roman"/>
          <w:i/>
          <w:sz w:val="25"/>
          <w:szCs w:val="25"/>
        </w:rPr>
        <w:t>(c) if such an appeal is brought, when the appeal is determined or abandoned, whichever is the latest, and shall then lapse</w:t>
      </w:r>
      <w:r w:rsidRPr="00A903E7">
        <w:rPr>
          <w:rFonts w:ascii="Times New Roman" w:hAnsi="Times New Roman" w:cs="Times New Roman"/>
          <w:sz w:val="25"/>
          <w:szCs w:val="25"/>
        </w:rPr>
        <w:t>.”</w:t>
      </w:r>
    </w:p>
    <w:p w14:paraId="5109016C" w14:textId="77777777" w:rsidR="00C466E8" w:rsidRPr="00A903E7" w:rsidRDefault="00C466E8" w:rsidP="00C466E8">
      <w:pPr>
        <w:ind w:left="1440"/>
        <w:contextualSpacing/>
        <w:jc w:val="both"/>
        <w:rPr>
          <w:rFonts w:ascii="Times New Roman" w:hAnsi="Times New Roman" w:cs="Times New Roman"/>
          <w:sz w:val="25"/>
          <w:szCs w:val="25"/>
        </w:rPr>
      </w:pPr>
    </w:p>
    <w:p w14:paraId="61887CED" w14:textId="77777777" w:rsidR="00C466E8" w:rsidRPr="00A903E7" w:rsidRDefault="00C466E8" w:rsidP="00C466E8">
      <w:pPr>
        <w:ind w:left="1440"/>
        <w:contextualSpacing/>
        <w:jc w:val="both"/>
        <w:rPr>
          <w:rFonts w:ascii="Times New Roman" w:hAnsi="Times New Roman" w:cs="Times New Roman"/>
          <w:sz w:val="25"/>
          <w:szCs w:val="25"/>
        </w:rPr>
      </w:pPr>
      <w:r w:rsidRPr="00A903E7">
        <w:rPr>
          <w:rFonts w:ascii="Times New Roman" w:hAnsi="Times New Roman" w:cs="Times New Roman"/>
          <w:sz w:val="25"/>
          <w:szCs w:val="25"/>
        </w:rPr>
        <w:t>(Emphasis added)</w:t>
      </w:r>
    </w:p>
    <w:p w14:paraId="4C2D7121" w14:textId="77777777" w:rsidR="00C466E8" w:rsidRPr="00A903E7" w:rsidRDefault="00C466E8" w:rsidP="00C466E8">
      <w:pPr>
        <w:ind w:left="810"/>
        <w:contextualSpacing/>
        <w:jc w:val="both"/>
        <w:rPr>
          <w:rFonts w:ascii="Times New Roman" w:hAnsi="Times New Roman" w:cs="Times New Roman"/>
          <w:sz w:val="25"/>
          <w:szCs w:val="25"/>
        </w:rPr>
      </w:pPr>
    </w:p>
    <w:p w14:paraId="0659E173" w14:textId="77777777" w:rsidR="00C466E8" w:rsidRPr="00A903E7" w:rsidRDefault="00C466E8" w:rsidP="00C466E8">
      <w:pPr>
        <w:ind w:left="720" w:hanging="720"/>
        <w:jc w:val="both"/>
        <w:rPr>
          <w:rFonts w:ascii="Times New Roman" w:hAnsi="Times New Roman" w:cs="Times New Roman"/>
          <w:bCs/>
          <w:sz w:val="25"/>
          <w:szCs w:val="25"/>
        </w:rPr>
      </w:pPr>
      <w:r w:rsidRPr="00A903E7">
        <w:rPr>
          <w:rFonts w:ascii="Times New Roman" w:hAnsi="Times New Roman" w:cs="Times New Roman"/>
          <w:sz w:val="25"/>
          <w:szCs w:val="25"/>
        </w:rPr>
        <w:t>[3]</w:t>
      </w:r>
      <w:r w:rsidRPr="00A903E7">
        <w:rPr>
          <w:rFonts w:ascii="Times New Roman" w:hAnsi="Times New Roman" w:cs="Times New Roman"/>
          <w:sz w:val="25"/>
          <w:szCs w:val="25"/>
        </w:rPr>
        <w:tab/>
        <w:t xml:space="preserve">Section 4(5)(a) clearly refers to an order made by the court in terms of section 5(1) of POCA. The “determination” referred to in subsection (b) being the disposal order in subsection (a). This effectively means whilst an appeal against the disposal order is underway, the disposal order is stayed or the interlocutory order remains in force, until the disposal order is confirmed on appeal. Subsection (c) can be construed to mean that only once the appeal is either determined or abandoned, then further actions or proceedings on that issue lapse. </w:t>
      </w:r>
      <w:r w:rsidRPr="00A903E7">
        <w:rPr>
          <w:rFonts w:ascii="Times New Roman" w:hAnsi="Times New Roman" w:cs="Times New Roman"/>
          <w:bCs/>
          <w:sz w:val="25"/>
          <w:szCs w:val="25"/>
        </w:rPr>
        <w:t>The question that follows is: what is “the ordinary time for bringing an appeal” as per subsection (b)? The answer is since section 5(1) provides for a period of 12 months within which to lodge an appeal against the interlocutory order, such 12 month period is the ordinary time for bringing an appeal in terms of this statute, and therefore shall be calculated from the making of the disposal order under section 5, unless the Court “for good cause shall otherwise determine” (section 5(2)(c)). The Disposal Order having been granted on the 14</w:t>
      </w:r>
      <w:r w:rsidRPr="00A903E7">
        <w:rPr>
          <w:rFonts w:ascii="Times New Roman" w:hAnsi="Times New Roman" w:cs="Times New Roman"/>
          <w:bCs/>
          <w:sz w:val="25"/>
          <w:szCs w:val="25"/>
          <w:vertAlign w:val="superscript"/>
        </w:rPr>
        <w:t>th</w:t>
      </w:r>
      <w:r w:rsidRPr="00A903E7">
        <w:rPr>
          <w:rFonts w:ascii="Times New Roman" w:hAnsi="Times New Roman" w:cs="Times New Roman"/>
          <w:bCs/>
          <w:sz w:val="25"/>
          <w:szCs w:val="25"/>
        </w:rPr>
        <w:t xml:space="preserve"> September 2020, and the notice of appeal filed on the 13</w:t>
      </w:r>
      <w:r w:rsidRPr="00A903E7">
        <w:rPr>
          <w:rFonts w:ascii="Times New Roman" w:hAnsi="Times New Roman" w:cs="Times New Roman"/>
          <w:bCs/>
          <w:sz w:val="25"/>
          <w:szCs w:val="25"/>
          <w:vertAlign w:val="superscript"/>
        </w:rPr>
        <w:t>th</w:t>
      </w:r>
      <w:r w:rsidRPr="00A903E7">
        <w:rPr>
          <w:rFonts w:ascii="Times New Roman" w:hAnsi="Times New Roman" w:cs="Times New Roman"/>
          <w:bCs/>
          <w:sz w:val="25"/>
          <w:szCs w:val="25"/>
        </w:rPr>
        <w:t xml:space="preserve"> October 2020, the requirements of POCA were met. </w:t>
      </w:r>
    </w:p>
    <w:p w14:paraId="412A9FD1" w14:textId="32DA3987" w:rsidR="00C466E8" w:rsidRDefault="00C466E8" w:rsidP="00C466E8">
      <w:pPr>
        <w:ind w:left="810"/>
        <w:contextualSpacing/>
        <w:jc w:val="both"/>
        <w:rPr>
          <w:rFonts w:ascii="Times New Roman" w:hAnsi="Times New Roman" w:cs="Times New Roman"/>
          <w:bCs/>
          <w:sz w:val="25"/>
          <w:szCs w:val="25"/>
        </w:rPr>
      </w:pPr>
    </w:p>
    <w:p w14:paraId="78DDB0B4" w14:textId="77777777" w:rsidR="00D953CD" w:rsidRDefault="00D953CD" w:rsidP="00C466E8">
      <w:pPr>
        <w:ind w:left="810"/>
        <w:contextualSpacing/>
        <w:jc w:val="both"/>
        <w:rPr>
          <w:rFonts w:ascii="Times New Roman" w:hAnsi="Times New Roman" w:cs="Times New Roman"/>
          <w:bCs/>
          <w:sz w:val="25"/>
          <w:szCs w:val="25"/>
        </w:rPr>
      </w:pPr>
    </w:p>
    <w:p w14:paraId="579D44AC" w14:textId="77777777" w:rsidR="00A903E7" w:rsidRPr="00A903E7" w:rsidRDefault="00A903E7" w:rsidP="00C466E8">
      <w:pPr>
        <w:ind w:left="810"/>
        <w:contextualSpacing/>
        <w:jc w:val="both"/>
        <w:rPr>
          <w:rFonts w:ascii="Times New Roman" w:hAnsi="Times New Roman" w:cs="Times New Roman"/>
          <w:bCs/>
          <w:sz w:val="25"/>
          <w:szCs w:val="25"/>
        </w:rPr>
      </w:pPr>
    </w:p>
    <w:p w14:paraId="1B41E0C1" w14:textId="77777777" w:rsidR="00C466E8" w:rsidRPr="00A903E7" w:rsidRDefault="00C466E8" w:rsidP="00C466E8">
      <w:pPr>
        <w:ind w:left="450"/>
        <w:jc w:val="both"/>
        <w:rPr>
          <w:rFonts w:ascii="Times New Roman" w:hAnsi="Times New Roman" w:cs="Times New Roman"/>
          <w:b/>
          <w:bCs/>
          <w:sz w:val="25"/>
          <w:szCs w:val="25"/>
        </w:rPr>
      </w:pPr>
      <w:r w:rsidRPr="00A903E7">
        <w:rPr>
          <w:rFonts w:ascii="Times New Roman" w:hAnsi="Times New Roman" w:cs="Times New Roman"/>
          <w:b/>
          <w:bCs/>
          <w:sz w:val="25"/>
          <w:szCs w:val="25"/>
        </w:rPr>
        <w:t>CONCLUSION</w:t>
      </w:r>
    </w:p>
    <w:p w14:paraId="49581F0F" w14:textId="77777777" w:rsidR="00C466E8" w:rsidRPr="00A903E7" w:rsidRDefault="00C466E8" w:rsidP="00C466E8">
      <w:pPr>
        <w:ind w:left="720" w:hanging="720"/>
        <w:jc w:val="both"/>
        <w:rPr>
          <w:rFonts w:ascii="Times New Roman" w:hAnsi="Times New Roman" w:cs="Times New Roman"/>
          <w:bCs/>
          <w:sz w:val="25"/>
          <w:szCs w:val="25"/>
        </w:rPr>
      </w:pPr>
      <w:r w:rsidRPr="00A903E7">
        <w:rPr>
          <w:rFonts w:ascii="Times New Roman" w:hAnsi="Times New Roman" w:cs="Times New Roman"/>
          <w:bCs/>
          <w:sz w:val="25"/>
          <w:szCs w:val="25"/>
        </w:rPr>
        <w:t>[4]</w:t>
      </w:r>
      <w:r w:rsidRPr="00A903E7">
        <w:rPr>
          <w:rFonts w:ascii="Times New Roman" w:hAnsi="Times New Roman" w:cs="Times New Roman"/>
          <w:bCs/>
          <w:sz w:val="25"/>
          <w:szCs w:val="25"/>
        </w:rPr>
        <w:tab/>
        <w:t>Consequently, whichever way the issue is scrutinized, from the provisions alluded to above, it is apparent that there is a right of appeal against the disposal order.</w:t>
      </w:r>
      <w:r w:rsidRPr="00A903E7">
        <w:rPr>
          <w:rFonts w:ascii="Times New Roman" w:hAnsi="Times New Roman" w:cs="Times New Roman"/>
          <w:sz w:val="25"/>
          <w:szCs w:val="25"/>
        </w:rPr>
        <w:t xml:space="preserve"> These provisions do not offend the Constitution as such right to appeal cannot be open-ended and section 5(1) provides a time frame within which to lodge the appeal.</w:t>
      </w:r>
    </w:p>
    <w:p w14:paraId="54AC5F36" w14:textId="77777777" w:rsidR="00C466E8" w:rsidRPr="00A903E7" w:rsidRDefault="00C466E8" w:rsidP="00C466E8">
      <w:pPr>
        <w:spacing w:after="240" w:line="360" w:lineRule="auto"/>
        <w:ind w:left="720"/>
        <w:jc w:val="both"/>
        <w:rPr>
          <w:rFonts w:ascii="Times New Roman" w:eastAsia="Times New Roman" w:hAnsi="Times New Roman" w:cs="Times New Roman"/>
          <w:sz w:val="25"/>
          <w:szCs w:val="25"/>
        </w:rPr>
      </w:pPr>
    </w:p>
    <w:p w14:paraId="0ACBEE5E" w14:textId="77777777" w:rsidR="00D953CD" w:rsidRDefault="00D953CD" w:rsidP="00C466E8">
      <w:pPr>
        <w:keepNext/>
        <w:rPr>
          <w:rFonts w:ascii="Times New Roman" w:hAnsi="Times New Roman" w:cs="Times New Roman"/>
          <w:sz w:val="25"/>
          <w:szCs w:val="25"/>
        </w:rPr>
      </w:pPr>
    </w:p>
    <w:p w14:paraId="6093EEDD" w14:textId="4A506F55" w:rsidR="00C466E8" w:rsidRPr="00A903E7" w:rsidRDefault="00C466E8" w:rsidP="00C466E8">
      <w:pPr>
        <w:keepNext/>
        <w:rPr>
          <w:rFonts w:ascii="Times New Roman" w:hAnsi="Times New Roman" w:cs="Times New Roman"/>
          <w:sz w:val="25"/>
          <w:szCs w:val="25"/>
        </w:rPr>
      </w:pPr>
      <w:r w:rsidRPr="00A903E7">
        <w:rPr>
          <w:rFonts w:ascii="Times New Roman" w:hAnsi="Times New Roman" w:cs="Times New Roman"/>
          <w:sz w:val="25"/>
          <w:szCs w:val="25"/>
        </w:rPr>
        <w:t>____________________</w:t>
      </w:r>
    </w:p>
    <w:p w14:paraId="263F717F" w14:textId="77777777" w:rsidR="00C466E8" w:rsidRPr="00A903E7" w:rsidRDefault="00C466E8" w:rsidP="00C466E8">
      <w:pPr>
        <w:keepNext/>
        <w:rPr>
          <w:rFonts w:ascii="Times New Roman" w:hAnsi="Times New Roman" w:cs="Times New Roman"/>
          <w:sz w:val="25"/>
          <w:szCs w:val="25"/>
        </w:rPr>
      </w:pPr>
      <w:r w:rsidRPr="00A903E7">
        <w:rPr>
          <w:rFonts w:ascii="Times New Roman" w:hAnsi="Times New Roman" w:cs="Times New Roman"/>
          <w:sz w:val="25"/>
          <w:szCs w:val="25"/>
        </w:rPr>
        <w:t xml:space="preserve">Andre JA </w:t>
      </w:r>
    </w:p>
    <w:p w14:paraId="6AF1ED7A" w14:textId="77777777" w:rsidR="00C466E8" w:rsidRPr="00A903E7" w:rsidRDefault="00C466E8" w:rsidP="00C466E8">
      <w:pPr>
        <w:rPr>
          <w:sz w:val="25"/>
          <w:szCs w:val="25"/>
        </w:rPr>
      </w:pPr>
    </w:p>
    <w:p w14:paraId="6CA201A9" w14:textId="77777777" w:rsidR="00D953CD" w:rsidRPr="00A903E7" w:rsidRDefault="00D953CD" w:rsidP="00D953CD">
      <w:pPr>
        <w:spacing w:after="240" w:line="360" w:lineRule="auto"/>
        <w:ind w:left="720" w:hanging="720"/>
        <w:jc w:val="both"/>
        <w:rPr>
          <w:rFonts w:ascii="Times New Roman" w:eastAsia="Times New Roman" w:hAnsi="Times New Roman" w:cs="Times New Roman"/>
          <w:sz w:val="25"/>
          <w:szCs w:val="25"/>
        </w:rPr>
      </w:pPr>
      <w:r w:rsidRPr="00A903E7">
        <w:rPr>
          <w:rFonts w:ascii="Times New Roman" w:eastAsia="Times New Roman" w:hAnsi="Times New Roman" w:cs="Times New Roman"/>
          <w:sz w:val="25"/>
          <w:szCs w:val="25"/>
        </w:rPr>
        <w:t xml:space="preserve">Signed, dated and delivered at Ile du Port on 16 December 2022. </w:t>
      </w:r>
    </w:p>
    <w:p w14:paraId="474D8512" w14:textId="77777777" w:rsidR="00C466E8" w:rsidRPr="00A903E7" w:rsidRDefault="00C466E8" w:rsidP="00C466E8">
      <w:pPr>
        <w:pStyle w:val="NoSpacing"/>
        <w:rPr>
          <w:rFonts w:ascii="Times New Roman" w:hAnsi="Times New Roman" w:cs="Times New Roman"/>
          <w:sz w:val="25"/>
          <w:szCs w:val="25"/>
        </w:rPr>
      </w:pPr>
    </w:p>
    <w:sectPr w:rsidR="00C466E8" w:rsidRPr="00A903E7" w:rsidSect="009B495E">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B2C41" w14:textId="77777777" w:rsidR="0007723A" w:rsidRDefault="0007723A" w:rsidP="006A68E2">
      <w:pPr>
        <w:spacing w:after="0" w:line="240" w:lineRule="auto"/>
      </w:pPr>
      <w:r>
        <w:separator/>
      </w:r>
    </w:p>
  </w:endnote>
  <w:endnote w:type="continuationSeparator" w:id="0">
    <w:p w14:paraId="6658A528" w14:textId="77777777" w:rsidR="0007723A" w:rsidRDefault="0007723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7766EEE6" w14:textId="61DCCE8A" w:rsidR="00F33B83" w:rsidRDefault="00F33B83">
        <w:pPr>
          <w:pStyle w:val="Footer"/>
          <w:jc w:val="center"/>
        </w:pPr>
        <w:r>
          <w:fldChar w:fldCharType="begin"/>
        </w:r>
        <w:r>
          <w:instrText xml:space="preserve"> PAGE   \* MERGEFORMAT </w:instrText>
        </w:r>
        <w:r>
          <w:fldChar w:fldCharType="separate"/>
        </w:r>
        <w:r w:rsidR="00593847">
          <w:rPr>
            <w:noProof/>
          </w:rPr>
          <w:t>1</w:t>
        </w:r>
        <w:r>
          <w:rPr>
            <w:noProof/>
          </w:rPr>
          <w:fldChar w:fldCharType="end"/>
        </w:r>
      </w:p>
    </w:sdtContent>
  </w:sdt>
  <w:p w14:paraId="42E7E79D"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F11BC" w14:textId="77777777" w:rsidR="0007723A" w:rsidRDefault="0007723A" w:rsidP="006A68E2">
      <w:pPr>
        <w:spacing w:after="0" w:line="240" w:lineRule="auto"/>
      </w:pPr>
      <w:r>
        <w:separator/>
      </w:r>
    </w:p>
  </w:footnote>
  <w:footnote w:type="continuationSeparator" w:id="0">
    <w:p w14:paraId="5C9FA506" w14:textId="77777777" w:rsidR="0007723A" w:rsidRDefault="0007723A"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6CB"/>
    <w:multiLevelType w:val="hybridMultilevel"/>
    <w:tmpl w:val="AE08EB9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5260B30"/>
    <w:multiLevelType w:val="hybridMultilevel"/>
    <w:tmpl w:val="9F7E3E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0E20FB"/>
    <w:multiLevelType w:val="hybridMultilevel"/>
    <w:tmpl w:val="0B82FA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9F3147"/>
    <w:multiLevelType w:val="hybridMultilevel"/>
    <w:tmpl w:val="518CE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D714C"/>
    <w:multiLevelType w:val="hybridMultilevel"/>
    <w:tmpl w:val="171E1B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0D076D"/>
    <w:multiLevelType w:val="hybridMultilevel"/>
    <w:tmpl w:val="D1E4C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542D2"/>
    <w:multiLevelType w:val="multilevel"/>
    <w:tmpl w:val="1CC89892"/>
    <w:numStyleLink w:val="Judgments"/>
  </w:abstractNum>
  <w:abstractNum w:abstractNumId="10"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1"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F7A30"/>
    <w:multiLevelType w:val="hybridMultilevel"/>
    <w:tmpl w:val="984C2C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2B2E90"/>
    <w:multiLevelType w:val="hybridMultilevel"/>
    <w:tmpl w:val="CA468734"/>
    <w:lvl w:ilvl="0" w:tplc="B8B458F4">
      <w:start w:val="1"/>
      <w:numFmt w:val="decimal"/>
      <w:lvlText w:val="%1."/>
      <w:lvlJc w:val="left"/>
      <w:pPr>
        <w:ind w:left="928" w:hanging="360"/>
      </w:pPr>
      <w:rPr>
        <w:rFonts w:asciiTheme="minorHAnsi" w:hAnsiTheme="minorHAnsi" w:cs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23FC6"/>
    <w:multiLevelType w:val="hybridMultilevel"/>
    <w:tmpl w:val="AE2C69E2"/>
    <w:lvl w:ilvl="0" w:tplc="0409001B">
      <w:start w:val="1"/>
      <w:numFmt w:val="lowerRoman"/>
      <w:lvlText w:val="%1."/>
      <w:lvlJc w:val="righ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7" w15:restartNumberingAfterBreak="0">
    <w:nsid w:val="6A2A12CF"/>
    <w:multiLevelType w:val="hybridMultilevel"/>
    <w:tmpl w:val="A29E0C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CC1CB4"/>
    <w:multiLevelType w:val="hybridMultilevel"/>
    <w:tmpl w:val="EAD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7A6FEC"/>
    <w:multiLevelType w:val="hybridMultilevel"/>
    <w:tmpl w:val="EA729FCA"/>
    <w:lvl w:ilvl="0" w:tplc="AEF46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A77576"/>
    <w:multiLevelType w:val="hybridMultilevel"/>
    <w:tmpl w:val="46408BCC"/>
    <w:lvl w:ilvl="0" w:tplc="38D48D16">
      <w:start w:val="1"/>
      <w:numFmt w:val="decimal"/>
      <w:lvlText w:val="%1."/>
      <w:lvlJc w:val="left"/>
      <w:pPr>
        <w:ind w:left="81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10"/>
  </w:num>
  <w:num w:numId="5">
    <w:abstractNumId w:val="9"/>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9"/>
  </w:num>
  <w:num w:numId="7">
    <w:abstractNumId w:val="6"/>
  </w:num>
  <w:num w:numId="8">
    <w:abstractNumId w:val="14"/>
  </w:num>
  <w:num w:numId="9">
    <w:abstractNumId w:val="2"/>
  </w:num>
  <w:num w:numId="10">
    <w:abstractNumId w:val="14"/>
  </w:num>
  <w:num w:numId="11">
    <w:abstractNumId w:val="14"/>
  </w:num>
  <w:num w:numId="12">
    <w:abstractNumId w:val="15"/>
  </w:num>
  <w:num w:numId="13">
    <w:abstractNumId w:val="5"/>
  </w:num>
  <w:num w:numId="14">
    <w:abstractNumId w:val="16"/>
  </w:num>
  <w:num w:numId="15">
    <w:abstractNumId w:val="18"/>
  </w:num>
  <w:num w:numId="16">
    <w:abstractNumId w:val="17"/>
  </w:num>
  <w:num w:numId="17">
    <w:abstractNumId w:val="3"/>
  </w:num>
  <w:num w:numId="18">
    <w:abstractNumId w:val="4"/>
  </w:num>
  <w:num w:numId="19">
    <w:abstractNumId w:val="13"/>
  </w:num>
  <w:num w:numId="20">
    <w:abstractNumId w:val="21"/>
  </w:num>
  <w:num w:numId="21">
    <w:abstractNumId w:val="1"/>
  </w:num>
  <w:num w:numId="22">
    <w:abstractNumId w:val="0"/>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0448C"/>
    <w:rsid w:val="00013CC7"/>
    <w:rsid w:val="0001586F"/>
    <w:rsid w:val="00025CDF"/>
    <w:rsid w:val="000273BF"/>
    <w:rsid w:val="00040193"/>
    <w:rsid w:val="000452BF"/>
    <w:rsid w:val="0006084B"/>
    <w:rsid w:val="00066A41"/>
    <w:rsid w:val="00071B84"/>
    <w:rsid w:val="0007723A"/>
    <w:rsid w:val="00084661"/>
    <w:rsid w:val="0008560D"/>
    <w:rsid w:val="0009242F"/>
    <w:rsid w:val="00097D19"/>
    <w:rsid w:val="000A2A28"/>
    <w:rsid w:val="000A6600"/>
    <w:rsid w:val="000C0F36"/>
    <w:rsid w:val="000D5304"/>
    <w:rsid w:val="000D682F"/>
    <w:rsid w:val="000E7303"/>
    <w:rsid w:val="000F6F28"/>
    <w:rsid w:val="001135C2"/>
    <w:rsid w:val="00122E79"/>
    <w:rsid w:val="00132BD9"/>
    <w:rsid w:val="001428B9"/>
    <w:rsid w:val="00147E6C"/>
    <w:rsid w:val="001646E2"/>
    <w:rsid w:val="001723B1"/>
    <w:rsid w:val="0019569C"/>
    <w:rsid w:val="001B76AB"/>
    <w:rsid w:val="001C78EC"/>
    <w:rsid w:val="001D085A"/>
    <w:rsid w:val="001D33D2"/>
    <w:rsid w:val="001D467D"/>
    <w:rsid w:val="001E2BFD"/>
    <w:rsid w:val="001E5FC7"/>
    <w:rsid w:val="001E7DBF"/>
    <w:rsid w:val="001F4124"/>
    <w:rsid w:val="002015F8"/>
    <w:rsid w:val="00212006"/>
    <w:rsid w:val="0021402A"/>
    <w:rsid w:val="00214DB4"/>
    <w:rsid w:val="0022334C"/>
    <w:rsid w:val="00232425"/>
    <w:rsid w:val="00235013"/>
    <w:rsid w:val="00235626"/>
    <w:rsid w:val="00243AE1"/>
    <w:rsid w:val="00246163"/>
    <w:rsid w:val="002565CA"/>
    <w:rsid w:val="00272AB4"/>
    <w:rsid w:val="00272B2A"/>
    <w:rsid w:val="00275C79"/>
    <w:rsid w:val="0029682B"/>
    <w:rsid w:val="002A0581"/>
    <w:rsid w:val="002B0530"/>
    <w:rsid w:val="002D0770"/>
    <w:rsid w:val="002D4EB8"/>
    <w:rsid w:val="002E1B4E"/>
    <w:rsid w:val="002E2AE3"/>
    <w:rsid w:val="002F0C83"/>
    <w:rsid w:val="002F11A4"/>
    <w:rsid w:val="002F312B"/>
    <w:rsid w:val="003060C0"/>
    <w:rsid w:val="003109D8"/>
    <w:rsid w:val="00312C3D"/>
    <w:rsid w:val="003137B8"/>
    <w:rsid w:val="00330145"/>
    <w:rsid w:val="00333BAB"/>
    <w:rsid w:val="00344425"/>
    <w:rsid w:val="00346D7F"/>
    <w:rsid w:val="0035228D"/>
    <w:rsid w:val="003615E7"/>
    <w:rsid w:val="00363415"/>
    <w:rsid w:val="00380619"/>
    <w:rsid w:val="00395F21"/>
    <w:rsid w:val="003A2114"/>
    <w:rsid w:val="003A6C9E"/>
    <w:rsid w:val="003B0FE6"/>
    <w:rsid w:val="003B7A9A"/>
    <w:rsid w:val="003E1049"/>
    <w:rsid w:val="003E1F0B"/>
    <w:rsid w:val="003E2E94"/>
    <w:rsid w:val="003E46AA"/>
    <w:rsid w:val="003F0F74"/>
    <w:rsid w:val="003F1FE8"/>
    <w:rsid w:val="003F550C"/>
    <w:rsid w:val="00403F4C"/>
    <w:rsid w:val="00405958"/>
    <w:rsid w:val="00407BE2"/>
    <w:rsid w:val="00411B9B"/>
    <w:rsid w:val="00412994"/>
    <w:rsid w:val="00416CAA"/>
    <w:rsid w:val="00417519"/>
    <w:rsid w:val="00417B06"/>
    <w:rsid w:val="00422109"/>
    <w:rsid w:val="00431053"/>
    <w:rsid w:val="0043172F"/>
    <w:rsid w:val="00432D05"/>
    <w:rsid w:val="00432D62"/>
    <w:rsid w:val="00437B54"/>
    <w:rsid w:val="00442D50"/>
    <w:rsid w:val="00460522"/>
    <w:rsid w:val="00461993"/>
    <w:rsid w:val="00463B4E"/>
    <w:rsid w:val="00472219"/>
    <w:rsid w:val="00477808"/>
    <w:rsid w:val="004859BA"/>
    <w:rsid w:val="004940F7"/>
    <w:rsid w:val="004A2599"/>
    <w:rsid w:val="004B1E17"/>
    <w:rsid w:val="004C16E0"/>
    <w:rsid w:val="004E15BC"/>
    <w:rsid w:val="004E71F1"/>
    <w:rsid w:val="00506B0D"/>
    <w:rsid w:val="005157BA"/>
    <w:rsid w:val="005264CF"/>
    <w:rsid w:val="00547AD3"/>
    <w:rsid w:val="0057515A"/>
    <w:rsid w:val="005812AD"/>
    <w:rsid w:val="00587025"/>
    <w:rsid w:val="005878E1"/>
    <w:rsid w:val="005908DD"/>
    <w:rsid w:val="00593847"/>
    <w:rsid w:val="005969D1"/>
    <w:rsid w:val="00596D3E"/>
    <w:rsid w:val="00597F08"/>
    <w:rsid w:val="005A5FCB"/>
    <w:rsid w:val="005B12AA"/>
    <w:rsid w:val="005B5D7A"/>
    <w:rsid w:val="005C2955"/>
    <w:rsid w:val="005C5B5C"/>
    <w:rsid w:val="005D0678"/>
    <w:rsid w:val="005F0F08"/>
    <w:rsid w:val="0061354A"/>
    <w:rsid w:val="00615B60"/>
    <w:rsid w:val="00615BDD"/>
    <w:rsid w:val="00620C29"/>
    <w:rsid w:val="00624CB7"/>
    <w:rsid w:val="00635504"/>
    <w:rsid w:val="00642E00"/>
    <w:rsid w:val="00652326"/>
    <w:rsid w:val="00662CEA"/>
    <w:rsid w:val="00665215"/>
    <w:rsid w:val="006704EA"/>
    <w:rsid w:val="006830D0"/>
    <w:rsid w:val="00690A6E"/>
    <w:rsid w:val="006A652B"/>
    <w:rsid w:val="006A68E2"/>
    <w:rsid w:val="006B3E19"/>
    <w:rsid w:val="006D6E64"/>
    <w:rsid w:val="006E03D1"/>
    <w:rsid w:val="006E4B30"/>
    <w:rsid w:val="0070371E"/>
    <w:rsid w:val="00706045"/>
    <w:rsid w:val="00720584"/>
    <w:rsid w:val="00722761"/>
    <w:rsid w:val="00733471"/>
    <w:rsid w:val="00737D50"/>
    <w:rsid w:val="007425A7"/>
    <w:rsid w:val="007540DC"/>
    <w:rsid w:val="00772AB1"/>
    <w:rsid w:val="00775885"/>
    <w:rsid w:val="00786EFA"/>
    <w:rsid w:val="0079638F"/>
    <w:rsid w:val="00796B89"/>
    <w:rsid w:val="007A3204"/>
    <w:rsid w:val="007B1F36"/>
    <w:rsid w:val="007B6D72"/>
    <w:rsid w:val="007D164F"/>
    <w:rsid w:val="007D25FE"/>
    <w:rsid w:val="007E57C3"/>
    <w:rsid w:val="007F3AEA"/>
    <w:rsid w:val="007F73F3"/>
    <w:rsid w:val="008001C8"/>
    <w:rsid w:val="00832FC7"/>
    <w:rsid w:val="00833865"/>
    <w:rsid w:val="00842F3D"/>
    <w:rsid w:val="008577B7"/>
    <w:rsid w:val="008A12A9"/>
    <w:rsid w:val="008A731B"/>
    <w:rsid w:val="008A7897"/>
    <w:rsid w:val="008B4BE0"/>
    <w:rsid w:val="008C36CA"/>
    <w:rsid w:val="008C4810"/>
    <w:rsid w:val="008C77B3"/>
    <w:rsid w:val="008D0CD6"/>
    <w:rsid w:val="008E0424"/>
    <w:rsid w:val="008E504B"/>
    <w:rsid w:val="008E7655"/>
    <w:rsid w:val="008E771B"/>
    <w:rsid w:val="008F6017"/>
    <w:rsid w:val="009007AE"/>
    <w:rsid w:val="00900983"/>
    <w:rsid w:val="009044F0"/>
    <w:rsid w:val="00911466"/>
    <w:rsid w:val="00940569"/>
    <w:rsid w:val="009457B7"/>
    <w:rsid w:val="00947300"/>
    <w:rsid w:val="009475A2"/>
    <w:rsid w:val="009539C2"/>
    <w:rsid w:val="00960566"/>
    <w:rsid w:val="009858A3"/>
    <w:rsid w:val="00992136"/>
    <w:rsid w:val="009A2F30"/>
    <w:rsid w:val="009A769C"/>
    <w:rsid w:val="009B1EB3"/>
    <w:rsid w:val="009B495E"/>
    <w:rsid w:val="009D7001"/>
    <w:rsid w:val="009E5A4D"/>
    <w:rsid w:val="009F125D"/>
    <w:rsid w:val="00A2058F"/>
    <w:rsid w:val="00A40664"/>
    <w:rsid w:val="00A407C9"/>
    <w:rsid w:val="00A47CFF"/>
    <w:rsid w:val="00A50074"/>
    <w:rsid w:val="00A54559"/>
    <w:rsid w:val="00A676D7"/>
    <w:rsid w:val="00A868D8"/>
    <w:rsid w:val="00A903E7"/>
    <w:rsid w:val="00AA2B90"/>
    <w:rsid w:val="00AB36C2"/>
    <w:rsid w:val="00AC4395"/>
    <w:rsid w:val="00AD5CD1"/>
    <w:rsid w:val="00AE4B18"/>
    <w:rsid w:val="00AE7B0A"/>
    <w:rsid w:val="00AF5527"/>
    <w:rsid w:val="00B01436"/>
    <w:rsid w:val="00B03209"/>
    <w:rsid w:val="00B0337E"/>
    <w:rsid w:val="00B6539F"/>
    <w:rsid w:val="00B758B9"/>
    <w:rsid w:val="00B80595"/>
    <w:rsid w:val="00B87F40"/>
    <w:rsid w:val="00B91187"/>
    <w:rsid w:val="00B950DF"/>
    <w:rsid w:val="00B967D7"/>
    <w:rsid w:val="00BA6533"/>
    <w:rsid w:val="00BB1A3E"/>
    <w:rsid w:val="00BB3990"/>
    <w:rsid w:val="00BC0300"/>
    <w:rsid w:val="00BC73B1"/>
    <w:rsid w:val="00C005BF"/>
    <w:rsid w:val="00C0182E"/>
    <w:rsid w:val="00C10BC7"/>
    <w:rsid w:val="00C2466E"/>
    <w:rsid w:val="00C2744C"/>
    <w:rsid w:val="00C310A0"/>
    <w:rsid w:val="00C466E8"/>
    <w:rsid w:val="00C51AEB"/>
    <w:rsid w:val="00C5658E"/>
    <w:rsid w:val="00C5714A"/>
    <w:rsid w:val="00C97EA6"/>
    <w:rsid w:val="00CA775E"/>
    <w:rsid w:val="00CC437E"/>
    <w:rsid w:val="00CC47F7"/>
    <w:rsid w:val="00CD09C7"/>
    <w:rsid w:val="00CD5632"/>
    <w:rsid w:val="00CE12D9"/>
    <w:rsid w:val="00CF569C"/>
    <w:rsid w:val="00CF6227"/>
    <w:rsid w:val="00D02120"/>
    <w:rsid w:val="00D025FA"/>
    <w:rsid w:val="00D05A0E"/>
    <w:rsid w:val="00D07DD9"/>
    <w:rsid w:val="00D11D7E"/>
    <w:rsid w:val="00D31F1B"/>
    <w:rsid w:val="00D33DBF"/>
    <w:rsid w:val="00D42BD5"/>
    <w:rsid w:val="00D42FE7"/>
    <w:rsid w:val="00D4418F"/>
    <w:rsid w:val="00D564FA"/>
    <w:rsid w:val="00D65194"/>
    <w:rsid w:val="00D710E7"/>
    <w:rsid w:val="00D723EF"/>
    <w:rsid w:val="00D808C5"/>
    <w:rsid w:val="00D83AD7"/>
    <w:rsid w:val="00D874E5"/>
    <w:rsid w:val="00D879F4"/>
    <w:rsid w:val="00D9420E"/>
    <w:rsid w:val="00D953CD"/>
    <w:rsid w:val="00DC433E"/>
    <w:rsid w:val="00DE41E3"/>
    <w:rsid w:val="00E1324A"/>
    <w:rsid w:val="00E13E93"/>
    <w:rsid w:val="00E146D5"/>
    <w:rsid w:val="00E15690"/>
    <w:rsid w:val="00E15AF9"/>
    <w:rsid w:val="00E1659A"/>
    <w:rsid w:val="00E43BC4"/>
    <w:rsid w:val="00E47C38"/>
    <w:rsid w:val="00E5054A"/>
    <w:rsid w:val="00E50CFE"/>
    <w:rsid w:val="00E5681B"/>
    <w:rsid w:val="00E628CC"/>
    <w:rsid w:val="00E87C8E"/>
    <w:rsid w:val="00EC5E1A"/>
    <w:rsid w:val="00EC69B2"/>
    <w:rsid w:val="00ED0BFC"/>
    <w:rsid w:val="00ED13A6"/>
    <w:rsid w:val="00EE6162"/>
    <w:rsid w:val="00EF0142"/>
    <w:rsid w:val="00EF13E2"/>
    <w:rsid w:val="00EF5177"/>
    <w:rsid w:val="00F00D7F"/>
    <w:rsid w:val="00F03833"/>
    <w:rsid w:val="00F3037E"/>
    <w:rsid w:val="00F33B83"/>
    <w:rsid w:val="00F34FCC"/>
    <w:rsid w:val="00F42756"/>
    <w:rsid w:val="00F449D9"/>
    <w:rsid w:val="00F45C16"/>
    <w:rsid w:val="00F4724F"/>
    <w:rsid w:val="00F52851"/>
    <w:rsid w:val="00F616A4"/>
    <w:rsid w:val="00F61B9D"/>
    <w:rsid w:val="00F80B9A"/>
    <w:rsid w:val="00F828AA"/>
    <w:rsid w:val="00FA1B9E"/>
    <w:rsid w:val="00FA3A90"/>
    <w:rsid w:val="00FA77BC"/>
    <w:rsid w:val="00FC0F56"/>
    <w:rsid w:val="00FC2AB2"/>
    <w:rsid w:val="00FC7F89"/>
    <w:rsid w:val="00FE2CA7"/>
    <w:rsid w:val="00FF6A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CC1A"/>
  <w15:docId w15:val="{2635E59F-C605-4B7E-868A-CB202BE0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2-subsection">
    <w:name w:val="estatutes-2-subsection"/>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udgmenttext0">
    <w:name w:val="judgmenttext"/>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72AB1"/>
    <w:rPr>
      <w:i/>
      <w:iCs/>
    </w:rPr>
  </w:style>
  <w:style w:type="paragraph" w:styleId="NoSpacing">
    <w:name w:val="No Spacing"/>
    <w:uiPriority w:val="1"/>
    <w:qFormat/>
    <w:rsid w:val="00596D3E"/>
    <w:pPr>
      <w:spacing w:after="0" w:line="240" w:lineRule="auto"/>
    </w:pPr>
    <w:rPr>
      <w:lang w:val="en-GB"/>
    </w:rPr>
  </w:style>
  <w:style w:type="character" w:styleId="Hyperlink">
    <w:name w:val="Hyperlink"/>
    <w:basedOn w:val="DefaultParagraphFont"/>
    <w:uiPriority w:val="99"/>
    <w:semiHidden/>
    <w:unhideWhenUsed/>
    <w:rsid w:val="00D025FA"/>
    <w:rPr>
      <w:color w:val="0000FF"/>
      <w:u w:val="single"/>
    </w:rPr>
  </w:style>
  <w:style w:type="character" w:styleId="Strong">
    <w:name w:val="Strong"/>
    <w:basedOn w:val="DefaultParagraphFont"/>
    <w:uiPriority w:val="22"/>
    <w:qFormat/>
    <w:rsid w:val="00F03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36848613">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73171227">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8835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ylii.org/akn/sc/act/2008/19/eng%402016-03-15" TargetMode="External"/><Relationship Id="rId13" Type="http://schemas.openxmlformats.org/officeDocument/2006/relationships/hyperlink" Target="https://seylii.org/akn/sc/act/2008/19/eng%402016-03-15" TargetMode="External"/><Relationship Id="rId18" Type="http://schemas.openxmlformats.org/officeDocument/2006/relationships/hyperlink" Target="https://seylii.org/akn/sc/act/2008/19/eng%402016-03-15"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eylii.org/akn/sc/act/1994/7/eng@2020-06-01" TargetMode="External"/><Relationship Id="rId7" Type="http://schemas.openxmlformats.org/officeDocument/2006/relationships/hyperlink" Target="https://seylii.org/akn/sc/act/2008/19/eng%402016-03-15" TargetMode="External"/><Relationship Id="rId12" Type="http://schemas.openxmlformats.org/officeDocument/2006/relationships/hyperlink" Target="https://seylii.org/akn/sc/act/2008/19/eng%402016-03-15" TargetMode="External"/><Relationship Id="rId17" Type="http://schemas.openxmlformats.org/officeDocument/2006/relationships/hyperlink" Target="https://seylii.org/akn/sc/act/2008/19/eng%402016-03-15" TargetMode="External"/><Relationship Id="rId25" Type="http://schemas.openxmlformats.org/officeDocument/2006/relationships/hyperlink" Target="https://seylii.org/akn/sc/act/2008/19/eng%402016-03-15" TargetMode="External"/><Relationship Id="rId2" Type="http://schemas.openxmlformats.org/officeDocument/2006/relationships/styles" Target="styles.xml"/><Relationship Id="rId16" Type="http://schemas.openxmlformats.org/officeDocument/2006/relationships/hyperlink" Target="https://seylii.org/akn/sc/act/2008/19/eng%402016-03-15" TargetMode="External"/><Relationship Id="rId20" Type="http://schemas.openxmlformats.org/officeDocument/2006/relationships/hyperlink" Target="https://seylii.org/akn/sc/act/1994/7/eng@2020-06-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ylii.org/akn/sc/act/2008/19/eng%402016-03-15" TargetMode="External"/><Relationship Id="rId24" Type="http://schemas.openxmlformats.org/officeDocument/2006/relationships/hyperlink" Target="https://seylii.org/akn/sc/act/2008/19/eng%402016-03-15" TargetMode="External"/><Relationship Id="rId5" Type="http://schemas.openxmlformats.org/officeDocument/2006/relationships/footnotes" Target="footnotes.xml"/><Relationship Id="rId15" Type="http://schemas.openxmlformats.org/officeDocument/2006/relationships/hyperlink" Target="https://seylii.org/akn/sc/act/2008/19/eng%402016-03-15" TargetMode="External"/><Relationship Id="rId23" Type="http://schemas.openxmlformats.org/officeDocument/2006/relationships/hyperlink" Target="https://seylii.org/akn/sc/act/2008/19/eng%402016-03-15" TargetMode="External"/><Relationship Id="rId28" Type="http://schemas.openxmlformats.org/officeDocument/2006/relationships/theme" Target="theme/theme1.xml"/><Relationship Id="rId10" Type="http://schemas.openxmlformats.org/officeDocument/2006/relationships/hyperlink" Target="https://seylii.org/akn/sc/act/2008/19/eng%402016-03-15" TargetMode="External"/><Relationship Id="rId19" Type="http://schemas.openxmlformats.org/officeDocument/2006/relationships/hyperlink" Target="https://seylii.org/akn/sc/act/1994/7/eng@2020-06-01" TargetMode="External"/><Relationship Id="rId4" Type="http://schemas.openxmlformats.org/officeDocument/2006/relationships/webSettings" Target="webSettings.xml"/><Relationship Id="rId9" Type="http://schemas.openxmlformats.org/officeDocument/2006/relationships/hyperlink" Target="https://seylii.org/akn/sc/act/2008/19/eng%402016-03-15" TargetMode="External"/><Relationship Id="rId14" Type="http://schemas.openxmlformats.org/officeDocument/2006/relationships/hyperlink" Target="https://seylii.org/akn/sc/act/2008/19/eng%402016-03-15" TargetMode="External"/><Relationship Id="rId22" Type="http://schemas.openxmlformats.org/officeDocument/2006/relationships/hyperlink" Target="https://seylii.org/akn/sc/act/2008/19/eng%402016-03-15"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0</TotalTime>
  <Pages>11</Pages>
  <Words>4098</Words>
  <Characters>23361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Barnes</dc:creator>
  <cp:keywords/>
  <dc:description/>
  <cp:lastModifiedBy>Marie-Claire Julie</cp:lastModifiedBy>
  <cp:revision>2</cp:revision>
  <cp:lastPrinted>2022-12-14T06:34:00Z</cp:lastPrinted>
  <dcterms:created xsi:type="dcterms:W3CDTF">2022-12-16T06:06:00Z</dcterms:created>
  <dcterms:modified xsi:type="dcterms:W3CDTF">2022-12-16T06:06:00Z</dcterms:modified>
</cp:coreProperties>
</file>