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E90E" w14:textId="77777777" w:rsidR="001D33D2" w:rsidRPr="00CD1DFF" w:rsidRDefault="003B3E4B" w:rsidP="006D6EFF">
      <w:pPr>
        <w:tabs>
          <w:tab w:val="left" w:pos="4092"/>
        </w:tabs>
        <w:spacing w:after="0" w:line="240" w:lineRule="auto"/>
        <w:jc w:val="center"/>
        <w:rPr>
          <w:rFonts w:ascii="Times New Roman" w:hAnsi="Times New Roman" w:cs="Times New Roman"/>
          <w:b/>
          <w:sz w:val="24"/>
          <w:szCs w:val="24"/>
        </w:rPr>
      </w:pPr>
      <w:bookmarkStart w:id="0" w:name="_GoBack"/>
      <w:bookmarkEnd w:id="0"/>
      <w:r w:rsidRPr="00CD1DFF">
        <w:rPr>
          <w:rFonts w:ascii="Times New Roman" w:hAnsi="Times New Roman" w:cs="Times New Roman"/>
          <w:b/>
          <w:sz w:val="24"/>
          <w:szCs w:val="24"/>
        </w:rPr>
        <w:t xml:space="preserve">IN THE </w:t>
      </w:r>
      <w:r w:rsidR="00572ED8" w:rsidRPr="00CD1DFF">
        <w:rPr>
          <w:rFonts w:ascii="Times New Roman" w:hAnsi="Times New Roman" w:cs="Times New Roman"/>
          <w:b/>
          <w:sz w:val="24"/>
          <w:szCs w:val="24"/>
        </w:rPr>
        <w:t xml:space="preserve">COURT </w:t>
      </w:r>
      <w:r w:rsidR="001D33D2" w:rsidRPr="00CD1DFF">
        <w:rPr>
          <w:rFonts w:ascii="Times New Roman" w:hAnsi="Times New Roman" w:cs="Times New Roman"/>
          <w:b/>
          <w:sz w:val="24"/>
          <w:szCs w:val="24"/>
        </w:rPr>
        <w:t>OF</w:t>
      </w:r>
      <w:r w:rsidR="00572ED8" w:rsidRPr="00CD1DFF">
        <w:rPr>
          <w:rFonts w:ascii="Times New Roman" w:hAnsi="Times New Roman" w:cs="Times New Roman"/>
          <w:b/>
          <w:sz w:val="24"/>
          <w:szCs w:val="24"/>
        </w:rPr>
        <w:t xml:space="preserve"> APPEAL OF</w:t>
      </w:r>
      <w:r w:rsidR="001D33D2" w:rsidRPr="00CD1DFF">
        <w:rPr>
          <w:rFonts w:ascii="Times New Roman" w:hAnsi="Times New Roman" w:cs="Times New Roman"/>
          <w:b/>
          <w:sz w:val="24"/>
          <w:szCs w:val="24"/>
        </w:rPr>
        <w:t xml:space="preserve"> SEYCHELLES</w:t>
      </w:r>
    </w:p>
    <w:p w14:paraId="14F4AB2F" w14:textId="77777777" w:rsidR="009539C2" w:rsidRPr="00CD1DFF" w:rsidRDefault="009539C2" w:rsidP="006D6EFF">
      <w:pPr>
        <w:pBdr>
          <w:bottom w:val="single" w:sz="4" w:space="1" w:color="auto"/>
        </w:pBdr>
        <w:tabs>
          <w:tab w:val="left" w:pos="4092"/>
        </w:tabs>
        <w:spacing w:line="240" w:lineRule="auto"/>
        <w:jc w:val="both"/>
        <w:rPr>
          <w:rFonts w:ascii="Times New Roman" w:hAnsi="Times New Roman" w:cs="Times New Roman"/>
          <w:b/>
          <w:sz w:val="24"/>
          <w:szCs w:val="24"/>
        </w:rPr>
      </w:pPr>
    </w:p>
    <w:p w14:paraId="0957EF89" w14:textId="77777777" w:rsidR="00CC4C21" w:rsidRPr="00CD1DFF" w:rsidRDefault="00ED0BFC" w:rsidP="006D6EFF">
      <w:pPr>
        <w:spacing w:after="0" w:line="240" w:lineRule="auto"/>
        <w:ind w:left="6840"/>
        <w:jc w:val="both"/>
        <w:rPr>
          <w:rFonts w:ascii="Times New Roman" w:hAnsi="Times New Roman" w:cs="Times New Roman"/>
          <w:b/>
          <w:sz w:val="24"/>
          <w:szCs w:val="24"/>
          <w:u w:val="single"/>
        </w:rPr>
      </w:pPr>
      <w:r w:rsidRPr="00CD1DFF">
        <w:rPr>
          <w:rFonts w:ascii="Times New Roman" w:hAnsi="Times New Roman" w:cs="Times New Roman"/>
          <w:b/>
          <w:sz w:val="24"/>
          <w:szCs w:val="24"/>
          <w:u w:val="single"/>
        </w:rPr>
        <w:t>Reportable</w:t>
      </w:r>
    </w:p>
    <w:p w14:paraId="07D9793A" w14:textId="7CF95B54" w:rsidR="00F52F9B" w:rsidRDefault="00F52F9B" w:rsidP="006D6EFF">
      <w:pPr>
        <w:spacing w:after="0" w:line="240" w:lineRule="auto"/>
        <w:ind w:left="6660"/>
        <w:jc w:val="both"/>
        <w:rPr>
          <w:rFonts w:ascii="Times New Roman" w:hAnsi="Times New Roman" w:cs="Times New Roman"/>
          <w:sz w:val="24"/>
          <w:szCs w:val="24"/>
        </w:rPr>
      </w:pPr>
      <w:r>
        <w:rPr>
          <w:rFonts w:ascii="Times New Roman" w:hAnsi="Times New Roman" w:cs="Times New Roman"/>
          <w:sz w:val="24"/>
          <w:szCs w:val="24"/>
        </w:rPr>
        <w:t>[2022</w:t>
      </w:r>
      <w:r w:rsidR="00A356E2">
        <w:rPr>
          <w:rFonts w:ascii="Times New Roman" w:hAnsi="Times New Roman" w:cs="Times New Roman"/>
          <w:sz w:val="24"/>
          <w:szCs w:val="24"/>
        </w:rPr>
        <w:t>]</w:t>
      </w:r>
      <w:r>
        <w:rPr>
          <w:rFonts w:ascii="Times New Roman" w:hAnsi="Times New Roman" w:cs="Times New Roman"/>
          <w:sz w:val="24"/>
          <w:szCs w:val="24"/>
        </w:rPr>
        <w:t xml:space="preserve"> SCCA </w:t>
      </w:r>
      <w:r w:rsidR="00A356E2">
        <w:rPr>
          <w:rFonts w:ascii="Times New Roman" w:hAnsi="Times New Roman" w:cs="Times New Roman"/>
          <w:sz w:val="24"/>
          <w:szCs w:val="24"/>
        </w:rPr>
        <w:t>70</w:t>
      </w:r>
      <w:r>
        <w:rPr>
          <w:rFonts w:ascii="Times New Roman" w:hAnsi="Times New Roman" w:cs="Times New Roman"/>
          <w:sz w:val="24"/>
          <w:szCs w:val="24"/>
        </w:rPr>
        <w:t xml:space="preserve">  </w:t>
      </w:r>
    </w:p>
    <w:p w14:paraId="1A5897BC" w14:textId="5A22E5DF" w:rsidR="00F52F9B" w:rsidRPr="004A2599" w:rsidRDefault="00F52F9B" w:rsidP="006D6EFF">
      <w:pPr>
        <w:spacing w:after="0" w:line="240" w:lineRule="auto"/>
        <w:ind w:left="6660"/>
        <w:jc w:val="both"/>
        <w:rPr>
          <w:rFonts w:ascii="Times New Roman" w:hAnsi="Times New Roman" w:cs="Times New Roman"/>
          <w:sz w:val="24"/>
          <w:szCs w:val="24"/>
        </w:rPr>
      </w:pPr>
      <w:r>
        <w:rPr>
          <w:rFonts w:ascii="Times New Roman" w:hAnsi="Times New Roman" w:cs="Times New Roman"/>
          <w:sz w:val="24"/>
          <w:szCs w:val="24"/>
        </w:rPr>
        <w:t>(16 December 2022)</w:t>
      </w:r>
    </w:p>
    <w:p w14:paraId="53C1B441" w14:textId="68FDCB82" w:rsidR="00F52F9B" w:rsidRPr="00F52F9B" w:rsidRDefault="00F52F9B" w:rsidP="006D6EFF">
      <w:pPr>
        <w:spacing w:after="0" w:line="240" w:lineRule="auto"/>
        <w:ind w:left="6480" w:firstLine="180"/>
        <w:jc w:val="both"/>
        <w:rPr>
          <w:rFonts w:ascii="Times New Roman" w:hAnsi="Times New Roman" w:cs="Times New Roman"/>
          <w:sz w:val="24"/>
          <w:szCs w:val="24"/>
        </w:rPr>
      </w:pPr>
      <w:r>
        <w:rPr>
          <w:rFonts w:ascii="Times New Roman" w:hAnsi="Times New Roman" w:cs="Times New Roman"/>
          <w:sz w:val="24"/>
          <w:szCs w:val="24"/>
        </w:rPr>
        <w:t>SCA CR 07</w:t>
      </w:r>
      <w:r w:rsidRPr="004A2599">
        <w:rPr>
          <w:rFonts w:ascii="Times New Roman" w:hAnsi="Times New Roman" w:cs="Times New Roman"/>
          <w:sz w:val="24"/>
          <w:szCs w:val="24"/>
        </w:rPr>
        <w:t>/</w:t>
      </w:r>
      <w:r>
        <w:rPr>
          <w:rFonts w:ascii="Times New Roman" w:hAnsi="Times New Roman" w:cs="Times New Roman"/>
          <w:sz w:val="24"/>
          <w:szCs w:val="24"/>
        </w:rPr>
        <w:t>2022</w:t>
      </w:r>
    </w:p>
    <w:p w14:paraId="1A722544" w14:textId="412B3742" w:rsidR="00F52F9B" w:rsidRPr="00F52F9B" w:rsidRDefault="00F52F9B" w:rsidP="00751FB9">
      <w:pPr>
        <w:spacing w:after="0" w:line="240" w:lineRule="auto"/>
        <w:ind w:left="6660"/>
        <w:jc w:val="both"/>
        <w:rPr>
          <w:rFonts w:ascii="Times New Roman" w:hAnsi="Times New Roman" w:cs="Times New Roman"/>
          <w:sz w:val="24"/>
          <w:szCs w:val="24"/>
        </w:rPr>
      </w:pPr>
      <w:r>
        <w:rPr>
          <w:rFonts w:ascii="Times New Roman" w:hAnsi="Times New Roman" w:cs="Times New Roman"/>
          <w:sz w:val="24"/>
          <w:szCs w:val="24"/>
        </w:rPr>
        <w:t>(Appeal from C</w:t>
      </w:r>
      <w:r w:rsidR="009745CC">
        <w:rPr>
          <w:rFonts w:ascii="Times New Roman" w:hAnsi="Times New Roman" w:cs="Times New Roman"/>
          <w:sz w:val="24"/>
          <w:szCs w:val="24"/>
        </w:rPr>
        <w:t xml:space="preserve">O </w:t>
      </w:r>
      <w:r>
        <w:rPr>
          <w:rFonts w:ascii="Times New Roman" w:hAnsi="Times New Roman" w:cs="Times New Roman"/>
          <w:sz w:val="24"/>
          <w:szCs w:val="24"/>
        </w:rPr>
        <w:t>48/2020</w:t>
      </w:r>
      <w:r w:rsidR="009745CC">
        <w:rPr>
          <w:rFonts w:ascii="Times New Roman" w:hAnsi="Times New Roman" w:cs="Times New Roman"/>
          <w:sz w:val="24"/>
          <w:szCs w:val="24"/>
        </w:rPr>
        <w:t>)</w:t>
      </w:r>
      <w:r w:rsidR="00751FB9">
        <w:rPr>
          <w:rFonts w:ascii="Times New Roman" w:hAnsi="Times New Roman" w:cs="Times New Roman"/>
          <w:sz w:val="24"/>
          <w:szCs w:val="24"/>
        </w:rPr>
        <w:t xml:space="preserve"> SCSC </w:t>
      </w:r>
      <w:r w:rsidR="009745CC">
        <w:rPr>
          <w:rFonts w:ascii="Times New Roman" w:hAnsi="Times New Roman" w:cs="Times New Roman"/>
          <w:sz w:val="24"/>
          <w:szCs w:val="24"/>
        </w:rPr>
        <w:t>16</w:t>
      </w:r>
    </w:p>
    <w:p w14:paraId="0031A917" w14:textId="77777777" w:rsidR="00F52F9B" w:rsidRDefault="00F52F9B" w:rsidP="006D6EFF">
      <w:pPr>
        <w:spacing w:after="0" w:line="240" w:lineRule="auto"/>
        <w:ind w:left="6840"/>
        <w:jc w:val="both"/>
        <w:rPr>
          <w:rFonts w:ascii="Times New Roman" w:hAnsi="Times New Roman" w:cs="Times New Roman"/>
          <w:sz w:val="24"/>
          <w:szCs w:val="24"/>
        </w:rPr>
      </w:pPr>
    </w:p>
    <w:p w14:paraId="021DD260" w14:textId="13F12469" w:rsidR="00F24182" w:rsidRPr="00CD1DFF" w:rsidRDefault="00A63EE1" w:rsidP="006D6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1C5629" w14:textId="77777777" w:rsidR="006A68E2" w:rsidRPr="00CD1DFF" w:rsidRDefault="006A68E2" w:rsidP="006D6EFF">
      <w:pPr>
        <w:spacing w:after="0" w:line="240" w:lineRule="auto"/>
        <w:ind w:left="5580"/>
        <w:jc w:val="both"/>
        <w:rPr>
          <w:rFonts w:ascii="Times New Roman" w:hAnsi="Times New Roman" w:cs="Times New Roman"/>
          <w:sz w:val="24"/>
          <w:szCs w:val="24"/>
        </w:rPr>
      </w:pPr>
    </w:p>
    <w:p w14:paraId="63FC7B69" w14:textId="025FEA9E" w:rsidR="00132FBA" w:rsidRDefault="00F52F9B" w:rsidP="006D6EFF">
      <w:pPr>
        <w:pStyle w:val="NoSpacing"/>
        <w:tabs>
          <w:tab w:val="left" w:pos="5580"/>
          <w:tab w:val="left" w:pos="6930"/>
        </w:tabs>
        <w:spacing w:line="360" w:lineRule="auto"/>
        <w:jc w:val="both"/>
        <w:rPr>
          <w:rFonts w:ascii="Times New Roman" w:hAnsi="Times New Roman" w:cs="Times New Roman"/>
          <w:sz w:val="24"/>
          <w:szCs w:val="24"/>
        </w:rPr>
      </w:pPr>
      <w:r>
        <w:rPr>
          <w:rFonts w:ascii="Times New Roman" w:hAnsi="Times New Roman" w:cs="Times New Roman"/>
          <w:b/>
          <w:sz w:val="24"/>
          <w:szCs w:val="24"/>
        </w:rPr>
        <w:t>S.E.</w:t>
      </w:r>
      <w:r w:rsidR="00D449A4" w:rsidRPr="00CD1DFF">
        <w:rPr>
          <w:rFonts w:ascii="Times New Roman" w:hAnsi="Times New Roman" w:cs="Times New Roman"/>
          <w:b/>
          <w:sz w:val="24"/>
          <w:szCs w:val="24"/>
        </w:rPr>
        <w:tab/>
      </w:r>
      <w:r w:rsidR="00D449A4">
        <w:rPr>
          <w:rFonts w:ascii="Times New Roman" w:hAnsi="Times New Roman" w:cs="Times New Roman"/>
          <w:b/>
          <w:sz w:val="24"/>
          <w:szCs w:val="24"/>
        </w:rPr>
        <w:tab/>
      </w:r>
      <w:r w:rsidR="00EE2F90" w:rsidRPr="00CD1DFF">
        <w:rPr>
          <w:rFonts w:ascii="Times New Roman" w:hAnsi="Times New Roman" w:cs="Times New Roman"/>
          <w:b/>
          <w:sz w:val="24"/>
          <w:szCs w:val="24"/>
        </w:rPr>
        <w:t>Appellant</w:t>
      </w:r>
    </w:p>
    <w:p w14:paraId="68174A14" w14:textId="2DA6D276" w:rsidR="005D3054" w:rsidRPr="00F52F9B" w:rsidRDefault="005D3054" w:rsidP="006D6EFF">
      <w:pPr>
        <w:pStyle w:val="NoSpacing"/>
        <w:tabs>
          <w:tab w:val="left" w:pos="5580"/>
        </w:tabs>
        <w:spacing w:line="360" w:lineRule="auto"/>
        <w:jc w:val="both"/>
        <w:rPr>
          <w:rFonts w:ascii="Times New Roman" w:hAnsi="Times New Roman" w:cs="Times New Roman"/>
          <w:i/>
          <w:sz w:val="24"/>
          <w:szCs w:val="24"/>
        </w:rPr>
      </w:pPr>
      <w:r w:rsidRPr="00CD1DFF">
        <w:rPr>
          <w:rFonts w:ascii="Times New Roman" w:hAnsi="Times New Roman" w:cs="Times New Roman"/>
          <w:i/>
          <w:sz w:val="24"/>
          <w:szCs w:val="24"/>
        </w:rPr>
        <w:t xml:space="preserve">(rep. by </w:t>
      </w:r>
      <w:r w:rsidR="00F52F9B">
        <w:rPr>
          <w:rFonts w:ascii="Times New Roman" w:hAnsi="Times New Roman" w:cs="Times New Roman"/>
          <w:i/>
          <w:sz w:val="24"/>
          <w:szCs w:val="24"/>
        </w:rPr>
        <w:t>Clifford André</w:t>
      </w:r>
      <w:r w:rsidRPr="00CD1DFF">
        <w:rPr>
          <w:rFonts w:ascii="Times New Roman" w:hAnsi="Times New Roman" w:cs="Times New Roman"/>
          <w:i/>
          <w:sz w:val="24"/>
          <w:szCs w:val="24"/>
        </w:rPr>
        <w:t>)</w:t>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p>
    <w:p w14:paraId="6CBFE34C" w14:textId="48D7F6B5" w:rsidR="00380619" w:rsidRPr="00CD1DFF" w:rsidRDefault="007D5C18" w:rsidP="006D6EFF">
      <w:pPr>
        <w:pStyle w:val="Attorneysnames"/>
        <w:tabs>
          <w:tab w:val="clear" w:pos="4092"/>
          <w:tab w:val="clear" w:pos="5580"/>
          <w:tab w:val="center" w:pos="4680"/>
        </w:tabs>
        <w:jc w:val="both"/>
      </w:pPr>
      <w:r w:rsidRPr="00CD1DFF">
        <w:tab/>
      </w:r>
    </w:p>
    <w:p w14:paraId="187FC250" w14:textId="77777777" w:rsidR="009539C2" w:rsidRPr="00CD1DFF" w:rsidRDefault="002D4EB8" w:rsidP="006D6EFF">
      <w:pPr>
        <w:tabs>
          <w:tab w:val="left" w:pos="540"/>
          <w:tab w:val="left" w:pos="4092"/>
          <w:tab w:val="left" w:pos="5580"/>
        </w:tabs>
        <w:spacing w:after="0" w:line="240" w:lineRule="auto"/>
        <w:jc w:val="both"/>
        <w:rPr>
          <w:rFonts w:ascii="Times New Roman" w:hAnsi="Times New Roman" w:cs="Times New Roman"/>
          <w:sz w:val="24"/>
          <w:szCs w:val="24"/>
        </w:rPr>
      </w:pPr>
      <w:r w:rsidRPr="00CD1DFF">
        <w:rPr>
          <w:rFonts w:ascii="Times New Roman" w:hAnsi="Times New Roman" w:cs="Times New Roman"/>
          <w:sz w:val="24"/>
          <w:szCs w:val="24"/>
        </w:rPr>
        <w:t>and</w:t>
      </w:r>
    </w:p>
    <w:p w14:paraId="784E3985" w14:textId="77777777" w:rsidR="00F33B83" w:rsidRPr="00CD1DFF" w:rsidRDefault="00F33B83" w:rsidP="006D6EFF">
      <w:pPr>
        <w:tabs>
          <w:tab w:val="left" w:pos="540"/>
          <w:tab w:val="left" w:pos="5580"/>
          <w:tab w:val="left" w:pos="6480"/>
        </w:tabs>
        <w:spacing w:after="0" w:line="240" w:lineRule="auto"/>
        <w:jc w:val="both"/>
        <w:rPr>
          <w:rFonts w:ascii="Times New Roman" w:hAnsi="Times New Roman" w:cs="Times New Roman"/>
          <w:b/>
          <w:sz w:val="24"/>
          <w:szCs w:val="24"/>
        </w:rPr>
      </w:pPr>
    </w:p>
    <w:p w14:paraId="16948F83" w14:textId="760F83E9" w:rsidR="006A1F42" w:rsidRPr="00D449A4" w:rsidRDefault="00F52F9B" w:rsidP="006D6EFF">
      <w:pPr>
        <w:pStyle w:val="Partynames"/>
        <w:tabs>
          <w:tab w:val="left" w:pos="6840"/>
        </w:tabs>
        <w:spacing w:before="0"/>
        <w:jc w:val="both"/>
        <w:rPr>
          <w:b w:val="0"/>
          <w:bCs/>
          <w:i/>
          <w:iCs/>
        </w:rPr>
      </w:pPr>
      <w:r>
        <w:t>THE REPUBLIC</w:t>
      </w:r>
      <w:r w:rsidR="00D449A4">
        <w:tab/>
      </w:r>
      <w:r>
        <w:tab/>
      </w:r>
      <w:r w:rsidR="00D449A4">
        <w:t>Respondent</w:t>
      </w:r>
    </w:p>
    <w:p w14:paraId="5C5248AA" w14:textId="3F95EF70" w:rsidR="00132FBA" w:rsidRDefault="00132FBA" w:rsidP="006D6EFF">
      <w:pPr>
        <w:pStyle w:val="Partynames"/>
        <w:spacing w:before="0"/>
        <w:jc w:val="both"/>
      </w:pPr>
      <w:r>
        <w:rPr>
          <w:b w:val="0"/>
          <w:bCs/>
          <w:i/>
          <w:iCs/>
        </w:rPr>
        <w:t>(rep. by</w:t>
      </w:r>
      <w:r w:rsidR="00C52D49">
        <w:rPr>
          <w:b w:val="0"/>
          <w:bCs/>
          <w:i/>
          <w:iCs/>
        </w:rPr>
        <w:t xml:space="preserve"> </w:t>
      </w:r>
      <w:r w:rsidR="00F52F9B">
        <w:rPr>
          <w:b w:val="0"/>
          <w:bCs/>
          <w:i/>
          <w:iCs/>
        </w:rPr>
        <w:t>Luthina Monthy</w:t>
      </w:r>
      <w:r w:rsidR="006A1F42">
        <w:rPr>
          <w:b w:val="0"/>
          <w:bCs/>
          <w:i/>
          <w:iCs/>
        </w:rPr>
        <w:t>)</w:t>
      </w:r>
      <w:r w:rsidR="00F24182" w:rsidRPr="00CD1DFF">
        <w:tab/>
      </w:r>
    </w:p>
    <w:p w14:paraId="387B6D8E" w14:textId="77777777" w:rsidR="00BB1A3E" w:rsidRPr="00CD1DFF" w:rsidRDefault="00BB1A3E" w:rsidP="006D6EFF">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p>
    <w:p w14:paraId="7226B687" w14:textId="53CD7EAC" w:rsidR="00861B94" w:rsidRDefault="00405958" w:rsidP="006D6EFF">
      <w:pPr>
        <w:pStyle w:val="NoSpacing"/>
        <w:tabs>
          <w:tab w:val="left" w:pos="1890"/>
        </w:tabs>
        <w:ind w:left="1890" w:hanging="1890"/>
        <w:jc w:val="both"/>
        <w:rPr>
          <w:rFonts w:ascii="Times New Roman" w:hAnsi="Times New Roman" w:cs="Times New Roman"/>
          <w:sz w:val="24"/>
          <w:szCs w:val="24"/>
        </w:rPr>
      </w:pPr>
      <w:r w:rsidRPr="00CD1DFF">
        <w:rPr>
          <w:rFonts w:ascii="Times New Roman" w:hAnsi="Times New Roman" w:cs="Times New Roman"/>
          <w:b/>
          <w:sz w:val="24"/>
          <w:szCs w:val="24"/>
        </w:rPr>
        <w:t>Neutral Citation:</w:t>
      </w:r>
      <w:r w:rsidR="004A2599" w:rsidRPr="00CD1DFF">
        <w:rPr>
          <w:rFonts w:ascii="Times New Roman" w:hAnsi="Times New Roman" w:cs="Times New Roman"/>
          <w:sz w:val="24"/>
          <w:szCs w:val="24"/>
        </w:rPr>
        <w:t xml:space="preserve"> </w:t>
      </w:r>
      <w:r w:rsidR="004A2599" w:rsidRPr="00CD1DFF">
        <w:rPr>
          <w:rFonts w:ascii="Times New Roman" w:hAnsi="Times New Roman" w:cs="Times New Roman"/>
          <w:sz w:val="24"/>
          <w:szCs w:val="24"/>
        </w:rPr>
        <w:tab/>
      </w:r>
      <w:r w:rsidR="00F52F9B">
        <w:rPr>
          <w:rFonts w:ascii="Times New Roman" w:hAnsi="Times New Roman" w:cs="Times New Roman"/>
          <w:i/>
          <w:iCs/>
          <w:sz w:val="24"/>
          <w:szCs w:val="24"/>
        </w:rPr>
        <w:t>S.E. v R</w:t>
      </w:r>
      <w:r w:rsidR="00636AFB" w:rsidRPr="00D449A4">
        <w:rPr>
          <w:rFonts w:ascii="Times New Roman" w:hAnsi="Times New Roman" w:cs="Times New Roman"/>
          <w:i/>
          <w:iCs/>
          <w:sz w:val="24"/>
          <w:szCs w:val="24"/>
        </w:rPr>
        <w:t xml:space="preserve"> </w:t>
      </w:r>
      <w:r w:rsidR="00636AFB" w:rsidRPr="00CD1DFF">
        <w:rPr>
          <w:rFonts w:ascii="Times New Roman" w:hAnsi="Times New Roman" w:cs="Times New Roman"/>
          <w:i/>
          <w:sz w:val="24"/>
          <w:szCs w:val="24"/>
        </w:rPr>
        <w:t>(</w:t>
      </w:r>
      <w:r w:rsidR="003F751A" w:rsidRPr="00CD1DFF">
        <w:rPr>
          <w:rFonts w:ascii="Times New Roman" w:hAnsi="Times New Roman" w:cs="Times New Roman"/>
          <w:sz w:val="24"/>
          <w:szCs w:val="24"/>
        </w:rPr>
        <w:t>SCA</w:t>
      </w:r>
      <w:r w:rsidR="00732E4A">
        <w:rPr>
          <w:rFonts w:ascii="Times New Roman" w:hAnsi="Times New Roman" w:cs="Times New Roman"/>
          <w:sz w:val="24"/>
          <w:szCs w:val="24"/>
        </w:rPr>
        <w:t xml:space="preserve"> </w:t>
      </w:r>
      <w:r w:rsidR="00F52F9B">
        <w:rPr>
          <w:rFonts w:ascii="Times New Roman" w:hAnsi="Times New Roman" w:cs="Times New Roman"/>
          <w:sz w:val="24"/>
          <w:szCs w:val="24"/>
        </w:rPr>
        <w:t>07</w:t>
      </w:r>
      <w:r w:rsidR="00732E4A">
        <w:rPr>
          <w:rFonts w:ascii="Times New Roman" w:hAnsi="Times New Roman" w:cs="Times New Roman"/>
          <w:sz w:val="24"/>
          <w:szCs w:val="24"/>
        </w:rPr>
        <w:t>/202</w:t>
      </w:r>
      <w:r w:rsidR="00F52F9B">
        <w:rPr>
          <w:rFonts w:ascii="Times New Roman" w:hAnsi="Times New Roman" w:cs="Times New Roman"/>
          <w:sz w:val="24"/>
          <w:szCs w:val="24"/>
        </w:rPr>
        <w:t>2</w:t>
      </w:r>
      <w:r w:rsidR="008225AE" w:rsidRPr="00CD1DFF">
        <w:rPr>
          <w:rFonts w:ascii="Times New Roman" w:hAnsi="Times New Roman" w:cs="Times New Roman"/>
          <w:sz w:val="24"/>
          <w:szCs w:val="24"/>
        </w:rPr>
        <w:t>)</w:t>
      </w:r>
      <w:r w:rsidR="008E21AE">
        <w:rPr>
          <w:rFonts w:ascii="Times New Roman" w:hAnsi="Times New Roman" w:cs="Times New Roman"/>
          <w:sz w:val="24"/>
          <w:szCs w:val="24"/>
        </w:rPr>
        <w:t xml:space="preserve"> </w:t>
      </w:r>
      <w:r w:rsidR="000A0FCF" w:rsidRPr="00CD1DFF">
        <w:rPr>
          <w:rFonts w:ascii="Times New Roman" w:hAnsi="Times New Roman" w:cs="Times New Roman"/>
          <w:sz w:val="24"/>
          <w:szCs w:val="24"/>
        </w:rPr>
        <w:t>[202</w:t>
      </w:r>
      <w:r w:rsidR="00732E4A">
        <w:rPr>
          <w:rFonts w:ascii="Times New Roman" w:hAnsi="Times New Roman" w:cs="Times New Roman"/>
          <w:sz w:val="24"/>
          <w:szCs w:val="24"/>
        </w:rPr>
        <w:t>2</w:t>
      </w:r>
      <w:r w:rsidR="000A0FCF" w:rsidRPr="00CD1DFF">
        <w:rPr>
          <w:rFonts w:ascii="Times New Roman" w:hAnsi="Times New Roman" w:cs="Times New Roman"/>
          <w:sz w:val="24"/>
          <w:szCs w:val="24"/>
        </w:rPr>
        <w:t xml:space="preserve">] SCCA </w:t>
      </w:r>
      <w:r w:rsidR="00A356E2">
        <w:rPr>
          <w:rFonts w:ascii="Times New Roman" w:hAnsi="Times New Roman" w:cs="Times New Roman"/>
          <w:sz w:val="24"/>
          <w:szCs w:val="24"/>
        </w:rPr>
        <w:t xml:space="preserve">70 </w:t>
      </w:r>
      <w:r w:rsidR="008225AE" w:rsidRPr="00CD1DFF">
        <w:rPr>
          <w:rFonts w:ascii="Times New Roman" w:hAnsi="Times New Roman" w:cs="Times New Roman"/>
          <w:sz w:val="24"/>
          <w:szCs w:val="24"/>
        </w:rPr>
        <w:t>(</w:t>
      </w:r>
      <w:r w:rsidR="00C52D49">
        <w:rPr>
          <w:rFonts w:ascii="Times New Roman" w:hAnsi="Times New Roman" w:cs="Times New Roman"/>
          <w:sz w:val="24"/>
          <w:szCs w:val="24"/>
        </w:rPr>
        <w:t>16</w:t>
      </w:r>
      <w:r w:rsidR="00732E4A">
        <w:rPr>
          <w:rFonts w:ascii="Times New Roman" w:hAnsi="Times New Roman" w:cs="Times New Roman"/>
          <w:sz w:val="24"/>
          <w:szCs w:val="24"/>
        </w:rPr>
        <w:t xml:space="preserve"> </w:t>
      </w:r>
      <w:r w:rsidR="00C52D49">
        <w:rPr>
          <w:rFonts w:ascii="Times New Roman" w:hAnsi="Times New Roman" w:cs="Times New Roman"/>
          <w:sz w:val="24"/>
          <w:szCs w:val="24"/>
        </w:rPr>
        <w:t>December</w:t>
      </w:r>
      <w:r w:rsidR="00732E4A">
        <w:rPr>
          <w:rFonts w:ascii="Times New Roman" w:hAnsi="Times New Roman" w:cs="Times New Roman"/>
          <w:sz w:val="24"/>
          <w:szCs w:val="24"/>
        </w:rPr>
        <w:t xml:space="preserve"> 2022)</w:t>
      </w:r>
    </w:p>
    <w:p w14:paraId="52353FFE" w14:textId="50298ACB" w:rsidR="00945E66" w:rsidRPr="00F52F9B" w:rsidRDefault="00945E66" w:rsidP="006D6EFF">
      <w:pPr>
        <w:pStyle w:val="NoSpacing"/>
        <w:tabs>
          <w:tab w:val="left" w:pos="1890"/>
        </w:tabs>
        <w:ind w:left="1890" w:hanging="189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(Arising in </w:t>
      </w:r>
      <w:r w:rsidR="00436EDF">
        <w:rPr>
          <w:rFonts w:ascii="Times New Roman" w:hAnsi="Times New Roman" w:cs="Times New Roman"/>
          <w:sz w:val="24"/>
          <w:szCs w:val="24"/>
        </w:rPr>
        <w:t>C</w:t>
      </w:r>
      <w:r w:rsidR="009745CC">
        <w:rPr>
          <w:rFonts w:ascii="Times New Roman" w:hAnsi="Times New Roman" w:cs="Times New Roman"/>
          <w:sz w:val="24"/>
          <w:szCs w:val="24"/>
        </w:rPr>
        <w:t>O</w:t>
      </w:r>
      <w:r w:rsidR="00751FB9">
        <w:rPr>
          <w:rFonts w:ascii="Times New Roman" w:hAnsi="Times New Roman" w:cs="Times New Roman"/>
          <w:sz w:val="24"/>
          <w:szCs w:val="24"/>
        </w:rPr>
        <w:t xml:space="preserve"> </w:t>
      </w:r>
      <w:r w:rsidR="00F52F9B" w:rsidRPr="00751FB9">
        <w:rPr>
          <w:rFonts w:ascii="Times New Roman" w:hAnsi="Times New Roman" w:cs="Times New Roman"/>
          <w:sz w:val="24"/>
          <w:szCs w:val="24"/>
        </w:rPr>
        <w:t>48</w:t>
      </w:r>
      <w:r w:rsidR="00436EDF" w:rsidRPr="00751FB9">
        <w:rPr>
          <w:rFonts w:ascii="Times New Roman" w:hAnsi="Times New Roman" w:cs="Times New Roman"/>
          <w:sz w:val="24"/>
          <w:szCs w:val="24"/>
        </w:rPr>
        <w:t>/20</w:t>
      </w:r>
      <w:r w:rsidR="00F52F9B" w:rsidRPr="00751FB9">
        <w:rPr>
          <w:rFonts w:ascii="Times New Roman" w:hAnsi="Times New Roman" w:cs="Times New Roman"/>
          <w:sz w:val="24"/>
          <w:szCs w:val="24"/>
        </w:rPr>
        <w:t>20</w:t>
      </w:r>
      <w:r w:rsidR="00D40E41" w:rsidRPr="00751FB9">
        <w:rPr>
          <w:rFonts w:ascii="Times New Roman" w:hAnsi="Times New Roman" w:cs="Times New Roman"/>
          <w:sz w:val="24"/>
          <w:szCs w:val="24"/>
        </w:rPr>
        <w:t>)</w:t>
      </w:r>
      <w:r w:rsidR="00D40E41">
        <w:rPr>
          <w:rFonts w:ascii="Times New Roman" w:hAnsi="Times New Roman" w:cs="Times New Roman"/>
          <w:sz w:val="24"/>
          <w:szCs w:val="24"/>
        </w:rPr>
        <w:t xml:space="preserve"> </w:t>
      </w:r>
      <w:r w:rsidR="00436EDF">
        <w:rPr>
          <w:rFonts w:ascii="Times New Roman" w:hAnsi="Times New Roman" w:cs="Times New Roman"/>
          <w:sz w:val="24"/>
          <w:szCs w:val="24"/>
        </w:rPr>
        <w:t>[20</w:t>
      </w:r>
      <w:r w:rsidR="00C52D49">
        <w:rPr>
          <w:rFonts w:ascii="Times New Roman" w:hAnsi="Times New Roman" w:cs="Times New Roman"/>
          <w:sz w:val="24"/>
          <w:szCs w:val="24"/>
        </w:rPr>
        <w:t>2</w:t>
      </w:r>
      <w:r w:rsidR="009745CC">
        <w:rPr>
          <w:rFonts w:ascii="Times New Roman" w:hAnsi="Times New Roman" w:cs="Times New Roman"/>
          <w:sz w:val="24"/>
          <w:szCs w:val="24"/>
        </w:rPr>
        <w:t>1</w:t>
      </w:r>
      <w:r w:rsidR="00436EDF">
        <w:rPr>
          <w:rFonts w:ascii="Times New Roman" w:hAnsi="Times New Roman" w:cs="Times New Roman"/>
          <w:sz w:val="24"/>
          <w:szCs w:val="24"/>
        </w:rPr>
        <w:t>] SCSC</w:t>
      </w:r>
      <w:r w:rsidR="00D73A09">
        <w:rPr>
          <w:rFonts w:ascii="Times New Roman" w:hAnsi="Times New Roman" w:cs="Times New Roman"/>
          <w:sz w:val="24"/>
          <w:szCs w:val="24"/>
        </w:rPr>
        <w:t xml:space="preserve"> </w:t>
      </w:r>
      <w:r w:rsidR="009745CC">
        <w:rPr>
          <w:rFonts w:ascii="Times New Roman" w:hAnsi="Times New Roman" w:cs="Times New Roman"/>
          <w:sz w:val="24"/>
          <w:szCs w:val="24"/>
        </w:rPr>
        <w:t>16</w:t>
      </w:r>
      <w:r w:rsidR="00F52F9B">
        <w:rPr>
          <w:rFonts w:ascii="Times New Roman" w:hAnsi="Times New Roman" w:cs="Times New Roman"/>
          <w:sz w:val="24"/>
          <w:szCs w:val="24"/>
        </w:rPr>
        <w:t xml:space="preserve"> (1</w:t>
      </w:r>
      <w:r w:rsidR="009745CC">
        <w:rPr>
          <w:rFonts w:ascii="Times New Roman" w:hAnsi="Times New Roman" w:cs="Times New Roman"/>
          <w:sz w:val="24"/>
          <w:szCs w:val="24"/>
        </w:rPr>
        <w:t>3 January 2021</w:t>
      </w:r>
      <w:r w:rsidR="00F52F9B">
        <w:rPr>
          <w:rFonts w:ascii="Times New Roman" w:hAnsi="Times New Roman" w:cs="Times New Roman"/>
          <w:sz w:val="24"/>
          <w:szCs w:val="24"/>
        </w:rPr>
        <w:t>)</w:t>
      </w:r>
    </w:p>
    <w:p w14:paraId="5FE4E34A" w14:textId="5AB8984C" w:rsidR="002E2AE3" w:rsidRPr="00CD1DFF" w:rsidRDefault="009F125D" w:rsidP="006D6EFF">
      <w:pPr>
        <w:pStyle w:val="NoSpacing"/>
        <w:tabs>
          <w:tab w:val="left" w:pos="1890"/>
        </w:tabs>
        <w:ind w:left="1890" w:hanging="1890"/>
        <w:jc w:val="both"/>
        <w:rPr>
          <w:rFonts w:ascii="Times New Roman" w:hAnsi="Times New Roman" w:cs="Times New Roman"/>
          <w:sz w:val="24"/>
          <w:szCs w:val="24"/>
        </w:rPr>
      </w:pPr>
      <w:r w:rsidRPr="00CD1DFF">
        <w:rPr>
          <w:rFonts w:ascii="Times New Roman" w:hAnsi="Times New Roman" w:cs="Times New Roman"/>
          <w:b/>
          <w:sz w:val="24"/>
          <w:szCs w:val="24"/>
        </w:rPr>
        <w:t>Before</w:t>
      </w:r>
      <w:r w:rsidR="00405958" w:rsidRPr="00CD1DFF">
        <w:rPr>
          <w:rFonts w:ascii="Times New Roman" w:hAnsi="Times New Roman" w:cs="Times New Roman"/>
          <w:b/>
          <w:sz w:val="24"/>
          <w:szCs w:val="24"/>
        </w:rPr>
        <w:t xml:space="preserve">: </w:t>
      </w:r>
      <w:r w:rsidR="004A2599" w:rsidRPr="00CD1DFF">
        <w:rPr>
          <w:rFonts w:ascii="Times New Roman" w:hAnsi="Times New Roman" w:cs="Times New Roman"/>
          <w:sz w:val="24"/>
          <w:szCs w:val="24"/>
        </w:rPr>
        <w:tab/>
      </w:r>
      <w:r w:rsidR="00861B94" w:rsidRPr="00CD1DFF">
        <w:rPr>
          <w:rFonts w:ascii="Times New Roman" w:hAnsi="Times New Roman" w:cs="Times New Roman"/>
          <w:sz w:val="24"/>
          <w:szCs w:val="24"/>
        </w:rPr>
        <w:t>Twomey</w:t>
      </w:r>
      <w:r w:rsidR="00347570">
        <w:rPr>
          <w:rFonts w:ascii="Times New Roman" w:hAnsi="Times New Roman" w:cs="Times New Roman"/>
          <w:sz w:val="24"/>
          <w:szCs w:val="24"/>
        </w:rPr>
        <w:t>-Woods</w:t>
      </w:r>
      <w:r w:rsidR="00861B94" w:rsidRPr="00CD1DFF">
        <w:rPr>
          <w:rFonts w:ascii="Times New Roman" w:hAnsi="Times New Roman" w:cs="Times New Roman"/>
          <w:sz w:val="24"/>
          <w:szCs w:val="24"/>
        </w:rPr>
        <w:t xml:space="preserve">, </w:t>
      </w:r>
      <w:r w:rsidR="00C52D49">
        <w:rPr>
          <w:rFonts w:ascii="Times New Roman" w:hAnsi="Times New Roman" w:cs="Times New Roman"/>
          <w:sz w:val="24"/>
          <w:szCs w:val="24"/>
        </w:rPr>
        <w:t xml:space="preserve">Robinson, </w:t>
      </w:r>
      <w:r w:rsidR="00F52F9B">
        <w:rPr>
          <w:rFonts w:ascii="Times New Roman" w:hAnsi="Times New Roman" w:cs="Times New Roman"/>
          <w:sz w:val="24"/>
          <w:szCs w:val="24"/>
        </w:rPr>
        <w:t>Tibatemwa</w:t>
      </w:r>
      <w:r w:rsidR="001B2FE6">
        <w:rPr>
          <w:rFonts w:ascii="Times New Roman" w:hAnsi="Times New Roman" w:cs="Times New Roman"/>
          <w:sz w:val="24"/>
          <w:szCs w:val="24"/>
        </w:rPr>
        <w:t>-Ekirikubinza</w:t>
      </w:r>
      <w:r w:rsidR="008225AE" w:rsidRPr="00CD1DFF">
        <w:rPr>
          <w:rFonts w:ascii="Times New Roman" w:hAnsi="Times New Roman" w:cs="Times New Roman"/>
          <w:sz w:val="24"/>
          <w:szCs w:val="24"/>
        </w:rPr>
        <w:t xml:space="preserve">, </w:t>
      </w:r>
      <w:r w:rsidR="00861B94" w:rsidRPr="00CD1DFF">
        <w:rPr>
          <w:rFonts w:ascii="Times New Roman" w:hAnsi="Times New Roman" w:cs="Times New Roman"/>
          <w:sz w:val="24"/>
          <w:szCs w:val="24"/>
        </w:rPr>
        <w:t>J</w:t>
      </w:r>
      <w:r w:rsidR="008225AE" w:rsidRPr="00CD1DFF">
        <w:rPr>
          <w:rFonts w:ascii="Times New Roman" w:hAnsi="Times New Roman" w:cs="Times New Roman"/>
          <w:sz w:val="24"/>
          <w:szCs w:val="24"/>
        </w:rPr>
        <w:t>J</w:t>
      </w:r>
      <w:r w:rsidR="00861B94" w:rsidRPr="00CD1DFF">
        <w:rPr>
          <w:rFonts w:ascii="Times New Roman" w:hAnsi="Times New Roman" w:cs="Times New Roman"/>
          <w:sz w:val="24"/>
          <w:szCs w:val="24"/>
        </w:rPr>
        <w:t>A</w:t>
      </w:r>
    </w:p>
    <w:p w14:paraId="6AF07CED" w14:textId="4177CE92" w:rsidR="00F24182" w:rsidRPr="00F52F9B" w:rsidRDefault="00346D7F" w:rsidP="006D6EFF">
      <w:pPr>
        <w:spacing w:after="0" w:line="240" w:lineRule="auto"/>
        <w:ind w:left="1890" w:hanging="1890"/>
        <w:jc w:val="both"/>
        <w:rPr>
          <w:rFonts w:ascii="Times New Roman" w:hAnsi="Times New Roman" w:cs="Times New Roman"/>
          <w:b/>
          <w:sz w:val="24"/>
          <w:szCs w:val="24"/>
        </w:rPr>
      </w:pPr>
      <w:r w:rsidRPr="00CD1DFF">
        <w:rPr>
          <w:rFonts w:ascii="Times New Roman" w:hAnsi="Times New Roman" w:cs="Times New Roman"/>
          <w:b/>
          <w:sz w:val="24"/>
          <w:szCs w:val="24"/>
        </w:rPr>
        <w:t xml:space="preserve">Summary: </w:t>
      </w:r>
      <w:r w:rsidR="00F33B83" w:rsidRPr="00CD1DFF">
        <w:rPr>
          <w:rFonts w:ascii="Times New Roman" w:hAnsi="Times New Roman" w:cs="Times New Roman"/>
          <w:b/>
          <w:sz w:val="24"/>
          <w:szCs w:val="24"/>
        </w:rPr>
        <w:tab/>
      </w:r>
      <w:r w:rsidR="00F52F9B">
        <w:rPr>
          <w:rFonts w:ascii="Times New Roman" w:hAnsi="Times New Roman" w:cs="Times New Roman"/>
          <w:bCs/>
          <w:sz w:val="24"/>
          <w:szCs w:val="24"/>
        </w:rPr>
        <w:t xml:space="preserve">appeal of conviction and sentence- sexual assault of 13-year-old girl-omission of </w:t>
      </w:r>
      <w:r w:rsidR="00CB1D03">
        <w:rPr>
          <w:rFonts w:ascii="Times New Roman" w:hAnsi="Times New Roman" w:cs="Times New Roman"/>
          <w:bCs/>
          <w:sz w:val="24"/>
          <w:szCs w:val="24"/>
        </w:rPr>
        <w:t xml:space="preserve">formal </w:t>
      </w:r>
      <w:r w:rsidR="00F52F9B">
        <w:rPr>
          <w:rFonts w:ascii="Times New Roman" w:hAnsi="Times New Roman" w:cs="Times New Roman"/>
          <w:bCs/>
          <w:sz w:val="24"/>
          <w:szCs w:val="24"/>
        </w:rPr>
        <w:t xml:space="preserve">conviction </w:t>
      </w:r>
      <w:r w:rsidR="00CB1D03">
        <w:rPr>
          <w:rFonts w:ascii="Times New Roman" w:hAnsi="Times New Roman" w:cs="Times New Roman"/>
          <w:bCs/>
          <w:sz w:val="24"/>
          <w:szCs w:val="24"/>
        </w:rPr>
        <w:t xml:space="preserve">on record of </w:t>
      </w:r>
      <w:r w:rsidR="00FA0C48">
        <w:rPr>
          <w:rFonts w:ascii="Times New Roman" w:hAnsi="Times New Roman" w:cs="Times New Roman"/>
          <w:bCs/>
          <w:sz w:val="24"/>
          <w:szCs w:val="24"/>
        </w:rPr>
        <w:t xml:space="preserve">transcript </w:t>
      </w:r>
      <w:r w:rsidR="00F52F9B">
        <w:rPr>
          <w:rFonts w:ascii="Times New Roman" w:hAnsi="Times New Roman" w:cs="Times New Roman"/>
          <w:bCs/>
          <w:sz w:val="24"/>
          <w:szCs w:val="24"/>
        </w:rPr>
        <w:t>-</w:t>
      </w:r>
      <w:r w:rsidR="00CB1D03">
        <w:rPr>
          <w:rFonts w:ascii="Times New Roman" w:hAnsi="Times New Roman" w:cs="Times New Roman"/>
          <w:bCs/>
          <w:sz w:val="24"/>
          <w:szCs w:val="24"/>
        </w:rPr>
        <w:t xml:space="preserve"> </w:t>
      </w:r>
      <w:r w:rsidR="00F52F9B">
        <w:rPr>
          <w:rFonts w:ascii="Times New Roman" w:hAnsi="Times New Roman" w:cs="Times New Roman"/>
          <w:bCs/>
          <w:sz w:val="24"/>
          <w:szCs w:val="24"/>
        </w:rPr>
        <w:t>alibi defence</w:t>
      </w:r>
      <w:r w:rsidR="00FA0C48">
        <w:rPr>
          <w:rFonts w:ascii="Times New Roman" w:hAnsi="Times New Roman" w:cs="Times New Roman"/>
          <w:bCs/>
          <w:sz w:val="24"/>
          <w:szCs w:val="24"/>
        </w:rPr>
        <w:t xml:space="preserve"> </w:t>
      </w:r>
      <w:r w:rsidR="00F52F9B">
        <w:rPr>
          <w:rFonts w:ascii="Times New Roman" w:hAnsi="Times New Roman" w:cs="Times New Roman"/>
          <w:bCs/>
          <w:sz w:val="24"/>
          <w:szCs w:val="24"/>
        </w:rPr>
        <w:t>-</w:t>
      </w:r>
      <w:r w:rsidR="00FA0C48">
        <w:rPr>
          <w:rFonts w:ascii="Times New Roman" w:hAnsi="Times New Roman" w:cs="Times New Roman"/>
          <w:bCs/>
          <w:sz w:val="24"/>
          <w:szCs w:val="24"/>
        </w:rPr>
        <w:t xml:space="preserve"> </w:t>
      </w:r>
      <w:r w:rsidR="00F52F9B">
        <w:rPr>
          <w:rFonts w:ascii="Times New Roman" w:hAnsi="Times New Roman" w:cs="Times New Roman"/>
          <w:bCs/>
          <w:sz w:val="24"/>
          <w:szCs w:val="24"/>
        </w:rPr>
        <w:t xml:space="preserve">severity of </w:t>
      </w:r>
      <w:r w:rsidR="001B2FE6">
        <w:rPr>
          <w:rFonts w:ascii="Times New Roman" w:hAnsi="Times New Roman" w:cs="Times New Roman"/>
          <w:bCs/>
          <w:sz w:val="24"/>
          <w:szCs w:val="24"/>
        </w:rPr>
        <w:t>15-year</w:t>
      </w:r>
      <w:r w:rsidR="00F52F9B">
        <w:rPr>
          <w:rFonts w:ascii="Times New Roman" w:hAnsi="Times New Roman" w:cs="Times New Roman"/>
          <w:bCs/>
          <w:sz w:val="24"/>
          <w:szCs w:val="24"/>
        </w:rPr>
        <w:t xml:space="preserve"> sentence</w:t>
      </w:r>
    </w:p>
    <w:p w14:paraId="26F57148" w14:textId="040F46BF" w:rsidR="00344425" w:rsidRPr="00CD1DFF" w:rsidRDefault="00344425" w:rsidP="006D6EFF">
      <w:pPr>
        <w:tabs>
          <w:tab w:val="left" w:pos="720"/>
          <w:tab w:val="left" w:pos="1440"/>
          <w:tab w:val="left" w:pos="1665"/>
          <w:tab w:val="left" w:pos="2160"/>
        </w:tabs>
        <w:spacing w:after="0" w:line="240" w:lineRule="auto"/>
        <w:ind w:left="1890" w:hanging="1890"/>
        <w:jc w:val="both"/>
        <w:rPr>
          <w:rFonts w:ascii="Times New Roman" w:hAnsi="Times New Roman" w:cs="Times New Roman"/>
          <w:sz w:val="24"/>
          <w:szCs w:val="24"/>
        </w:rPr>
      </w:pPr>
      <w:r w:rsidRPr="00CD1DFF">
        <w:rPr>
          <w:rFonts w:ascii="Times New Roman" w:hAnsi="Times New Roman" w:cs="Times New Roman"/>
          <w:b/>
          <w:sz w:val="24"/>
          <w:szCs w:val="24"/>
        </w:rPr>
        <w:t xml:space="preserve">Heard: </w:t>
      </w:r>
      <w:r w:rsidR="005B12AA" w:rsidRPr="00CD1DFF">
        <w:rPr>
          <w:rFonts w:ascii="Times New Roman" w:hAnsi="Times New Roman" w:cs="Times New Roman"/>
          <w:sz w:val="24"/>
          <w:szCs w:val="24"/>
        </w:rPr>
        <w:tab/>
      </w:r>
      <w:r w:rsidR="005B12AA" w:rsidRPr="00CD1DFF">
        <w:rPr>
          <w:rFonts w:ascii="Times New Roman" w:hAnsi="Times New Roman" w:cs="Times New Roman"/>
          <w:sz w:val="24"/>
          <w:szCs w:val="24"/>
        </w:rPr>
        <w:tab/>
      </w:r>
      <w:r w:rsidR="00C40F27" w:rsidRPr="00CD1DFF">
        <w:rPr>
          <w:rFonts w:ascii="Times New Roman" w:hAnsi="Times New Roman" w:cs="Times New Roman"/>
          <w:sz w:val="24"/>
          <w:szCs w:val="24"/>
        </w:rPr>
        <w:t xml:space="preserve"> </w:t>
      </w:r>
      <w:r w:rsidR="00F52F9B">
        <w:rPr>
          <w:rFonts w:ascii="Times New Roman" w:hAnsi="Times New Roman" w:cs="Times New Roman"/>
          <w:sz w:val="24"/>
          <w:szCs w:val="24"/>
        </w:rPr>
        <w:tab/>
        <w:t>1</w:t>
      </w:r>
      <w:r w:rsidR="00EE1B62">
        <w:rPr>
          <w:rFonts w:ascii="Times New Roman" w:hAnsi="Times New Roman" w:cs="Times New Roman"/>
          <w:sz w:val="24"/>
          <w:szCs w:val="24"/>
        </w:rPr>
        <w:t xml:space="preserve"> December </w:t>
      </w:r>
      <w:r w:rsidR="00DB468A" w:rsidRPr="00CD1DFF">
        <w:rPr>
          <w:rFonts w:ascii="Times New Roman" w:hAnsi="Times New Roman" w:cs="Times New Roman"/>
          <w:sz w:val="24"/>
          <w:szCs w:val="24"/>
        </w:rPr>
        <w:t>2022</w:t>
      </w:r>
    </w:p>
    <w:p w14:paraId="3107A143" w14:textId="6A1AD405" w:rsidR="000A0FCF" w:rsidRPr="00CD1DFF" w:rsidRDefault="00344425" w:rsidP="006D6EFF">
      <w:pPr>
        <w:spacing w:after="0" w:line="240" w:lineRule="auto"/>
        <w:ind w:left="1890" w:hanging="1890"/>
        <w:jc w:val="both"/>
        <w:rPr>
          <w:rFonts w:ascii="Times New Roman" w:hAnsi="Times New Roman" w:cs="Times New Roman"/>
          <w:sz w:val="24"/>
          <w:szCs w:val="24"/>
        </w:rPr>
      </w:pPr>
      <w:r w:rsidRPr="00CD1DFF">
        <w:rPr>
          <w:rFonts w:ascii="Times New Roman" w:hAnsi="Times New Roman" w:cs="Times New Roman"/>
          <w:b/>
          <w:sz w:val="24"/>
          <w:szCs w:val="24"/>
        </w:rPr>
        <w:t>Delivered:</w:t>
      </w:r>
      <w:r w:rsidR="004A2599" w:rsidRPr="00CD1DFF">
        <w:rPr>
          <w:rFonts w:ascii="Times New Roman" w:hAnsi="Times New Roman" w:cs="Times New Roman"/>
          <w:b/>
          <w:sz w:val="24"/>
          <w:szCs w:val="24"/>
        </w:rPr>
        <w:tab/>
      </w:r>
      <w:r w:rsidR="00EE1B62">
        <w:rPr>
          <w:rFonts w:ascii="Times New Roman" w:hAnsi="Times New Roman" w:cs="Times New Roman"/>
          <w:sz w:val="24"/>
          <w:szCs w:val="24"/>
        </w:rPr>
        <w:t xml:space="preserve">16 December </w:t>
      </w:r>
      <w:r w:rsidR="00636AFB" w:rsidRPr="00CD1DFF">
        <w:rPr>
          <w:rFonts w:ascii="Times New Roman" w:hAnsi="Times New Roman" w:cs="Times New Roman"/>
          <w:sz w:val="24"/>
          <w:szCs w:val="24"/>
        </w:rPr>
        <w:t>2022</w:t>
      </w:r>
    </w:p>
    <w:p w14:paraId="1608EB0D" w14:textId="20205606" w:rsidR="008225AE" w:rsidRPr="00CD1DFF" w:rsidRDefault="006F5ABA" w:rsidP="00A356E2">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sidRPr="00CD1DFF">
        <w:rPr>
          <w:rFonts w:ascii="Times New Roman" w:hAnsi="Times New Roman" w:cs="Times New Roman"/>
          <w:b/>
          <w:sz w:val="24"/>
          <w:szCs w:val="24"/>
        </w:rPr>
        <w:t>ORDER</w:t>
      </w:r>
    </w:p>
    <w:p w14:paraId="6F2E1DFF" w14:textId="5B3CCB2A" w:rsidR="00FD7157" w:rsidRPr="00CD1DFF" w:rsidRDefault="00FD7157" w:rsidP="006D6EFF">
      <w:pPr>
        <w:pBdr>
          <w:top w:val="single" w:sz="4" w:space="12" w:color="auto"/>
          <w:bottom w:val="single" w:sz="4" w:space="0" w:color="auto"/>
        </w:pBdr>
        <w:tabs>
          <w:tab w:val="left" w:pos="2892"/>
        </w:tabs>
        <w:spacing w:after="0" w:line="276" w:lineRule="auto"/>
        <w:jc w:val="both"/>
        <w:rPr>
          <w:rFonts w:ascii="Times New Roman" w:hAnsi="Times New Roman" w:cs="Times New Roman"/>
          <w:sz w:val="24"/>
          <w:szCs w:val="24"/>
          <w:lang w:val="en"/>
        </w:rPr>
      </w:pPr>
      <w:r w:rsidRPr="00CD1DFF">
        <w:rPr>
          <w:rFonts w:ascii="Times New Roman" w:hAnsi="Times New Roman" w:cs="Times New Roman"/>
          <w:sz w:val="24"/>
          <w:szCs w:val="24"/>
          <w:lang w:val="en"/>
        </w:rPr>
        <w:t xml:space="preserve">The </w:t>
      </w:r>
      <w:r w:rsidR="00DB468A">
        <w:rPr>
          <w:rFonts w:ascii="Times New Roman" w:hAnsi="Times New Roman" w:cs="Times New Roman"/>
          <w:sz w:val="24"/>
          <w:szCs w:val="24"/>
          <w:lang w:val="en"/>
        </w:rPr>
        <w:t xml:space="preserve">appeal is </w:t>
      </w:r>
      <w:r w:rsidR="00F52F9B">
        <w:rPr>
          <w:rFonts w:ascii="Times New Roman" w:hAnsi="Times New Roman" w:cs="Times New Roman"/>
          <w:sz w:val="24"/>
          <w:szCs w:val="24"/>
          <w:lang w:val="en"/>
        </w:rPr>
        <w:t>dismissed</w:t>
      </w:r>
      <w:r w:rsidR="00DB468A">
        <w:rPr>
          <w:rFonts w:ascii="Times New Roman" w:hAnsi="Times New Roman" w:cs="Times New Roman"/>
          <w:sz w:val="24"/>
          <w:szCs w:val="24"/>
          <w:lang w:val="en"/>
        </w:rPr>
        <w:t xml:space="preserve">. </w:t>
      </w:r>
      <w:r w:rsidR="00F52F9B">
        <w:rPr>
          <w:rFonts w:ascii="Times New Roman" w:hAnsi="Times New Roman" w:cs="Times New Roman"/>
          <w:sz w:val="24"/>
          <w:szCs w:val="24"/>
          <w:lang w:val="en"/>
        </w:rPr>
        <w:t xml:space="preserve">Both </w:t>
      </w:r>
      <w:r w:rsidR="00D03494">
        <w:rPr>
          <w:rFonts w:ascii="Times New Roman" w:hAnsi="Times New Roman" w:cs="Times New Roman"/>
          <w:sz w:val="24"/>
          <w:szCs w:val="24"/>
          <w:lang w:val="en"/>
        </w:rPr>
        <w:t xml:space="preserve">the </w:t>
      </w:r>
      <w:r w:rsidR="00F52F9B">
        <w:rPr>
          <w:rFonts w:ascii="Times New Roman" w:hAnsi="Times New Roman" w:cs="Times New Roman"/>
          <w:sz w:val="24"/>
          <w:szCs w:val="24"/>
          <w:lang w:val="en"/>
        </w:rPr>
        <w:t>conviction and sentence are upheld.</w:t>
      </w:r>
    </w:p>
    <w:p w14:paraId="5741BC64" w14:textId="23AE2D33" w:rsidR="0075634D" w:rsidRDefault="0075634D" w:rsidP="006D6EFF">
      <w:pPr>
        <w:jc w:val="both"/>
        <w:rPr>
          <w:rFonts w:ascii="Times New Roman" w:hAnsi="Times New Roman" w:cs="Times New Roman"/>
          <w:b/>
          <w:sz w:val="24"/>
          <w:szCs w:val="24"/>
        </w:rPr>
      </w:pPr>
    </w:p>
    <w:p w14:paraId="6C08D4E4" w14:textId="703A5A2B" w:rsidR="00A356E2" w:rsidRPr="00A356E2" w:rsidRDefault="00A356E2" w:rsidP="00A356E2">
      <w:pPr>
        <w:jc w:val="center"/>
        <w:rPr>
          <w:rFonts w:ascii="Times New Roman" w:hAnsi="Times New Roman" w:cs="Times New Roman"/>
          <w:b/>
          <w:sz w:val="24"/>
          <w:szCs w:val="24"/>
        </w:rPr>
      </w:pPr>
      <w:r w:rsidRPr="00A356E2">
        <w:rPr>
          <w:rFonts w:ascii="Times New Roman" w:hAnsi="Times New Roman" w:cs="Times New Roman"/>
          <w:b/>
          <w:sz w:val="24"/>
          <w:szCs w:val="24"/>
        </w:rPr>
        <w:t>JUDGMENT</w:t>
      </w:r>
    </w:p>
    <w:p w14:paraId="06CB3E70" w14:textId="63056A88" w:rsidR="00A356E2" w:rsidRDefault="00A356E2" w:rsidP="00A356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7C81A3CE" w14:textId="77777777" w:rsidR="00A356E2" w:rsidRPr="00A356E2" w:rsidRDefault="00A356E2" w:rsidP="00A356E2">
      <w:pPr>
        <w:spacing w:after="0" w:line="360" w:lineRule="auto"/>
        <w:jc w:val="both"/>
        <w:rPr>
          <w:rFonts w:ascii="Times New Roman" w:hAnsi="Times New Roman" w:cs="Times New Roman"/>
          <w:b/>
          <w:sz w:val="10"/>
          <w:szCs w:val="10"/>
        </w:rPr>
      </w:pPr>
    </w:p>
    <w:p w14:paraId="711AF35C" w14:textId="0D1F1552" w:rsidR="00947BF3" w:rsidRDefault="00347570" w:rsidP="00A356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M. </w:t>
      </w:r>
      <w:r w:rsidR="00FD7157" w:rsidRPr="00CD1DFF">
        <w:rPr>
          <w:rFonts w:ascii="Times New Roman" w:hAnsi="Times New Roman" w:cs="Times New Roman"/>
          <w:b/>
          <w:sz w:val="24"/>
          <w:szCs w:val="24"/>
        </w:rPr>
        <w:t>TWOMEY</w:t>
      </w:r>
      <w:r w:rsidR="00052982">
        <w:rPr>
          <w:rFonts w:ascii="Times New Roman" w:hAnsi="Times New Roman" w:cs="Times New Roman"/>
          <w:b/>
          <w:sz w:val="24"/>
          <w:szCs w:val="24"/>
        </w:rPr>
        <w:t>-WOODS</w:t>
      </w:r>
      <w:r>
        <w:rPr>
          <w:rFonts w:ascii="Times New Roman" w:hAnsi="Times New Roman" w:cs="Times New Roman"/>
          <w:b/>
          <w:sz w:val="24"/>
          <w:szCs w:val="24"/>
        </w:rPr>
        <w:t xml:space="preserve"> JA</w:t>
      </w:r>
    </w:p>
    <w:p w14:paraId="50542E37" w14:textId="15815091" w:rsidR="00340CAE" w:rsidRDefault="00340CAE" w:rsidP="00A356E2">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EE1B62">
        <w:rPr>
          <w:rFonts w:ascii="Times New Roman" w:hAnsi="Times New Roman" w:cs="Times New Roman"/>
          <w:b/>
          <w:sz w:val="24"/>
          <w:szCs w:val="24"/>
        </w:rPr>
        <w:t>Robinson</w:t>
      </w:r>
      <w:r>
        <w:rPr>
          <w:rFonts w:ascii="Times New Roman" w:hAnsi="Times New Roman" w:cs="Times New Roman"/>
          <w:b/>
          <w:sz w:val="24"/>
          <w:szCs w:val="24"/>
        </w:rPr>
        <w:t xml:space="preserve"> and </w:t>
      </w:r>
      <w:r w:rsidR="001B2FE6" w:rsidRPr="001B2FE6">
        <w:rPr>
          <w:rFonts w:ascii="Times New Roman" w:hAnsi="Times New Roman" w:cs="Times New Roman"/>
          <w:b/>
          <w:bCs/>
          <w:sz w:val="24"/>
          <w:szCs w:val="24"/>
        </w:rPr>
        <w:t xml:space="preserve">Tibatemwa-Ekirikubinza </w:t>
      </w:r>
      <w:r>
        <w:rPr>
          <w:rFonts w:ascii="Times New Roman" w:hAnsi="Times New Roman" w:cs="Times New Roman"/>
          <w:b/>
          <w:sz w:val="24"/>
          <w:szCs w:val="24"/>
        </w:rPr>
        <w:t>JA concurring)</w:t>
      </w:r>
    </w:p>
    <w:p w14:paraId="1CFC959B" w14:textId="2B35F30C" w:rsidR="00A356E2" w:rsidRPr="00A356E2" w:rsidRDefault="00A356E2" w:rsidP="00A356E2">
      <w:pPr>
        <w:spacing w:line="360" w:lineRule="auto"/>
        <w:jc w:val="both"/>
        <w:rPr>
          <w:rFonts w:ascii="Times New Roman" w:hAnsi="Times New Roman" w:cs="Times New Roman"/>
          <w:sz w:val="4"/>
          <w:szCs w:val="4"/>
        </w:rPr>
      </w:pPr>
    </w:p>
    <w:p w14:paraId="31F70B75" w14:textId="7137E852" w:rsidR="00DB468A" w:rsidRPr="00DB468A" w:rsidRDefault="00DB468A" w:rsidP="006D6EFF">
      <w:pPr>
        <w:pStyle w:val="Jjmntheading1"/>
        <w:jc w:val="both"/>
      </w:pPr>
      <w:r>
        <w:t>Background</w:t>
      </w:r>
    </w:p>
    <w:p w14:paraId="7BF9009F" w14:textId="162431E4" w:rsidR="00132B6D" w:rsidRPr="005D6463" w:rsidRDefault="001B2FE6" w:rsidP="006D6EFF">
      <w:pPr>
        <w:pStyle w:val="JudgmentText"/>
        <w:ind w:left="630" w:hanging="630"/>
        <w:rPr>
          <w:lang w:val="en"/>
        </w:rPr>
      </w:pPr>
      <w:r>
        <w:t>The appellant</w:t>
      </w:r>
      <w:r w:rsidR="005D6463">
        <w:t>, a thirty-four-year-old man,</w:t>
      </w:r>
      <w:r>
        <w:t xml:space="preserve"> was charged with the sexual assault (rape) of A.N</w:t>
      </w:r>
      <w:r w:rsidR="002C07E9">
        <w:t>.</w:t>
      </w:r>
      <w:r w:rsidR="005D6463">
        <w:t xml:space="preserve">, a thirteen-year-old </w:t>
      </w:r>
      <w:r w:rsidR="00B011F1">
        <w:t>girl,</w:t>
      </w:r>
      <w:r w:rsidR="005D6463">
        <w:t xml:space="preserve"> </w:t>
      </w:r>
      <w:r>
        <w:t xml:space="preserve">in February 2019. </w:t>
      </w:r>
      <w:r w:rsidR="00D03494">
        <w:t xml:space="preserve">The learned Chief Justice rejected the </w:t>
      </w:r>
      <w:r w:rsidR="00D03494">
        <w:lastRenderedPageBreak/>
        <w:t>appellant’s alibi defence</w:t>
      </w:r>
      <w:r>
        <w:t xml:space="preserve">. </w:t>
      </w:r>
      <w:r w:rsidR="0072322D">
        <w:t xml:space="preserve">On </w:t>
      </w:r>
      <w:r>
        <w:t>13</w:t>
      </w:r>
      <w:r w:rsidR="0072322D">
        <w:t xml:space="preserve"> </w:t>
      </w:r>
      <w:r>
        <w:t>January</w:t>
      </w:r>
      <w:r w:rsidR="0072322D">
        <w:t xml:space="preserve"> 202</w:t>
      </w:r>
      <w:r>
        <w:t>2</w:t>
      </w:r>
      <w:r w:rsidR="0072322D">
        <w:t xml:space="preserve">, </w:t>
      </w:r>
      <w:r>
        <w:t xml:space="preserve">the </w:t>
      </w:r>
      <w:r w:rsidR="008325A3">
        <w:t>court</w:t>
      </w:r>
      <w:r>
        <w:t xml:space="preserve"> found the appellant guilty of the offence</w:t>
      </w:r>
      <w:r w:rsidR="00B011F1">
        <w:t>,</w:t>
      </w:r>
      <w:r>
        <w:t xml:space="preserve"> and he was </w:t>
      </w:r>
      <w:r w:rsidR="00BB3A99">
        <w:t>sentenced</w:t>
      </w:r>
      <w:r>
        <w:t xml:space="preserve"> to fifteen years imprisonment.  </w:t>
      </w:r>
    </w:p>
    <w:p w14:paraId="78E2672E" w14:textId="222D4B81" w:rsidR="002C07E9" w:rsidRPr="002C07E9" w:rsidRDefault="002C07E9" w:rsidP="006D6EFF">
      <w:pPr>
        <w:pStyle w:val="Partynames"/>
        <w:jc w:val="both"/>
        <w:rPr>
          <w:lang w:val="en"/>
        </w:rPr>
      </w:pPr>
      <w:r>
        <w:rPr>
          <w:lang w:val="en"/>
        </w:rPr>
        <w:t>Grounds of appeal</w:t>
      </w:r>
    </w:p>
    <w:p w14:paraId="7A508576" w14:textId="37A8F3E0" w:rsidR="00BB3A99" w:rsidRPr="002C07E9" w:rsidRDefault="00BB3A99" w:rsidP="006D6EFF">
      <w:pPr>
        <w:pStyle w:val="JudgmentText"/>
        <w:ind w:left="630" w:hanging="630"/>
        <w:rPr>
          <w:lang w:val="en"/>
        </w:rPr>
      </w:pPr>
      <w:r>
        <w:t xml:space="preserve">It is from this conviction and sentence that </w:t>
      </w:r>
      <w:r w:rsidR="00FA0C48">
        <w:t>he</w:t>
      </w:r>
      <w:r w:rsidR="005D6463">
        <w:t xml:space="preserve"> </w:t>
      </w:r>
      <w:r>
        <w:t xml:space="preserve">has appealed on </w:t>
      </w:r>
      <w:r w:rsidR="005D6463">
        <w:t xml:space="preserve">the </w:t>
      </w:r>
      <w:r w:rsidR="00C34C0A">
        <w:t>following</w:t>
      </w:r>
      <w:r w:rsidR="005D6463">
        <w:t xml:space="preserve"> </w:t>
      </w:r>
      <w:r w:rsidR="002C07E9">
        <w:t xml:space="preserve">eight grounds: </w:t>
      </w:r>
    </w:p>
    <w:p w14:paraId="7FD0ECB3" w14:textId="4A25FF7E" w:rsidR="002C07E9" w:rsidRDefault="002C07E9" w:rsidP="006D6EFF">
      <w:pPr>
        <w:pStyle w:val="NumberedQuotationindent1"/>
        <w:rPr>
          <w:lang w:val="en"/>
        </w:rPr>
      </w:pPr>
      <w:r>
        <w:rPr>
          <w:lang w:val="en"/>
        </w:rPr>
        <w:t xml:space="preserve">The learned trial judge erred in law and on the facts, for having failed in the first instance to make a finding of facts, as to whether the prosecution has proven the offence beyond a reasonable doubt against the appellant. </w:t>
      </w:r>
    </w:p>
    <w:p w14:paraId="3D172DBD" w14:textId="77777777" w:rsidR="005D6463" w:rsidRDefault="005D6463" w:rsidP="006D6EFF">
      <w:pPr>
        <w:pStyle w:val="NumberedQuotationindent1"/>
        <w:numPr>
          <w:ilvl w:val="0"/>
          <w:numId w:val="0"/>
        </w:numPr>
        <w:ind w:left="1260" w:hanging="360"/>
        <w:rPr>
          <w:lang w:val="en"/>
        </w:rPr>
      </w:pPr>
    </w:p>
    <w:p w14:paraId="4B086EBF" w14:textId="3D427DA2" w:rsidR="002C07E9" w:rsidRDefault="002C07E9" w:rsidP="006D6EFF">
      <w:pPr>
        <w:pStyle w:val="NumberedQuotationindent1"/>
        <w:rPr>
          <w:lang w:val="en"/>
        </w:rPr>
      </w:pPr>
      <w:r>
        <w:rPr>
          <w:lang w:val="en"/>
        </w:rPr>
        <w:t xml:space="preserve">The learned trial judge erred in law for having failed to convict the appellant for the alleged offence against him, on the basis of the evidence on records, prior to proceeding with the sentencing of the appellant, same failures which amount to a fatal irregularity in law. </w:t>
      </w:r>
    </w:p>
    <w:p w14:paraId="3ADA7EC0" w14:textId="77777777" w:rsidR="005D6463" w:rsidRDefault="005D6463" w:rsidP="006D6EFF">
      <w:pPr>
        <w:pStyle w:val="NumberedQuotationindent1"/>
        <w:numPr>
          <w:ilvl w:val="0"/>
          <w:numId w:val="0"/>
        </w:numPr>
        <w:rPr>
          <w:lang w:val="en"/>
        </w:rPr>
      </w:pPr>
    </w:p>
    <w:p w14:paraId="1C80D921" w14:textId="26F5710B" w:rsidR="002C07E9" w:rsidRDefault="002C07E9" w:rsidP="006D6EFF">
      <w:pPr>
        <w:pStyle w:val="NumberedQuotationindent1"/>
        <w:rPr>
          <w:lang w:val="en"/>
        </w:rPr>
      </w:pPr>
      <w:r>
        <w:rPr>
          <w:lang w:val="en"/>
        </w:rPr>
        <w:t xml:space="preserve">The learned trial judge erred in law and on the facts for having found the appellant guilty of the alleged offence of sexual assault and more fully in having concluded that the evidence of the virtual complainant was cogent, </w:t>
      </w:r>
      <w:r w:rsidR="00C34C0A">
        <w:rPr>
          <w:lang w:val="en"/>
        </w:rPr>
        <w:t>credible,</w:t>
      </w:r>
      <w:r>
        <w:rPr>
          <w:lang w:val="en"/>
        </w:rPr>
        <w:t xml:space="preserve"> and consistent.</w:t>
      </w:r>
    </w:p>
    <w:p w14:paraId="1F617688" w14:textId="77777777" w:rsidR="005D6463" w:rsidRDefault="005D6463" w:rsidP="006D6EFF">
      <w:pPr>
        <w:pStyle w:val="NumberedQuotationindent1"/>
        <w:numPr>
          <w:ilvl w:val="0"/>
          <w:numId w:val="0"/>
        </w:numPr>
        <w:rPr>
          <w:lang w:val="en"/>
        </w:rPr>
      </w:pPr>
    </w:p>
    <w:p w14:paraId="6D09BC59" w14:textId="020DAB6C" w:rsidR="002C07E9" w:rsidRDefault="002C07E9" w:rsidP="006D6EFF">
      <w:pPr>
        <w:pStyle w:val="NumberedQuotationindent1"/>
        <w:rPr>
          <w:lang w:val="en"/>
        </w:rPr>
      </w:pPr>
      <w:r>
        <w:rPr>
          <w:lang w:val="en"/>
        </w:rPr>
        <w:t xml:space="preserve">The learned trial judge erred in law and on the facts for having failed to appreciate that the prosecution’s evidence clearly shows that the virtual complainant never related the alleged incident, voluntarily and without a prompt. </w:t>
      </w:r>
    </w:p>
    <w:p w14:paraId="53689358" w14:textId="77777777" w:rsidR="005D6463" w:rsidRDefault="005D6463" w:rsidP="006D6EFF">
      <w:pPr>
        <w:pStyle w:val="NumberedQuotationindent1"/>
        <w:numPr>
          <w:ilvl w:val="0"/>
          <w:numId w:val="0"/>
        </w:numPr>
        <w:ind w:left="1260" w:hanging="360"/>
        <w:rPr>
          <w:lang w:val="en"/>
        </w:rPr>
      </w:pPr>
    </w:p>
    <w:p w14:paraId="512CB9A1" w14:textId="6DE98556" w:rsidR="002C07E9" w:rsidRDefault="002C07E9" w:rsidP="006D6EFF">
      <w:pPr>
        <w:pStyle w:val="NumberedQuotationindent1"/>
        <w:rPr>
          <w:lang w:val="en"/>
        </w:rPr>
      </w:pPr>
      <w:r>
        <w:rPr>
          <w:lang w:val="en"/>
        </w:rPr>
        <w:t xml:space="preserve">The learned trial judge erred in law and on the facts for having failed to sufficiently and/or fully appreciate and analyse the legal principles relating to the defence of alibi, as raised by the Appellant, prior to his considerations of the appellant’s evidence relating to the same defence. </w:t>
      </w:r>
    </w:p>
    <w:p w14:paraId="32AD2370" w14:textId="77777777" w:rsidR="005D6463" w:rsidRDefault="005D6463" w:rsidP="006D6EFF">
      <w:pPr>
        <w:pStyle w:val="NumberedQuotationindent1"/>
        <w:numPr>
          <w:ilvl w:val="0"/>
          <w:numId w:val="0"/>
        </w:numPr>
        <w:rPr>
          <w:lang w:val="en"/>
        </w:rPr>
      </w:pPr>
    </w:p>
    <w:p w14:paraId="46B6330D" w14:textId="1228FF34" w:rsidR="002C07E9" w:rsidRDefault="002C07E9" w:rsidP="006D6EFF">
      <w:pPr>
        <w:pStyle w:val="NumberedQuotationindent1"/>
        <w:rPr>
          <w:lang w:val="en"/>
        </w:rPr>
      </w:pPr>
      <w:r>
        <w:rPr>
          <w:lang w:val="en"/>
        </w:rPr>
        <w:t xml:space="preserve">The learned trial judge erred in law and on the facts for having wrongly </w:t>
      </w:r>
      <w:r w:rsidR="005D6463">
        <w:rPr>
          <w:lang w:val="en"/>
        </w:rPr>
        <w:t>applied</w:t>
      </w:r>
      <w:r>
        <w:rPr>
          <w:lang w:val="en"/>
        </w:rPr>
        <w:t xml:space="preserve"> </w:t>
      </w:r>
      <w:r w:rsidR="005D6463">
        <w:rPr>
          <w:lang w:val="en"/>
        </w:rPr>
        <w:t>the</w:t>
      </w:r>
      <w:r>
        <w:rPr>
          <w:lang w:val="en"/>
        </w:rPr>
        <w:t xml:space="preserve"> </w:t>
      </w:r>
      <w:r w:rsidR="005D6463">
        <w:rPr>
          <w:lang w:val="en"/>
        </w:rPr>
        <w:t>principles</w:t>
      </w:r>
      <w:r>
        <w:rPr>
          <w:lang w:val="en"/>
        </w:rPr>
        <w:t xml:space="preserve"> of law </w:t>
      </w:r>
      <w:r w:rsidR="005D6463">
        <w:rPr>
          <w:lang w:val="en"/>
        </w:rPr>
        <w:t>relating</w:t>
      </w:r>
      <w:r>
        <w:rPr>
          <w:lang w:val="en"/>
        </w:rPr>
        <w:t xml:space="preserve"> to the </w:t>
      </w:r>
      <w:r w:rsidR="005D6463">
        <w:rPr>
          <w:lang w:val="en"/>
        </w:rPr>
        <w:t>defence</w:t>
      </w:r>
      <w:r>
        <w:rPr>
          <w:lang w:val="en"/>
        </w:rPr>
        <w:t xml:space="preserve"> of alibi as raised by the </w:t>
      </w:r>
      <w:r w:rsidR="005D6463">
        <w:rPr>
          <w:lang w:val="en"/>
        </w:rPr>
        <w:t>appellant</w:t>
      </w:r>
      <w:r>
        <w:rPr>
          <w:lang w:val="en"/>
        </w:rPr>
        <w:t xml:space="preserve">, in his </w:t>
      </w:r>
      <w:r w:rsidR="005D6463">
        <w:rPr>
          <w:lang w:val="en"/>
        </w:rPr>
        <w:t>considerations</w:t>
      </w:r>
      <w:r>
        <w:rPr>
          <w:lang w:val="en"/>
        </w:rPr>
        <w:t xml:space="preserve"> of the defe</w:t>
      </w:r>
      <w:r w:rsidR="005D6463">
        <w:rPr>
          <w:lang w:val="en"/>
        </w:rPr>
        <w:t>n</w:t>
      </w:r>
      <w:r>
        <w:rPr>
          <w:lang w:val="en"/>
        </w:rPr>
        <w:t>ce’s evidence raised before the trial court.</w:t>
      </w:r>
    </w:p>
    <w:p w14:paraId="4D2D6451" w14:textId="77777777" w:rsidR="005D6463" w:rsidRDefault="005D6463" w:rsidP="006D6EFF">
      <w:pPr>
        <w:pStyle w:val="NumberedQuotationindent1"/>
        <w:numPr>
          <w:ilvl w:val="0"/>
          <w:numId w:val="0"/>
        </w:numPr>
        <w:ind w:left="1260" w:hanging="360"/>
        <w:rPr>
          <w:lang w:val="en"/>
        </w:rPr>
      </w:pPr>
    </w:p>
    <w:p w14:paraId="2FFE52A0" w14:textId="616E5336" w:rsidR="005D6463" w:rsidRDefault="005D6463" w:rsidP="006D6EFF">
      <w:pPr>
        <w:pStyle w:val="NumberedQuotationindent1"/>
        <w:rPr>
          <w:lang w:val="en"/>
        </w:rPr>
      </w:pPr>
      <w:r>
        <w:rPr>
          <w:lang w:val="en"/>
        </w:rPr>
        <w:t>Further or alternatively to ground 6 above, the learned trial judge erred in law and on the facts in failing to consider sufficiently and/or fully, the totality f the appellant's evidence before the trial court, relating to his defence of alibi before the court and/or in drawing the wrong inferences from the appellant's evidence relating</w:t>
      </w:r>
      <w:r w:rsidRPr="005D6463">
        <w:rPr>
          <w:lang w:val="en"/>
        </w:rPr>
        <w:t xml:space="preserve"> to the same defence. </w:t>
      </w:r>
    </w:p>
    <w:p w14:paraId="64ECE2F5" w14:textId="77777777" w:rsidR="005D6463" w:rsidRDefault="005D6463" w:rsidP="006D6EFF">
      <w:pPr>
        <w:pStyle w:val="NumberedQuotationindent1"/>
        <w:numPr>
          <w:ilvl w:val="0"/>
          <w:numId w:val="0"/>
        </w:numPr>
        <w:ind w:left="1260" w:hanging="360"/>
        <w:rPr>
          <w:lang w:val="en"/>
        </w:rPr>
      </w:pPr>
    </w:p>
    <w:p w14:paraId="6C1B63D2" w14:textId="30FE75E9" w:rsidR="005D6463" w:rsidRDefault="005D6463" w:rsidP="006D6EFF">
      <w:pPr>
        <w:pStyle w:val="NumberedQuotationindent1"/>
        <w:rPr>
          <w:lang w:val="en"/>
        </w:rPr>
      </w:pPr>
      <w:r>
        <w:rPr>
          <w:lang w:val="en"/>
        </w:rPr>
        <w:t xml:space="preserve">The learned trial judge erred in law and on the facts in meting a sentence of fifteen years imprisonment on the charge, against the appellant in that the sentence is </w:t>
      </w:r>
      <w:r>
        <w:rPr>
          <w:lang w:val="en"/>
        </w:rPr>
        <w:lastRenderedPageBreak/>
        <w:t>manifestly harsh and excessive and goes contrary to sentencing principles relating to the same offence charged.</w:t>
      </w:r>
    </w:p>
    <w:p w14:paraId="2CFE26FD" w14:textId="77777777" w:rsidR="00C34C0A" w:rsidRPr="005D6463" w:rsidRDefault="00C34C0A" w:rsidP="006D6EFF">
      <w:pPr>
        <w:pStyle w:val="NumberedQuotationindent1"/>
        <w:numPr>
          <w:ilvl w:val="0"/>
          <w:numId w:val="0"/>
        </w:numPr>
        <w:rPr>
          <w:lang w:val="en"/>
        </w:rPr>
      </w:pPr>
    </w:p>
    <w:p w14:paraId="126F3A93" w14:textId="1C718B5B" w:rsidR="00132B6D" w:rsidRDefault="00C34C0A" w:rsidP="006D6EFF">
      <w:pPr>
        <w:pStyle w:val="JudgmentText"/>
        <w:ind w:left="630" w:hanging="630"/>
        <w:rPr>
          <w:lang w:val="en"/>
        </w:rPr>
      </w:pPr>
      <w:r>
        <w:rPr>
          <w:lang w:val="en"/>
        </w:rPr>
        <w:t xml:space="preserve">I propose to treat some of these grounds together as they are issue related. </w:t>
      </w:r>
    </w:p>
    <w:p w14:paraId="4AFBD17D" w14:textId="62109E84" w:rsidR="00C34C0A" w:rsidRDefault="00C34C0A" w:rsidP="006D6EFF">
      <w:pPr>
        <w:pStyle w:val="Jjmntheading1"/>
        <w:jc w:val="both"/>
        <w:rPr>
          <w:lang w:val="en"/>
        </w:rPr>
      </w:pPr>
      <w:r>
        <w:rPr>
          <w:lang w:val="en"/>
        </w:rPr>
        <w:t xml:space="preserve">Grounds 1 and 2 – material irregularities in </w:t>
      </w:r>
      <w:r w:rsidR="00CB1D03">
        <w:rPr>
          <w:lang w:val="en"/>
        </w:rPr>
        <w:t xml:space="preserve">the </w:t>
      </w:r>
      <w:r>
        <w:rPr>
          <w:lang w:val="en"/>
        </w:rPr>
        <w:t xml:space="preserve">judgment </w:t>
      </w:r>
    </w:p>
    <w:p w14:paraId="4DC1BCB7" w14:textId="4021B511" w:rsidR="00C34C0A" w:rsidRDefault="00C34C0A" w:rsidP="006D6EFF">
      <w:pPr>
        <w:pStyle w:val="JudgmentText"/>
        <w:ind w:left="630" w:hanging="630"/>
        <w:rPr>
          <w:lang w:val="en"/>
        </w:rPr>
      </w:pPr>
      <w:r>
        <w:rPr>
          <w:lang w:val="en"/>
        </w:rPr>
        <w:t xml:space="preserve">It is submitted that the learned Chief Justice did not </w:t>
      </w:r>
      <w:r w:rsidR="004649BC">
        <w:rPr>
          <w:lang w:val="en"/>
        </w:rPr>
        <w:t xml:space="preserve">address his </w:t>
      </w:r>
      <w:r>
        <w:rPr>
          <w:lang w:val="en"/>
        </w:rPr>
        <w:t xml:space="preserve">mind </w:t>
      </w:r>
      <w:r w:rsidR="004649BC">
        <w:rPr>
          <w:lang w:val="en"/>
        </w:rPr>
        <w:t xml:space="preserve">as </w:t>
      </w:r>
      <w:r>
        <w:rPr>
          <w:lang w:val="en"/>
        </w:rPr>
        <w:t xml:space="preserve">to whether or not all the elements of the crime </w:t>
      </w:r>
      <w:r w:rsidR="00FA0C48">
        <w:rPr>
          <w:lang w:val="en"/>
        </w:rPr>
        <w:t xml:space="preserve">with </w:t>
      </w:r>
      <w:r w:rsidR="008140EE">
        <w:rPr>
          <w:lang w:val="en"/>
        </w:rPr>
        <w:t>which</w:t>
      </w:r>
      <w:r w:rsidR="00FA0C48">
        <w:rPr>
          <w:lang w:val="en"/>
        </w:rPr>
        <w:t xml:space="preserve"> the accused was charged </w:t>
      </w:r>
      <w:r>
        <w:rPr>
          <w:lang w:val="en"/>
        </w:rPr>
        <w:t xml:space="preserve">had been proved beyond reasonable doubt by the prosecution. </w:t>
      </w:r>
      <w:r w:rsidR="003D5030">
        <w:rPr>
          <w:lang w:val="en"/>
        </w:rPr>
        <w:t xml:space="preserve">It is further submitted that </w:t>
      </w:r>
      <w:r w:rsidR="00113B6F">
        <w:rPr>
          <w:lang w:val="en"/>
        </w:rPr>
        <w:t>the learned trial judge</w:t>
      </w:r>
      <w:r>
        <w:rPr>
          <w:lang w:val="en"/>
        </w:rPr>
        <w:t xml:space="preserve"> also did not </w:t>
      </w:r>
      <w:r w:rsidR="00113B6F">
        <w:rPr>
          <w:lang w:val="en"/>
        </w:rPr>
        <w:t xml:space="preserve">formally </w:t>
      </w:r>
      <w:r>
        <w:rPr>
          <w:lang w:val="en"/>
        </w:rPr>
        <w:t xml:space="preserve">convict the accused of the offence after </w:t>
      </w:r>
      <w:r w:rsidR="00113B6F">
        <w:rPr>
          <w:lang w:val="en"/>
        </w:rPr>
        <w:t>finding</w:t>
      </w:r>
      <w:r>
        <w:rPr>
          <w:lang w:val="en"/>
        </w:rPr>
        <w:t xml:space="preserve"> him guilty </w:t>
      </w:r>
      <w:r w:rsidR="00D94B6A">
        <w:rPr>
          <w:lang w:val="en"/>
        </w:rPr>
        <w:t>as charged.</w:t>
      </w:r>
    </w:p>
    <w:p w14:paraId="1DB1B021" w14:textId="424C2EEA" w:rsidR="00CB1D03" w:rsidRPr="003B47AB" w:rsidRDefault="00CB1D03" w:rsidP="006D6EFF">
      <w:pPr>
        <w:pStyle w:val="JudgmentText"/>
        <w:ind w:left="630" w:hanging="630"/>
        <w:rPr>
          <w:lang w:val="en"/>
        </w:rPr>
      </w:pPr>
      <w:r>
        <w:rPr>
          <w:lang w:val="en"/>
        </w:rPr>
        <w:t>Learned counsel for the appellant, Mr. Camille</w:t>
      </w:r>
      <w:r w:rsidR="003B47AB">
        <w:rPr>
          <w:lang w:val="en"/>
        </w:rPr>
        <w:t>,</w:t>
      </w:r>
      <w:r>
        <w:rPr>
          <w:lang w:val="en"/>
        </w:rPr>
        <w:t xml:space="preserve"> has submitted </w:t>
      </w:r>
      <w:r w:rsidR="003B47AB" w:rsidRPr="003B47AB">
        <w:rPr>
          <w:lang w:val="en"/>
        </w:rPr>
        <w:t xml:space="preserve">that </w:t>
      </w:r>
      <w:r w:rsidR="003B47AB">
        <w:rPr>
          <w:lang w:val="en"/>
        </w:rPr>
        <w:t xml:space="preserve">although </w:t>
      </w:r>
      <w:r w:rsidR="003B47AB" w:rsidRPr="003B47AB">
        <w:rPr>
          <w:lang w:val="en"/>
        </w:rPr>
        <w:t xml:space="preserve">the learned trial judge stated that </w:t>
      </w:r>
      <w:r w:rsidR="003B47AB">
        <w:rPr>
          <w:lang w:val="en"/>
        </w:rPr>
        <w:t xml:space="preserve">he </w:t>
      </w:r>
      <w:r w:rsidR="003B47AB" w:rsidRPr="003B47AB">
        <w:rPr>
          <w:lang w:val="en"/>
        </w:rPr>
        <w:t xml:space="preserve">found “the victim’s evidence to be cogent, credible and consistent” and </w:t>
      </w:r>
      <w:r w:rsidR="003D5030">
        <w:rPr>
          <w:lang w:val="en"/>
        </w:rPr>
        <w:t xml:space="preserve">subsequently </w:t>
      </w:r>
      <w:r w:rsidR="003B47AB" w:rsidRPr="003B47AB">
        <w:rPr>
          <w:lang w:val="en"/>
        </w:rPr>
        <w:t>asserted, “I will act on it totally”</w:t>
      </w:r>
      <w:r w:rsidR="003B47AB">
        <w:rPr>
          <w:lang w:val="en"/>
        </w:rPr>
        <w:t xml:space="preserve">, he nevertheless </w:t>
      </w:r>
      <w:r>
        <w:rPr>
          <w:lang w:val="en"/>
        </w:rPr>
        <w:t xml:space="preserve">did not satisfy himself as to whether the prosecution had indeed proven the case beyond reasonable doubt as </w:t>
      </w:r>
      <w:r w:rsidR="003B47AB">
        <w:rPr>
          <w:lang w:val="en"/>
        </w:rPr>
        <w:t>t</w:t>
      </w:r>
      <w:r>
        <w:rPr>
          <w:lang w:val="en"/>
        </w:rPr>
        <w:t>he</w:t>
      </w:r>
      <w:r w:rsidR="003B47AB">
        <w:rPr>
          <w:lang w:val="en"/>
        </w:rPr>
        <w:t>re</w:t>
      </w:r>
      <w:r>
        <w:rPr>
          <w:lang w:val="en"/>
        </w:rPr>
        <w:t xml:space="preserve"> </w:t>
      </w:r>
      <w:r w:rsidR="003B47AB">
        <w:rPr>
          <w:lang w:val="en"/>
        </w:rPr>
        <w:t>is no record of such</w:t>
      </w:r>
      <w:r>
        <w:rPr>
          <w:lang w:val="en"/>
        </w:rPr>
        <w:t xml:space="preserve"> a pronouncement</w:t>
      </w:r>
      <w:r w:rsidR="003B47AB">
        <w:rPr>
          <w:lang w:val="en"/>
        </w:rPr>
        <w:t xml:space="preserve"> in the judgment</w:t>
      </w:r>
      <w:r>
        <w:rPr>
          <w:lang w:val="en"/>
        </w:rPr>
        <w:t xml:space="preserve">. In </w:t>
      </w:r>
      <w:r w:rsidR="003B47AB">
        <w:rPr>
          <w:lang w:val="en"/>
        </w:rPr>
        <w:t xml:space="preserve">Counsel’s view, </w:t>
      </w:r>
      <w:r w:rsidRPr="003B47AB">
        <w:rPr>
          <w:lang w:val="en"/>
        </w:rPr>
        <w:t xml:space="preserve">this is fatal to the case. </w:t>
      </w:r>
    </w:p>
    <w:p w14:paraId="2C5B98A4" w14:textId="0040B1B0" w:rsidR="00D94B6A" w:rsidRDefault="00113B6F" w:rsidP="006D6EFF">
      <w:pPr>
        <w:pStyle w:val="JudgmentText"/>
        <w:ind w:left="630" w:hanging="630"/>
        <w:rPr>
          <w:lang w:val="en"/>
        </w:rPr>
      </w:pPr>
      <w:r>
        <w:rPr>
          <w:lang w:val="en"/>
        </w:rPr>
        <w:t>On the other hand, learned counsel for the respondent, Mrs. Monthy, has contended</w:t>
      </w:r>
      <w:r w:rsidR="00D94B6A">
        <w:rPr>
          <w:lang w:val="en"/>
        </w:rPr>
        <w:t xml:space="preserve"> that </w:t>
      </w:r>
      <w:r w:rsidR="003B47AB">
        <w:rPr>
          <w:lang w:val="en"/>
        </w:rPr>
        <w:t xml:space="preserve">the learned trial judge </w:t>
      </w:r>
      <w:r>
        <w:rPr>
          <w:lang w:val="en"/>
        </w:rPr>
        <w:t xml:space="preserve">did make </w:t>
      </w:r>
      <w:r w:rsidR="00B011F1">
        <w:rPr>
          <w:lang w:val="en"/>
        </w:rPr>
        <w:t xml:space="preserve">a finding of fact </w:t>
      </w:r>
      <w:r>
        <w:rPr>
          <w:lang w:val="en"/>
        </w:rPr>
        <w:t>that the</w:t>
      </w:r>
      <w:r w:rsidR="00B011F1">
        <w:rPr>
          <w:lang w:val="en"/>
        </w:rPr>
        <w:t xml:space="preserve"> prosecution had proved the offence beyond a reasonable doubt. She submits that he </w:t>
      </w:r>
      <w:r w:rsidR="003B47AB">
        <w:rPr>
          <w:lang w:val="en"/>
        </w:rPr>
        <w:t>had first</w:t>
      </w:r>
      <w:r w:rsidR="003D5030">
        <w:rPr>
          <w:lang w:val="en"/>
        </w:rPr>
        <w:t>,</w:t>
      </w:r>
      <w:r w:rsidR="003B47AB">
        <w:rPr>
          <w:lang w:val="en"/>
        </w:rPr>
        <w:t xml:space="preserve"> appropriately</w:t>
      </w:r>
      <w:r w:rsidR="003D5030">
        <w:rPr>
          <w:lang w:val="en"/>
        </w:rPr>
        <w:t>,</w:t>
      </w:r>
      <w:r w:rsidR="003B47AB">
        <w:rPr>
          <w:lang w:val="en"/>
        </w:rPr>
        <w:t xml:space="preserve"> taken </w:t>
      </w:r>
      <w:r w:rsidR="00B011F1">
        <w:rPr>
          <w:lang w:val="en"/>
        </w:rPr>
        <w:t>note in</w:t>
      </w:r>
      <w:r w:rsidR="003B47AB">
        <w:rPr>
          <w:lang w:val="en"/>
        </w:rPr>
        <w:t xml:space="preserve"> the second </w:t>
      </w:r>
      <w:r w:rsidR="00B011F1">
        <w:rPr>
          <w:lang w:val="en"/>
        </w:rPr>
        <w:t>paragraph</w:t>
      </w:r>
      <w:r w:rsidR="003B47AB">
        <w:rPr>
          <w:lang w:val="en"/>
        </w:rPr>
        <w:t xml:space="preserve"> of his </w:t>
      </w:r>
      <w:r w:rsidR="00B011F1">
        <w:rPr>
          <w:lang w:val="en"/>
        </w:rPr>
        <w:t>judgment</w:t>
      </w:r>
      <w:r w:rsidR="003B47AB">
        <w:rPr>
          <w:lang w:val="en"/>
        </w:rPr>
        <w:t xml:space="preserve"> tha</w:t>
      </w:r>
      <w:r w:rsidR="00B011F1">
        <w:rPr>
          <w:lang w:val="en"/>
        </w:rPr>
        <w:t>t</w:t>
      </w:r>
      <w:r w:rsidR="003B47AB">
        <w:rPr>
          <w:lang w:val="en"/>
        </w:rPr>
        <w:t xml:space="preserve"> the prosecution bears the </w:t>
      </w:r>
      <w:r w:rsidR="00B011F1">
        <w:rPr>
          <w:lang w:val="en"/>
        </w:rPr>
        <w:t>burden</w:t>
      </w:r>
      <w:r w:rsidR="003B47AB">
        <w:rPr>
          <w:lang w:val="en"/>
        </w:rPr>
        <w:t xml:space="preserve"> of proving that the accused </w:t>
      </w:r>
      <w:r w:rsidR="00B011F1">
        <w:rPr>
          <w:lang w:val="en"/>
        </w:rPr>
        <w:t>committed</w:t>
      </w:r>
      <w:r w:rsidR="003B47AB">
        <w:rPr>
          <w:lang w:val="en"/>
        </w:rPr>
        <w:t xml:space="preserve"> the </w:t>
      </w:r>
      <w:r w:rsidR="00B011F1">
        <w:rPr>
          <w:lang w:val="en"/>
        </w:rPr>
        <w:t>crime</w:t>
      </w:r>
      <w:r w:rsidR="003B47AB">
        <w:rPr>
          <w:lang w:val="en"/>
        </w:rPr>
        <w:t xml:space="preserve"> </w:t>
      </w:r>
      <w:r w:rsidR="00B011F1">
        <w:rPr>
          <w:lang w:val="en"/>
        </w:rPr>
        <w:t>beyond</w:t>
      </w:r>
      <w:r w:rsidR="003B47AB">
        <w:rPr>
          <w:lang w:val="en"/>
        </w:rPr>
        <w:t xml:space="preserve"> a </w:t>
      </w:r>
      <w:r w:rsidR="00B011F1">
        <w:rPr>
          <w:lang w:val="en"/>
        </w:rPr>
        <w:t>reasonable</w:t>
      </w:r>
      <w:r w:rsidR="003B47AB">
        <w:rPr>
          <w:lang w:val="en"/>
        </w:rPr>
        <w:t xml:space="preserve"> </w:t>
      </w:r>
      <w:r w:rsidR="00B011F1">
        <w:rPr>
          <w:lang w:val="en"/>
        </w:rPr>
        <w:t>doubt</w:t>
      </w:r>
      <w:r>
        <w:rPr>
          <w:lang w:val="en"/>
        </w:rPr>
        <w:t>,</w:t>
      </w:r>
      <w:r w:rsidR="00B011F1">
        <w:rPr>
          <w:lang w:val="en"/>
        </w:rPr>
        <w:t xml:space="preserve"> and</w:t>
      </w:r>
      <w:r w:rsidR="003B47AB">
        <w:rPr>
          <w:lang w:val="en"/>
        </w:rPr>
        <w:t xml:space="preserve"> </w:t>
      </w:r>
      <w:r w:rsidR="00B011F1">
        <w:rPr>
          <w:lang w:val="en"/>
        </w:rPr>
        <w:t>after</w:t>
      </w:r>
      <w:r w:rsidR="003B47AB">
        <w:rPr>
          <w:lang w:val="en"/>
        </w:rPr>
        <w:t xml:space="preserve"> c</w:t>
      </w:r>
      <w:r w:rsidR="00B011F1">
        <w:rPr>
          <w:lang w:val="en"/>
        </w:rPr>
        <w:t>onsidering</w:t>
      </w:r>
      <w:r w:rsidR="003B47AB">
        <w:rPr>
          <w:lang w:val="en"/>
        </w:rPr>
        <w:t xml:space="preserve"> the </w:t>
      </w:r>
      <w:r w:rsidR="00B011F1">
        <w:rPr>
          <w:lang w:val="en"/>
        </w:rPr>
        <w:t>facts</w:t>
      </w:r>
      <w:r w:rsidR="003B47AB">
        <w:rPr>
          <w:lang w:val="en"/>
        </w:rPr>
        <w:t xml:space="preserve"> </w:t>
      </w:r>
      <w:r w:rsidR="00B011F1">
        <w:rPr>
          <w:lang w:val="en"/>
        </w:rPr>
        <w:t>and</w:t>
      </w:r>
      <w:r w:rsidR="003B47AB">
        <w:rPr>
          <w:lang w:val="en"/>
        </w:rPr>
        <w:t xml:space="preserve"> </w:t>
      </w:r>
      <w:r w:rsidR="00B011F1">
        <w:rPr>
          <w:lang w:val="en"/>
        </w:rPr>
        <w:t>circumstances</w:t>
      </w:r>
      <w:r w:rsidR="003B47AB">
        <w:rPr>
          <w:lang w:val="en"/>
        </w:rPr>
        <w:t xml:space="preserve"> of the ca</w:t>
      </w:r>
      <w:r w:rsidR="00B011F1">
        <w:rPr>
          <w:lang w:val="en"/>
        </w:rPr>
        <w:t>s</w:t>
      </w:r>
      <w:r w:rsidR="003B47AB">
        <w:rPr>
          <w:lang w:val="en"/>
        </w:rPr>
        <w:t xml:space="preserve">e as a </w:t>
      </w:r>
      <w:r w:rsidR="00B011F1">
        <w:rPr>
          <w:lang w:val="en"/>
        </w:rPr>
        <w:t>whole</w:t>
      </w:r>
      <w:r w:rsidR="008325A3">
        <w:rPr>
          <w:lang w:val="en"/>
        </w:rPr>
        <w:t>,</w:t>
      </w:r>
      <w:r w:rsidR="003B47AB">
        <w:rPr>
          <w:lang w:val="en"/>
        </w:rPr>
        <w:t xml:space="preserve"> </w:t>
      </w:r>
      <w:r w:rsidR="00B011F1">
        <w:rPr>
          <w:lang w:val="en"/>
        </w:rPr>
        <w:t>had noted</w:t>
      </w:r>
      <w:r w:rsidR="003B47AB">
        <w:rPr>
          <w:lang w:val="en"/>
        </w:rPr>
        <w:t xml:space="preserve"> </w:t>
      </w:r>
      <w:r w:rsidR="008325A3">
        <w:rPr>
          <w:lang w:val="en"/>
        </w:rPr>
        <w:t xml:space="preserve">in the last paragraph of his judgment </w:t>
      </w:r>
      <w:r w:rsidR="003B47AB">
        <w:rPr>
          <w:lang w:val="en"/>
        </w:rPr>
        <w:t xml:space="preserve">that </w:t>
      </w:r>
      <w:r w:rsidR="00B011F1">
        <w:rPr>
          <w:lang w:val="en"/>
        </w:rPr>
        <w:t>“I</w:t>
      </w:r>
      <w:r w:rsidR="003D5030">
        <w:rPr>
          <w:lang w:val="en"/>
        </w:rPr>
        <w:t>, therefore,</w:t>
      </w:r>
      <w:r w:rsidR="00B011F1">
        <w:rPr>
          <w:lang w:val="en"/>
        </w:rPr>
        <w:t xml:space="preserve"> find the accused guilty beyond a reasonable doubt as charged in this case.”</w:t>
      </w:r>
      <w:r w:rsidR="008325A3">
        <w:rPr>
          <w:lang w:val="en"/>
        </w:rPr>
        <w:t xml:space="preserve"> This, she submits, shows an adequate consideration as to whether the prosecution had acquitted itself of its burden of proof. </w:t>
      </w:r>
    </w:p>
    <w:p w14:paraId="1AF1A6C7" w14:textId="173714F9" w:rsidR="00F4065F" w:rsidRDefault="00F4065F" w:rsidP="006D6EFF">
      <w:pPr>
        <w:pStyle w:val="JudgmentText"/>
        <w:ind w:left="630" w:hanging="630"/>
        <w:rPr>
          <w:lang w:val="en"/>
        </w:rPr>
      </w:pPr>
      <w:r>
        <w:rPr>
          <w:lang w:val="en"/>
        </w:rPr>
        <w:t xml:space="preserve">With regard to ground 2, Mr. Camille has submitted that the transcript of proceedings does not show that the learned trial judge proceeded to convict the </w:t>
      </w:r>
      <w:r w:rsidR="001C3FFA">
        <w:rPr>
          <w:lang w:val="en"/>
        </w:rPr>
        <w:t>appellant</w:t>
      </w:r>
      <w:r>
        <w:rPr>
          <w:lang w:val="en"/>
        </w:rPr>
        <w:t xml:space="preserve"> but merely stated: “I</w:t>
      </w:r>
      <w:r w:rsidR="003D5030">
        <w:rPr>
          <w:lang w:val="en"/>
        </w:rPr>
        <w:t>, therefore,</w:t>
      </w:r>
      <w:r>
        <w:rPr>
          <w:lang w:val="en"/>
        </w:rPr>
        <w:t xml:space="preserve"> find the accused guilty beyond a reasonable doubt as charged in</w:t>
      </w:r>
      <w:r w:rsidR="001C3FFA">
        <w:rPr>
          <w:lang w:val="en"/>
        </w:rPr>
        <w:t xml:space="preserve"> </w:t>
      </w:r>
      <w:r>
        <w:rPr>
          <w:lang w:val="en"/>
        </w:rPr>
        <w:t>this case.</w:t>
      </w:r>
      <w:r w:rsidR="001C3FFA">
        <w:rPr>
          <w:lang w:val="en"/>
        </w:rPr>
        <w:t>”</w:t>
      </w:r>
      <w:r>
        <w:rPr>
          <w:lang w:val="en"/>
        </w:rPr>
        <w:t xml:space="preserve"> In his submission</w:t>
      </w:r>
      <w:r w:rsidR="003D5030">
        <w:rPr>
          <w:lang w:val="en"/>
        </w:rPr>
        <w:t>,</w:t>
      </w:r>
      <w:r>
        <w:rPr>
          <w:lang w:val="en"/>
        </w:rPr>
        <w:t xml:space="preserve"> this is also fatal to the case. </w:t>
      </w:r>
    </w:p>
    <w:p w14:paraId="59974953" w14:textId="07845162" w:rsidR="00D94B6A" w:rsidRPr="00942690" w:rsidRDefault="00F4065F" w:rsidP="006D6EFF">
      <w:pPr>
        <w:pStyle w:val="JudgmentText"/>
        <w:ind w:left="630" w:hanging="630"/>
        <w:rPr>
          <w:lang w:val="en"/>
        </w:rPr>
      </w:pPr>
      <w:r>
        <w:rPr>
          <w:lang w:val="en"/>
        </w:rPr>
        <w:t xml:space="preserve">Mrs. Monthy has submitted that </w:t>
      </w:r>
      <w:r w:rsidR="005A1345">
        <w:rPr>
          <w:lang w:val="en"/>
        </w:rPr>
        <w:t>failing</w:t>
      </w:r>
      <w:r>
        <w:rPr>
          <w:lang w:val="en"/>
        </w:rPr>
        <w:t xml:space="preserve"> to record a conviction is not fatal to the case. Bot</w:t>
      </w:r>
      <w:r w:rsidR="001C3FFA">
        <w:rPr>
          <w:lang w:val="en"/>
        </w:rPr>
        <w:t>h</w:t>
      </w:r>
      <w:r>
        <w:rPr>
          <w:lang w:val="en"/>
        </w:rPr>
        <w:t xml:space="preserve"> counsel have referred the court to sec</w:t>
      </w:r>
      <w:r w:rsidR="001C3FFA">
        <w:rPr>
          <w:lang w:val="en"/>
        </w:rPr>
        <w:t>t</w:t>
      </w:r>
      <w:r>
        <w:rPr>
          <w:lang w:val="en"/>
        </w:rPr>
        <w:t>i</w:t>
      </w:r>
      <w:r w:rsidR="001C3FFA">
        <w:rPr>
          <w:lang w:val="en"/>
        </w:rPr>
        <w:t>o</w:t>
      </w:r>
      <w:r>
        <w:rPr>
          <w:lang w:val="en"/>
        </w:rPr>
        <w:t>n 143(2) of the Cri</w:t>
      </w:r>
      <w:r w:rsidR="001C3FFA">
        <w:rPr>
          <w:lang w:val="en"/>
        </w:rPr>
        <w:t>mi</w:t>
      </w:r>
      <w:r>
        <w:rPr>
          <w:lang w:val="en"/>
        </w:rPr>
        <w:t xml:space="preserve">nal </w:t>
      </w:r>
      <w:r w:rsidR="001C3FFA">
        <w:rPr>
          <w:lang w:val="en"/>
        </w:rPr>
        <w:t>C</w:t>
      </w:r>
      <w:r>
        <w:rPr>
          <w:lang w:val="en"/>
        </w:rPr>
        <w:t xml:space="preserve">ode of Procedure and </w:t>
      </w:r>
      <w:r w:rsidR="00113B6F">
        <w:rPr>
          <w:lang w:val="en"/>
        </w:rPr>
        <w:lastRenderedPageBreak/>
        <w:t>several</w:t>
      </w:r>
      <w:r>
        <w:rPr>
          <w:lang w:val="en"/>
        </w:rPr>
        <w:t xml:space="preserve"> a</w:t>
      </w:r>
      <w:r w:rsidR="001C3FFA">
        <w:rPr>
          <w:lang w:val="en"/>
        </w:rPr>
        <w:t>u</w:t>
      </w:r>
      <w:r>
        <w:rPr>
          <w:lang w:val="en"/>
        </w:rPr>
        <w:t>tho</w:t>
      </w:r>
      <w:r w:rsidR="001C3FFA">
        <w:rPr>
          <w:lang w:val="en"/>
        </w:rPr>
        <w:t>r</w:t>
      </w:r>
      <w:r>
        <w:rPr>
          <w:lang w:val="en"/>
        </w:rPr>
        <w:t>ities</w:t>
      </w:r>
      <w:r w:rsidR="008325A3">
        <w:rPr>
          <w:lang w:val="en"/>
        </w:rPr>
        <w:t xml:space="preserve"> on this issue.</w:t>
      </w:r>
      <w:r w:rsidR="001C3FFA">
        <w:rPr>
          <w:lang w:val="en"/>
        </w:rPr>
        <w:t xml:space="preserve"> Mr. Camille has submitted that </w:t>
      </w:r>
      <w:r w:rsidR="008325A3">
        <w:rPr>
          <w:lang w:val="en"/>
        </w:rPr>
        <w:t xml:space="preserve">the case of </w:t>
      </w:r>
      <w:r w:rsidR="001C3FFA" w:rsidRPr="001C3FFA">
        <w:rPr>
          <w:i/>
          <w:iCs/>
          <w:lang w:val="en"/>
        </w:rPr>
        <w:t>Marie v R</w:t>
      </w:r>
      <w:r w:rsidR="00113B6F">
        <w:rPr>
          <w:rStyle w:val="FootnoteReference"/>
          <w:i/>
          <w:iCs/>
          <w:lang w:val="en"/>
        </w:rPr>
        <w:footnoteReference w:id="1"/>
      </w:r>
      <w:r w:rsidR="001C3FFA">
        <w:rPr>
          <w:lang w:val="en"/>
        </w:rPr>
        <w:t xml:space="preserve"> </w:t>
      </w:r>
      <w:r w:rsidR="00942690">
        <w:rPr>
          <w:lang w:val="en"/>
        </w:rPr>
        <w:t>established</w:t>
      </w:r>
      <w:r w:rsidR="001C3FFA">
        <w:rPr>
          <w:lang w:val="en"/>
        </w:rPr>
        <w:t xml:space="preserve"> that the failure to convict </w:t>
      </w:r>
      <w:r w:rsidR="008325A3">
        <w:rPr>
          <w:lang w:val="en"/>
        </w:rPr>
        <w:t xml:space="preserve">an accused </w:t>
      </w:r>
      <w:r w:rsidR="001C3FFA">
        <w:rPr>
          <w:lang w:val="en"/>
        </w:rPr>
        <w:t xml:space="preserve">before imposing a sentence is </w:t>
      </w:r>
      <w:r w:rsidR="008325A3">
        <w:rPr>
          <w:lang w:val="en"/>
        </w:rPr>
        <w:t xml:space="preserve">a </w:t>
      </w:r>
      <w:r w:rsidR="001C3FFA">
        <w:rPr>
          <w:lang w:val="en"/>
        </w:rPr>
        <w:t>fatal irregularity</w:t>
      </w:r>
      <w:r w:rsidR="00113B6F">
        <w:rPr>
          <w:lang w:val="en"/>
        </w:rPr>
        <w:t>. In contrast, Mrs.</w:t>
      </w:r>
      <w:r w:rsidR="001C3FFA">
        <w:rPr>
          <w:lang w:val="en"/>
        </w:rPr>
        <w:t xml:space="preserve"> Monthy has relied on the </w:t>
      </w:r>
      <w:r w:rsidR="00942690">
        <w:rPr>
          <w:lang w:val="en"/>
        </w:rPr>
        <w:t>authorities of</w:t>
      </w:r>
      <w:r w:rsidR="001C3FFA">
        <w:rPr>
          <w:lang w:val="en"/>
        </w:rPr>
        <w:t xml:space="preserve"> </w:t>
      </w:r>
      <w:r w:rsidR="001C3FFA" w:rsidRPr="001C3FFA">
        <w:rPr>
          <w:i/>
          <w:iCs/>
          <w:lang w:val="en"/>
        </w:rPr>
        <w:t xml:space="preserve">Larue </w:t>
      </w:r>
      <w:r w:rsidR="00942690">
        <w:rPr>
          <w:i/>
          <w:iCs/>
          <w:lang w:val="en"/>
        </w:rPr>
        <w:t xml:space="preserve">&amp; Anor </w:t>
      </w:r>
      <w:r w:rsidR="001C3FFA" w:rsidRPr="001C3FFA">
        <w:rPr>
          <w:i/>
          <w:iCs/>
          <w:lang w:val="en"/>
        </w:rPr>
        <w:t xml:space="preserve">v </w:t>
      </w:r>
      <w:r w:rsidR="008325A3" w:rsidRPr="001C3FFA">
        <w:rPr>
          <w:i/>
          <w:iCs/>
          <w:lang w:val="en"/>
        </w:rPr>
        <w:t>R</w:t>
      </w:r>
      <w:r w:rsidR="00646B7E">
        <w:rPr>
          <w:rStyle w:val="FootnoteReference"/>
          <w:i/>
          <w:iCs/>
          <w:lang w:val="en"/>
        </w:rPr>
        <w:footnoteReference w:id="2"/>
      </w:r>
      <w:r w:rsidR="00646B7E">
        <w:rPr>
          <w:lang w:val="en"/>
        </w:rPr>
        <w:t xml:space="preserve"> </w:t>
      </w:r>
      <w:r w:rsidR="008325A3">
        <w:rPr>
          <w:lang w:val="en"/>
        </w:rPr>
        <w:t>and</w:t>
      </w:r>
      <w:r w:rsidR="001C3FFA">
        <w:rPr>
          <w:lang w:val="en"/>
        </w:rPr>
        <w:t xml:space="preserve"> </w:t>
      </w:r>
      <w:r w:rsidR="001C3FFA" w:rsidRPr="001C3FFA">
        <w:rPr>
          <w:i/>
          <w:iCs/>
          <w:lang w:val="en"/>
        </w:rPr>
        <w:t>Hoareau v R</w:t>
      </w:r>
      <w:r w:rsidR="00646B7E">
        <w:rPr>
          <w:rStyle w:val="FootnoteReference"/>
          <w:i/>
          <w:iCs/>
          <w:lang w:val="en"/>
        </w:rPr>
        <w:footnoteReference w:id="3"/>
      </w:r>
      <w:r w:rsidR="00113B6F">
        <w:rPr>
          <w:lang w:val="en"/>
        </w:rPr>
        <w:t xml:space="preserve"> </w:t>
      </w:r>
      <w:r w:rsidR="005A1345">
        <w:rPr>
          <w:lang w:val="en"/>
        </w:rPr>
        <w:t>to propose</w:t>
      </w:r>
      <w:r w:rsidR="00942690">
        <w:rPr>
          <w:lang w:val="en"/>
        </w:rPr>
        <w:t xml:space="preserve"> that such omission is not a fatal irregularity. </w:t>
      </w:r>
      <w:r w:rsidR="00D94B6A" w:rsidRPr="00942690">
        <w:rPr>
          <w:lang w:val="en"/>
        </w:rPr>
        <w:t xml:space="preserve"> </w:t>
      </w:r>
    </w:p>
    <w:p w14:paraId="4AA66B90" w14:textId="7A32E295" w:rsidR="00D94B6A" w:rsidRDefault="00942690" w:rsidP="006D6EFF">
      <w:pPr>
        <w:pStyle w:val="JudgmentText"/>
        <w:ind w:left="630" w:hanging="630"/>
        <w:rPr>
          <w:lang w:val="en"/>
        </w:rPr>
      </w:pPr>
      <w:r>
        <w:rPr>
          <w:lang w:val="en"/>
        </w:rPr>
        <w:t>Before I examine the authorities on this issue</w:t>
      </w:r>
      <w:r w:rsidR="00DB3CF8">
        <w:rPr>
          <w:lang w:val="en"/>
        </w:rPr>
        <w:t>,</w:t>
      </w:r>
      <w:r>
        <w:rPr>
          <w:lang w:val="en"/>
        </w:rPr>
        <w:t xml:space="preserve"> </w:t>
      </w:r>
      <w:r w:rsidR="00D94B6A">
        <w:rPr>
          <w:lang w:val="en"/>
        </w:rPr>
        <w:t xml:space="preserve">I am guided by the Criminal Procedure Code. First of </w:t>
      </w:r>
      <w:r w:rsidR="00134BA2">
        <w:rPr>
          <w:lang w:val="en"/>
        </w:rPr>
        <w:t>all,</w:t>
      </w:r>
      <w:r w:rsidR="00D94B6A">
        <w:rPr>
          <w:lang w:val="en"/>
        </w:rPr>
        <w:t xml:space="preserve"> the Code</w:t>
      </w:r>
      <w:r w:rsidR="00B011F1">
        <w:rPr>
          <w:lang w:val="en"/>
        </w:rPr>
        <w:t>,</w:t>
      </w:r>
      <w:r w:rsidR="00D94B6A">
        <w:rPr>
          <w:lang w:val="en"/>
        </w:rPr>
        <w:t xml:space="preserve"> in relation to the necessary contents of a judgment</w:t>
      </w:r>
      <w:r w:rsidR="003D5030">
        <w:rPr>
          <w:lang w:val="en"/>
        </w:rPr>
        <w:t>,</w:t>
      </w:r>
      <w:r w:rsidR="00D94B6A">
        <w:rPr>
          <w:lang w:val="en"/>
        </w:rPr>
        <w:t xml:space="preserve"> provides as follows:  </w:t>
      </w:r>
    </w:p>
    <w:p w14:paraId="5AB9280B" w14:textId="77777777" w:rsidR="00134BA2" w:rsidRDefault="00D94B6A" w:rsidP="006D6EFF">
      <w:pPr>
        <w:pStyle w:val="Unnumberedquote"/>
        <w:rPr>
          <w:rStyle w:val="akn-num"/>
        </w:rPr>
      </w:pPr>
      <w:r>
        <w:rPr>
          <w:rStyle w:val="akn-num"/>
        </w:rPr>
        <w:t>Section 143</w:t>
      </w:r>
    </w:p>
    <w:p w14:paraId="3C5012AC" w14:textId="0C42188C" w:rsidR="00134BA2" w:rsidRDefault="00D94B6A" w:rsidP="006D6EFF">
      <w:pPr>
        <w:pStyle w:val="Unnumberedquote"/>
        <w:rPr>
          <w:rStyle w:val="akn-p"/>
        </w:rPr>
      </w:pPr>
      <w:r>
        <w:rPr>
          <w:rStyle w:val="akn-num"/>
        </w:rPr>
        <w:t xml:space="preserve">(1) </w:t>
      </w:r>
      <w:r>
        <w:rPr>
          <w:rStyle w:val="akn-p"/>
        </w:rPr>
        <w:t xml:space="preserve">Every such judgment shall, except as otherwise expressly provided by this Code, be written by the presiding officer of the court in the language of the court, and </w:t>
      </w:r>
      <w:r w:rsidRPr="00134BA2">
        <w:rPr>
          <w:rStyle w:val="akn-p"/>
          <w:u w:val="single"/>
        </w:rPr>
        <w:t>shall contain the point or points for determination, the decision thereon and the reasons for the decision, and shall be dated and signed by the presiding officer in open </w:t>
      </w:r>
      <w:r w:rsidR="00134BA2">
        <w:rPr>
          <w:rStyle w:val="akn-p"/>
          <w:u w:val="single"/>
        </w:rPr>
        <w:t>court</w:t>
      </w:r>
      <w:r w:rsidRPr="00134BA2">
        <w:rPr>
          <w:rStyle w:val="akn-p"/>
          <w:u w:val="single"/>
        </w:rPr>
        <w:t> at the time of pronouncing it</w:t>
      </w:r>
      <w:r>
        <w:rPr>
          <w:rStyle w:val="akn-p"/>
        </w:rPr>
        <w:t>.</w:t>
      </w:r>
    </w:p>
    <w:p w14:paraId="1712A5F8" w14:textId="77777777" w:rsidR="00134BA2" w:rsidRDefault="00134BA2" w:rsidP="006D6EFF">
      <w:pPr>
        <w:pStyle w:val="Unnumberedquote"/>
        <w:rPr>
          <w:rStyle w:val="akn-p"/>
        </w:rPr>
      </w:pPr>
    </w:p>
    <w:p w14:paraId="62637966" w14:textId="4D05B493" w:rsidR="00D94B6A" w:rsidRPr="00E850A8" w:rsidRDefault="00D94B6A" w:rsidP="006D6EFF">
      <w:pPr>
        <w:pStyle w:val="Unnumberedquote"/>
        <w:rPr>
          <w:rStyle w:val="akn-p"/>
          <w:i w:val="0"/>
          <w:iCs/>
        </w:rPr>
      </w:pPr>
      <w:r>
        <w:rPr>
          <w:rStyle w:val="akn-num"/>
        </w:rPr>
        <w:t>(2)</w:t>
      </w:r>
      <w:r w:rsidR="00134BA2">
        <w:rPr>
          <w:rStyle w:val="akn-num"/>
        </w:rPr>
        <w:t xml:space="preserve"> </w:t>
      </w:r>
      <w:r>
        <w:rPr>
          <w:rStyle w:val="akn-p"/>
        </w:rPr>
        <w:t xml:space="preserve">In the case of a </w:t>
      </w:r>
      <w:r w:rsidRPr="00134BA2">
        <w:rPr>
          <w:rStyle w:val="akn-p"/>
          <w:u w:val="single"/>
        </w:rPr>
        <w:t>conviction</w:t>
      </w:r>
      <w:r w:rsidR="00B011F1">
        <w:rPr>
          <w:rStyle w:val="akn-p"/>
          <w:u w:val="single"/>
        </w:rPr>
        <w:t>,</w:t>
      </w:r>
      <w:r>
        <w:rPr>
          <w:rStyle w:val="akn-p"/>
        </w:rPr>
        <w:t xml:space="preserve"> the judgment </w:t>
      </w:r>
      <w:r w:rsidRPr="00134BA2">
        <w:rPr>
          <w:rStyle w:val="akn-p"/>
          <w:u w:val="single"/>
        </w:rPr>
        <w:t>shall specify the offence</w:t>
      </w:r>
      <w:r>
        <w:rPr>
          <w:rStyle w:val="akn-p"/>
        </w:rPr>
        <w:t xml:space="preserve"> of which, and the section of the Penal Code or other law </w:t>
      </w:r>
      <w:r w:rsidRPr="00134BA2">
        <w:rPr>
          <w:rStyle w:val="akn-p"/>
          <w:u w:val="single"/>
        </w:rPr>
        <w:t>under which the accused person is convicted</w:t>
      </w:r>
      <w:r>
        <w:rPr>
          <w:rStyle w:val="akn-p"/>
        </w:rPr>
        <w:t xml:space="preserve">, and the </w:t>
      </w:r>
      <w:r w:rsidRPr="00134BA2">
        <w:rPr>
          <w:rStyle w:val="akn-p"/>
          <w:u w:val="single"/>
        </w:rPr>
        <w:t>punishment to which he is sentenced</w:t>
      </w:r>
      <w:r>
        <w:rPr>
          <w:rStyle w:val="akn-p"/>
        </w:rPr>
        <w:t>.</w:t>
      </w:r>
      <w:r w:rsidR="00E850A8">
        <w:rPr>
          <w:rStyle w:val="akn-p"/>
        </w:rPr>
        <w:t xml:space="preserve"> </w:t>
      </w:r>
      <w:r w:rsidR="00E850A8" w:rsidRPr="00E850A8">
        <w:rPr>
          <w:rStyle w:val="akn-p"/>
          <w:i w:val="0"/>
          <w:iCs/>
        </w:rPr>
        <w:t>(</w:t>
      </w:r>
      <w:r w:rsidR="00E850A8">
        <w:rPr>
          <w:rStyle w:val="akn-p"/>
          <w:i w:val="0"/>
          <w:iCs/>
        </w:rPr>
        <w:t>Emphasis added)</w:t>
      </w:r>
    </w:p>
    <w:p w14:paraId="4B75EF84" w14:textId="77777777" w:rsidR="00134BA2" w:rsidRDefault="00134BA2" w:rsidP="006D6EFF">
      <w:pPr>
        <w:pStyle w:val="Unnumberedquote"/>
        <w:rPr>
          <w:lang w:val="en"/>
        </w:rPr>
      </w:pPr>
    </w:p>
    <w:p w14:paraId="719698C5" w14:textId="5434DBA5" w:rsidR="000A7621" w:rsidRDefault="00134BA2" w:rsidP="006D6EFF">
      <w:pPr>
        <w:pStyle w:val="JudgmentText"/>
        <w:ind w:left="630" w:hanging="630"/>
        <w:rPr>
          <w:lang w:val="en"/>
        </w:rPr>
      </w:pPr>
      <w:r>
        <w:rPr>
          <w:lang w:val="en"/>
        </w:rPr>
        <w:t>Analysed against these provisions</w:t>
      </w:r>
      <w:r w:rsidR="00B011F1">
        <w:rPr>
          <w:lang w:val="en"/>
        </w:rPr>
        <w:t>,</w:t>
      </w:r>
      <w:r>
        <w:rPr>
          <w:lang w:val="en"/>
        </w:rPr>
        <w:t xml:space="preserve"> can it be said that the learned Chief Justice's judgment falls short of these requirements? The learned Chief Justice states at the beginning of his judgment that “the prosecution bears the burden of proving that the accused committed the alleged crime beyond reasonable doubt”. He then summarises the prosecution's case, </w:t>
      </w:r>
      <w:r w:rsidR="005A1345">
        <w:rPr>
          <w:lang w:val="en"/>
        </w:rPr>
        <w:t>outlining</w:t>
      </w:r>
      <w:r>
        <w:rPr>
          <w:lang w:val="en"/>
        </w:rPr>
        <w:t xml:space="preserve"> the appellant's alibi defence.</w:t>
      </w:r>
      <w:r w:rsidR="001A2096">
        <w:rPr>
          <w:lang w:val="en"/>
        </w:rPr>
        <w:t xml:space="preserve"> The next part of his judgment analyses and determines the issues raised in the case: whether corroboration of the complainant's evidence in sexual offences is necessary </w:t>
      </w:r>
      <w:r w:rsidR="00B011F1">
        <w:rPr>
          <w:lang w:val="en"/>
        </w:rPr>
        <w:t>for</w:t>
      </w:r>
      <w:r w:rsidR="001A2096">
        <w:rPr>
          <w:lang w:val="en"/>
        </w:rPr>
        <w:t xml:space="preserve"> Seychelles - he determines that it is not; whether he believes the prosecution evidence - he determines that the victim’s evidence is cogent, credible and consistent and states that he will “therefore […] act on it”. </w:t>
      </w:r>
      <w:r w:rsidR="000A7621">
        <w:rPr>
          <w:lang w:val="en"/>
        </w:rPr>
        <w:t xml:space="preserve">Next, he </w:t>
      </w:r>
      <w:r w:rsidR="001A2096">
        <w:rPr>
          <w:lang w:val="en"/>
        </w:rPr>
        <w:t>analyses the alibi evidence and determines whether he can act on it</w:t>
      </w:r>
      <w:r w:rsidR="000A7621">
        <w:rPr>
          <w:lang w:val="en"/>
        </w:rPr>
        <w:t xml:space="preserve"> to rebut the evidence of the </w:t>
      </w:r>
      <w:r w:rsidR="000A7621">
        <w:rPr>
          <w:lang w:val="en"/>
        </w:rPr>
        <w:lastRenderedPageBreak/>
        <w:t xml:space="preserve">prosecution </w:t>
      </w:r>
      <w:r w:rsidR="001A2096">
        <w:rPr>
          <w:lang w:val="en"/>
        </w:rPr>
        <w:t xml:space="preserve">– he states that </w:t>
      </w:r>
      <w:r w:rsidR="000A7621">
        <w:rPr>
          <w:lang w:val="en"/>
        </w:rPr>
        <w:t>the evidence fails as it is ambiguous, inconsistent</w:t>
      </w:r>
      <w:r w:rsidR="00113B6F">
        <w:rPr>
          <w:lang w:val="en"/>
        </w:rPr>
        <w:t>,</w:t>
      </w:r>
      <w:r w:rsidR="000A7621">
        <w:rPr>
          <w:lang w:val="en"/>
        </w:rPr>
        <w:t xml:space="preserve"> not cogent and unreliable. </w:t>
      </w:r>
    </w:p>
    <w:p w14:paraId="24FB4F7D" w14:textId="0ADB2DF3" w:rsidR="00E850A8" w:rsidRDefault="000A7621" w:rsidP="006D6EFF">
      <w:pPr>
        <w:pStyle w:val="JudgmentText"/>
        <w:ind w:left="630" w:hanging="630"/>
        <w:rPr>
          <w:lang w:val="en"/>
        </w:rPr>
      </w:pPr>
      <w:r>
        <w:rPr>
          <w:lang w:val="en"/>
        </w:rPr>
        <w:t xml:space="preserve">He concludes that “the alibi does not cast doubt on the </w:t>
      </w:r>
      <w:r w:rsidR="00E850A8">
        <w:rPr>
          <w:lang w:val="en"/>
        </w:rPr>
        <w:t>victim’s</w:t>
      </w:r>
      <w:r>
        <w:rPr>
          <w:lang w:val="en"/>
        </w:rPr>
        <w:t xml:space="preserve"> </w:t>
      </w:r>
      <w:r w:rsidR="00E850A8">
        <w:rPr>
          <w:lang w:val="en"/>
        </w:rPr>
        <w:t>account</w:t>
      </w:r>
      <w:r>
        <w:rPr>
          <w:lang w:val="en"/>
        </w:rPr>
        <w:t xml:space="preserve"> which is </w:t>
      </w:r>
      <w:r w:rsidR="00E850A8">
        <w:rPr>
          <w:lang w:val="en"/>
        </w:rPr>
        <w:t>intelligible”</w:t>
      </w:r>
      <w:r w:rsidR="008E25BC">
        <w:rPr>
          <w:lang w:val="en"/>
        </w:rPr>
        <w:t xml:space="preserve"> </w:t>
      </w:r>
      <w:r w:rsidR="00E850A8">
        <w:rPr>
          <w:lang w:val="en"/>
        </w:rPr>
        <w:t>and finds</w:t>
      </w:r>
      <w:r w:rsidR="008E25BC">
        <w:rPr>
          <w:lang w:val="en"/>
        </w:rPr>
        <w:t>,</w:t>
      </w:r>
      <w:r w:rsidR="00E850A8">
        <w:rPr>
          <w:lang w:val="en"/>
        </w:rPr>
        <w:t xml:space="preserve"> “the accused guilty beyond reasonable doubt as charged in the case.”</w:t>
      </w:r>
    </w:p>
    <w:p w14:paraId="5BCA3F8C" w14:textId="53D0DFB7" w:rsidR="00DB3CF8" w:rsidRPr="00277938" w:rsidRDefault="00646B7E" w:rsidP="006D6EFF">
      <w:pPr>
        <w:pStyle w:val="JudgmentText"/>
        <w:ind w:left="630" w:hanging="630"/>
        <w:rPr>
          <w:lang w:val="en"/>
        </w:rPr>
      </w:pPr>
      <w:r>
        <w:rPr>
          <w:lang w:val="en"/>
        </w:rPr>
        <w:t xml:space="preserve">Given these statements in the judgment, which in my view, satisfy section 143 of the Code, </w:t>
      </w:r>
      <w:r w:rsidR="008325A3">
        <w:rPr>
          <w:lang w:val="en"/>
        </w:rPr>
        <w:t xml:space="preserve">I </w:t>
      </w:r>
      <w:r>
        <w:rPr>
          <w:lang w:val="en"/>
        </w:rPr>
        <w:t>fully endorse</w:t>
      </w:r>
      <w:r w:rsidR="008325A3">
        <w:rPr>
          <w:lang w:val="en"/>
        </w:rPr>
        <w:t xml:space="preserve"> Mrs. Monthy’s submissions on these points</w:t>
      </w:r>
      <w:r w:rsidR="00E850A8" w:rsidRPr="008325A3">
        <w:rPr>
          <w:lang w:val="en"/>
        </w:rPr>
        <w:t xml:space="preserve">. </w:t>
      </w:r>
      <w:r w:rsidR="00DB3CF8">
        <w:rPr>
          <w:lang w:val="en"/>
        </w:rPr>
        <w:t xml:space="preserve"> </w:t>
      </w:r>
      <w:r w:rsidR="00DB3CF8" w:rsidRPr="00DB3CF8">
        <w:rPr>
          <w:color w:val="242121"/>
          <w:shd w:val="clear" w:color="auto" w:fill="FFFFFF"/>
        </w:rPr>
        <w:t xml:space="preserve">At the heart of this appeal is the correct approach to </w:t>
      </w:r>
      <w:r w:rsidR="005A1345">
        <w:rPr>
          <w:color w:val="242121"/>
          <w:shd w:val="clear" w:color="auto" w:fill="FFFFFF"/>
        </w:rPr>
        <w:t>evaluating</w:t>
      </w:r>
      <w:r w:rsidR="00DB3CF8" w:rsidRPr="00DB3CF8">
        <w:rPr>
          <w:color w:val="242121"/>
          <w:shd w:val="clear" w:color="auto" w:fill="FFFFFF"/>
        </w:rPr>
        <w:t xml:space="preserve"> evidence by the trial court</w:t>
      </w:r>
      <w:r w:rsidR="00DB3CF8">
        <w:rPr>
          <w:color w:val="242121"/>
          <w:shd w:val="clear" w:color="auto" w:fill="FFFFFF"/>
        </w:rPr>
        <w:t>.</w:t>
      </w:r>
      <w:r w:rsidR="00DB3CF8" w:rsidRPr="00DB3CF8">
        <w:rPr>
          <w:color w:val="242121"/>
          <w:shd w:val="clear" w:color="auto" w:fill="FFFFFF"/>
        </w:rPr>
        <w:t xml:space="preserve"> </w:t>
      </w:r>
      <w:r w:rsidR="00DB3CF8">
        <w:rPr>
          <w:color w:val="242121"/>
          <w:shd w:val="clear" w:color="auto" w:fill="FFFFFF"/>
        </w:rPr>
        <w:t xml:space="preserve">Appeal courts should not be concerned that a trial judge does not use the </w:t>
      </w:r>
      <w:r w:rsidR="005A1345">
        <w:rPr>
          <w:color w:val="242121"/>
          <w:shd w:val="clear" w:color="auto" w:fill="FFFFFF"/>
        </w:rPr>
        <w:t>mantra “</w:t>
      </w:r>
      <w:r w:rsidR="00DB3CF8">
        <w:rPr>
          <w:color w:val="242121"/>
          <w:shd w:val="clear" w:color="auto" w:fill="FFFFFF"/>
        </w:rPr>
        <w:t xml:space="preserve">I find that the prosecution has proved its case beyond </w:t>
      </w:r>
      <w:r w:rsidR="00F60770">
        <w:rPr>
          <w:color w:val="242121"/>
          <w:shd w:val="clear" w:color="auto" w:fill="FFFFFF"/>
        </w:rPr>
        <w:t>reasonable</w:t>
      </w:r>
      <w:r w:rsidR="00DB3CF8">
        <w:rPr>
          <w:color w:val="242121"/>
          <w:shd w:val="clear" w:color="auto" w:fill="FFFFFF"/>
        </w:rPr>
        <w:t xml:space="preserve"> doubt” or words to that effect. What is </w:t>
      </w:r>
      <w:r w:rsidR="005A1345">
        <w:rPr>
          <w:color w:val="242121"/>
          <w:shd w:val="clear" w:color="auto" w:fill="FFFFFF"/>
        </w:rPr>
        <w:t>essential</w:t>
      </w:r>
      <w:r w:rsidR="00DB3CF8">
        <w:rPr>
          <w:color w:val="242121"/>
          <w:shd w:val="clear" w:color="auto" w:fill="FFFFFF"/>
        </w:rPr>
        <w:t xml:space="preserve"> are signs</w:t>
      </w:r>
      <w:r w:rsidR="00F60770">
        <w:rPr>
          <w:color w:val="242121"/>
          <w:shd w:val="clear" w:color="auto" w:fill="FFFFFF"/>
        </w:rPr>
        <w:t>,</w:t>
      </w:r>
      <w:r w:rsidR="00DB3CF8">
        <w:rPr>
          <w:color w:val="242121"/>
          <w:shd w:val="clear" w:color="auto" w:fill="FFFFFF"/>
        </w:rPr>
        <w:t xml:space="preserve"> </w:t>
      </w:r>
      <w:r w:rsidR="005A1345">
        <w:rPr>
          <w:color w:val="242121"/>
          <w:shd w:val="clear" w:color="auto" w:fill="FFFFFF"/>
        </w:rPr>
        <w:t>indices,</w:t>
      </w:r>
      <w:r w:rsidR="00DB3CF8">
        <w:rPr>
          <w:color w:val="242121"/>
          <w:shd w:val="clear" w:color="auto" w:fill="FFFFFF"/>
        </w:rPr>
        <w:t xml:space="preserve"> </w:t>
      </w:r>
      <w:r w:rsidR="00F60770">
        <w:rPr>
          <w:color w:val="242121"/>
          <w:shd w:val="clear" w:color="auto" w:fill="FFFFFF"/>
        </w:rPr>
        <w:t xml:space="preserve">and </w:t>
      </w:r>
      <w:r w:rsidR="005A1345">
        <w:rPr>
          <w:color w:val="242121"/>
          <w:shd w:val="clear" w:color="auto" w:fill="FFFFFF"/>
        </w:rPr>
        <w:t>proof</w:t>
      </w:r>
      <w:r w:rsidR="00F60770">
        <w:rPr>
          <w:color w:val="242121"/>
          <w:shd w:val="clear" w:color="auto" w:fill="FFFFFF"/>
        </w:rPr>
        <w:t xml:space="preserve"> t</w:t>
      </w:r>
      <w:r w:rsidR="00DB3CF8">
        <w:rPr>
          <w:color w:val="242121"/>
          <w:shd w:val="clear" w:color="auto" w:fill="FFFFFF"/>
        </w:rPr>
        <w:t xml:space="preserve">hat a trial judge has evaluated the evidence </w:t>
      </w:r>
      <w:r w:rsidR="00F60770">
        <w:rPr>
          <w:color w:val="242121"/>
          <w:shd w:val="clear" w:color="auto" w:fill="FFFFFF"/>
        </w:rPr>
        <w:t xml:space="preserve">against the correct burden and standard of proof. The record of proceedings </w:t>
      </w:r>
      <w:r w:rsidR="00277938">
        <w:rPr>
          <w:color w:val="242121"/>
          <w:shd w:val="clear" w:color="auto" w:fill="FFFFFF"/>
        </w:rPr>
        <w:t xml:space="preserve">and decision </w:t>
      </w:r>
      <w:r w:rsidR="00F60770">
        <w:rPr>
          <w:color w:val="242121"/>
          <w:shd w:val="clear" w:color="auto" w:fill="FFFFFF"/>
        </w:rPr>
        <w:t xml:space="preserve">in </w:t>
      </w:r>
      <w:r>
        <w:rPr>
          <w:color w:val="242121"/>
          <w:shd w:val="clear" w:color="auto" w:fill="FFFFFF"/>
        </w:rPr>
        <w:t>the present</w:t>
      </w:r>
      <w:r w:rsidR="00F60770">
        <w:rPr>
          <w:color w:val="242121"/>
          <w:shd w:val="clear" w:color="auto" w:fill="FFFFFF"/>
        </w:rPr>
        <w:t xml:space="preserve"> case</w:t>
      </w:r>
      <w:r w:rsidR="00DE764B">
        <w:rPr>
          <w:color w:val="242121"/>
          <w:shd w:val="clear" w:color="auto" w:fill="FFFFFF"/>
        </w:rPr>
        <w:t>,</w:t>
      </w:r>
      <w:r w:rsidR="00F60770">
        <w:rPr>
          <w:color w:val="242121"/>
          <w:shd w:val="clear" w:color="auto" w:fill="FFFFFF"/>
        </w:rPr>
        <w:t xml:space="preserve"> as borne out by the statements from the judgment cited above</w:t>
      </w:r>
      <w:r w:rsidR="00DE764B">
        <w:rPr>
          <w:color w:val="242121"/>
          <w:shd w:val="clear" w:color="auto" w:fill="FFFFFF"/>
        </w:rPr>
        <w:t>,</w:t>
      </w:r>
      <w:r w:rsidR="00F60770">
        <w:rPr>
          <w:color w:val="242121"/>
          <w:shd w:val="clear" w:color="auto" w:fill="FFFFFF"/>
        </w:rPr>
        <w:t xml:space="preserve"> clearly indicate </w:t>
      </w:r>
      <w:r w:rsidR="00277938">
        <w:rPr>
          <w:color w:val="242121"/>
          <w:shd w:val="clear" w:color="auto" w:fill="FFFFFF"/>
        </w:rPr>
        <w:t>that</w:t>
      </w:r>
      <w:r w:rsidR="00F60770">
        <w:rPr>
          <w:color w:val="242121"/>
          <w:shd w:val="clear" w:color="auto" w:fill="FFFFFF"/>
        </w:rPr>
        <w:t xml:space="preserve"> the court was alive to its duty in assessing the evidence</w:t>
      </w:r>
      <w:r w:rsidR="00277938">
        <w:rPr>
          <w:color w:val="242121"/>
          <w:shd w:val="clear" w:color="auto" w:fill="FFFFFF"/>
        </w:rPr>
        <w:t xml:space="preserve"> and </w:t>
      </w:r>
      <w:r w:rsidR="00F60770">
        <w:rPr>
          <w:color w:val="242121"/>
          <w:shd w:val="clear" w:color="auto" w:fill="FFFFFF"/>
        </w:rPr>
        <w:t xml:space="preserve">acquitted </w:t>
      </w:r>
      <w:r w:rsidR="00277938">
        <w:rPr>
          <w:color w:val="242121"/>
          <w:shd w:val="clear" w:color="auto" w:fill="FFFFFF"/>
        </w:rPr>
        <w:t xml:space="preserve">itself of the necessary burden and standard of proof </w:t>
      </w:r>
      <w:r>
        <w:rPr>
          <w:color w:val="242121"/>
          <w:shd w:val="clear" w:color="auto" w:fill="FFFFFF"/>
        </w:rPr>
        <w:t>as required</w:t>
      </w:r>
      <w:r w:rsidR="002B25F2">
        <w:rPr>
          <w:color w:val="242121"/>
          <w:shd w:val="clear" w:color="auto" w:fill="FFFFFF"/>
        </w:rPr>
        <w:t>.</w:t>
      </w:r>
    </w:p>
    <w:p w14:paraId="59EDF2E5" w14:textId="1872F3AB" w:rsidR="00D94B6A" w:rsidRDefault="00E850A8" w:rsidP="006D6EFF">
      <w:pPr>
        <w:pStyle w:val="JudgmentText"/>
        <w:ind w:left="630" w:hanging="630"/>
        <w:rPr>
          <w:lang w:val="en"/>
        </w:rPr>
      </w:pPr>
      <w:r w:rsidRPr="008325A3">
        <w:rPr>
          <w:lang w:val="en"/>
        </w:rPr>
        <w:t xml:space="preserve">It must </w:t>
      </w:r>
      <w:r w:rsidR="002B25F2">
        <w:rPr>
          <w:lang w:val="en"/>
        </w:rPr>
        <w:t xml:space="preserve">also </w:t>
      </w:r>
      <w:r w:rsidRPr="008325A3">
        <w:rPr>
          <w:lang w:val="en"/>
        </w:rPr>
        <w:t xml:space="preserve">be noted that there is no set template for recording one’s findings </w:t>
      </w:r>
      <w:r w:rsidR="002B25F2">
        <w:rPr>
          <w:lang w:val="en"/>
        </w:rPr>
        <w:t xml:space="preserve">of fact </w:t>
      </w:r>
      <w:r w:rsidRPr="008325A3">
        <w:rPr>
          <w:lang w:val="en"/>
        </w:rPr>
        <w:t>in any particular case</w:t>
      </w:r>
      <w:r w:rsidR="005A1345">
        <w:rPr>
          <w:lang w:val="en"/>
        </w:rPr>
        <w:t xml:space="preserve">. There is no irregularity if the judgment </w:t>
      </w:r>
      <w:r w:rsidRPr="008325A3">
        <w:rPr>
          <w:lang w:val="en"/>
        </w:rPr>
        <w:t>meets the criteria in section 143</w:t>
      </w:r>
      <w:r w:rsidR="008325A3">
        <w:rPr>
          <w:lang w:val="en"/>
        </w:rPr>
        <w:t xml:space="preserve"> of the </w:t>
      </w:r>
      <w:r w:rsidR="00DB3CF8">
        <w:rPr>
          <w:lang w:val="en"/>
        </w:rPr>
        <w:t>C</w:t>
      </w:r>
      <w:r w:rsidR="008325A3">
        <w:rPr>
          <w:lang w:val="en"/>
        </w:rPr>
        <w:t>ode</w:t>
      </w:r>
      <w:r w:rsidR="002B25F2">
        <w:rPr>
          <w:lang w:val="en"/>
        </w:rPr>
        <w:t>.</w:t>
      </w:r>
      <w:r w:rsidRPr="008325A3">
        <w:rPr>
          <w:lang w:val="en"/>
        </w:rPr>
        <w:t xml:space="preserve">  </w:t>
      </w:r>
      <w:r w:rsidR="000A7621" w:rsidRPr="008325A3">
        <w:rPr>
          <w:lang w:val="en"/>
        </w:rPr>
        <w:t xml:space="preserve"> </w:t>
      </w:r>
    </w:p>
    <w:p w14:paraId="243BEB26" w14:textId="1F682ED4" w:rsidR="008E25BC" w:rsidRDefault="00DE764B" w:rsidP="006D6EFF">
      <w:pPr>
        <w:pStyle w:val="JudgmentText"/>
        <w:ind w:left="720"/>
        <w:rPr>
          <w:lang w:val="en"/>
        </w:rPr>
      </w:pPr>
      <w:r w:rsidRPr="00DE764B">
        <w:rPr>
          <w:lang w:val="en"/>
        </w:rPr>
        <w:t>With regard to the fact that the learned Chief Justice did not use the words: “I convict the accused”</w:t>
      </w:r>
      <w:r>
        <w:rPr>
          <w:lang w:val="en"/>
        </w:rPr>
        <w:t>,</w:t>
      </w:r>
      <w:r w:rsidRPr="00DE764B">
        <w:rPr>
          <w:lang w:val="en"/>
        </w:rPr>
        <w:t xml:space="preserve"> similar</w:t>
      </w:r>
      <w:r w:rsidRPr="00353BCD">
        <w:rPr>
          <w:lang w:eastAsia="en-GB"/>
        </w:rPr>
        <w:t xml:space="preserve"> submission</w:t>
      </w:r>
      <w:r>
        <w:rPr>
          <w:lang w:eastAsia="en-GB"/>
        </w:rPr>
        <w:t>s to the ones made in the present case have been made in the past</w:t>
      </w:r>
      <w:r w:rsidR="00D20180">
        <w:rPr>
          <w:lang w:eastAsia="en-GB"/>
        </w:rPr>
        <w:t>.</w:t>
      </w:r>
    </w:p>
    <w:p w14:paraId="33512D2B" w14:textId="5EF7FA83" w:rsidR="008E25BC" w:rsidRDefault="00853451" w:rsidP="006D6EFF">
      <w:pPr>
        <w:pStyle w:val="JudgmentText"/>
        <w:ind w:left="720"/>
        <w:rPr>
          <w:lang w:val="en"/>
        </w:rPr>
      </w:pPr>
      <w:r>
        <w:rPr>
          <w:lang w:val="en"/>
        </w:rPr>
        <w:t xml:space="preserve">In </w:t>
      </w:r>
      <w:r w:rsidRPr="00853451">
        <w:rPr>
          <w:i/>
          <w:iCs/>
          <w:lang w:val="en"/>
        </w:rPr>
        <w:t>Confiance v R</w:t>
      </w:r>
      <w:r>
        <w:rPr>
          <w:rStyle w:val="FootnoteReference"/>
          <w:i/>
          <w:iCs/>
          <w:lang w:val="en"/>
        </w:rPr>
        <w:footnoteReference w:id="4"/>
      </w:r>
      <w:r>
        <w:rPr>
          <w:i/>
          <w:iCs/>
          <w:lang w:val="en"/>
        </w:rPr>
        <w:t xml:space="preserve">, </w:t>
      </w:r>
      <w:r>
        <w:rPr>
          <w:lang w:val="en"/>
        </w:rPr>
        <w:t xml:space="preserve">the oldest case on this point in this </w:t>
      </w:r>
      <w:r w:rsidR="00325A64">
        <w:rPr>
          <w:lang w:val="en"/>
        </w:rPr>
        <w:t>jurisdiction</w:t>
      </w:r>
      <w:r>
        <w:rPr>
          <w:lang w:val="en"/>
        </w:rPr>
        <w:t xml:space="preserve">, </w:t>
      </w:r>
      <w:r w:rsidR="00325A64">
        <w:rPr>
          <w:lang w:val="en"/>
        </w:rPr>
        <w:t>the Court of Appeal ruled that although there was a failure to comply with the provisions of section 149 of the Criminal Procedure Code,</w:t>
      </w:r>
      <w:r w:rsidR="00325A64">
        <w:rPr>
          <w:rStyle w:val="FootnoteReference"/>
          <w:lang w:val="en"/>
        </w:rPr>
        <w:footnoteReference w:id="5"/>
      </w:r>
      <w:r w:rsidR="00325A64">
        <w:rPr>
          <w:lang w:val="en"/>
        </w:rPr>
        <w:t xml:space="preserve"> that is, strict compliance with the provisions of the Code</w:t>
      </w:r>
      <w:r w:rsidR="00707A01">
        <w:rPr>
          <w:lang w:val="en"/>
        </w:rPr>
        <w:t xml:space="preserve">, as long as </w:t>
      </w:r>
      <w:r w:rsidR="00325A64">
        <w:rPr>
          <w:lang w:val="en"/>
        </w:rPr>
        <w:t>the presiding officer</w:t>
      </w:r>
      <w:r w:rsidR="00707A01">
        <w:rPr>
          <w:lang w:val="en"/>
        </w:rPr>
        <w:t xml:space="preserve"> has specified</w:t>
      </w:r>
      <w:r w:rsidR="00325A64">
        <w:rPr>
          <w:lang w:val="en"/>
        </w:rPr>
        <w:t xml:space="preserve"> the offence of which, and the section of the Penal Code or other law under which the accused person </w:t>
      </w:r>
      <w:r w:rsidR="00707A01">
        <w:rPr>
          <w:lang w:val="en"/>
        </w:rPr>
        <w:t>was</w:t>
      </w:r>
      <w:r w:rsidR="00325A64">
        <w:rPr>
          <w:lang w:val="en"/>
        </w:rPr>
        <w:t xml:space="preserve"> convicted</w:t>
      </w:r>
      <w:r w:rsidR="00707A01">
        <w:rPr>
          <w:lang w:val="en"/>
        </w:rPr>
        <w:t>,</w:t>
      </w:r>
      <w:r w:rsidR="00325A64">
        <w:rPr>
          <w:lang w:val="en"/>
        </w:rPr>
        <w:t xml:space="preserve"> no failure of justice </w:t>
      </w:r>
      <w:r w:rsidR="00707A01">
        <w:rPr>
          <w:lang w:val="en"/>
        </w:rPr>
        <w:t>is</w:t>
      </w:r>
      <w:r w:rsidR="00325A64">
        <w:rPr>
          <w:lang w:val="en"/>
        </w:rPr>
        <w:t xml:space="preserve"> </w:t>
      </w:r>
      <w:r w:rsidR="00325A64">
        <w:rPr>
          <w:lang w:val="en"/>
        </w:rPr>
        <w:lastRenderedPageBreak/>
        <w:t>occasioned to merit setting aside the conviction. Similarly, i</w:t>
      </w:r>
      <w:r w:rsidR="008E25BC">
        <w:rPr>
          <w:lang w:val="en"/>
        </w:rPr>
        <w:t xml:space="preserve">n </w:t>
      </w:r>
      <w:r w:rsidR="008E25BC" w:rsidRPr="008E25BC">
        <w:rPr>
          <w:i/>
          <w:iCs/>
          <w:lang w:val="en"/>
        </w:rPr>
        <w:t>Camille</w:t>
      </w:r>
      <w:r w:rsidR="008E25BC">
        <w:rPr>
          <w:lang w:val="en"/>
        </w:rPr>
        <w:t>,</w:t>
      </w:r>
      <w:r>
        <w:rPr>
          <w:rStyle w:val="FootnoteReference"/>
          <w:lang w:val="en"/>
        </w:rPr>
        <w:footnoteReference w:id="6"/>
      </w:r>
      <w:r w:rsidR="008E25BC">
        <w:rPr>
          <w:lang w:val="en"/>
        </w:rPr>
        <w:t xml:space="preserve"> a </w:t>
      </w:r>
      <w:r w:rsidR="00707A01">
        <w:rPr>
          <w:lang w:val="en"/>
        </w:rPr>
        <w:t>m</w:t>
      </w:r>
      <w:r w:rsidR="008E25BC">
        <w:rPr>
          <w:lang w:val="en"/>
        </w:rPr>
        <w:t>agistrate did not record a formal conviction against an accused</w:t>
      </w:r>
      <w:r w:rsidR="00707A01">
        <w:rPr>
          <w:lang w:val="en"/>
        </w:rPr>
        <w:t>. On</w:t>
      </w:r>
      <w:r w:rsidR="008E25BC">
        <w:rPr>
          <w:lang w:val="en"/>
        </w:rPr>
        <w:t xml:space="preserve"> appeal, the Supreme Court found that the irregularity was curable under section 338 of the Criminal Procedure Code.</w:t>
      </w:r>
      <w:r w:rsidR="008E25BC">
        <w:rPr>
          <w:rStyle w:val="FootnoteReference"/>
          <w:lang w:val="en"/>
        </w:rPr>
        <w:footnoteReference w:id="7"/>
      </w:r>
      <w:r w:rsidR="008E25BC">
        <w:rPr>
          <w:lang w:val="en"/>
        </w:rPr>
        <w:t xml:space="preserve"> This is </w:t>
      </w:r>
      <w:r w:rsidR="00325A64">
        <w:rPr>
          <w:lang w:val="en"/>
        </w:rPr>
        <w:t xml:space="preserve">again </w:t>
      </w:r>
      <w:r w:rsidR="008E25BC">
        <w:rPr>
          <w:lang w:val="en"/>
        </w:rPr>
        <w:t>because the court fo</w:t>
      </w:r>
      <w:r>
        <w:rPr>
          <w:lang w:val="en"/>
        </w:rPr>
        <w:t>u</w:t>
      </w:r>
      <w:r w:rsidR="008E25BC">
        <w:rPr>
          <w:lang w:val="en"/>
        </w:rPr>
        <w:t xml:space="preserve">nd that no </w:t>
      </w:r>
      <w:r>
        <w:rPr>
          <w:lang w:val="en"/>
        </w:rPr>
        <w:t xml:space="preserve">failure of justice had been occasioned. </w:t>
      </w:r>
    </w:p>
    <w:p w14:paraId="703AD821" w14:textId="72BC0EBB" w:rsidR="004C5251" w:rsidRDefault="00325A64" w:rsidP="006D6EFF">
      <w:pPr>
        <w:pStyle w:val="JudgmentText"/>
        <w:ind w:left="720"/>
        <w:rPr>
          <w:lang w:val="en"/>
        </w:rPr>
      </w:pPr>
      <w:r>
        <w:rPr>
          <w:lang w:val="en"/>
        </w:rPr>
        <w:t xml:space="preserve">This line of jurisprudence was followed thereafter until the case of </w:t>
      </w:r>
      <w:r w:rsidRPr="00325A64">
        <w:rPr>
          <w:i/>
          <w:iCs/>
          <w:lang w:val="en"/>
        </w:rPr>
        <w:t>Marie v R</w:t>
      </w:r>
      <w:r>
        <w:rPr>
          <w:lang w:val="en"/>
        </w:rPr>
        <w:t>.</w:t>
      </w:r>
      <w:r>
        <w:rPr>
          <w:rStyle w:val="FootnoteReference"/>
          <w:lang w:val="en"/>
        </w:rPr>
        <w:footnoteReference w:id="8"/>
      </w:r>
      <w:r w:rsidR="00AF04A7">
        <w:rPr>
          <w:lang w:val="en"/>
        </w:rPr>
        <w:t xml:space="preserve"> I</w:t>
      </w:r>
      <w:r w:rsidR="008724C5">
        <w:rPr>
          <w:lang w:val="en"/>
        </w:rPr>
        <w:t xml:space="preserve">n </w:t>
      </w:r>
      <w:r w:rsidR="00AF04A7">
        <w:rPr>
          <w:lang w:val="en"/>
        </w:rPr>
        <w:t>t</w:t>
      </w:r>
      <w:r w:rsidR="008724C5">
        <w:rPr>
          <w:lang w:val="en"/>
        </w:rPr>
        <w:t>his regard,</w:t>
      </w:r>
      <w:r w:rsidR="00AF04A7">
        <w:rPr>
          <w:lang w:val="en"/>
        </w:rPr>
        <w:t xml:space="preserve"> </w:t>
      </w:r>
      <w:r w:rsidR="008724C5">
        <w:rPr>
          <w:lang w:val="en"/>
        </w:rPr>
        <w:t xml:space="preserve">it </w:t>
      </w:r>
      <w:r w:rsidR="00AF04A7">
        <w:rPr>
          <w:lang w:val="en"/>
        </w:rPr>
        <w:t xml:space="preserve">must be noted that </w:t>
      </w:r>
      <w:r w:rsidR="00AF04A7" w:rsidRPr="0019315D">
        <w:rPr>
          <w:i/>
          <w:iCs/>
          <w:lang w:val="en"/>
        </w:rPr>
        <w:t>Marie</w:t>
      </w:r>
      <w:r w:rsidR="00AF04A7">
        <w:rPr>
          <w:lang w:val="en"/>
        </w:rPr>
        <w:t xml:space="preserve"> was a Magistrate</w:t>
      </w:r>
      <w:r w:rsidR="0019315D">
        <w:rPr>
          <w:lang w:val="en"/>
        </w:rPr>
        <w:t>s’</w:t>
      </w:r>
      <w:r w:rsidR="00AF04A7">
        <w:rPr>
          <w:lang w:val="en"/>
        </w:rPr>
        <w:t xml:space="preserve"> Court case </w:t>
      </w:r>
      <w:r w:rsidR="0019315D">
        <w:rPr>
          <w:lang w:val="en"/>
        </w:rPr>
        <w:t xml:space="preserve">in which established </w:t>
      </w:r>
      <w:r w:rsidR="00AF04A7">
        <w:rPr>
          <w:lang w:val="en"/>
        </w:rPr>
        <w:t xml:space="preserve">precedent had not been followed. It </w:t>
      </w:r>
      <w:r w:rsidR="0019315D">
        <w:rPr>
          <w:lang w:val="en"/>
        </w:rPr>
        <w:t xml:space="preserve">was </w:t>
      </w:r>
      <w:r w:rsidR="00AF04A7">
        <w:rPr>
          <w:lang w:val="en"/>
        </w:rPr>
        <w:t>clearly a case decided</w:t>
      </w:r>
      <w:r w:rsidR="0019315D">
        <w:rPr>
          <w:lang w:val="en"/>
        </w:rPr>
        <w:t xml:space="preserve"> per incuriam and cannot be relied on.</w:t>
      </w:r>
    </w:p>
    <w:p w14:paraId="3B13ADDA" w14:textId="2421F8FF" w:rsidR="00325A64" w:rsidRDefault="00AF04A7" w:rsidP="006D6EFF">
      <w:pPr>
        <w:pStyle w:val="JudgmentText"/>
        <w:ind w:left="720"/>
        <w:rPr>
          <w:lang w:val="en"/>
        </w:rPr>
      </w:pPr>
      <w:r>
        <w:rPr>
          <w:lang w:val="en"/>
        </w:rPr>
        <w:t xml:space="preserve"> </w:t>
      </w:r>
      <w:r w:rsidR="0019315D">
        <w:rPr>
          <w:lang w:val="en"/>
        </w:rPr>
        <w:t>I am strengthened in this view b</w:t>
      </w:r>
      <w:r w:rsidR="00F95EA8">
        <w:rPr>
          <w:lang w:val="en"/>
        </w:rPr>
        <w:t>y</w:t>
      </w:r>
      <w:r w:rsidR="0019315D">
        <w:rPr>
          <w:lang w:val="en"/>
        </w:rPr>
        <w:t xml:space="preserve"> the subsequent Court of Appeal cases </w:t>
      </w:r>
      <w:r w:rsidR="0019315D">
        <w:rPr>
          <w:lang w:eastAsia="en-GB"/>
        </w:rPr>
        <w:t xml:space="preserve">of </w:t>
      </w:r>
      <w:r w:rsidR="0019315D" w:rsidRPr="00DE764B">
        <w:rPr>
          <w:i/>
          <w:iCs/>
          <w:lang w:eastAsia="en-GB"/>
        </w:rPr>
        <w:t>Larue</w:t>
      </w:r>
      <w:r w:rsidR="0019315D" w:rsidRPr="00DE764B">
        <w:rPr>
          <w:i/>
          <w:iCs/>
          <w:color w:val="000000" w:themeColor="text1"/>
        </w:rPr>
        <w:t xml:space="preserve"> &amp; Anor v The Republic</w:t>
      </w:r>
      <w:r w:rsidR="0019315D">
        <w:rPr>
          <w:rStyle w:val="FootnoteReference"/>
          <w:i/>
          <w:iCs/>
          <w:color w:val="000000" w:themeColor="text1"/>
        </w:rPr>
        <w:footnoteReference w:id="9"/>
      </w:r>
      <w:r w:rsidR="0019315D" w:rsidRPr="00DE764B">
        <w:rPr>
          <w:color w:val="000000" w:themeColor="text1"/>
        </w:rPr>
        <w:t xml:space="preserve"> and </w:t>
      </w:r>
      <w:r w:rsidR="0019315D">
        <w:rPr>
          <w:i/>
          <w:iCs/>
          <w:color w:val="000000" w:themeColor="text1"/>
        </w:rPr>
        <w:t>Hoareau</w:t>
      </w:r>
      <w:r w:rsidR="0019315D" w:rsidRPr="00DE764B">
        <w:rPr>
          <w:i/>
          <w:iCs/>
          <w:color w:val="000000" w:themeColor="text1"/>
        </w:rPr>
        <w:t xml:space="preserve"> v R</w:t>
      </w:r>
      <w:r w:rsidR="0019315D">
        <w:rPr>
          <w:rStyle w:val="FootnoteReference"/>
          <w:i/>
          <w:iCs/>
          <w:color w:val="000000" w:themeColor="text1"/>
        </w:rPr>
        <w:footnoteReference w:id="10"/>
      </w:r>
      <w:r w:rsidR="0019315D">
        <w:rPr>
          <w:color w:val="000000" w:themeColor="text1"/>
        </w:rPr>
        <w:t xml:space="preserve">. The Court </w:t>
      </w:r>
      <w:r w:rsidR="00F95EA8">
        <w:rPr>
          <w:color w:val="000000" w:themeColor="text1"/>
        </w:rPr>
        <w:t xml:space="preserve">emphatically </w:t>
      </w:r>
      <w:r w:rsidR="0019315D">
        <w:rPr>
          <w:color w:val="000000" w:themeColor="text1"/>
        </w:rPr>
        <w:t xml:space="preserve">decided in those </w:t>
      </w:r>
      <w:r w:rsidR="00F95EA8">
        <w:rPr>
          <w:lang w:val="en"/>
        </w:rPr>
        <w:t>cases that</w:t>
      </w:r>
      <w:r w:rsidR="0019315D" w:rsidRPr="00DE764B">
        <w:rPr>
          <w:lang w:val="en"/>
        </w:rPr>
        <w:t xml:space="preserve"> </w:t>
      </w:r>
      <w:r w:rsidR="0019315D">
        <w:rPr>
          <w:lang w:val="en"/>
        </w:rPr>
        <w:t xml:space="preserve">the </w:t>
      </w:r>
      <w:r w:rsidR="0019315D" w:rsidRPr="00DE764B">
        <w:rPr>
          <w:lang w:val="en"/>
        </w:rPr>
        <w:t xml:space="preserve">omission </w:t>
      </w:r>
      <w:r w:rsidR="0019315D">
        <w:rPr>
          <w:lang w:val="en"/>
        </w:rPr>
        <w:t xml:space="preserve">to record a formal </w:t>
      </w:r>
      <w:r w:rsidR="00F95EA8">
        <w:rPr>
          <w:lang w:val="en"/>
        </w:rPr>
        <w:t>conviction</w:t>
      </w:r>
      <w:r w:rsidR="0019315D">
        <w:rPr>
          <w:lang w:val="en"/>
        </w:rPr>
        <w:t xml:space="preserve"> </w:t>
      </w:r>
      <w:r w:rsidR="0019315D" w:rsidRPr="00DE764B">
        <w:rPr>
          <w:lang w:val="en"/>
        </w:rPr>
        <w:t>does not amount to an irregularity capable of having the conviction set aside.</w:t>
      </w:r>
    </w:p>
    <w:p w14:paraId="338911C9" w14:textId="29B8D85D" w:rsidR="00DE764B" w:rsidRPr="00DE764B" w:rsidRDefault="00DE764B" w:rsidP="006D6EFF">
      <w:pPr>
        <w:pStyle w:val="JudgmentText"/>
        <w:ind w:left="720"/>
        <w:rPr>
          <w:lang w:val="en"/>
        </w:rPr>
      </w:pPr>
      <w:r w:rsidRPr="00DE764B">
        <w:rPr>
          <w:lang w:val="en"/>
        </w:rPr>
        <w:t>This is because of the proviso in section 344 of the Criminal Procedure Code</w:t>
      </w:r>
      <w:r>
        <w:rPr>
          <w:lang w:val="en"/>
        </w:rPr>
        <w:t>,</w:t>
      </w:r>
      <w:r w:rsidRPr="00DE764B">
        <w:rPr>
          <w:lang w:val="en"/>
        </w:rPr>
        <w:t xml:space="preserve"> which</w:t>
      </w:r>
      <w:r>
        <w:rPr>
          <w:lang w:val="en"/>
        </w:rPr>
        <w:t xml:space="preserve"> </w:t>
      </w:r>
      <w:r w:rsidRPr="00DE764B">
        <w:rPr>
          <w:lang w:val="en"/>
        </w:rPr>
        <w:t xml:space="preserve">provides in relevant part:  </w:t>
      </w:r>
    </w:p>
    <w:p w14:paraId="1098EB0D" w14:textId="1C753D0D" w:rsidR="00E850A8" w:rsidRPr="00E850A8" w:rsidRDefault="00E850A8" w:rsidP="006D6EFF">
      <w:pPr>
        <w:pStyle w:val="Unnumberedquote"/>
        <w:rPr>
          <w:lang w:eastAsia="en-GB"/>
        </w:rPr>
      </w:pPr>
      <w:r>
        <w:rPr>
          <w:lang w:eastAsia="en-GB"/>
        </w:rPr>
        <w:t>“</w:t>
      </w:r>
      <w:r w:rsidRPr="00E850A8">
        <w:rPr>
          <w:lang w:eastAsia="en-GB"/>
        </w:rPr>
        <w:t xml:space="preserve">Subject to the provisions hereinbefore contained, </w:t>
      </w:r>
      <w:r w:rsidRPr="00D82330">
        <w:rPr>
          <w:u w:val="single"/>
          <w:lang w:eastAsia="en-GB"/>
        </w:rPr>
        <w:t>no finding, sentence or order passed by a court of competent jurisdiction shall be reversed or altered on appeal</w:t>
      </w:r>
      <w:r w:rsidRPr="00E850A8">
        <w:rPr>
          <w:lang w:eastAsia="en-GB"/>
        </w:rPr>
        <w:t xml:space="preserve"> or revision on account—</w:t>
      </w:r>
    </w:p>
    <w:p w14:paraId="57D06A14" w14:textId="68DA43B6" w:rsidR="00D82330" w:rsidRDefault="00E850A8" w:rsidP="006D6EFF">
      <w:pPr>
        <w:pStyle w:val="Unnumberedquote"/>
        <w:numPr>
          <w:ilvl w:val="0"/>
          <w:numId w:val="9"/>
        </w:numPr>
        <w:rPr>
          <w:lang w:eastAsia="en-GB"/>
        </w:rPr>
      </w:pPr>
      <w:r w:rsidRPr="00E850A8">
        <w:rPr>
          <w:lang w:eastAsia="en-GB"/>
        </w:rPr>
        <w:t xml:space="preserve">of any error, omission or irregularity in the summons, warrant, charge, proclamation, order, </w:t>
      </w:r>
      <w:r w:rsidRPr="00E850A8">
        <w:rPr>
          <w:u w:val="single"/>
          <w:lang w:eastAsia="en-GB"/>
        </w:rPr>
        <w:t xml:space="preserve">judgment </w:t>
      </w:r>
      <w:r w:rsidRPr="00E850A8">
        <w:rPr>
          <w:lang w:eastAsia="en-GB"/>
        </w:rPr>
        <w:t xml:space="preserve">or other proceedings before or during the trial or in any inquiry or other proceedings under this Code, </w:t>
      </w:r>
      <w:r w:rsidR="00D82330">
        <w:rPr>
          <w:lang w:eastAsia="en-GB"/>
        </w:rPr>
        <w:t>…</w:t>
      </w:r>
    </w:p>
    <w:p w14:paraId="557E1BE7" w14:textId="0D0BB869" w:rsidR="00E850A8" w:rsidRPr="00E850A8" w:rsidRDefault="00E850A8" w:rsidP="006D6EFF">
      <w:pPr>
        <w:pStyle w:val="Unnumberedquote"/>
        <w:ind w:left="0"/>
        <w:rPr>
          <w:lang w:eastAsia="en-GB"/>
        </w:rPr>
      </w:pPr>
    </w:p>
    <w:p w14:paraId="3C8982B7" w14:textId="77777777" w:rsidR="00D82330" w:rsidRDefault="00E850A8" w:rsidP="006D6EFF">
      <w:pPr>
        <w:pStyle w:val="Unnumberedquote"/>
        <w:rPr>
          <w:lang w:eastAsia="en-GB"/>
        </w:rPr>
      </w:pPr>
      <w:r w:rsidRPr="00E850A8">
        <w:rPr>
          <w:lang w:eastAsia="en-GB"/>
        </w:rPr>
        <w:t>unless such error, omission, irregularity or misdirection has in fact occasioned a failure of justice:</w:t>
      </w:r>
    </w:p>
    <w:p w14:paraId="62014003" w14:textId="6AE1BC17" w:rsidR="00E850A8" w:rsidRPr="003D372A" w:rsidRDefault="00E850A8" w:rsidP="006D6EFF">
      <w:pPr>
        <w:pStyle w:val="Unnumberedquote"/>
        <w:rPr>
          <w:lang w:eastAsia="en-GB"/>
        </w:rPr>
      </w:pPr>
      <w:r w:rsidRPr="00E850A8">
        <w:rPr>
          <w:lang w:eastAsia="en-GB"/>
        </w:rPr>
        <w:t>Provided that in determining whether any error, omission, or irregularity has occasioned a failure of justice the </w:t>
      </w:r>
      <w:r w:rsidR="00D82330">
        <w:rPr>
          <w:lang w:eastAsia="en-GB"/>
        </w:rPr>
        <w:t>court</w:t>
      </w:r>
      <w:r w:rsidRPr="00E850A8">
        <w:rPr>
          <w:lang w:eastAsia="en-GB"/>
        </w:rPr>
        <w:t> shall have been raised at an earlier stage in the proceedings</w:t>
      </w:r>
      <w:r w:rsidR="003D372A">
        <w:rPr>
          <w:lang w:eastAsia="en-GB"/>
        </w:rPr>
        <w:t>.”</w:t>
      </w:r>
    </w:p>
    <w:p w14:paraId="0BC3C518" w14:textId="77777777" w:rsidR="00353BCD" w:rsidRPr="00353BCD" w:rsidRDefault="00353BCD" w:rsidP="006D6EFF">
      <w:pPr>
        <w:pStyle w:val="Unnumberedquote"/>
        <w:rPr>
          <w:lang w:eastAsia="en-GB"/>
        </w:rPr>
      </w:pPr>
    </w:p>
    <w:p w14:paraId="718B26FB" w14:textId="6AA7A4C9" w:rsidR="00F95EA8" w:rsidRDefault="00F95EA8" w:rsidP="006D6EFF">
      <w:pPr>
        <w:pStyle w:val="JudgmentText"/>
        <w:ind w:left="720"/>
      </w:pPr>
      <w:r>
        <w:lastRenderedPageBreak/>
        <w:t>I</w:t>
      </w:r>
      <w:r w:rsidR="003D372A">
        <w:t xml:space="preserve"> therefore </w:t>
      </w:r>
      <w:r>
        <w:t>consider this issue settled and find that there is no merit in those two grounds</w:t>
      </w:r>
      <w:r w:rsidR="003D372A">
        <w:t>,</w:t>
      </w:r>
      <w:r>
        <w:t xml:space="preserve"> which are therefore dismissed.</w:t>
      </w:r>
    </w:p>
    <w:p w14:paraId="1E968244" w14:textId="77777777" w:rsidR="00F95EA8" w:rsidRPr="00F95EA8" w:rsidRDefault="00F95EA8" w:rsidP="006D6EFF">
      <w:pPr>
        <w:pStyle w:val="Jjmntheading1"/>
        <w:jc w:val="both"/>
        <w:rPr>
          <w:rFonts w:eastAsia="Times New Roman"/>
          <w:lang w:eastAsia="en-GB"/>
        </w:rPr>
      </w:pPr>
      <w:r>
        <w:rPr>
          <w:lang w:eastAsia="en-GB"/>
        </w:rPr>
        <w:t>Grounds 3 and 4 – the cogency of the complainant's evidence</w:t>
      </w:r>
    </w:p>
    <w:p w14:paraId="416E4630" w14:textId="4590F511" w:rsidR="00F95EA8" w:rsidRDefault="00F95EA8" w:rsidP="006D6EFF">
      <w:pPr>
        <w:pStyle w:val="JudgmentText"/>
        <w:ind w:left="720"/>
      </w:pPr>
      <w:r>
        <w:t xml:space="preserve">Mr. Camille has submitted that the complainant’s evidence should not have been relied on as it was </w:t>
      </w:r>
      <w:r w:rsidR="008724C5">
        <w:t xml:space="preserve">prompted or </w:t>
      </w:r>
      <w:r>
        <w:t xml:space="preserve">elicited by questions of a leading and inducing or intimidating character. He relies on the case of </w:t>
      </w:r>
      <w:r w:rsidRPr="00F95EA8">
        <w:rPr>
          <w:i/>
          <w:iCs/>
        </w:rPr>
        <w:t>Rv Osborne</w:t>
      </w:r>
      <w:r>
        <w:rPr>
          <w:rStyle w:val="FootnoteReference"/>
          <w:i/>
          <w:iCs/>
        </w:rPr>
        <w:footnoteReference w:id="11"/>
      </w:r>
      <w:r>
        <w:t xml:space="preserve"> for this proposition.</w:t>
      </w:r>
    </w:p>
    <w:p w14:paraId="275E991C" w14:textId="3F9E6B59" w:rsidR="00151B9B" w:rsidRPr="00151B9B" w:rsidRDefault="00F95EA8" w:rsidP="006D6EFF">
      <w:pPr>
        <w:pStyle w:val="JudgmentText"/>
        <w:ind w:left="720"/>
      </w:pPr>
      <w:r w:rsidRPr="005E5B3B">
        <w:rPr>
          <w:color w:val="242121"/>
          <w:shd w:val="clear" w:color="auto" w:fill="FFFFFF"/>
        </w:rPr>
        <w:t xml:space="preserve">I must first point out that </w:t>
      </w:r>
      <w:r w:rsidR="005E5B3B" w:rsidRPr="005E5B3B">
        <w:rPr>
          <w:color w:val="242121"/>
          <w:shd w:val="clear" w:color="auto" w:fill="FFFFFF"/>
        </w:rPr>
        <w:t xml:space="preserve">the ratio in </w:t>
      </w:r>
      <w:r w:rsidR="005E5B3B" w:rsidRPr="005E5B3B">
        <w:rPr>
          <w:i/>
          <w:iCs/>
          <w:color w:val="242121"/>
          <w:shd w:val="clear" w:color="auto" w:fill="FFFFFF"/>
        </w:rPr>
        <w:t xml:space="preserve">Osborne </w:t>
      </w:r>
      <w:r w:rsidR="005E5B3B" w:rsidRPr="005E5B3B">
        <w:rPr>
          <w:color w:val="242121"/>
          <w:shd w:val="clear" w:color="auto" w:fill="FFFFFF"/>
        </w:rPr>
        <w:t xml:space="preserve">is to the effect that evidence of </w:t>
      </w:r>
      <w:r w:rsidR="005E5B3B">
        <w:rPr>
          <w:color w:val="242121"/>
          <w:shd w:val="clear" w:color="auto" w:fill="FFFFFF"/>
        </w:rPr>
        <w:t xml:space="preserve">a </w:t>
      </w:r>
      <w:r w:rsidR="005E5B3B" w:rsidRPr="005E5B3B">
        <w:rPr>
          <w:color w:val="242121"/>
          <w:shd w:val="clear" w:color="auto" w:fill="FFFFFF"/>
        </w:rPr>
        <w:t xml:space="preserve">similar complaint against an accused is admissible </w:t>
      </w:r>
      <w:r w:rsidR="005E5B3B">
        <w:rPr>
          <w:color w:val="242121"/>
          <w:shd w:val="clear" w:color="auto" w:fill="FFFFFF"/>
        </w:rPr>
        <w:t xml:space="preserve">only </w:t>
      </w:r>
      <w:r w:rsidR="00151B9B">
        <w:rPr>
          <w:color w:val="242121"/>
          <w:shd w:val="clear" w:color="auto" w:fill="FFFFFF"/>
        </w:rPr>
        <w:t>to show that</w:t>
      </w:r>
      <w:r w:rsidR="005E5B3B" w:rsidRPr="005E5B3B">
        <w:rPr>
          <w:color w:val="242121"/>
          <w:shd w:val="clear" w:color="auto" w:fill="FFFFFF"/>
        </w:rPr>
        <w:t xml:space="preserve"> </w:t>
      </w:r>
      <w:r w:rsidR="008724C5">
        <w:rPr>
          <w:color w:val="242121"/>
          <w:shd w:val="clear" w:color="auto" w:fill="FFFFFF"/>
        </w:rPr>
        <w:t xml:space="preserve">it </w:t>
      </w:r>
      <w:r w:rsidR="005E5B3B" w:rsidRPr="005E5B3B">
        <w:rPr>
          <w:color w:val="242121"/>
          <w:shd w:val="clear" w:color="auto" w:fill="FFFFFF"/>
        </w:rPr>
        <w:t>is consistent with the complainant’s evidence. The statement in th</w:t>
      </w:r>
      <w:r w:rsidR="005E5B3B">
        <w:rPr>
          <w:color w:val="242121"/>
          <w:shd w:val="clear" w:color="auto" w:fill="FFFFFF"/>
        </w:rPr>
        <w:t>at</w:t>
      </w:r>
      <w:r w:rsidR="005E5B3B" w:rsidRPr="005E5B3B">
        <w:rPr>
          <w:color w:val="242121"/>
          <w:shd w:val="clear" w:color="auto" w:fill="FFFFFF"/>
        </w:rPr>
        <w:t xml:space="preserve"> judgment </w:t>
      </w:r>
      <w:r w:rsidR="00151B9B">
        <w:rPr>
          <w:color w:val="242121"/>
          <w:shd w:val="clear" w:color="auto" w:fill="FFFFFF"/>
        </w:rPr>
        <w:t xml:space="preserve">relating to </w:t>
      </w:r>
      <w:r w:rsidR="005E5B3B">
        <w:rPr>
          <w:color w:val="242121"/>
          <w:shd w:val="clear" w:color="auto" w:fill="FFFFFF"/>
        </w:rPr>
        <w:t>evidence “</w:t>
      </w:r>
      <w:r w:rsidR="005E5B3B" w:rsidRPr="005E5B3B">
        <w:rPr>
          <w:color w:val="242121"/>
          <w:shd w:val="clear" w:color="auto" w:fill="FFFFFF"/>
        </w:rPr>
        <w:t xml:space="preserve">not elicited by </w:t>
      </w:r>
      <w:r w:rsidR="005E5B3B" w:rsidRPr="005E5B3B">
        <w:rPr>
          <w:color w:val="222222"/>
          <w:shd w:val="clear" w:color="auto" w:fill="FFFFFF"/>
        </w:rPr>
        <w:t>questions of a leading and inducing or intimidating character</w:t>
      </w:r>
      <w:r w:rsidR="005E5B3B">
        <w:rPr>
          <w:color w:val="222222"/>
          <w:shd w:val="clear" w:color="auto" w:fill="FFFFFF"/>
        </w:rPr>
        <w:t>” re</w:t>
      </w:r>
      <w:r w:rsidR="00151B9B">
        <w:rPr>
          <w:color w:val="222222"/>
          <w:shd w:val="clear" w:color="auto" w:fill="FFFFFF"/>
        </w:rPr>
        <w:t>fers</w:t>
      </w:r>
      <w:r w:rsidR="005E5B3B">
        <w:rPr>
          <w:color w:val="222222"/>
          <w:shd w:val="clear" w:color="auto" w:fill="FFFFFF"/>
        </w:rPr>
        <w:t xml:space="preserve"> to </w:t>
      </w:r>
      <w:r w:rsidR="00151B9B">
        <w:rPr>
          <w:color w:val="222222"/>
          <w:shd w:val="clear" w:color="auto" w:fill="FFFFFF"/>
        </w:rPr>
        <w:t>a</w:t>
      </w:r>
      <w:r w:rsidR="005E5B3B">
        <w:rPr>
          <w:color w:val="222222"/>
          <w:shd w:val="clear" w:color="auto" w:fill="FFFFFF"/>
        </w:rPr>
        <w:t xml:space="preserve"> similar complaint.</w:t>
      </w:r>
      <w:r w:rsidR="005E5B3B" w:rsidRPr="005E5B3B">
        <w:rPr>
          <w:color w:val="222222"/>
          <w:shd w:val="clear" w:color="auto" w:fill="FFFFFF"/>
        </w:rPr>
        <w:t> </w:t>
      </w:r>
      <w:r w:rsidR="005E5B3B">
        <w:rPr>
          <w:color w:val="222222"/>
          <w:shd w:val="clear" w:color="auto" w:fill="FFFFFF"/>
        </w:rPr>
        <w:t>It is disingenuous</w:t>
      </w:r>
      <w:r w:rsidR="00707A01">
        <w:rPr>
          <w:color w:val="222222"/>
          <w:shd w:val="clear" w:color="auto" w:fill="FFFFFF"/>
        </w:rPr>
        <w:t>,</w:t>
      </w:r>
      <w:r w:rsidR="005E5B3B">
        <w:rPr>
          <w:color w:val="222222"/>
          <w:shd w:val="clear" w:color="auto" w:fill="FFFFFF"/>
        </w:rPr>
        <w:t xml:space="preserve"> if not </w:t>
      </w:r>
      <w:r w:rsidR="00151B9B">
        <w:rPr>
          <w:color w:val="222222"/>
          <w:shd w:val="clear" w:color="auto" w:fill="FFFFFF"/>
        </w:rPr>
        <w:t>misleading</w:t>
      </w:r>
      <w:r w:rsidR="00707A01">
        <w:rPr>
          <w:color w:val="222222"/>
          <w:shd w:val="clear" w:color="auto" w:fill="FFFFFF"/>
        </w:rPr>
        <w:t>,</w:t>
      </w:r>
      <w:r w:rsidR="005E5B3B">
        <w:rPr>
          <w:color w:val="222222"/>
          <w:shd w:val="clear" w:color="auto" w:fill="FFFFFF"/>
        </w:rPr>
        <w:t xml:space="preserve"> to re</w:t>
      </w:r>
      <w:r w:rsidR="00151B9B">
        <w:rPr>
          <w:color w:val="222222"/>
          <w:shd w:val="clear" w:color="auto" w:fill="FFFFFF"/>
        </w:rPr>
        <w:t>fer</w:t>
      </w:r>
      <w:r w:rsidR="005E5B3B">
        <w:rPr>
          <w:color w:val="222222"/>
          <w:shd w:val="clear" w:color="auto" w:fill="FFFFFF"/>
        </w:rPr>
        <w:t xml:space="preserve"> the </w:t>
      </w:r>
      <w:r w:rsidR="00151B9B">
        <w:rPr>
          <w:color w:val="222222"/>
          <w:shd w:val="clear" w:color="auto" w:fill="FFFFFF"/>
        </w:rPr>
        <w:t>court to this authority. It has no relevance to the present case</w:t>
      </w:r>
      <w:r w:rsidR="00290F74">
        <w:rPr>
          <w:color w:val="222222"/>
          <w:shd w:val="clear" w:color="auto" w:fill="FFFFFF"/>
        </w:rPr>
        <w:t>,</w:t>
      </w:r>
      <w:r w:rsidR="00151B9B">
        <w:rPr>
          <w:color w:val="222222"/>
          <w:shd w:val="clear" w:color="auto" w:fill="FFFFFF"/>
        </w:rPr>
        <w:t xml:space="preserve"> where there was no attempt by the prosecution to adduce evidence of a similar complaint against the accused. </w:t>
      </w:r>
    </w:p>
    <w:p w14:paraId="1C9559AB" w14:textId="21A1FA38" w:rsidR="00151B9B" w:rsidRPr="004154C2" w:rsidRDefault="004154C2" w:rsidP="006D6EFF">
      <w:pPr>
        <w:pStyle w:val="JudgmentText"/>
        <w:ind w:left="720"/>
        <w:rPr>
          <w:i/>
          <w:iCs/>
        </w:rPr>
      </w:pPr>
      <w:r>
        <w:rPr>
          <w:color w:val="242121"/>
          <w:shd w:val="clear" w:color="auto" w:fill="FFFFFF"/>
        </w:rPr>
        <w:t>Mr. Camille’s</w:t>
      </w:r>
      <w:r w:rsidR="00151B9B">
        <w:rPr>
          <w:color w:val="242121"/>
          <w:shd w:val="clear" w:color="auto" w:fill="FFFFFF"/>
        </w:rPr>
        <w:t xml:space="preserve"> </w:t>
      </w:r>
      <w:r>
        <w:rPr>
          <w:color w:val="242121"/>
          <w:shd w:val="clear" w:color="auto" w:fill="FFFFFF"/>
        </w:rPr>
        <w:t>reference</w:t>
      </w:r>
      <w:r w:rsidR="00151B9B">
        <w:rPr>
          <w:color w:val="242121"/>
          <w:shd w:val="clear" w:color="auto" w:fill="FFFFFF"/>
        </w:rPr>
        <w:t xml:space="preserve"> to </w:t>
      </w:r>
      <w:r>
        <w:rPr>
          <w:color w:val="242121"/>
          <w:shd w:val="clear" w:color="auto" w:fill="FFFFFF"/>
        </w:rPr>
        <w:t xml:space="preserve">the 1998 publication of </w:t>
      </w:r>
      <w:r w:rsidR="00151B9B">
        <w:rPr>
          <w:color w:val="242121"/>
          <w:shd w:val="clear" w:color="auto" w:fill="FFFFFF"/>
        </w:rPr>
        <w:t>Ar</w:t>
      </w:r>
      <w:r>
        <w:rPr>
          <w:color w:val="242121"/>
          <w:shd w:val="clear" w:color="auto" w:fill="FFFFFF"/>
        </w:rPr>
        <w:t>c</w:t>
      </w:r>
      <w:r w:rsidR="00151B9B">
        <w:rPr>
          <w:color w:val="242121"/>
          <w:shd w:val="clear" w:color="auto" w:fill="FFFFFF"/>
        </w:rPr>
        <w:t>hbol</w:t>
      </w:r>
      <w:r>
        <w:rPr>
          <w:color w:val="242121"/>
          <w:shd w:val="clear" w:color="auto" w:fill="FFFFFF"/>
        </w:rPr>
        <w:t xml:space="preserve">d </w:t>
      </w:r>
      <w:r w:rsidR="00290F74">
        <w:rPr>
          <w:color w:val="242121"/>
          <w:shd w:val="clear" w:color="auto" w:fill="FFFFFF"/>
        </w:rPr>
        <w:t>about</w:t>
      </w:r>
      <w:r w:rsidR="00151B9B">
        <w:rPr>
          <w:color w:val="242121"/>
          <w:shd w:val="clear" w:color="auto" w:fill="FFFFFF"/>
        </w:rPr>
        <w:t xml:space="preserve"> </w:t>
      </w:r>
      <w:r>
        <w:rPr>
          <w:color w:val="242121"/>
          <w:shd w:val="clear" w:color="auto" w:fill="FFFFFF"/>
        </w:rPr>
        <w:t xml:space="preserve">how the evidence of </w:t>
      </w:r>
      <w:r w:rsidR="00151B9B">
        <w:rPr>
          <w:color w:val="242121"/>
          <w:shd w:val="clear" w:color="auto" w:fill="FFFFFF"/>
        </w:rPr>
        <w:t xml:space="preserve">“females alleged </w:t>
      </w:r>
      <w:r>
        <w:rPr>
          <w:color w:val="242121"/>
          <w:shd w:val="clear" w:color="auto" w:fill="FFFFFF"/>
        </w:rPr>
        <w:t>to</w:t>
      </w:r>
      <w:r w:rsidR="00151B9B">
        <w:rPr>
          <w:color w:val="242121"/>
          <w:shd w:val="clear" w:color="auto" w:fill="FFFFFF"/>
        </w:rPr>
        <w:t xml:space="preserve"> have been </w:t>
      </w:r>
      <w:r>
        <w:rPr>
          <w:color w:val="242121"/>
          <w:shd w:val="clear" w:color="auto" w:fill="FFFFFF"/>
        </w:rPr>
        <w:t>wronged</w:t>
      </w:r>
      <w:r w:rsidR="00151B9B">
        <w:rPr>
          <w:color w:val="242121"/>
          <w:shd w:val="clear" w:color="auto" w:fill="FFFFFF"/>
        </w:rPr>
        <w:t xml:space="preserve">” </w:t>
      </w:r>
      <w:r>
        <w:rPr>
          <w:color w:val="242121"/>
          <w:shd w:val="clear" w:color="auto" w:fill="FFFFFF"/>
        </w:rPr>
        <w:t>ought to be treated</w:t>
      </w:r>
      <w:r w:rsidR="00151B9B">
        <w:rPr>
          <w:color w:val="242121"/>
          <w:shd w:val="clear" w:color="auto" w:fill="FFFFFF"/>
        </w:rPr>
        <w:t xml:space="preserve"> is not </w:t>
      </w:r>
      <w:r>
        <w:rPr>
          <w:color w:val="242121"/>
          <w:shd w:val="clear" w:color="auto" w:fill="FFFFFF"/>
        </w:rPr>
        <w:t>only</w:t>
      </w:r>
      <w:r w:rsidR="00151B9B">
        <w:rPr>
          <w:color w:val="242121"/>
          <w:shd w:val="clear" w:color="auto" w:fill="FFFFFF"/>
        </w:rPr>
        <w:t xml:space="preserve"> mis</w:t>
      </w:r>
      <w:r>
        <w:rPr>
          <w:color w:val="242121"/>
          <w:shd w:val="clear" w:color="auto" w:fill="FFFFFF"/>
        </w:rPr>
        <w:t>o</w:t>
      </w:r>
      <w:r w:rsidR="00151B9B">
        <w:rPr>
          <w:color w:val="242121"/>
          <w:shd w:val="clear" w:color="auto" w:fill="FFFFFF"/>
        </w:rPr>
        <w:t>gynist</w:t>
      </w:r>
      <w:r>
        <w:rPr>
          <w:color w:val="242121"/>
          <w:shd w:val="clear" w:color="auto" w:fill="FFFFFF"/>
        </w:rPr>
        <w:t>ic</w:t>
      </w:r>
      <w:r w:rsidR="00151B9B">
        <w:rPr>
          <w:color w:val="242121"/>
          <w:shd w:val="clear" w:color="auto" w:fill="FFFFFF"/>
        </w:rPr>
        <w:t xml:space="preserve"> and dated but has been firmly </w:t>
      </w:r>
      <w:r>
        <w:rPr>
          <w:color w:val="242121"/>
          <w:shd w:val="clear" w:color="auto" w:fill="FFFFFF"/>
        </w:rPr>
        <w:t>settled</w:t>
      </w:r>
      <w:r w:rsidR="00151B9B">
        <w:rPr>
          <w:color w:val="242121"/>
          <w:shd w:val="clear" w:color="auto" w:fill="FFFFFF"/>
        </w:rPr>
        <w:t xml:space="preserve"> in this </w:t>
      </w:r>
      <w:r>
        <w:rPr>
          <w:color w:val="242121"/>
          <w:shd w:val="clear" w:color="auto" w:fill="FFFFFF"/>
        </w:rPr>
        <w:t>jurisdiction</w:t>
      </w:r>
      <w:r w:rsidR="00151B9B">
        <w:rPr>
          <w:color w:val="242121"/>
          <w:shd w:val="clear" w:color="auto" w:fill="FFFFFF"/>
        </w:rPr>
        <w:t xml:space="preserve"> by the case of </w:t>
      </w:r>
      <w:r w:rsidRPr="004154C2">
        <w:rPr>
          <w:i/>
          <w:iCs/>
          <w:color w:val="242121"/>
          <w:shd w:val="clear" w:color="auto" w:fill="FFFFFF"/>
        </w:rPr>
        <w:t>Lucas v R.</w:t>
      </w:r>
      <w:r>
        <w:rPr>
          <w:rStyle w:val="FootnoteReference"/>
          <w:i/>
          <w:iCs/>
          <w:color w:val="242121"/>
          <w:shd w:val="clear" w:color="auto" w:fill="FFFFFF"/>
        </w:rPr>
        <w:footnoteReference w:id="12"/>
      </w:r>
      <w:r>
        <w:rPr>
          <w:color w:val="242121"/>
          <w:shd w:val="clear" w:color="auto" w:fill="FFFFFF"/>
        </w:rPr>
        <w:t xml:space="preserve"> </w:t>
      </w:r>
      <w:r w:rsidR="007C42A2">
        <w:rPr>
          <w:color w:val="242121"/>
          <w:shd w:val="clear" w:color="auto" w:fill="FFFFFF"/>
        </w:rPr>
        <w:t xml:space="preserve">It is settled jurisprudence that the evidence of a female complainant does not attract the necessity of a corroboration warning. </w:t>
      </w:r>
      <w:r w:rsidR="007936F6">
        <w:rPr>
          <w:color w:val="242121"/>
          <w:shd w:val="clear" w:color="auto" w:fill="FFFFFF"/>
        </w:rPr>
        <w:t>Corroboration is</w:t>
      </w:r>
      <w:r w:rsidR="007C42A2">
        <w:rPr>
          <w:color w:val="242121"/>
          <w:shd w:val="clear" w:color="auto" w:fill="FFFFFF"/>
        </w:rPr>
        <w:t xml:space="preserve"> a matter for the judge’s discretion based on the circumstances, the </w:t>
      </w:r>
      <w:r w:rsidR="00290F74">
        <w:rPr>
          <w:color w:val="242121"/>
          <w:shd w:val="clear" w:color="auto" w:fill="FFFFFF"/>
        </w:rPr>
        <w:t>manner,</w:t>
      </w:r>
      <w:r w:rsidR="007C42A2">
        <w:rPr>
          <w:color w:val="242121"/>
          <w:shd w:val="clear" w:color="auto" w:fill="FFFFFF"/>
        </w:rPr>
        <w:t xml:space="preserve"> and the content of the evidence</w:t>
      </w:r>
      <w:r w:rsidR="00290F74">
        <w:rPr>
          <w:color w:val="242121"/>
          <w:shd w:val="clear" w:color="auto" w:fill="FFFFFF"/>
        </w:rPr>
        <w:t>,</w:t>
      </w:r>
      <w:r w:rsidR="007C42A2">
        <w:rPr>
          <w:color w:val="242121"/>
          <w:shd w:val="clear" w:color="auto" w:fill="FFFFFF"/>
        </w:rPr>
        <w:t xml:space="preserve"> as in any other criminal case</w:t>
      </w:r>
      <w:r w:rsidR="00290F74">
        <w:rPr>
          <w:color w:val="242121"/>
          <w:shd w:val="clear" w:color="auto" w:fill="FFFFFF"/>
        </w:rPr>
        <w:t>,</w:t>
      </w:r>
      <w:r w:rsidR="007C42A2">
        <w:rPr>
          <w:color w:val="242121"/>
          <w:shd w:val="clear" w:color="auto" w:fill="FFFFFF"/>
        </w:rPr>
        <w:t xml:space="preserve"> regardless of the gender of the complainant.   </w:t>
      </w:r>
    </w:p>
    <w:p w14:paraId="219B39EE" w14:textId="339741A9" w:rsidR="007936F6" w:rsidRPr="007936F6" w:rsidRDefault="00290F74" w:rsidP="006D6EFF">
      <w:pPr>
        <w:pStyle w:val="JudgmentText"/>
        <w:ind w:left="720"/>
      </w:pPr>
      <w:r>
        <w:rPr>
          <w:color w:val="242121"/>
          <w:shd w:val="clear" w:color="auto" w:fill="FFFFFF"/>
        </w:rPr>
        <w:t>The present</w:t>
      </w:r>
      <w:r w:rsidR="007936F6">
        <w:rPr>
          <w:color w:val="242121"/>
          <w:shd w:val="clear" w:color="auto" w:fill="FFFFFF"/>
        </w:rPr>
        <w:t xml:space="preserve"> case </w:t>
      </w:r>
      <w:r>
        <w:rPr>
          <w:color w:val="242121"/>
          <w:shd w:val="clear" w:color="auto" w:fill="FFFFFF"/>
        </w:rPr>
        <w:t xml:space="preserve">is one </w:t>
      </w:r>
      <w:r w:rsidR="007936F6">
        <w:rPr>
          <w:color w:val="242121"/>
          <w:shd w:val="clear" w:color="auto" w:fill="FFFFFF"/>
        </w:rPr>
        <w:t>where the learned trial judge attached great credibility to the complainant's evidence. He stated:</w:t>
      </w:r>
    </w:p>
    <w:p w14:paraId="6E696906" w14:textId="4A673A2B" w:rsidR="00E850A8" w:rsidRPr="005E5B3B" w:rsidRDefault="00290F74" w:rsidP="006D6EFF">
      <w:pPr>
        <w:pStyle w:val="JudgmentText"/>
        <w:numPr>
          <w:ilvl w:val="0"/>
          <w:numId w:val="0"/>
        </w:numPr>
        <w:ind w:left="1440"/>
      </w:pPr>
      <w:r>
        <w:rPr>
          <w:color w:val="242121"/>
          <w:shd w:val="clear" w:color="auto" w:fill="FFFFFF"/>
        </w:rPr>
        <w:t>“</w:t>
      </w:r>
      <w:r w:rsidRPr="007936F6">
        <w:rPr>
          <w:color w:val="242121"/>
          <w:shd w:val="clear" w:color="auto" w:fill="FFFFFF"/>
        </w:rPr>
        <w:t>In</w:t>
      </w:r>
      <w:r w:rsidR="007936F6" w:rsidRPr="007936F6">
        <w:rPr>
          <w:color w:val="242121"/>
          <w:shd w:val="clear" w:color="auto" w:fill="FFFFFF"/>
        </w:rPr>
        <w:t xml:space="preserve"> the present </w:t>
      </w:r>
      <w:r w:rsidR="007936F6">
        <w:rPr>
          <w:color w:val="242121"/>
          <w:shd w:val="clear" w:color="auto" w:fill="FFFFFF"/>
        </w:rPr>
        <w:t>case</w:t>
      </w:r>
      <w:r w:rsidR="007936F6" w:rsidRPr="007936F6">
        <w:rPr>
          <w:color w:val="242121"/>
          <w:shd w:val="clear" w:color="auto" w:fill="FFFFFF"/>
        </w:rPr>
        <w:t xml:space="preserve">, I </w:t>
      </w:r>
      <w:r w:rsidR="007936F6">
        <w:rPr>
          <w:color w:val="242121"/>
          <w:shd w:val="clear" w:color="auto" w:fill="FFFFFF"/>
        </w:rPr>
        <w:t>found</w:t>
      </w:r>
      <w:r w:rsidR="007936F6" w:rsidRPr="007936F6">
        <w:rPr>
          <w:color w:val="242121"/>
          <w:shd w:val="clear" w:color="auto" w:fill="FFFFFF"/>
        </w:rPr>
        <w:t xml:space="preserve"> the </w:t>
      </w:r>
      <w:r w:rsidR="007936F6">
        <w:rPr>
          <w:color w:val="242121"/>
          <w:shd w:val="clear" w:color="auto" w:fill="FFFFFF"/>
        </w:rPr>
        <w:t>victim’s</w:t>
      </w:r>
      <w:r w:rsidR="007936F6" w:rsidRPr="007936F6">
        <w:rPr>
          <w:color w:val="242121"/>
          <w:shd w:val="clear" w:color="auto" w:fill="FFFFFF"/>
        </w:rPr>
        <w:t xml:space="preserve"> evidence t</w:t>
      </w:r>
      <w:r w:rsidR="007936F6">
        <w:rPr>
          <w:color w:val="242121"/>
          <w:shd w:val="clear" w:color="auto" w:fill="FFFFFF"/>
        </w:rPr>
        <w:t>o</w:t>
      </w:r>
      <w:r w:rsidR="007936F6" w:rsidRPr="007936F6">
        <w:rPr>
          <w:color w:val="242121"/>
          <w:shd w:val="clear" w:color="auto" w:fill="FFFFFF"/>
        </w:rPr>
        <w:t xml:space="preserve"> be </w:t>
      </w:r>
      <w:r w:rsidR="007936F6">
        <w:rPr>
          <w:color w:val="242121"/>
          <w:shd w:val="clear" w:color="auto" w:fill="FFFFFF"/>
        </w:rPr>
        <w:t>cogent</w:t>
      </w:r>
      <w:r w:rsidR="007936F6" w:rsidRPr="007936F6">
        <w:rPr>
          <w:color w:val="242121"/>
          <w:shd w:val="clear" w:color="auto" w:fill="FFFFFF"/>
        </w:rPr>
        <w:t>, credible</w:t>
      </w:r>
      <w:r w:rsidR="007936F6">
        <w:rPr>
          <w:color w:val="242121"/>
          <w:shd w:val="clear" w:color="auto" w:fill="FFFFFF"/>
        </w:rPr>
        <w:t xml:space="preserve">, and </w:t>
      </w:r>
      <w:r>
        <w:rPr>
          <w:color w:val="242121"/>
          <w:shd w:val="clear" w:color="auto" w:fill="FFFFFF"/>
        </w:rPr>
        <w:t>consistent,</w:t>
      </w:r>
      <w:r w:rsidR="007936F6">
        <w:rPr>
          <w:color w:val="242121"/>
          <w:shd w:val="clear" w:color="auto" w:fill="FFFFFF"/>
        </w:rPr>
        <w:t xml:space="preserve"> and </w:t>
      </w:r>
      <w:r>
        <w:rPr>
          <w:color w:val="242121"/>
          <w:shd w:val="clear" w:color="auto" w:fill="FFFFFF"/>
        </w:rPr>
        <w:t>therefore</w:t>
      </w:r>
      <w:r w:rsidR="007936F6">
        <w:rPr>
          <w:color w:val="242121"/>
          <w:shd w:val="clear" w:color="auto" w:fill="FFFFFF"/>
        </w:rPr>
        <w:t xml:space="preserve"> I will act on it totally.”</w:t>
      </w:r>
    </w:p>
    <w:p w14:paraId="704677A2" w14:textId="2CEB30B7" w:rsidR="00353BCD" w:rsidRPr="005E5B3B" w:rsidRDefault="007936F6" w:rsidP="006D6EFF">
      <w:pPr>
        <w:pStyle w:val="JudgmentText"/>
        <w:ind w:left="720"/>
      </w:pPr>
      <w:r>
        <w:rPr>
          <w:color w:val="242121"/>
          <w:shd w:val="clear" w:color="auto" w:fill="FFFFFF"/>
        </w:rPr>
        <w:lastRenderedPageBreak/>
        <w:t xml:space="preserve">It </w:t>
      </w:r>
      <w:r w:rsidRPr="005E5B3B">
        <w:rPr>
          <w:color w:val="242121"/>
          <w:shd w:val="clear" w:color="auto" w:fill="FFFFFF"/>
        </w:rPr>
        <w:t xml:space="preserve">is trite that a court of appeal does not lightly interfere with the credibility findings of </w:t>
      </w:r>
      <w:r>
        <w:rPr>
          <w:color w:val="242121"/>
          <w:shd w:val="clear" w:color="auto" w:fill="FFFFFF"/>
        </w:rPr>
        <w:t xml:space="preserve">a </w:t>
      </w:r>
      <w:r w:rsidRPr="005E5B3B">
        <w:rPr>
          <w:color w:val="242121"/>
          <w:shd w:val="clear" w:color="auto" w:fill="FFFFFF"/>
        </w:rPr>
        <w:t>trial court.</w:t>
      </w:r>
      <w:r>
        <w:rPr>
          <w:color w:val="242121"/>
          <w:shd w:val="clear" w:color="auto" w:fill="FFFFFF"/>
        </w:rPr>
        <w:t xml:space="preserve"> </w:t>
      </w:r>
      <w:r w:rsidR="00850980">
        <w:rPr>
          <w:color w:val="242121"/>
          <w:shd w:val="clear" w:color="auto" w:fill="FFFFFF"/>
        </w:rPr>
        <w:t xml:space="preserve">There is no compelling </w:t>
      </w:r>
      <w:r w:rsidR="00290F74">
        <w:rPr>
          <w:color w:val="242121"/>
          <w:shd w:val="clear" w:color="auto" w:fill="FFFFFF"/>
        </w:rPr>
        <w:t>reason</w:t>
      </w:r>
      <w:r w:rsidR="00850980">
        <w:rPr>
          <w:color w:val="242121"/>
          <w:shd w:val="clear" w:color="auto" w:fill="FFFFFF"/>
        </w:rPr>
        <w:t xml:space="preserve"> </w:t>
      </w:r>
      <w:r w:rsidR="00290F74">
        <w:rPr>
          <w:color w:val="242121"/>
          <w:shd w:val="clear" w:color="auto" w:fill="FFFFFF"/>
        </w:rPr>
        <w:t>for making</w:t>
      </w:r>
      <w:r>
        <w:rPr>
          <w:color w:val="242121"/>
          <w:shd w:val="clear" w:color="auto" w:fill="FFFFFF"/>
        </w:rPr>
        <w:t xml:space="preserve"> an exception in this ca</w:t>
      </w:r>
      <w:r w:rsidR="00850980">
        <w:rPr>
          <w:color w:val="242121"/>
          <w:shd w:val="clear" w:color="auto" w:fill="FFFFFF"/>
        </w:rPr>
        <w:t>s</w:t>
      </w:r>
      <w:r>
        <w:rPr>
          <w:color w:val="242121"/>
          <w:shd w:val="clear" w:color="auto" w:fill="FFFFFF"/>
        </w:rPr>
        <w:t xml:space="preserve">e. These grounds of appeal are </w:t>
      </w:r>
      <w:r w:rsidR="00290F74">
        <w:rPr>
          <w:color w:val="242121"/>
          <w:shd w:val="clear" w:color="auto" w:fill="FFFFFF"/>
        </w:rPr>
        <w:t xml:space="preserve">therefore </w:t>
      </w:r>
      <w:r>
        <w:rPr>
          <w:color w:val="242121"/>
          <w:shd w:val="clear" w:color="auto" w:fill="FFFFFF"/>
        </w:rPr>
        <w:t xml:space="preserve">also devoid of merit and are dismissed. </w:t>
      </w:r>
    </w:p>
    <w:p w14:paraId="76093796" w14:textId="77777777" w:rsidR="00850980" w:rsidRPr="00850980" w:rsidRDefault="00850980" w:rsidP="006D6EFF">
      <w:pPr>
        <w:pStyle w:val="Jjmntheading1"/>
        <w:jc w:val="both"/>
        <w:rPr>
          <w:lang w:val="en"/>
        </w:rPr>
      </w:pPr>
      <w:r w:rsidRPr="00850980">
        <w:rPr>
          <w:lang w:val="en"/>
        </w:rPr>
        <w:t xml:space="preserve">Grounds 5, 6 and 6 – the reliability of the alibi defence </w:t>
      </w:r>
    </w:p>
    <w:p w14:paraId="1C83E154" w14:textId="08582F9E" w:rsidR="00850980" w:rsidRPr="006C1CA1" w:rsidRDefault="00850980" w:rsidP="006D6EFF">
      <w:pPr>
        <w:pStyle w:val="JudgmentText"/>
        <w:ind w:left="720"/>
      </w:pPr>
      <w:r>
        <w:t>With regard to these grounds of appeal</w:t>
      </w:r>
      <w:r w:rsidR="00290F74">
        <w:t>,</w:t>
      </w:r>
      <w:r>
        <w:t xml:space="preserve"> Mr. Camille first submits that the learned trial judge did not enunciate the principles of law relating to the defence of alibi and therefore failed to direct himself on the law applicable in th</w:t>
      </w:r>
      <w:r w:rsidR="00290F74">
        <w:t xml:space="preserve">e present </w:t>
      </w:r>
      <w:r>
        <w:t xml:space="preserve">case.  </w:t>
      </w:r>
      <w:r w:rsidR="00B903DF">
        <w:t xml:space="preserve">Secondly, he avers that the learned trial judge only considered the case of </w:t>
      </w:r>
      <w:r w:rsidR="00B903DF" w:rsidRPr="00B903DF">
        <w:rPr>
          <w:i/>
          <w:iCs/>
        </w:rPr>
        <w:t>R v Vidot</w:t>
      </w:r>
      <w:r w:rsidR="00B903DF">
        <w:rPr>
          <w:rStyle w:val="FootnoteReference"/>
        </w:rPr>
        <w:footnoteReference w:id="13"/>
      </w:r>
      <w:r w:rsidR="00B903DF">
        <w:t xml:space="preserve"> to the excl</w:t>
      </w:r>
      <w:r w:rsidR="00290F74">
        <w:t>u</w:t>
      </w:r>
      <w:r w:rsidR="00B903DF">
        <w:t xml:space="preserve">sion of leading cases </w:t>
      </w:r>
      <w:r w:rsidR="00290F74">
        <w:t>relating</w:t>
      </w:r>
      <w:r w:rsidR="00B903DF">
        <w:t xml:space="preserve"> to the onus on the </w:t>
      </w:r>
      <w:r w:rsidR="00290F74">
        <w:t>prosecution</w:t>
      </w:r>
      <w:r w:rsidR="00B903DF">
        <w:t xml:space="preserve"> to </w:t>
      </w:r>
      <w:r w:rsidR="00C75835">
        <w:t>disprove</w:t>
      </w:r>
      <w:r w:rsidR="00B903DF">
        <w:t xml:space="preserve"> an alibi defence beyond </w:t>
      </w:r>
      <w:r w:rsidR="00C75835">
        <w:t>reasonable</w:t>
      </w:r>
      <w:r w:rsidR="00B903DF">
        <w:t xml:space="preserve"> d</w:t>
      </w:r>
      <w:r w:rsidR="00C75835">
        <w:t>o</w:t>
      </w:r>
      <w:r w:rsidR="00B903DF">
        <w:t xml:space="preserve">ubt. </w:t>
      </w:r>
      <w:r w:rsidR="00C75835">
        <w:t xml:space="preserve">He further avers that the learned trial judge did not consider the law </w:t>
      </w:r>
      <w:r w:rsidR="006C1CA1">
        <w:t>regarding</w:t>
      </w:r>
      <w:r w:rsidR="00C75835">
        <w:t xml:space="preserve"> alibis as contained in the case of </w:t>
      </w:r>
      <w:r w:rsidR="00C75835" w:rsidRPr="00C75835">
        <w:rPr>
          <w:i/>
          <w:iCs/>
        </w:rPr>
        <w:t>Sopha v R</w:t>
      </w:r>
      <w:r w:rsidR="00C75835">
        <w:rPr>
          <w:i/>
          <w:iCs/>
        </w:rPr>
        <w:t>.</w:t>
      </w:r>
      <w:r w:rsidR="00C75835">
        <w:rPr>
          <w:rStyle w:val="FootnoteReference"/>
        </w:rPr>
        <w:footnoteReference w:id="14"/>
      </w:r>
      <w:r w:rsidR="00C75835" w:rsidRPr="006C1CA1">
        <w:t xml:space="preserve"> </w:t>
      </w:r>
    </w:p>
    <w:p w14:paraId="013C4C88" w14:textId="174D21C6" w:rsidR="006C1CA1" w:rsidRPr="006C1CA1" w:rsidRDefault="006C1CA1" w:rsidP="006D6EFF">
      <w:pPr>
        <w:pStyle w:val="JudgmentText"/>
        <w:ind w:left="720"/>
      </w:pPr>
      <w:r>
        <w:t>Mr. Camille has also submitted that the alibi evidence was strong and never contradicted by the prosecution.</w:t>
      </w:r>
    </w:p>
    <w:p w14:paraId="0341D827" w14:textId="2512CCE6" w:rsidR="006C1CA1" w:rsidRPr="00E33477" w:rsidRDefault="006C1CA1" w:rsidP="006D6EFF">
      <w:pPr>
        <w:pStyle w:val="JudgmentText"/>
        <w:ind w:left="720"/>
      </w:pPr>
      <w:r>
        <w:t xml:space="preserve">Mrs. Monthy has contended that the learned trial judge in accordance with the principles laid down in the case of </w:t>
      </w:r>
      <w:r w:rsidRPr="006C1CA1">
        <w:rPr>
          <w:i/>
          <w:iCs/>
        </w:rPr>
        <w:t>Vidot</w:t>
      </w:r>
      <w:r>
        <w:t xml:space="preserve">, did not find the evidence of the defence witnesses in the present case with regard to the alibi of the accused to be consistent, cogent and reliable. </w:t>
      </w:r>
      <w:r w:rsidR="00B80D36">
        <w:t>She submits that t</w:t>
      </w:r>
      <w:r>
        <w:t xml:space="preserve">here were </w:t>
      </w:r>
      <w:r w:rsidR="00E33477">
        <w:t>serious</w:t>
      </w:r>
      <w:r>
        <w:t xml:space="preserve"> </w:t>
      </w:r>
      <w:r w:rsidR="00E33477">
        <w:t>material</w:t>
      </w:r>
      <w:r>
        <w:t xml:space="preserve"> </w:t>
      </w:r>
      <w:r w:rsidR="00E33477">
        <w:t xml:space="preserve">inconsistencies between the accused’s version and one of his witnesses. Ultimately the learned trial judge found that “the alibi [did] not cast doubt on the victim’s account which [was] intelligible. </w:t>
      </w:r>
    </w:p>
    <w:p w14:paraId="4DC1BF74" w14:textId="5D4B593D" w:rsidR="009B41CE" w:rsidRPr="009B41CE" w:rsidRDefault="00E33477" w:rsidP="006D6EFF">
      <w:pPr>
        <w:pStyle w:val="JudgmentText"/>
        <w:ind w:left="720"/>
        <w:rPr>
          <w:i/>
          <w:iCs/>
        </w:rPr>
      </w:pPr>
      <w:r>
        <w:rPr>
          <w:i/>
          <w:iCs/>
        </w:rPr>
        <w:t>V</w:t>
      </w:r>
      <w:r w:rsidRPr="00E33477">
        <w:rPr>
          <w:i/>
          <w:iCs/>
        </w:rPr>
        <w:t>idot</w:t>
      </w:r>
      <w:r>
        <w:rPr>
          <w:i/>
          <w:iCs/>
        </w:rPr>
        <w:t xml:space="preserve"> </w:t>
      </w:r>
      <w:r w:rsidR="00FF6B44">
        <w:t xml:space="preserve">was also a case concerning a charge of sexual assault in which the accused had tendered an alibi. The trial judge found that </w:t>
      </w:r>
      <w:r w:rsidR="009B41CE">
        <w:t xml:space="preserve">the accused and his witnesses did not give evidence that was consistent, cogent and reliable on the material particulars. He also noted that the prosecution bears the overall burden of proving the guilt of the accused even when he has raised the defence of alibi. The prosecution has to rebut the evidence and prove </w:t>
      </w:r>
      <w:r w:rsidR="009B41CE">
        <w:lastRenderedPageBreak/>
        <w:t>beyond reasonable doubt that the accused was there at the time and place of the alleged crime.</w:t>
      </w:r>
    </w:p>
    <w:p w14:paraId="607D79D8" w14:textId="223CF9E0" w:rsidR="00346EE7" w:rsidRPr="00346EE7" w:rsidRDefault="009B41CE" w:rsidP="006D6EFF">
      <w:pPr>
        <w:pStyle w:val="JudgmentText"/>
        <w:ind w:left="720"/>
        <w:rPr>
          <w:i/>
          <w:iCs/>
        </w:rPr>
      </w:pPr>
      <w:r>
        <w:rPr>
          <w:i/>
          <w:iCs/>
        </w:rPr>
        <w:t xml:space="preserve">Sopha </w:t>
      </w:r>
      <w:r>
        <w:t xml:space="preserve">preceded </w:t>
      </w:r>
      <w:r w:rsidRPr="009B41CE">
        <w:rPr>
          <w:i/>
          <w:iCs/>
        </w:rPr>
        <w:t xml:space="preserve">Vidot </w:t>
      </w:r>
      <w:r w:rsidR="00A534F9">
        <w:t xml:space="preserve">but the principles enunciated by this court in relation to the burden on the prosecution where the defence of the accused is an alibi were not different. </w:t>
      </w:r>
      <w:r w:rsidR="00346EE7">
        <w:t xml:space="preserve">This Court found that </w:t>
      </w:r>
      <w:r w:rsidR="00A534F9">
        <w:t xml:space="preserve">in cases </w:t>
      </w:r>
      <w:r w:rsidR="00B80D36">
        <w:t>where</w:t>
      </w:r>
      <w:r w:rsidR="00346EE7">
        <w:t xml:space="preserve"> the accused tenders a defence of alibi</w:t>
      </w:r>
      <w:r w:rsidR="00A534F9">
        <w:t xml:space="preserve">, the prosecution still has to prove its case beyond reasonable doubt. </w:t>
      </w:r>
      <w:r w:rsidR="00346EE7">
        <w:t xml:space="preserve">The </w:t>
      </w:r>
      <w:r w:rsidR="00A534F9">
        <w:t>C</w:t>
      </w:r>
      <w:r w:rsidR="00346EE7">
        <w:t>ourt stated:</w:t>
      </w:r>
    </w:p>
    <w:p w14:paraId="36E208CB" w14:textId="2C859348" w:rsidR="00A534F9" w:rsidRDefault="00A534F9" w:rsidP="006D6EFF">
      <w:pPr>
        <w:pStyle w:val="JudgmentText"/>
        <w:numPr>
          <w:ilvl w:val="0"/>
          <w:numId w:val="0"/>
        </w:numPr>
        <w:shd w:val="clear" w:color="auto" w:fill="FFFFFF"/>
        <w:spacing w:before="15" w:after="0" w:line="276" w:lineRule="auto"/>
        <w:ind w:left="1440"/>
        <w:rPr>
          <w:i/>
          <w:iCs/>
          <w:lang w:eastAsia="en-GB"/>
        </w:rPr>
      </w:pPr>
      <w:r>
        <w:rPr>
          <w:i/>
          <w:iCs/>
          <w:lang w:eastAsia="en-GB"/>
        </w:rPr>
        <w:t>“</w:t>
      </w:r>
      <w:r w:rsidRPr="00A534F9">
        <w:rPr>
          <w:i/>
          <w:iCs/>
          <w:lang w:eastAsia="en-GB"/>
        </w:rPr>
        <w:t xml:space="preserve">The proper </w:t>
      </w:r>
      <w:r>
        <w:rPr>
          <w:i/>
          <w:iCs/>
          <w:lang w:eastAsia="en-GB"/>
        </w:rPr>
        <w:t>approach is</w:t>
      </w:r>
      <w:r w:rsidRPr="00A534F9">
        <w:rPr>
          <w:i/>
          <w:iCs/>
          <w:lang w:eastAsia="en-GB"/>
        </w:rPr>
        <w:t xml:space="preserve"> to examine the alibi and </w:t>
      </w:r>
      <w:r>
        <w:rPr>
          <w:i/>
          <w:iCs/>
          <w:lang w:eastAsia="en-GB"/>
        </w:rPr>
        <w:t>decide whether</w:t>
      </w:r>
      <w:r w:rsidRPr="00A534F9">
        <w:rPr>
          <w:i/>
          <w:iCs/>
          <w:lang w:eastAsia="en-GB"/>
        </w:rPr>
        <w:t xml:space="preserve"> or not it </w:t>
      </w:r>
      <w:r>
        <w:rPr>
          <w:i/>
          <w:iCs/>
          <w:lang w:eastAsia="en-GB"/>
        </w:rPr>
        <w:t>has been</w:t>
      </w:r>
      <w:r w:rsidRPr="00A534F9">
        <w:rPr>
          <w:i/>
          <w:iCs/>
          <w:lang w:eastAsia="en-GB"/>
        </w:rPr>
        <w:t xml:space="preserve"> established.</w:t>
      </w:r>
      <w:r>
        <w:rPr>
          <w:i/>
          <w:iCs/>
          <w:lang w:eastAsia="en-GB"/>
        </w:rPr>
        <w:t xml:space="preserve"> </w:t>
      </w:r>
      <w:r w:rsidRPr="00A534F9">
        <w:rPr>
          <w:i/>
          <w:iCs/>
          <w:lang w:eastAsia="en-GB"/>
        </w:rPr>
        <w:t xml:space="preserve">If it has </w:t>
      </w:r>
      <w:r>
        <w:rPr>
          <w:i/>
          <w:iCs/>
          <w:lang w:eastAsia="en-GB"/>
        </w:rPr>
        <w:t>been established</w:t>
      </w:r>
      <w:r w:rsidRPr="00A534F9">
        <w:rPr>
          <w:i/>
          <w:iCs/>
          <w:lang w:eastAsia="en-GB"/>
        </w:rPr>
        <w:t xml:space="preserve"> then the accused must be acquitted. If it </w:t>
      </w:r>
      <w:r>
        <w:rPr>
          <w:i/>
          <w:iCs/>
          <w:lang w:eastAsia="en-GB"/>
        </w:rPr>
        <w:t>has not</w:t>
      </w:r>
      <w:r w:rsidRPr="00A534F9">
        <w:rPr>
          <w:i/>
          <w:iCs/>
          <w:lang w:eastAsia="en-GB"/>
        </w:rPr>
        <w:t xml:space="preserve"> been established but it appears that it may be true, </w:t>
      </w:r>
      <w:r>
        <w:rPr>
          <w:i/>
          <w:iCs/>
          <w:lang w:eastAsia="en-GB"/>
        </w:rPr>
        <w:t>then the</w:t>
      </w:r>
      <w:r w:rsidRPr="00A534F9">
        <w:rPr>
          <w:i/>
          <w:iCs/>
          <w:lang w:eastAsia="en-GB"/>
        </w:rPr>
        <w:t xml:space="preserve"> </w:t>
      </w:r>
      <w:r>
        <w:rPr>
          <w:i/>
          <w:iCs/>
          <w:lang w:eastAsia="en-GB"/>
        </w:rPr>
        <w:t>accused should</w:t>
      </w:r>
      <w:r w:rsidRPr="00A534F9">
        <w:rPr>
          <w:i/>
          <w:iCs/>
          <w:lang w:eastAsia="en-GB"/>
        </w:rPr>
        <w:t xml:space="preserve"> </w:t>
      </w:r>
      <w:r>
        <w:rPr>
          <w:i/>
          <w:iCs/>
          <w:lang w:eastAsia="en-GB"/>
        </w:rPr>
        <w:t>also be</w:t>
      </w:r>
      <w:r w:rsidRPr="00A534F9">
        <w:rPr>
          <w:i/>
          <w:iCs/>
          <w:lang w:eastAsia="en-GB"/>
        </w:rPr>
        <w:t xml:space="preserve"> acquitted since there would </w:t>
      </w:r>
      <w:r>
        <w:rPr>
          <w:i/>
          <w:iCs/>
          <w:lang w:eastAsia="en-GB"/>
        </w:rPr>
        <w:t>be doubt</w:t>
      </w:r>
      <w:r w:rsidRPr="00A534F9">
        <w:rPr>
          <w:i/>
          <w:iCs/>
          <w:lang w:eastAsia="en-GB"/>
        </w:rPr>
        <w:t xml:space="preserve"> </w:t>
      </w:r>
      <w:r>
        <w:rPr>
          <w:i/>
          <w:iCs/>
          <w:lang w:eastAsia="en-GB"/>
        </w:rPr>
        <w:t>as to whether</w:t>
      </w:r>
      <w:r w:rsidRPr="00A534F9">
        <w:rPr>
          <w:i/>
          <w:iCs/>
          <w:lang w:eastAsia="en-GB"/>
        </w:rPr>
        <w:t xml:space="preserve"> the accused is guilty or not. If </w:t>
      </w:r>
      <w:r>
        <w:rPr>
          <w:i/>
          <w:iCs/>
          <w:lang w:eastAsia="en-GB"/>
        </w:rPr>
        <w:t>the alibi</w:t>
      </w:r>
      <w:r w:rsidRPr="00A534F9">
        <w:rPr>
          <w:i/>
          <w:iCs/>
          <w:lang w:eastAsia="en-GB"/>
        </w:rPr>
        <w:t xml:space="preserve"> </w:t>
      </w:r>
      <w:r>
        <w:rPr>
          <w:i/>
          <w:iCs/>
          <w:lang w:eastAsia="en-GB"/>
        </w:rPr>
        <w:t>is clearly rejected</w:t>
      </w:r>
      <w:r w:rsidRPr="00A534F9">
        <w:rPr>
          <w:i/>
          <w:iCs/>
          <w:lang w:eastAsia="en-GB"/>
        </w:rPr>
        <w:t xml:space="preserve"> then the case for the </w:t>
      </w:r>
      <w:r>
        <w:rPr>
          <w:i/>
          <w:iCs/>
          <w:lang w:eastAsia="en-GB"/>
        </w:rPr>
        <w:t>prosecution must</w:t>
      </w:r>
      <w:r w:rsidRPr="00A534F9">
        <w:rPr>
          <w:i/>
          <w:iCs/>
          <w:lang w:eastAsia="en-GB"/>
        </w:rPr>
        <w:t xml:space="preserve"> </w:t>
      </w:r>
      <w:r>
        <w:rPr>
          <w:i/>
          <w:iCs/>
          <w:lang w:eastAsia="en-GB"/>
        </w:rPr>
        <w:t>be examined to</w:t>
      </w:r>
      <w:r w:rsidRPr="00A534F9">
        <w:rPr>
          <w:i/>
          <w:iCs/>
          <w:lang w:eastAsia="en-GB"/>
        </w:rPr>
        <w:t xml:space="preserve"> determine whether it establishes </w:t>
      </w:r>
      <w:r>
        <w:rPr>
          <w:i/>
          <w:iCs/>
          <w:lang w:eastAsia="en-GB"/>
        </w:rPr>
        <w:t>the guilt</w:t>
      </w:r>
      <w:r w:rsidRPr="00A534F9">
        <w:rPr>
          <w:i/>
          <w:iCs/>
          <w:lang w:eastAsia="en-GB"/>
        </w:rPr>
        <w:t xml:space="preserve"> </w:t>
      </w:r>
      <w:r>
        <w:rPr>
          <w:i/>
          <w:iCs/>
          <w:lang w:eastAsia="en-GB"/>
        </w:rPr>
        <w:t>of the accused</w:t>
      </w:r>
      <w:r w:rsidRPr="00A534F9">
        <w:rPr>
          <w:i/>
          <w:iCs/>
          <w:lang w:eastAsia="en-GB"/>
        </w:rPr>
        <w:t>.</w:t>
      </w:r>
      <w:r>
        <w:rPr>
          <w:i/>
          <w:iCs/>
          <w:lang w:eastAsia="en-GB"/>
        </w:rPr>
        <w:t xml:space="preserve"> </w:t>
      </w:r>
      <w:r w:rsidRPr="00A534F9">
        <w:rPr>
          <w:i/>
          <w:iCs/>
          <w:lang w:eastAsia="en-GB"/>
        </w:rPr>
        <w:t xml:space="preserve">The rejection of an alibi is not </w:t>
      </w:r>
      <w:r>
        <w:rPr>
          <w:i/>
          <w:iCs/>
          <w:lang w:eastAsia="en-GB"/>
        </w:rPr>
        <w:t>of itself</w:t>
      </w:r>
      <w:r w:rsidRPr="00A534F9">
        <w:rPr>
          <w:i/>
          <w:iCs/>
          <w:lang w:eastAsia="en-GB"/>
        </w:rPr>
        <w:t xml:space="preserve"> a ground for basing guilt. A conviction must be </w:t>
      </w:r>
      <w:r>
        <w:rPr>
          <w:i/>
          <w:iCs/>
          <w:lang w:eastAsia="en-GB"/>
        </w:rPr>
        <w:t>based on</w:t>
      </w:r>
      <w:r w:rsidRPr="00A534F9">
        <w:rPr>
          <w:i/>
          <w:iCs/>
          <w:lang w:eastAsia="en-GB"/>
        </w:rPr>
        <w:t xml:space="preserve"> the strength of </w:t>
      </w:r>
      <w:r>
        <w:rPr>
          <w:i/>
          <w:iCs/>
          <w:lang w:eastAsia="en-GB"/>
        </w:rPr>
        <w:t>the case</w:t>
      </w:r>
      <w:r w:rsidRPr="00A534F9">
        <w:rPr>
          <w:i/>
          <w:iCs/>
          <w:lang w:eastAsia="en-GB"/>
        </w:rPr>
        <w:t xml:space="preserve"> for the prosecution</w:t>
      </w:r>
      <w:r>
        <w:rPr>
          <w:i/>
          <w:iCs/>
          <w:lang w:eastAsia="en-GB"/>
        </w:rPr>
        <w:t>,</w:t>
      </w:r>
      <w:r w:rsidRPr="00A534F9">
        <w:rPr>
          <w:i/>
          <w:iCs/>
          <w:lang w:eastAsia="en-GB"/>
        </w:rPr>
        <w:t xml:space="preserve"> not </w:t>
      </w:r>
      <w:r>
        <w:rPr>
          <w:i/>
          <w:iCs/>
          <w:lang w:eastAsia="en-GB"/>
        </w:rPr>
        <w:t>the weakness</w:t>
      </w:r>
      <w:r w:rsidRPr="00A534F9">
        <w:rPr>
          <w:i/>
          <w:iCs/>
          <w:lang w:eastAsia="en-GB"/>
        </w:rPr>
        <w:t xml:space="preserve"> of the defence.</w:t>
      </w:r>
      <w:r>
        <w:rPr>
          <w:i/>
          <w:iCs/>
          <w:lang w:eastAsia="en-GB"/>
        </w:rPr>
        <w:t xml:space="preserve">” </w:t>
      </w:r>
    </w:p>
    <w:p w14:paraId="05E93EB8" w14:textId="77777777" w:rsidR="00A534F9" w:rsidRPr="00A534F9" w:rsidRDefault="00A534F9" w:rsidP="006D6EFF">
      <w:pPr>
        <w:pStyle w:val="JudgmentText"/>
        <w:numPr>
          <w:ilvl w:val="0"/>
          <w:numId w:val="0"/>
        </w:numPr>
        <w:shd w:val="clear" w:color="auto" w:fill="FFFFFF"/>
        <w:spacing w:before="15" w:after="0" w:line="276" w:lineRule="auto"/>
        <w:ind w:left="1440"/>
        <w:rPr>
          <w:rFonts w:ascii="Arial" w:hAnsi="Arial" w:cs="Arial"/>
          <w:color w:val="000000"/>
          <w:lang w:eastAsia="en-GB"/>
        </w:rPr>
      </w:pPr>
    </w:p>
    <w:p w14:paraId="169455DD" w14:textId="7E34BC7E" w:rsidR="007F503A" w:rsidRPr="007F503A" w:rsidRDefault="00A534F9" w:rsidP="006D6EFF">
      <w:pPr>
        <w:pStyle w:val="JudgmentText"/>
        <w:ind w:left="720"/>
        <w:rPr>
          <w:i/>
          <w:iCs/>
        </w:rPr>
      </w:pPr>
      <w:r>
        <w:t>This is the correct approach</w:t>
      </w:r>
      <w:r w:rsidR="00B80D36">
        <w:t>,</w:t>
      </w:r>
      <w:r>
        <w:t xml:space="preserve"> and I endorse the principles as stated. However, I fail to see </w:t>
      </w:r>
      <w:r w:rsidR="00B80D36">
        <w:t>why</w:t>
      </w:r>
      <w:r>
        <w:t xml:space="preserve"> </w:t>
      </w:r>
      <w:r w:rsidR="006877AD" w:rsidRPr="006877AD">
        <w:rPr>
          <w:i/>
          <w:iCs/>
        </w:rPr>
        <w:t>S</w:t>
      </w:r>
      <w:r w:rsidRPr="006877AD">
        <w:rPr>
          <w:i/>
          <w:iCs/>
        </w:rPr>
        <w:t xml:space="preserve">opha </w:t>
      </w:r>
      <w:r>
        <w:t>has been relied on by Mr.</w:t>
      </w:r>
      <w:r w:rsidR="006877AD">
        <w:t xml:space="preserve"> </w:t>
      </w:r>
      <w:r>
        <w:t>Camil</w:t>
      </w:r>
      <w:r w:rsidR="006877AD">
        <w:t>l</w:t>
      </w:r>
      <w:r>
        <w:t xml:space="preserve">e for the </w:t>
      </w:r>
      <w:r w:rsidR="006877AD">
        <w:t>proposition</w:t>
      </w:r>
      <w:r>
        <w:t xml:space="preserve"> that the t</w:t>
      </w:r>
      <w:r w:rsidR="006877AD">
        <w:t xml:space="preserve">rial </w:t>
      </w:r>
      <w:r>
        <w:t>j</w:t>
      </w:r>
      <w:r w:rsidR="006877AD">
        <w:t xml:space="preserve">udge </w:t>
      </w:r>
      <w:r>
        <w:t xml:space="preserve">in the </w:t>
      </w:r>
      <w:r w:rsidR="006877AD">
        <w:t>present</w:t>
      </w:r>
      <w:r>
        <w:t xml:space="preserve"> case </w:t>
      </w:r>
      <w:r w:rsidR="006877AD">
        <w:t xml:space="preserve">did not satisfy himself that the prosecution had proved its case beyond reasonable doubt. </w:t>
      </w:r>
      <w:r>
        <w:t xml:space="preserve"> </w:t>
      </w:r>
      <w:r w:rsidR="006877AD">
        <w:t xml:space="preserve">The learned trial judge stated that he believed the </w:t>
      </w:r>
      <w:r w:rsidR="00B80D36">
        <w:t>complainant's evidence and that the prosecution had proved its case beyond reasonable doubt; he only added</w:t>
      </w:r>
      <w:r w:rsidR="006877AD">
        <w:t xml:space="preserve"> that the alibi did not cast doubt on the complainant’s evidence</w:t>
      </w:r>
      <w:r w:rsidR="007F503A">
        <w:t xml:space="preserve">. </w:t>
      </w:r>
    </w:p>
    <w:p w14:paraId="12D3EB5A" w14:textId="3F98A638" w:rsidR="00D03494" w:rsidRPr="00D03494" w:rsidRDefault="00CB2331" w:rsidP="006D6EFF">
      <w:pPr>
        <w:pStyle w:val="JudgmentText"/>
        <w:ind w:left="720"/>
        <w:rPr>
          <w:i/>
          <w:iCs/>
        </w:rPr>
      </w:pPr>
      <w:r>
        <w:t xml:space="preserve">I accept that a misdirection as to the burden of proof can be fatal to a conviction. </w:t>
      </w:r>
      <w:r w:rsidR="00696A9B">
        <w:t>Where</w:t>
      </w:r>
      <w:r w:rsidR="00D03494">
        <w:t xml:space="preserve"> </w:t>
      </w:r>
      <w:r w:rsidR="00696A9B">
        <w:t xml:space="preserve">an alibi is raised, there is no burden on the accused – the burden is on the prosecution to negative the alibi beyond reasonable doubt. </w:t>
      </w:r>
      <w:r w:rsidR="00D53674">
        <w:t>Generally,</w:t>
      </w:r>
      <w:r w:rsidR="00D03494">
        <w:t xml:space="preserve"> with or without an alibi, and </w:t>
      </w:r>
      <w:r w:rsidR="00D53674">
        <w:t>notwithstanding</w:t>
      </w:r>
      <w:r w:rsidR="00D03494">
        <w:t xml:space="preserve"> any defence, the </w:t>
      </w:r>
      <w:r w:rsidR="00D53674">
        <w:t>prosecution</w:t>
      </w:r>
      <w:r w:rsidR="00D03494">
        <w:t xml:space="preserve"> still has the burden to prove its case beyond </w:t>
      </w:r>
      <w:r w:rsidR="00D53674">
        <w:t>reasonable</w:t>
      </w:r>
      <w:r w:rsidR="00D03494">
        <w:t xml:space="preserve"> doubt.</w:t>
      </w:r>
      <w:r w:rsidR="00D53674">
        <w:rPr>
          <w:rStyle w:val="FootnoteReference"/>
        </w:rPr>
        <w:footnoteReference w:id="15"/>
      </w:r>
      <w:r w:rsidR="00D03494">
        <w:rPr>
          <w:i/>
          <w:iCs/>
        </w:rPr>
        <w:t xml:space="preserve"> </w:t>
      </w:r>
      <w:r w:rsidR="00D03494" w:rsidRPr="00D03494">
        <w:t xml:space="preserve">The accused </w:t>
      </w:r>
      <w:r w:rsidR="00D03494">
        <w:t>never has to prove</w:t>
      </w:r>
      <w:r w:rsidR="00D03494" w:rsidRPr="00D03494">
        <w:t xml:space="preserve"> his innocence. </w:t>
      </w:r>
    </w:p>
    <w:p w14:paraId="62BE3985" w14:textId="1AD5CA42" w:rsidR="00CB2331" w:rsidRPr="00B7005D" w:rsidRDefault="00CB2331" w:rsidP="006D6EFF">
      <w:pPr>
        <w:pStyle w:val="JudgmentText"/>
        <w:ind w:left="720"/>
        <w:rPr>
          <w:i/>
          <w:iCs/>
        </w:rPr>
      </w:pPr>
      <w:r>
        <w:t>In the present case, it would</w:t>
      </w:r>
      <w:r w:rsidR="007F503A">
        <w:t xml:space="preserve"> have been better for the trial judge to have stated separately that he rejected the alibi evidence and that the prosecution had proved its case beyond reasonable doubt. What is </w:t>
      </w:r>
      <w:r w:rsidR="00D03494">
        <w:t>essential</w:t>
      </w:r>
      <w:r>
        <w:t>,</w:t>
      </w:r>
      <w:r w:rsidR="007F503A">
        <w:t xml:space="preserve"> however</w:t>
      </w:r>
      <w:r w:rsidR="00EF69E8">
        <w:t>,</w:t>
      </w:r>
      <w:r w:rsidR="007F503A">
        <w:t xml:space="preserve"> is that the judge di</w:t>
      </w:r>
      <w:r>
        <w:t>d</w:t>
      </w:r>
      <w:r w:rsidR="007F503A">
        <w:t xml:space="preserve"> not shift </w:t>
      </w:r>
      <w:r>
        <w:t xml:space="preserve">the burden of </w:t>
      </w:r>
      <w:r>
        <w:lastRenderedPageBreak/>
        <w:t xml:space="preserve">proof onto the defence. Similarly to the case of </w:t>
      </w:r>
      <w:r w:rsidRPr="00D03494">
        <w:rPr>
          <w:i/>
          <w:iCs/>
        </w:rPr>
        <w:t>Sopha</w:t>
      </w:r>
      <w:r>
        <w:t>, there was no miscarriage of justice</w:t>
      </w:r>
      <w:r w:rsidR="00D53674">
        <w:t>,</w:t>
      </w:r>
      <w:r>
        <w:t xml:space="preserve"> and the proviso in</w:t>
      </w:r>
      <w:r w:rsidR="007F503A">
        <w:t xml:space="preserve"> </w:t>
      </w:r>
      <w:r w:rsidRPr="00D03494">
        <w:rPr>
          <w:lang w:val="en"/>
        </w:rPr>
        <w:t>section 344 of the Criminal Procedure Code can be applied</w:t>
      </w:r>
      <w:r w:rsidR="00B7005D">
        <w:rPr>
          <w:lang w:val="en"/>
        </w:rPr>
        <w:t>.</w:t>
      </w:r>
    </w:p>
    <w:p w14:paraId="16BCFCFA" w14:textId="2FA3C2A1" w:rsidR="00B7005D" w:rsidRPr="00CD1F08" w:rsidRDefault="00CD1F08" w:rsidP="00B7005D">
      <w:pPr>
        <w:pStyle w:val="Jjmntheading1"/>
      </w:pPr>
      <w:r>
        <w:t>Notice of alibi defence</w:t>
      </w:r>
    </w:p>
    <w:p w14:paraId="67E2D415" w14:textId="37753A32" w:rsidR="007C4E0E" w:rsidRPr="007C4E0E" w:rsidRDefault="00CB2331" w:rsidP="006D6EFF">
      <w:pPr>
        <w:pStyle w:val="JudgmentText"/>
        <w:ind w:left="720"/>
        <w:rPr>
          <w:i/>
          <w:iCs/>
        </w:rPr>
      </w:pPr>
      <w:r>
        <w:rPr>
          <w:lang w:val="en"/>
        </w:rPr>
        <w:t xml:space="preserve">There is another matter relating to the alibi defence that I wish to </w:t>
      </w:r>
      <w:r w:rsidR="003D372A">
        <w:rPr>
          <w:lang w:val="en"/>
        </w:rPr>
        <w:t>raise</w:t>
      </w:r>
      <w:r w:rsidR="006D6EFF">
        <w:rPr>
          <w:lang w:val="en"/>
        </w:rPr>
        <w:t xml:space="preserve"> </w:t>
      </w:r>
      <w:r w:rsidR="003D372A">
        <w:rPr>
          <w:lang w:val="en"/>
        </w:rPr>
        <w:t>- if only to address the expediency of trials.</w:t>
      </w:r>
      <w:r>
        <w:rPr>
          <w:lang w:val="en"/>
        </w:rPr>
        <w:t xml:space="preserve"> This concerns notice of</w:t>
      </w:r>
      <w:r w:rsidR="00A913BE">
        <w:rPr>
          <w:lang w:val="en"/>
        </w:rPr>
        <w:t xml:space="preserve"> </w:t>
      </w:r>
      <w:r>
        <w:rPr>
          <w:lang w:val="en"/>
        </w:rPr>
        <w:t>a</w:t>
      </w:r>
      <w:r w:rsidR="00B80D36">
        <w:rPr>
          <w:lang w:val="en"/>
        </w:rPr>
        <w:t>n alibi</w:t>
      </w:r>
      <w:r>
        <w:rPr>
          <w:lang w:val="en"/>
        </w:rPr>
        <w:t xml:space="preserve"> </w:t>
      </w:r>
      <w:r w:rsidR="004A6F45">
        <w:rPr>
          <w:lang w:val="en"/>
        </w:rPr>
        <w:t xml:space="preserve">to the </w:t>
      </w:r>
      <w:r w:rsidR="00A913BE">
        <w:rPr>
          <w:lang w:val="en"/>
        </w:rPr>
        <w:t>prosecution</w:t>
      </w:r>
      <w:r w:rsidR="004A6F45">
        <w:rPr>
          <w:lang w:val="en"/>
        </w:rPr>
        <w:t xml:space="preserve">. </w:t>
      </w:r>
      <w:r w:rsidR="00D53674">
        <w:t>When</w:t>
      </w:r>
      <w:r w:rsidR="007C4E0E" w:rsidRPr="007C4E0E">
        <w:t xml:space="preserve"> this trial </w:t>
      </w:r>
      <w:r w:rsidR="006D6EFF">
        <w:t>occurred</w:t>
      </w:r>
      <w:r w:rsidR="007C4E0E" w:rsidRPr="007C4E0E">
        <w:t xml:space="preserve">, Practice Directions </w:t>
      </w:r>
      <w:r w:rsidR="007C4E0E" w:rsidRPr="007C4E0E">
        <w:rPr>
          <w:shd w:val="clear" w:color="auto" w:fill="F8F8F8"/>
        </w:rPr>
        <w:t>No. 3 of 2017 were in force.</w:t>
      </w:r>
      <w:r w:rsidR="007C4E0E" w:rsidRPr="007C4E0E">
        <w:rPr>
          <w:rStyle w:val="FootnoteReference"/>
          <w:shd w:val="clear" w:color="auto" w:fill="F8F8F8"/>
        </w:rPr>
        <w:footnoteReference w:id="16"/>
      </w:r>
      <w:r w:rsidR="007C4E0E" w:rsidRPr="007C4E0E">
        <w:rPr>
          <w:shd w:val="clear" w:color="auto" w:fill="F8F8F8"/>
        </w:rPr>
        <w:t xml:space="preserve"> These directions required the accused to provide a list of witnesses and </w:t>
      </w:r>
      <w:r w:rsidR="003D372A">
        <w:rPr>
          <w:shd w:val="clear" w:color="auto" w:fill="F8F8F8"/>
        </w:rPr>
        <w:t xml:space="preserve">indicate what elements of the offence would be disputed at trial – in other words, what </w:t>
      </w:r>
      <w:r w:rsidR="00D53674">
        <w:rPr>
          <w:shd w:val="clear" w:color="auto" w:fill="F8F8F8"/>
        </w:rPr>
        <w:t>his defence to the offence w</w:t>
      </w:r>
      <w:r w:rsidR="00604061">
        <w:rPr>
          <w:shd w:val="clear" w:color="auto" w:fill="F8F8F8"/>
        </w:rPr>
        <w:t>ould be</w:t>
      </w:r>
      <w:r w:rsidR="00D53674">
        <w:rPr>
          <w:shd w:val="clear" w:color="auto" w:fill="F8F8F8"/>
        </w:rPr>
        <w:t>.</w:t>
      </w:r>
      <w:r w:rsidR="007C4E0E" w:rsidRPr="007C4E0E">
        <w:rPr>
          <w:shd w:val="clear" w:color="auto" w:fill="F8F8F8"/>
        </w:rPr>
        <w:t xml:space="preserve"> </w:t>
      </w:r>
    </w:p>
    <w:p w14:paraId="21C6225C" w14:textId="7E92FD9B" w:rsidR="00E33477" w:rsidRPr="007C4E0E" w:rsidRDefault="004A6F45" w:rsidP="006D6EFF">
      <w:pPr>
        <w:pStyle w:val="JudgmentText"/>
        <w:ind w:left="720"/>
        <w:rPr>
          <w:i/>
          <w:iCs/>
        </w:rPr>
      </w:pPr>
      <w:r>
        <w:rPr>
          <w:lang w:val="en"/>
        </w:rPr>
        <w:t xml:space="preserve">The </w:t>
      </w:r>
      <w:r w:rsidR="00A913BE">
        <w:rPr>
          <w:lang w:val="en"/>
        </w:rPr>
        <w:t>transcript</w:t>
      </w:r>
      <w:r>
        <w:rPr>
          <w:lang w:val="en"/>
        </w:rPr>
        <w:t xml:space="preserve"> of proceedings </w:t>
      </w:r>
      <w:r w:rsidR="00A913BE">
        <w:rPr>
          <w:lang w:val="en"/>
        </w:rPr>
        <w:t>reveals</w:t>
      </w:r>
      <w:r>
        <w:rPr>
          <w:lang w:val="en"/>
        </w:rPr>
        <w:t xml:space="preserve"> that </w:t>
      </w:r>
      <w:r w:rsidR="00A913BE">
        <w:rPr>
          <w:lang w:val="en"/>
        </w:rPr>
        <w:t xml:space="preserve">during a pleas and direction hearing held on 31 July 2020, Counsel for the accused indicated that only the accused would be testifying. Subsequently, at a pretrial review on 9 November 2020, Counsel for </w:t>
      </w:r>
      <w:r w:rsidR="00EF69E8">
        <w:rPr>
          <w:lang w:val="en"/>
        </w:rPr>
        <w:t>the</w:t>
      </w:r>
      <w:r w:rsidR="00A913BE">
        <w:rPr>
          <w:lang w:val="en"/>
        </w:rPr>
        <w:t xml:space="preserve"> </w:t>
      </w:r>
      <w:r w:rsidR="00EF69E8">
        <w:rPr>
          <w:lang w:val="en"/>
        </w:rPr>
        <w:t>accused</w:t>
      </w:r>
      <w:r w:rsidR="00A913BE">
        <w:rPr>
          <w:lang w:val="en"/>
        </w:rPr>
        <w:t xml:space="preserve"> </w:t>
      </w:r>
      <w:r w:rsidR="006D6EFF">
        <w:rPr>
          <w:lang w:val="en"/>
        </w:rPr>
        <w:t>revealed</w:t>
      </w:r>
      <w:r w:rsidR="00A913BE">
        <w:rPr>
          <w:lang w:val="en"/>
        </w:rPr>
        <w:t xml:space="preserve"> that he </w:t>
      </w:r>
      <w:r w:rsidR="00EF69E8">
        <w:rPr>
          <w:lang w:val="en"/>
        </w:rPr>
        <w:t>would have</w:t>
      </w:r>
      <w:r w:rsidR="00A913BE">
        <w:rPr>
          <w:lang w:val="en"/>
        </w:rPr>
        <w:t xml:space="preserve"> </w:t>
      </w:r>
      <w:r w:rsidR="00EF69E8">
        <w:rPr>
          <w:lang w:val="en"/>
        </w:rPr>
        <w:t xml:space="preserve">two </w:t>
      </w:r>
      <w:r w:rsidR="00A913BE">
        <w:rPr>
          <w:lang w:val="en"/>
        </w:rPr>
        <w:t>witnesses</w:t>
      </w:r>
      <w:r w:rsidR="00EF69E8">
        <w:rPr>
          <w:lang w:val="en"/>
        </w:rPr>
        <w:t>.</w:t>
      </w:r>
      <w:r w:rsidR="00A913BE">
        <w:rPr>
          <w:lang w:val="en"/>
        </w:rPr>
        <w:t xml:space="preserve"> </w:t>
      </w:r>
      <w:r w:rsidR="00EF69E8">
        <w:rPr>
          <w:lang w:val="en"/>
        </w:rPr>
        <w:t>Details</w:t>
      </w:r>
      <w:r w:rsidR="00A913BE">
        <w:rPr>
          <w:lang w:val="en"/>
        </w:rPr>
        <w:t xml:space="preserve"> of the </w:t>
      </w:r>
      <w:r w:rsidR="00EF69E8">
        <w:rPr>
          <w:lang w:val="en"/>
        </w:rPr>
        <w:t>defence</w:t>
      </w:r>
      <w:r w:rsidR="00A913BE">
        <w:rPr>
          <w:lang w:val="en"/>
        </w:rPr>
        <w:t xml:space="preserve"> disclosed were that </w:t>
      </w:r>
      <w:r w:rsidR="00F93D78">
        <w:rPr>
          <w:lang w:val="en"/>
        </w:rPr>
        <w:t>“</w:t>
      </w:r>
      <w:r w:rsidR="007C4E0E">
        <w:rPr>
          <w:lang w:val="en"/>
        </w:rPr>
        <w:t>all</w:t>
      </w:r>
      <w:r w:rsidR="00A913BE">
        <w:rPr>
          <w:lang w:val="en"/>
        </w:rPr>
        <w:t xml:space="preserve"> the </w:t>
      </w:r>
      <w:r w:rsidR="00EF69E8">
        <w:rPr>
          <w:lang w:val="en"/>
        </w:rPr>
        <w:t>elements</w:t>
      </w:r>
      <w:r w:rsidR="00A913BE">
        <w:rPr>
          <w:lang w:val="en"/>
        </w:rPr>
        <w:t xml:space="preserve"> of the </w:t>
      </w:r>
      <w:r w:rsidR="00EF69E8">
        <w:rPr>
          <w:lang w:val="en"/>
        </w:rPr>
        <w:t>offence</w:t>
      </w:r>
      <w:r w:rsidR="00A913BE">
        <w:rPr>
          <w:lang w:val="en"/>
        </w:rPr>
        <w:t xml:space="preserve"> w</w:t>
      </w:r>
      <w:r w:rsidR="00EF69E8">
        <w:rPr>
          <w:lang w:val="en"/>
        </w:rPr>
        <w:t>ould</w:t>
      </w:r>
      <w:r w:rsidR="00A913BE">
        <w:rPr>
          <w:lang w:val="en"/>
        </w:rPr>
        <w:t xml:space="preserve"> </w:t>
      </w:r>
      <w:r w:rsidR="00EF69E8">
        <w:rPr>
          <w:lang w:val="en"/>
        </w:rPr>
        <w:t>be</w:t>
      </w:r>
      <w:r w:rsidR="00A913BE">
        <w:rPr>
          <w:lang w:val="en"/>
        </w:rPr>
        <w:t xml:space="preserve"> disputed.</w:t>
      </w:r>
      <w:r w:rsidR="00F93D78">
        <w:rPr>
          <w:lang w:val="en"/>
        </w:rPr>
        <w:t>”</w:t>
      </w:r>
      <w:r w:rsidR="00A913BE">
        <w:rPr>
          <w:lang w:val="en"/>
        </w:rPr>
        <w:t xml:space="preserve">  </w:t>
      </w:r>
      <w:r w:rsidR="00EF69E8">
        <w:rPr>
          <w:lang w:val="en"/>
        </w:rPr>
        <w:t>A</w:t>
      </w:r>
      <w:r w:rsidR="00C71DC7">
        <w:rPr>
          <w:lang w:val="en"/>
        </w:rPr>
        <w:t>n</w:t>
      </w:r>
      <w:r w:rsidR="00EF69E8">
        <w:rPr>
          <w:lang w:val="en"/>
        </w:rPr>
        <w:t xml:space="preserve"> alibi was not indicated.</w:t>
      </w:r>
      <w:r w:rsidR="00A913BE">
        <w:rPr>
          <w:lang w:val="en"/>
        </w:rPr>
        <w:t xml:space="preserve"> </w:t>
      </w:r>
      <w:r w:rsidR="00CB2331">
        <w:rPr>
          <w:lang w:val="en"/>
        </w:rPr>
        <w:t xml:space="preserve"> </w:t>
      </w:r>
      <w:r w:rsidR="00534EF7">
        <w:rPr>
          <w:lang w:val="en"/>
        </w:rPr>
        <w:t xml:space="preserve">It was only when the defendant testified that it became clear that his defence was </w:t>
      </w:r>
      <w:r w:rsidR="00F93D78">
        <w:rPr>
          <w:lang w:val="en"/>
        </w:rPr>
        <w:t xml:space="preserve">essentially </w:t>
      </w:r>
      <w:r w:rsidR="00534EF7">
        <w:rPr>
          <w:lang w:val="en"/>
        </w:rPr>
        <w:t xml:space="preserve">an alibi. </w:t>
      </w:r>
    </w:p>
    <w:p w14:paraId="45D2B654" w14:textId="4A1A6AF0" w:rsidR="007C4E0E" w:rsidRPr="007C4E0E" w:rsidRDefault="00F93D78" w:rsidP="006D6EFF">
      <w:pPr>
        <w:pStyle w:val="JudgmentText"/>
        <w:ind w:left="720"/>
        <w:rPr>
          <w:i/>
          <w:iCs/>
        </w:rPr>
      </w:pPr>
      <w:r>
        <w:t>In the circumstances, the prosecution had no opportunity to verify the alibi. I</w:t>
      </w:r>
      <w:r w:rsidR="007C4E0E">
        <w:t xml:space="preserve">n this regard, section 5 of the Evidence Act provides in relevant part: </w:t>
      </w:r>
    </w:p>
    <w:p w14:paraId="6B558DE3" w14:textId="09CA7E91" w:rsidR="007C4E0E" w:rsidRPr="003D372A" w:rsidRDefault="007C4E0E" w:rsidP="006D6EFF">
      <w:pPr>
        <w:pStyle w:val="NormalWeb"/>
        <w:shd w:val="clear" w:color="auto" w:fill="FFFFFF"/>
        <w:spacing w:before="0" w:beforeAutospacing="0" w:after="0"/>
        <w:ind w:left="1440"/>
        <w:jc w:val="both"/>
        <w:rPr>
          <w:rFonts w:eastAsia="SimSun"/>
          <w:iCs/>
          <w:color w:val="000000" w:themeColor="text1"/>
        </w:rPr>
      </w:pPr>
      <w:r w:rsidRPr="007C4E0E">
        <w:rPr>
          <w:rStyle w:val="akn-p"/>
          <w:rFonts w:eastAsia="SimSun"/>
          <w:i/>
          <w:color w:val="000000" w:themeColor="text1"/>
          <w:sz w:val="22"/>
          <w:szCs w:val="22"/>
        </w:rPr>
        <w:t>“</w:t>
      </w:r>
      <w:r w:rsidRPr="003D372A">
        <w:rPr>
          <w:rStyle w:val="akn-p"/>
          <w:rFonts w:eastAsia="SimSun"/>
          <w:i/>
          <w:color w:val="000000" w:themeColor="text1"/>
        </w:rPr>
        <w:t>Whenever the Republic or any other party to a </w:t>
      </w:r>
      <w:hyperlink r:id="rId8" w:anchor="defn-term-trial" w:history="1">
        <w:r w:rsidRPr="003D372A">
          <w:rPr>
            <w:rStyle w:val="Hyperlink"/>
            <w:i/>
            <w:color w:val="000000" w:themeColor="text1"/>
            <w:u w:val="none"/>
          </w:rPr>
          <w:t>trial</w:t>
        </w:r>
      </w:hyperlink>
      <w:r w:rsidRPr="003D372A">
        <w:rPr>
          <w:rStyle w:val="akn-p"/>
          <w:rFonts w:eastAsia="SimSun"/>
          <w:i/>
          <w:color w:val="000000" w:themeColor="text1"/>
        </w:rPr>
        <w:t> is required by any law or rule of </w:t>
      </w:r>
      <w:hyperlink r:id="rId9" w:anchor="defn-term-court" w:history="1">
        <w:r w:rsidRPr="003D372A">
          <w:rPr>
            <w:rStyle w:val="Hyperlink"/>
            <w:i/>
            <w:color w:val="000000" w:themeColor="text1"/>
            <w:u w:val="none"/>
          </w:rPr>
          <w:t>court</w:t>
        </w:r>
      </w:hyperlink>
      <w:r w:rsidRPr="003D372A">
        <w:rPr>
          <w:rStyle w:val="akn-p"/>
          <w:rFonts w:eastAsia="SimSun"/>
          <w:i/>
          <w:color w:val="000000" w:themeColor="text1"/>
        </w:rPr>
        <w:t> in force in Seychelles to file a list of witnesses or give a notice of facts, if at the </w:t>
      </w:r>
      <w:hyperlink r:id="rId10" w:anchor="defn-term-trial" w:history="1">
        <w:r w:rsidRPr="003D372A">
          <w:rPr>
            <w:rStyle w:val="Hyperlink"/>
            <w:i/>
            <w:color w:val="000000" w:themeColor="text1"/>
            <w:u w:val="none"/>
          </w:rPr>
          <w:t>trial</w:t>
        </w:r>
      </w:hyperlink>
      <w:r w:rsidRPr="003D372A">
        <w:rPr>
          <w:rStyle w:val="akn-p"/>
          <w:rFonts w:eastAsia="SimSun"/>
          <w:i/>
          <w:color w:val="000000" w:themeColor="text1"/>
        </w:rPr>
        <w:t> witnesses be tendered whose names have not been included in such list, or who have not been sufficiently described therein, or if </w:t>
      </w:r>
      <w:hyperlink r:id="rId11" w:anchor="defn-term-evidence" w:history="1">
        <w:r w:rsidRPr="003D372A">
          <w:rPr>
            <w:rStyle w:val="Hyperlink"/>
            <w:i/>
            <w:color w:val="000000" w:themeColor="text1"/>
            <w:u w:val="none"/>
          </w:rPr>
          <w:t>evidence</w:t>
        </w:r>
      </w:hyperlink>
      <w:r w:rsidRPr="003D372A">
        <w:rPr>
          <w:rStyle w:val="akn-p"/>
          <w:rFonts w:eastAsia="SimSun"/>
          <w:i/>
          <w:color w:val="000000" w:themeColor="text1"/>
        </w:rPr>
        <w:t xml:space="preserve"> be tendered of a fact omitted from or not sufficiently set out in such notice of facts, or if such lists or notice shall not have been filed or given within the time fixed by law, </w:t>
      </w:r>
      <w:r w:rsidRPr="003D372A">
        <w:rPr>
          <w:rStyle w:val="akn-p"/>
          <w:rFonts w:eastAsia="SimSun"/>
          <w:i/>
          <w:color w:val="000000" w:themeColor="text1"/>
          <w:u w:val="single"/>
        </w:rPr>
        <w:t>it shall not be lawful for the </w:t>
      </w:r>
      <w:hyperlink r:id="rId12" w:anchor="defn-term-court" w:history="1">
        <w:r w:rsidRPr="003D372A">
          <w:rPr>
            <w:rStyle w:val="Hyperlink"/>
            <w:i/>
            <w:color w:val="000000" w:themeColor="text1"/>
          </w:rPr>
          <w:t>court</w:t>
        </w:r>
      </w:hyperlink>
      <w:r w:rsidRPr="003D372A">
        <w:rPr>
          <w:rStyle w:val="akn-p"/>
          <w:rFonts w:eastAsia="SimSun"/>
          <w:i/>
          <w:color w:val="000000" w:themeColor="text1"/>
          <w:u w:val="single"/>
        </w:rPr>
        <w:t> to reject the proof of such facts or refuse the witnesses offered merely on the ground that such notice of facts, list or description of witnesses has not been served in time</w:t>
      </w:r>
      <w:r w:rsidRPr="003D372A">
        <w:rPr>
          <w:rStyle w:val="akn-p"/>
          <w:rFonts w:eastAsia="SimSun"/>
          <w:i/>
          <w:color w:val="000000" w:themeColor="text1"/>
        </w:rPr>
        <w:t>, provided the </w:t>
      </w:r>
      <w:hyperlink r:id="rId13" w:anchor="defn-term-court" w:history="1">
        <w:r w:rsidRPr="003D372A">
          <w:rPr>
            <w:rStyle w:val="Hyperlink"/>
            <w:i/>
            <w:color w:val="000000" w:themeColor="text1"/>
            <w:u w:val="none"/>
          </w:rPr>
          <w:t>court</w:t>
        </w:r>
      </w:hyperlink>
      <w:r w:rsidRPr="003D372A">
        <w:rPr>
          <w:rStyle w:val="akn-p"/>
          <w:rFonts w:eastAsia="SimSun"/>
          <w:i/>
          <w:color w:val="000000" w:themeColor="text1"/>
        </w:rPr>
        <w:t xml:space="preserve"> is satisfied that there has been no mala fides, </w:t>
      </w:r>
      <w:r w:rsidRPr="003D372A">
        <w:rPr>
          <w:rStyle w:val="akn-p"/>
          <w:rFonts w:eastAsia="SimSun"/>
          <w:i/>
          <w:color w:val="000000" w:themeColor="text1"/>
          <w:u w:val="single"/>
        </w:rPr>
        <w:t>but the </w:t>
      </w:r>
      <w:hyperlink r:id="rId14" w:anchor="defn-term-court" w:history="1">
        <w:r w:rsidRPr="003D372A">
          <w:rPr>
            <w:rStyle w:val="Hyperlink"/>
            <w:i/>
            <w:color w:val="000000" w:themeColor="text1"/>
          </w:rPr>
          <w:t>court</w:t>
        </w:r>
      </w:hyperlink>
      <w:r w:rsidRPr="003D372A">
        <w:rPr>
          <w:rStyle w:val="akn-p"/>
          <w:rFonts w:eastAsia="SimSun"/>
          <w:i/>
          <w:color w:val="000000" w:themeColor="text1"/>
          <w:u w:val="single"/>
        </w:rPr>
        <w:t> shall be at liberty to postpone the </w:t>
      </w:r>
      <w:hyperlink r:id="rId15" w:anchor="defn-term-trial" w:history="1">
        <w:r w:rsidRPr="003D372A">
          <w:rPr>
            <w:rStyle w:val="Hyperlink"/>
            <w:i/>
            <w:color w:val="000000" w:themeColor="text1"/>
          </w:rPr>
          <w:t>trial</w:t>
        </w:r>
      </w:hyperlink>
      <w:r w:rsidRPr="003D372A">
        <w:rPr>
          <w:rStyle w:val="akn-p"/>
          <w:rFonts w:eastAsia="SimSun"/>
          <w:i/>
          <w:color w:val="000000" w:themeColor="text1"/>
          <w:u w:val="single"/>
        </w:rPr>
        <w:t> with such terms as to costs, if any, as to the </w:t>
      </w:r>
      <w:hyperlink r:id="rId16" w:anchor="defn-term-court" w:history="1">
        <w:r w:rsidRPr="003D372A">
          <w:rPr>
            <w:rStyle w:val="Hyperlink"/>
            <w:i/>
            <w:color w:val="000000" w:themeColor="text1"/>
          </w:rPr>
          <w:t>court</w:t>
        </w:r>
      </w:hyperlink>
      <w:r w:rsidRPr="003D372A">
        <w:rPr>
          <w:rStyle w:val="akn-p"/>
          <w:rFonts w:eastAsia="SimSun"/>
          <w:i/>
          <w:color w:val="000000" w:themeColor="text1"/>
          <w:u w:val="single"/>
        </w:rPr>
        <w:t> may seem ju</w:t>
      </w:r>
      <w:r w:rsidRPr="003D372A">
        <w:rPr>
          <w:rStyle w:val="akn-p"/>
          <w:rFonts w:eastAsia="SimSun"/>
          <w:i/>
          <w:color w:val="000000" w:themeColor="text1"/>
        </w:rPr>
        <w:t>s</w:t>
      </w:r>
      <w:r w:rsidR="003D372A">
        <w:rPr>
          <w:rStyle w:val="akn-p"/>
          <w:rFonts w:eastAsia="SimSun"/>
          <w:i/>
          <w:color w:val="000000" w:themeColor="text1"/>
        </w:rPr>
        <w:t>t…</w:t>
      </w:r>
      <w:r w:rsidR="00604061" w:rsidRPr="003D372A">
        <w:rPr>
          <w:rStyle w:val="akn-p"/>
          <w:rFonts w:eastAsia="SimSun"/>
          <w:i/>
          <w:color w:val="000000" w:themeColor="text1"/>
        </w:rPr>
        <w:t>”</w:t>
      </w:r>
      <w:r w:rsidRPr="003D372A">
        <w:rPr>
          <w:rStyle w:val="akn-p"/>
          <w:rFonts w:eastAsia="SimSun"/>
          <w:i/>
          <w:color w:val="000000" w:themeColor="text1"/>
        </w:rPr>
        <w:t xml:space="preserve"> </w:t>
      </w:r>
      <w:r w:rsidR="003D372A">
        <w:rPr>
          <w:rStyle w:val="akn-p"/>
          <w:rFonts w:eastAsia="SimSun"/>
          <w:iCs/>
          <w:color w:val="000000" w:themeColor="text1"/>
        </w:rPr>
        <w:t>(emphasis added)</w:t>
      </w:r>
    </w:p>
    <w:p w14:paraId="02CE82B0" w14:textId="1C31C3AE" w:rsidR="00F93D78" w:rsidRPr="00F93D78" w:rsidRDefault="00C71DC7" w:rsidP="006D6EFF">
      <w:pPr>
        <w:pStyle w:val="JudgmentText"/>
        <w:ind w:left="720"/>
        <w:rPr>
          <w:i/>
          <w:iCs/>
        </w:rPr>
      </w:pPr>
      <w:r>
        <w:t xml:space="preserve">Whereas section 5 does not </w:t>
      </w:r>
      <w:r w:rsidR="00833AC5">
        <w:t>permit</w:t>
      </w:r>
      <w:r>
        <w:t xml:space="preserve"> the </w:t>
      </w:r>
      <w:r w:rsidR="00833AC5">
        <w:t>court</w:t>
      </w:r>
      <w:r>
        <w:t xml:space="preserve"> to rej</w:t>
      </w:r>
      <w:r w:rsidR="00833AC5">
        <w:t>e</w:t>
      </w:r>
      <w:r>
        <w:t xml:space="preserve">ct an </w:t>
      </w:r>
      <w:r w:rsidR="00833AC5">
        <w:t>a</w:t>
      </w:r>
      <w:r>
        <w:t xml:space="preserve">libi as </w:t>
      </w:r>
      <w:r w:rsidR="00833AC5">
        <w:t xml:space="preserve">a </w:t>
      </w:r>
      <w:r>
        <w:t xml:space="preserve">defence </w:t>
      </w:r>
      <w:r w:rsidR="00833AC5">
        <w:t>when no notice of the same has been given</w:t>
      </w:r>
      <w:r w:rsidR="00534EF7">
        <w:t xml:space="preserve"> </w:t>
      </w:r>
      <w:r w:rsidR="00833AC5">
        <w:t xml:space="preserve">by the accused </w:t>
      </w:r>
      <w:r>
        <w:t>(except in cases of bad faith)</w:t>
      </w:r>
      <w:r w:rsidR="00833AC5">
        <w:t>,</w:t>
      </w:r>
      <w:r>
        <w:t xml:space="preserve"> it </w:t>
      </w:r>
      <w:r w:rsidR="00833AC5">
        <w:t>could</w:t>
      </w:r>
      <w:r>
        <w:t xml:space="preserve"> </w:t>
      </w:r>
      <w:r w:rsidR="00833AC5">
        <w:t xml:space="preserve">have </w:t>
      </w:r>
      <w:r>
        <w:t>adjourned the matter for the pros</w:t>
      </w:r>
      <w:r w:rsidR="00534EF7">
        <w:t>e</w:t>
      </w:r>
      <w:r>
        <w:t>cution</w:t>
      </w:r>
      <w:r w:rsidR="00833AC5">
        <w:t xml:space="preserve"> </w:t>
      </w:r>
      <w:r>
        <w:t xml:space="preserve">to </w:t>
      </w:r>
      <w:r w:rsidR="00833AC5">
        <w:t>verify the</w:t>
      </w:r>
      <w:r>
        <w:t xml:space="preserve"> alibi</w:t>
      </w:r>
      <w:r w:rsidR="006D6EFF">
        <w:t>.</w:t>
      </w:r>
      <w:r>
        <w:t xml:space="preserve"> </w:t>
      </w:r>
      <w:r w:rsidR="006D6EFF">
        <w:t>Several cameras in Victoria</w:t>
      </w:r>
      <w:r>
        <w:t xml:space="preserve"> </w:t>
      </w:r>
      <w:r>
        <w:lastRenderedPageBreak/>
        <w:t xml:space="preserve">would have recorded </w:t>
      </w:r>
      <w:r w:rsidR="00B80D36">
        <w:t>the accused’s</w:t>
      </w:r>
      <w:r>
        <w:t xml:space="preserve"> vehicle being towed on 10 Febr</w:t>
      </w:r>
      <w:r w:rsidR="00833AC5">
        <w:t>u</w:t>
      </w:r>
      <w:r>
        <w:t>ary 20</w:t>
      </w:r>
      <w:r w:rsidR="00833AC5">
        <w:t>19.</w:t>
      </w:r>
      <w:r>
        <w:t xml:space="preserve"> </w:t>
      </w:r>
      <w:r w:rsidR="00F93D78">
        <w:t>The prosecution failed to apply for such an adjournment</w:t>
      </w:r>
      <w:r w:rsidR="006D6EFF">
        <w:t xml:space="preserve"> to do this simple check</w:t>
      </w:r>
      <w:r w:rsidR="00F93D78">
        <w:t xml:space="preserve">. </w:t>
      </w:r>
    </w:p>
    <w:p w14:paraId="31B65F4B" w14:textId="72856708" w:rsidR="00CC3C2E" w:rsidRPr="00CC3C2E" w:rsidRDefault="007C4E0E" w:rsidP="006D6EFF">
      <w:pPr>
        <w:pStyle w:val="JudgmentText"/>
        <w:ind w:left="720"/>
        <w:rPr>
          <w:i/>
          <w:iCs/>
        </w:rPr>
      </w:pPr>
      <w:r>
        <w:t xml:space="preserve">The </w:t>
      </w:r>
      <w:r w:rsidR="00CC3C2E">
        <w:t>logic</w:t>
      </w:r>
      <w:r>
        <w:t xml:space="preserve"> of giving notice </w:t>
      </w:r>
      <w:r w:rsidR="00CC3C2E">
        <w:t>of witnesses generally in a trial is clear. It prevents a trial by ambush. In cases where there is a</w:t>
      </w:r>
      <w:r w:rsidR="00833AC5">
        <w:t>n</w:t>
      </w:r>
      <w:r w:rsidR="00CC3C2E">
        <w:t xml:space="preserve"> alibi</w:t>
      </w:r>
      <w:r w:rsidR="00D53674">
        <w:t>,</w:t>
      </w:r>
      <w:r w:rsidR="00CC3C2E">
        <w:t xml:space="preserve"> it </w:t>
      </w:r>
      <w:r w:rsidR="00833AC5">
        <w:t>provides the prosecution with</w:t>
      </w:r>
      <w:r w:rsidR="00CC3C2E" w:rsidRPr="00CC3C2E">
        <w:rPr>
          <w:shd w:val="clear" w:color="auto" w:fill="FFFFFF"/>
        </w:rPr>
        <w:t xml:space="preserve"> an opportunity to investigate the validity of the alibi and either prepare to undermine its credibility or, if </w:t>
      </w:r>
      <w:r w:rsidR="00CC3C2E">
        <w:rPr>
          <w:shd w:val="clear" w:color="auto" w:fill="FFFFFF"/>
        </w:rPr>
        <w:t>proven</w:t>
      </w:r>
      <w:r w:rsidR="00CC3C2E" w:rsidRPr="00CC3C2E">
        <w:rPr>
          <w:shd w:val="clear" w:color="auto" w:fill="FFFFFF"/>
        </w:rPr>
        <w:t xml:space="preserve"> true, to drop the charges against the defendant. </w:t>
      </w:r>
    </w:p>
    <w:p w14:paraId="5F6F9652" w14:textId="70076745" w:rsidR="00FE36D8" w:rsidRPr="00154741" w:rsidRDefault="00CC3C2E" w:rsidP="006D6EFF">
      <w:pPr>
        <w:pStyle w:val="JudgmentText"/>
        <w:ind w:left="720"/>
        <w:rPr>
          <w:i/>
          <w:iCs/>
        </w:rPr>
      </w:pPr>
      <w:r>
        <w:t xml:space="preserve">The Practice </w:t>
      </w:r>
      <w:r w:rsidR="000835B1">
        <w:t>D</w:t>
      </w:r>
      <w:r>
        <w:t xml:space="preserve">irections, now </w:t>
      </w:r>
      <w:r w:rsidR="000835B1">
        <w:t>repealed</w:t>
      </w:r>
      <w:r>
        <w:t xml:space="preserve">, put </w:t>
      </w:r>
      <w:r w:rsidR="000835B1">
        <w:t>t</w:t>
      </w:r>
      <w:r>
        <w:t xml:space="preserve">hose rules </w:t>
      </w:r>
      <w:r w:rsidR="000835B1">
        <w:t>in place</w:t>
      </w:r>
      <w:r>
        <w:t xml:space="preserve"> and </w:t>
      </w:r>
      <w:r w:rsidR="000835B1">
        <w:t>should</w:t>
      </w:r>
      <w:r>
        <w:t xml:space="preserve"> have been observed by </w:t>
      </w:r>
      <w:r w:rsidR="000835B1">
        <w:t>the court and parties in this case. The Directions reinforced the constitutional fair trial requirement to prev</w:t>
      </w:r>
      <w:r w:rsidR="00FE36D8">
        <w:t>en</w:t>
      </w:r>
      <w:r w:rsidR="000835B1">
        <w:t xml:space="preserve">t </w:t>
      </w:r>
      <w:r w:rsidR="00FE36D8">
        <w:t>surprise twists in trials and to meet the discovery standards demanded of a modern and democratic society</w:t>
      </w:r>
      <w:r w:rsidR="00154741">
        <w:t>.</w:t>
      </w:r>
    </w:p>
    <w:p w14:paraId="0C2FC515" w14:textId="03D478E3" w:rsidR="00154741" w:rsidRPr="00DC4842" w:rsidRDefault="00154741" w:rsidP="006D6EFF">
      <w:pPr>
        <w:pStyle w:val="JudgmentText"/>
        <w:ind w:left="720"/>
        <w:rPr>
          <w:lang w:val="en"/>
        </w:rPr>
      </w:pPr>
      <w:r w:rsidRPr="00154741">
        <w:t xml:space="preserve">Our source of criminal law is </w:t>
      </w:r>
      <w:r w:rsidR="00D53674">
        <w:t xml:space="preserve">the </w:t>
      </w:r>
      <w:r w:rsidRPr="00154741">
        <w:t>common law</w:t>
      </w:r>
      <w:r w:rsidR="00D53674">
        <w:t>,</w:t>
      </w:r>
      <w:r>
        <w:t xml:space="preserve"> in which it has long been recognised that a</w:t>
      </w:r>
      <w:r w:rsidR="00D53674">
        <w:t>n</w:t>
      </w:r>
      <w:r>
        <w:t xml:space="preserve"> alibi is a de</w:t>
      </w:r>
      <w:r w:rsidR="00DE36A2">
        <w:t>f</w:t>
      </w:r>
      <w:r>
        <w:t>e</w:t>
      </w:r>
      <w:r w:rsidR="00DE36A2">
        <w:t>n</w:t>
      </w:r>
      <w:r>
        <w:t xml:space="preserve">ce </w:t>
      </w:r>
      <w:r w:rsidR="008C5D6B">
        <w:t>requiring</w:t>
      </w:r>
      <w:r>
        <w:t xml:space="preserve"> specia</w:t>
      </w:r>
      <w:r w:rsidR="008C5D6B">
        <w:t>l</w:t>
      </w:r>
      <w:r>
        <w:t xml:space="preserve"> rules.</w:t>
      </w:r>
      <w:r w:rsidR="00D37243">
        <w:t xml:space="preserve"> In tracing the history of alibis </w:t>
      </w:r>
      <w:r w:rsidR="00DC4842">
        <w:t>in</w:t>
      </w:r>
      <w:r w:rsidR="00D37243">
        <w:t xml:space="preserve"> </w:t>
      </w:r>
      <w:r w:rsidR="00DC4842">
        <w:t>the co</w:t>
      </w:r>
      <w:r w:rsidR="00D37243">
        <w:t>mmon law, David Epstein</w:t>
      </w:r>
      <w:r w:rsidR="00D37243">
        <w:rPr>
          <w:rStyle w:val="FootnoteReference"/>
        </w:rPr>
        <w:footnoteReference w:id="17"/>
      </w:r>
      <w:r w:rsidR="00D37243">
        <w:t xml:space="preserve"> notes th</w:t>
      </w:r>
      <w:r w:rsidR="00DC4842">
        <w:t>at:</w:t>
      </w:r>
    </w:p>
    <w:p w14:paraId="5CB4BD10" w14:textId="7331ED6A" w:rsidR="00833AC5" w:rsidRPr="004A1FE2" w:rsidRDefault="00DC4842" w:rsidP="006D6EFF">
      <w:pPr>
        <w:pStyle w:val="NumberedQuotationindent1"/>
        <w:numPr>
          <w:ilvl w:val="0"/>
          <w:numId w:val="0"/>
        </w:numPr>
        <w:ind w:left="1440"/>
      </w:pPr>
      <w:r w:rsidRPr="004A1FE2">
        <w:t xml:space="preserve">“At common law, all defences except autrefois acquit, autrefois convict, and former pardon were admissible under a plea of not guilty. As a result, a </w:t>
      </w:r>
      <w:r w:rsidR="004A1FE2" w:rsidRPr="004A1FE2">
        <w:t xml:space="preserve">problem faced the </w:t>
      </w:r>
    </w:p>
    <w:p w14:paraId="39793C3C" w14:textId="1642C202" w:rsidR="00DC4842" w:rsidRPr="004A1FE2" w:rsidRDefault="00DC4842" w:rsidP="004A1FE2">
      <w:pPr>
        <w:pStyle w:val="NumberedQuotationindent1"/>
        <w:numPr>
          <w:ilvl w:val="0"/>
          <w:numId w:val="0"/>
        </w:numPr>
        <w:ind w:left="1440"/>
      </w:pPr>
      <w:r w:rsidRPr="004A1FE2">
        <w:t>prosecutor, who could not be prepared to meet any and all defen</w:t>
      </w:r>
      <w:r w:rsidR="00D53674" w:rsidRPr="004A1FE2">
        <w:t>c</w:t>
      </w:r>
      <w:r w:rsidRPr="004A1FE2">
        <w:t xml:space="preserve">es. In 1887 Scotland tried to rectify this situation and required that the defendant give notice when his </w:t>
      </w:r>
      <w:r w:rsidR="00604061" w:rsidRPr="004A1FE2">
        <w:t>defence</w:t>
      </w:r>
      <w:r w:rsidRPr="004A1FE2">
        <w:t xml:space="preserve"> would be alibi, insanity at the time of the act, commission of the act by another named and designated, </w:t>
      </w:r>
      <w:r w:rsidR="00D53674" w:rsidRPr="004A1FE2">
        <w:t>self-defence</w:t>
      </w:r>
      <w:r w:rsidRPr="004A1FE2">
        <w:t>, sleep or temporary mental disassociation, or hysterical amnesia.</w:t>
      </w:r>
      <w:r w:rsidR="004A1FE2" w:rsidRPr="004A1FE2">
        <w:rPr>
          <w:rFonts w:ascii="Times" w:hAnsi="Times"/>
          <w:sz w:val="18"/>
          <w:szCs w:val="18"/>
        </w:rPr>
        <w:t>”</w:t>
      </w:r>
    </w:p>
    <w:p w14:paraId="2E83B029" w14:textId="28E19061" w:rsidR="00DC4842" w:rsidRPr="00154741" w:rsidRDefault="00DC4842" w:rsidP="006D6EFF">
      <w:pPr>
        <w:pStyle w:val="NumberedQuotationindent1"/>
        <w:numPr>
          <w:ilvl w:val="0"/>
          <w:numId w:val="0"/>
        </w:numPr>
        <w:ind w:left="1260" w:hanging="360"/>
        <w:rPr>
          <w:lang w:val="en"/>
        </w:rPr>
      </w:pPr>
      <w:r>
        <w:rPr>
          <w:lang w:val="en"/>
        </w:rPr>
        <w:tab/>
      </w:r>
    </w:p>
    <w:p w14:paraId="508AFE50" w14:textId="46A06B6D" w:rsidR="00F93D78" w:rsidRPr="001B5525" w:rsidRDefault="00F93D78" w:rsidP="006D6EFF">
      <w:pPr>
        <w:pStyle w:val="JudgmentText"/>
        <w:ind w:left="720"/>
        <w:rPr>
          <w:i/>
          <w:iCs/>
        </w:rPr>
      </w:pPr>
      <w:r w:rsidRPr="00F93D78">
        <w:t>In</w:t>
      </w:r>
      <w:r>
        <w:rPr>
          <w:i/>
          <w:iCs/>
        </w:rPr>
        <w:t xml:space="preserve"> R </w:t>
      </w:r>
      <w:r w:rsidRPr="00FC7F6B">
        <w:rPr>
          <w:i/>
          <w:iCs/>
        </w:rPr>
        <w:t>v Brown</w:t>
      </w:r>
      <w:r>
        <w:rPr>
          <w:i/>
          <w:iCs/>
        </w:rPr>
        <w:t>,</w:t>
      </w:r>
      <w:r>
        <w:rPr>
          <w:rStyle w:val="FootnoteReference"/>
          <w:i/>
          <w:iCs/>
        </w:rPr>
        <w:footnoteReference w:id="18"/>
      </w:r>
      <w:r>
        <w:rPr>
          <w:i/>
          <w:iCs/>
        </w:rPr>
        <w:t xml:space="preserve"> </w:t>
      </w:r>
      <w:r>
        <w:t>Lord Hope explained that before rules of disclosure had been codified, they existed in common law as a duty developed because of the elementary right of every defendant to a fair trial</w:t>
      </w:r>
      <w:r w:rsidR="00277D69">
        <w:t xml:space="preserve">. He referred to </w:t>
      </w:r>
      <w:r w:rsidR="00277D69" w:rsidRPr="00277D69">
        <w:rPr>
          <w:i/>
          <w:iCs/>
        </w:rPr>
        <w:t>R v Keane</w:t>
      </w:r>
      <w:r w:rsidR="00277D69">
        <w:rPr>
          <w:rStyle w:val="FootnoteReference"/>
          <w:i/>
          <w:iCs/>
        </w:rPr>
        <w:footnoteReference w:id="19"/>
      </w:r>
      <w:r w:rsidR="00277D69">
        <w:t xml:space="preserve"> in which Lord </w:t>
      </w:r>
      <w:r w:rsidR="00277D69" w:rsidRPr="003D372A">
        <w:rPr>
          <w:color w:val="000000"/>
          <w:shd w:val="clear" w:color="auto" w:fill="FFFFFF"/>
        </w:rPr>
        <w:t xml:space="preserve">Taylor of Gosforth C.J. </w:t>
      </w:r>
      <w:r w:rsidR="003D372A" w:rsidRPr="003D372A">
        <w:t xml:space="preserve">had </w:t>
      </w:r>
      <w:r w:rsidR="004A1FE2">
        <w:t xml:space="preserve">also referred to </w:t>
      </w:r>
      <w:r w:rsidRPr="003D372A">
        <w:t>“the great principle [</w:t>
      </w:r>
      <w:r w:rsidR="00604061" w:rsidRPr="003D372A">
        <w:t>…</w:t>
      </w:r>
      <w:r w:rsidRPr="003D372A">
        <w:t xml:space="preserve">] of </w:t>
      </w:r>
      <w:r w:rsidR="00604061" w:rsidRPr="003D372A">
        <w:t xml:space="preserve">open </w:t>
      </w:r>
      <w:r w:rsidRPr="003D372A">
        <w:t>justice.</w:t>
      </w:r>
      <w:r w:rsidR="00604061" w:rsidRPr="003D372A">
        <w:t>”</w:t>
      </w:r>
      <w:r w:rsidR="00604061" w:rsidRPr="003D372A">
        <w:rPr>
          <w:rStyle w:val="FootnoteReference"/>
        </w:rPr>
        <w:footnoteReference w:id="20"/>
      </w:r>
    </w:p>
    <w:p w14:paraId="71E0612D" w14:textId="3A9134F6" w:rsidR="00C52D63" w:rsidRPr="00C52D63" w:rsidRDefault="00F93D78" w:rsidP="006D6EFF">
      <w:pPr>
        <w:pStyle w:val="JudgmentText"/>
        <w:ind w:left="720"/>
      </w:pPr>
      <w:r>
        <w:lastRenderedPageBreak/>
        <w:t>In any case,</w:t>
      </w:r>
      <w:r w:rsidR="00C52D63" w:rsidRPr="00C52D63">
        <w:t xml:space="preserve"> common law rules of disclosure </w:t>
      </w:r>
      <w:r w:rsidR="00C52D63">
        <w:t>emerged</w:t>
      </w:r>
      <w:r w:rsidR="00C52D63" w:rsidRPr="00C52D63">
        <w:t xml:space="preserve"> slowly an</w:t>
      </w:r>
      <w:r w:rsidR="00C52D63">
        <w:t>d</w:t>
      </w:r>
      <w:r w:rsidR="00C52D63" w:rsidRPr="00C52D63">
        <w:t xml:space="preserve"> </w:t>
      </w:r>
      <w:r w:rsidR="00C52D63">
        <w:t>painstakingly</w:t>
      </w:r>
      <w:r w:rsidR="00C52D63" w:rsidRPr="00C52D63">
        <w:t xml:space="preserve"> in the </w:t>
      </w:r>
      <w:r w:rsidR="006D6EFF">
        <w:t xml:space="preserve">nineteenth </w:t>
      </w:r>
      <w:r w:rsidR="00C52D63" w:rsidRPr="00C52D63">
        <w:t xml:space="preserve">and </w:t>
      </w:r>
      <w:r w:rsidR="006D6EFF">
        <w:t>twentieth</w:t>
      </w:r>
      <w:r w:rsidR="00C52D63">
        <w:t xml:space="preserve"> centuries</w:t>
      </w:r>
      <w:r w:rsidR="00C52D63" w:rsidRPr="00C52D63">
        <w:t xml:space="preserve"> as </w:t>
      </w:r>
      <w:r w:rsidR="00C52D63">
        <w:t>preliminary</w:t>
      </w:r>
      <w:r w:rsidR="00C52D63" w:rsidRPr="00C52D63">
        <w:t xml:space="preserve"> </w:t>
      </w:r>
      <w:r w:rsidR="00C52D63">
        <w:t>hearings</w:t>
      </w:r>
      <w:r w:rsidR="00C52D63" w:rsidRPr="00C52D63">
        <w:t xml:space="preserve"> repl</w:t>
      </w:r>
      <w:r w:rsidR="00C52D63">
        <w:t>a</w:t>
      </w:r>
      <w:r w:rsidR="00C52D63" w:rsidRPr="00C52D63">
        <w:t xml:space="preserve">ced the </w:t>
      </w:r>
      <w:r w:rsidR="00C52D63">
        <w:t>grand</w:t>
      </w:r>
      <w:r w:rsidR="00C52D63" w:rsidRPr="00C52D63">
        <w:t xml:space="preserve"> juries charged with</w:t>
      </w:r>
      <w:r w:rsidR="00C52D63" w:rsidRPr="00C52D63">
        <w:rPr>
          <w:rFonts w:ascii="Times" w:hAnsi="Times"/>
          <w:sz w:val="32"/>
          <w:szCs w:val="32"/>
        </w:rPr>
        <w:t xml:space="preserve"> </w:t>
      </w:r>
      <w:r w:rsidR="00C52D63" w:rsidRPr="00C52D63">
        <w:t xml:space="preserve">determining </w:t>
      </w:r>
      <w:r w:rsidR="00C52D63">
        <w:t xml:space="preserve">whether there was good cause to commit </w:t>
      </w:r>
      <w:r w:rsidR="006D6EFF">
        <w:t>an</w:t>
      </w:r>
      <w:r w:rsidR="00C52D63">
        <w:t xml:space="preserve"> accused to trial. However, the preliminary hearing served primarily as:</w:t>
      </w:r>
    </w:p>
    <w:p w14:paraId="59E11567" w14:textId="1AC8FA3D" w:rsidR="00C52D63" w:rsidRDefault="00C52D63" w:rsidP="006D6EFF">
      <w:pPr>
        <w:pStyle w:val="Unnumberedquote"/>
        <w:rPr>
          <w:position w:val="4"/>
        </w:rPr>
      </w:pPr>
      <w:r w:rsidRPr="00C52D63">
        <w:t>“</w:t>
      </w:r>
      <w:r w:rsidR="00534EF7">
        <w:t xml:space="preserve">a </w:t>
      </w:r>
      <w:r w:rsidRPr="00C52D63">
        <w:rPr>
          <w:position w:val="-2"/>
        </w:rPr>
        <w:t xml:space="preserve">discovery </w:t>
      </w:r>
      <w:r w:rsidRPr="00C52D63">
        <w:t xml:space="preserve">device for the benefit </w:t>
      </w:r>
      <w:r w:rsidRPr="00C52D63">
        <w:rPr>
          <w:position w:val="2"/>
        </w:rPr>
        <w:t>of the defen</w:t>
      </w:r>
      <w:r>
        <w:rPr>
          <w:position w:val="2"/>
        </w:rPr>
        <w:t>c</w:t>
      </w:r>
      <w:r w:rsidRPr="00C52D63">
        <w:rPr>
          <w:position w:val="2"/>
        </w:rPr>
        <w:t>e, afford</w:t>
      </w:r>
      <w:r>
        <w:rPr>
          <w:position w:val="2"/>
        </w:rPr>
        <w:t xml:space="preserve">[ing] it a safeguard against  </w:t>
      </w:r>
      <w:r w:rsidRPr="00C52D63">
        <w:t xml:space="preserve">ill-founded </w:t>
      </w:r>
      <w:r w:rsidRPr="00C52D63">
        <w:rPr>
          <w:position w:val="2"/>
        </w:rPr>
        <w:t xml:space="preserve">prosecutions as well </w:t>
      </w:r>
      <w:r w:rsidRPr="00C52D63">
        <w:rPr>
          <w:position w:val="4"/>
        </w:rPr>
        <w:t xml:space="preserve">as </w:t>
      </w:r>
      <w:r>
        <w:rPr>
          <w:position w:val="4"/>
        </w:rPr>
        <w:t>substanti</w:t>
      </w:r>
      <w:r w:rsidR="00534EF7">
        <w:rPr>
          <w:position w:val="4"/>
        </w:rPr>
        <w:t>ve</w:t>
      </w:r>
      <w:r>
        <w:rPr>
          <w:position w:val="4"/>
        </w:rPr>
        <w:t xml:space="preserve"> </w:t>
      </w:r>
      <w:r w:rsidR="003D372A">
        <w:rPr>
          <w:position w:val="4"/>
        </w:rPr>
        <w:t>protection</w:t>
      </w:r>
      <w:r>
        <w:rPr>
          <w:position w:val="4"/>
        </w:rPr>
        <w:t xml:space="preserve"> ag</w:t>
      </w:r>
      <w:r w:rsidR="00534EF7">
        <w:rPr>
          <w:position w:val="4"/>
        </w:rPr>
        <w:t>ains</w:t>
      </w:r>
      <w:r>
        <w:rPr>
          <w:position w:val="4"/>
        </w:rPr>
        <w:t>t surp</w:t>
      </w:r>
      <w:r w:rsidR="00534EF7">
        <w:rPr>
          <w:position w:val="4"/>
        </w:rPr>
        <w:t>rise</w:t>
      </w:r>
      <w:r>
        <w:rPr>
          <w:position w:val="4"/>
        </w:rPr>
        <w:t xml:space="preserve"> at the trial.”</w:t>
      </w:r>
      <w:r>
        <w:rPr>
          <w:rStyle w:val="FootnoteReference"/>
          <w:position w:val="4"/>
        </w:rPr>
        <w:footnoteReference w:id="21"/>
      </w:r>
    </w:p>
    <w:p w14:paraId="15228A68" w14:textId="77777777" w:rsidR="00A2448D" w:rsidRPr="00C52D63" w:rsidRDefault="00A2448D" w:rsidP="006D6EFF">
      <w:pPr>
        <w:pStyle w:val="Unnumberedquote"/>
      </w:pPr>
    </w:p>
    <w:p w14:paraId="0904C6A6" w14:textId="1346060C" w:rsidR="00B04EC3" w:rsidRPr="005C025C" w:rsidRDefault="00A2448D" w:rsidP="006D6EFF">
      <w:pPr>
        <w:pStyle w:val="JudgmentText"/>
        <w:ind w:left="720"/>
      </w:pPr>
      <w:r>
        <w:t>These common law rules were eventually codified in the Criminal Justice Act 1967</w:t>
      </w:r>
      <w:r w:rsidR="003D372A">
        <w:t>,</w:t>
      </w:r>
      <w:r>
        <w:t xml:space="preserve"> together with the </w:t>
      </w:r>
      <w:r w:rsidR="005C025C">
        <w:t xml:space="preserve">added </w:t>
      </w:r>
      <w:r>
        <w:t xml:space="preserve">duty </w:t>
      </w:r>
      <w:r w:rsidR="005C025C">
        <w:t>of</w:t>
      </w:r>
      <w:r>
        <w:t xml:space="preserve"> the accused to notify the prosecution about an alibi defence.</w:t>
      </w:r>
      <w:r w:rsidR="005C025C">
        <w:t xml:space="preserve"> Inevitably, this has pitched the State against an accused’s constitutional right to remain silent. Nevertheless, </w:t>
      </w:r>
      <w:r w:rsidR="00B04EC3">
        <w:t>John Burchill</w:t>
      </w:r>
      <w:r w:rsidR="00B04EC3">
        <w:rPr>
          <w:rStyle w:val="FootnoteReference"/>
        </w:rPr>
        <w:footnoteReference w:id="22"/>
      </w:r>
      <w:r w:rsidR="00B04EC3">
        <w:t xml:space="preserve"> </w:t>
      </w:r>
      <w:r w:rsidR="005C025C">
        <w:t xml:space="preserve">in expounding on the </w:t>
      </w:r>
      <w:r w:rsidR="003D372A">
        <w:t>unavoidable</w:t>
      </w:r>
      <w:r w:rsidR="00B04EC3">
        <w:t xml:space="preserve"> tension between the right to remain silent and the fact that notice should be required for an alibi defence</w:t>
      </w:r>
      <w:r w:rsidR="004A1FE2">
        <w:t>,</w:t>
      </w:r>
      <w:r w:rsidR="00B04EC3">
        <w:t xml:space="preserve"> states that:</w:t>
      </w:r>
    </w:p>
    <w:p w14:paraId="0FC0837F" w14:textId="7D9CF483" w:rsidR="00B04EC3" w:rsidRDefault="00B04EC3" w:rsidP="006D6EFF">
      <w:pPr>
        <w:pStyle w:val="NumberedQuotationindent1"/>
        <w:numPr>
          <w:ilvl w:val="0"/>
          <w:numId w:val="0"/>
        </w:numPr>
        <w:ind w:left="1440"/>
        <w:rPr>
          <w:rStyle w:val="pdf-viewer-line"/>
          <w:rFonts w:ascii="Liberation-Serif" w:hAnsi="Liberation-Serif"/>
          <w:i w:val="0"/>
          <w:iCs/>
          <w:spacing w:val="-11"/>
          <w:sz w:val="29"/>
          <w:szCs w:val="29"/>
          <w:shd w:val="clear" w:color="auto" w:fill="FFFFFF"/>
        </w:rPr>
      </w:pPr>
      <w:r>
        <w:rPr>
          <w:rStyle w:val="pdf-viewer-line"/>
          <w:i w:val="0"/>
          <w:iCs/>
          <w:spacing w:val="-3"/>
          <w:shd w:val="clear" w:color="auto" w:fill="FFFFFF"/>
        </w:rPr>
        <w:t>“</w:t>
      </w:r>
      <w:r w:rsidRPr="00B04EC3">
        <w:rPr>
          <w:rStyle w:val="pdf-viewer-line"/>
          <w:spacing w:val="-3"/>
          <w:shd w:val="clear" w:color="auto" w:fill="FFFFFF"/>
        </w:rPr>
        <w:t>Given</w:t>
      </w:r>
      <w:r w:rsidRPr="00B04EC3">
        <w:rPr>
          <w:rStyle w:val="pdf-viewer-line"/>
          <w:spacing w:val="24"/>
          <w:shd w:val="clear" w:color="auto" w:fill="FFFFFF"/>
        </w:rPr>
        <w:t xml:space="preserve"> </w:t>
      </w:r>
      <w:r w:rsidRPr="00B04EC3">
        <w:rPr>
          <w:rStyle w:val="pdf-viewer-line"/>
          <w:spacing w:val="5"/>
          <w:shd w:val="clear" w:color="auto" w:fill="FFFFFF"/>
        </w:rPr>
        <w:t>the</w:t>
      </w:r>
      <w:r w:rsidRPr="00B04EC3">
        <w:rPr>
          <w:rStyle w:val="pdf-viewer-line"/>
          <w:spacing w:val="21"/>
          <w:shd w:val="clear" w:color="auto" w:fill="FFFFFF"/>
        </w:rPr>
        <w:t xml:space="preserve"> </w:t>
      </w:r>
      <w:r w:rsidRPr="00B04EC3">
        <w:rPr>
          <w:rStyle w:val="pdf-viewer-line"/>
          <w:spacing w:val="-11"/>
          <w:shd w:val="clear" w:color="auto" w:fill="FFFFFF"/>
        </w:rPr>
        <w:t>ease</w:t>
      </w:r>
      <w:r w:rsidRPr="00B04EC3">
        <w:rPr>
          <w:rStyle w:val="pdf-viewer-line"/>
          <w:spacing w:val="24"/>
          <w:shd w:val="clear" w:color="auto" w:fill="FFFFFF"/>
        </w:rPr>
        <w:t xml:space="preserve"> </w:t>
      </w:r>
      <w:r w:rsidRPr="00B04EC3">
        <w:rPr>
          <w:rStyle w:val="pdf-viewer-line"/>
          <w:spacing w:val="-5"/>
          <w:shd w:val="clear" w:color="auto" w:fill="FFFFFF"/>
        </w:rPr>
        <w:t>with</w:t>
      </w:r>
      <w:r w:rsidRPr="00B04EC3">
        <w:rPr>
          <w:rStyle w:val="pdf-viewer-line"/>
          <w:spacing w:val="24"/>
          <w:shd w:val="clear" w:color="auto" w:fill="FFFFFF"/>
        </w:rPr>
        <w:t xml:space="preserve"> </w:t>
      </w:r>
      <w:r w:rsidRPr="00B04EC3">
        <w:rPr>
          <w:rStyle w:val="pdf-viewer-line"/>
          <w:spacing w:val="-6"/>
          <w:shd w:val="clear" w:color="auto" w:fill="FFFFFF"/>
        </w:rPr>
        <w:t>which</w:t>
      </w:r>
      <w:r w:rsidRPr="00B04EC3">
        <w:rPr>
          <w:rStyle w:val="pdf-viewer-line"/>
          <w:spacing w:val="24"/>
          <w:shd w:val="clear" w:color="auto" w:fill="FFFFFF"/>
        </w:rPr>
        <w:t xml:space="preserve"> </w:t>
      </w:r>
      <w:r w:rsidRPr="00B04EC3">
        <w:rPr>
          <w:rStyle w:val="pdf-viewer-line"/>
          <w:spacing w:val="5"/>
          <w:shd w:val="clear" w:color="auto" w:fill="FFFFFF"/>
        </w:rPr>
        <w:t>an</w:t>
      </w:r>
      <w:r w:rsidRPr="00B04EC3">
        <w:rPr>
          <w:rStyle w:val="pdf-viewer-line"/>
          <w:spacing w:val="21"/>
          <w:shd w:val="clear" w:color="auto" w:fill="FFFFFF"/>
        </w:rPr>
        <w:t xml:space="preserve"> </w:t>
      </w:r>
      <w:r w:rsidRPr="00B04EC3">
        <w:rPr>
          <w:rStyle w:val="pdf-viewer-line"/>
          <w:spacing w:val="-5"/>
          <w:shd w:val="clear" w:color="auto" w:fill="FFFFFF"/>
        </w:rPr>
        <w:t>alibi</w:t>
      </w:r>
      <w:r w:rsidRPr="00B04EC3">
        <w:rPr>
          <w:rStyle w:val="pdf-viewer-line"/>
          <w:spacing w:val="24"/>
          <w:shd w:val="clear" w:color="auto" w:fill="FFFFFF"/>
        </w:rPr>
        <w:t xml:space="preserve"> </w:t>
      </w:r>
      <w:r w:rsidRPr="00B04EC3">
        <w:rPr>
          <w:rStyle w:val="pdf-viewer-line"/>
          <w:shd w:val="clear" w:color="auto" w:fill="FFFFFF"/>
        </w:rPr>
        <w:t>could</w:t>
      </w:r>
      <w:r w:rsidRPr="00B04EC3">
        <w:rPr>
          <w:rStyle w:val="pdf-viewer-line"/>
          <w:spacing w:val="24"/>
          <w:shd w:val="clear" w:color="auto" w:fill="FFFFFF"/>
        </w:rPr>
        <w:t xml:space="preserve"> </w:t>
      </w:r>
      <w:r w:rsidRPr="00B04EC3">
        <w:rPr>
          <w:rStyle w:val="pdf-viewer-line"/>
          <w:spacing w:val="-3"/>
          <w:shd w:val="clear" w:color="auto" w:fill="FFFFFF"/>
        </w:rPr>
        <w:t>be</w:t>
      </w:r>
      <w:r w:rsidRPr="00B04EC3">
        <w:rPr>
          <w:rStyle w:val="pdf-viewer-line"/>
          <w:spacing w:val="24"/>
          <w:shd w:val="clear" w:color="auto" w:fill="FFFFFF"/>
        </w:rPr>
        <w:t xml:space="preserve"> </w:t>
      </w:r>
      <w:r w:rsidRPr="00B04EC3">
        <w:rPr>
          <w:rStyle w:val="pdf-viewer-line"/>
          <w:spacing w:val="-3"/>
          <w:shd w:val="clear" w:color="auto" w:fill="FFFFFF"/>
        </w:rPr>
        <w:t>fabricated,</w:t>
      </w:r>
      <w:r w:rsidRPr="00B04EC3">
        <w:rPr>
          <w:rStyle w:val="pdf-viewer-line"/>
          <w:spacing w:val="24"/>
          <w:shd w:val="clear" w:color="auto" w:fill="FFFFFF"/>
        </w:rPr>
        <w:t xml:space="preserve"> </w:t>
      </w:r>
      <w:r w:rsidRPr="00B04EC3">
        <w:rPr>
          <w:rStyle w:val="pdf-viewer-line"/>
          <w:spacing w:val="-2"/>
          <w:shd w:val="clear" w:color="auto" w:fill="FFFFFF"/>
        </w:rPr>
        <w:t>this</w:t>
      </w:r>
      <w:r w:rsidRPr="00B04EC3">
        <w:rPr>
          <w:rStyle w:val="pdf-viewer-line"/>
          <w:spacing w:val="21"/>
          <w:shd w:val="clear" w:color="auto" w:fill="FFFFFF"/>
        </w:rPr>
        <w:t xml:space="preserve"> </w:t>
      </w:r>
      <w:r w:rsidRPr="00B04EC3">
        <w:rPr>
          <w:rStyle w:val="pdf-viewer-line"/>
          <w:spacing w:val="-3"/>
          <w:shd w:val="clear" w:color="auto" w:fill="FFFFFF"/>
        </w:rPr>
        <w:t>rule</w:t>
      </w:r>
      <w:r w:rsidRPr="00B04EC3">
        <w:rPr>
          <w:rStyle w:val="pdf-viewer-line"/>
          <w:spacing w:val="-5"/>
          <w:shd w:val="clear" w:color="auto" w:fill="FFFFFF"/>
        </w:rPr>
        <w:t xml:space="preserve"> </w:t>
      </w:r>
      <w:r w:rsidRPr="00B04EC3">
        <w:rPr>
          <w:rStyle w:val="pdf-viewer-line"/>
          <w:spacing w:val="-2"/>
          <w:shd w:val="clear" w:color="auto" w:fill="FFFFFF"/>
        </w:rPr>
        <w:t>protects</w:t>
      </w:r>
      <w:r w:rsidRPr="00B04EC3">
        <w:rPr>
          <w:rStyle w:val="pdf-viewer-line"/>
          <w:spacing w:val="-14"/>
          <w:shd w:val="clear" w:color="auto" w:fill="FFFFFF"/>
        </w:rPr>
        <w:t xml:space="preserve"> </w:t>
      </w:r>
      <w:r w:rsidRPr="00B04EC3">
        <w:rPr>
          <w:rStyle w:val="pdf-viewer-line"/>
          <w:spacing w:val="-6"/>
          <w:shd w:val="clear" w:color="auto" w:fill="FFFFFF"/>
        </w:rPr>
        <w:t>against</w:t>
      </w:r>
      <w:r w:rsidRPr="00B04EC3">
        <w:rPr>
          <w:rStyle w:val="pdf-viewer-line"/>
          <w:spacing w:val="-12"/>
          <w:shd w:val="clear" w:color="auto" w:fill="FFFFFF"/>
        </w:rPr>
        <w:t xml:space="preserve"> </w:t>
      </w:r>
      <w:r w:rsidRPr="00B04EC3">
        <w:rPr>
          <w:rStyle w:val="pdf-viewer-line"/>
          <w:spacing w:val="2"/>
          <w:shd w:val="clear" w:color="auto" w:fill="FFFFFF"/>
        </w:rPr>
        <w:t>a</w:t>
      </w:r>
      <w:r w:rsidRPr="00B04EC3">
        <w:rPr>
          <w:rStyle w:val="pdf-viewer-line"/>
          <w:spacing w:val="-14"/>
          <w:shd w:val="clear" w:color="auto" w:fill="FFFFFF"/>
        </w:rPr>
        <w:t xml:space="preserve"> </w:t>
      </w:r>
      <w:r w:rsidR="00F93D78">
        <w:rPr>
          <w:rStyle w:val="pdf-viewer-line"/>
          <w:spacing w:val="-14"/>
          <w:shd w:val="clear" w:color="auto" w:fill="FFFFFF"/>
        </w:rPr>
        <w:t>last-minute</w:t>
      </w:r>
      <w:r w:rsidRPr="00B04EC3">
        <w:rPr>
          <w:rStyle w:val="pdf-viewer-line"/>
          <w:spacing w:val="-14"/>
          <w:shd w:val="clear" w:color="auto" w:fill="FFFFFF"/>
        </w:rPr>
        <w:t xml:space="preserve"> </w:t>
      </w:r>
      <w:r w:rsidRPr="00B04EC3">
        <w:rPr>
          <w:rStyle w:val="pdf-viewer-line"/>
          <w:spacing w:val="-3"/>
          <w:shd w:val="clear" w:color="auto" w:fill="FFFFFF"/>
        </w:rPr>
        <w:t>defence</w:t>
      </w:r>
      <w:r w:rsidRPr="00B04EC3">
        <w:rPr>
          <w:rStyle w:val="pdf-viewer-line"/>
          <w:spacing w:val="-14"/>
          <w:shd w:val="clear" w:color="auto" w:fill="FFFFFF"/>
        </w:rPr>
        <w:t xml:space="preserve"> </w:t>
      </w:r>
      <w:r w:rsidRPr="00B04EC3">
        <w:rPr>
          <w:rStyle w:val="pdf-viewer-line"/>
          <w:spacing w:val="3"/>
          <w:shd w:val="clear" w:color="auto" w:fill="FFFFFF"/>
        </w:rPr>
        <w:t>that</w:t>
      </w:r>
      <w:r w:rsidRPr="00B04EC3">
        <w:rPr>
          <w:rStyle w:val="pdf-viewer-line"/>
          <w:spacing w:val="-12"/>
          <w:shd w:val="clear" w:color="auto" w:fill="FFFFFF"/>
        </w:rPr>
        <w:t xml:space="preserve"> may</w:t>
      </w:r>
      <w:r w:rsidRPr="00B04EC3">
        <w:rPr>
          <w:rStyle w:val="pdf-viewer-line"/>
          <w:spacing w:val="-14"/>
          <w:shd w:val="clear" w:color="auto" w:fill="FFFFFF"/>
        </w:rPr>
        <w:t xml:space="preserve"> </w:t>
      </w:r>
      <w:r w:rsidRPr="00B04EC3">
        <w:rPr>
          <w:rStyle w:val="pdf-viewer-line"/>
          <w:spacing w:val="-5"/>
          <w:shd w:val="clear" w:color="auto" w:fill="FFFFFF"/>
        </w:rPr>
        <w:t>be</w:t>
      </w:r>
      <w:r w:rsidRPr="00B04EC3">
        <w:rPr>
          <w:rStyle w:val="pdf-viewer-line"/>
          <w:spacing w:val="-14"/>
          <w:shd w:val="clear" w:color="auto" w:fill="FFFFFF"/>
        </w:rPr>
        <w:t xml:space="preserve"> </w:t>
      </w:r>
      <w:r w:rsidRPr="00B04EC3">
        <w:rPr>
          <w:rStyle w:val="pdf-viewer-line"/>
          <w:spacing w:val="-6"/>
          <w:shd w:val="clear" w:color="auto" w:fill="FFFFFF"/>
        </w:rPr>
        <w:t>impossible</w:t>
      </w:r>
      <w:r w:rsidRPr="00B04EC3">
        <w:rPr>
          <w:rStyle w:val="pdf-viewer-line"/>
          <w:spacing w:val="-14"/>
          <w:shd w:val="clear" w:color="auto" w:fill="FFFFFF"/>
        </w:rPr>
        <w:t xml:space="preserve"> </w:t>
      </w:r>
      <w:r w:rsidRPr="00B04EC3">
        <w:rPr>
          <w:rStyle w:val="pdf-viewer-line"/>
          <w:spacing w:val="-2"/>
          <w:shd w:val="clear" w:color="auto" w:fill="FFFFFF"/>
        </w:rPr>
        <w:t>for</w:t>
      </w:r>
      <w:r w:rsidRPr="00B04EC3">
        <w:rPr>
          <w:rStyle w:val="pdf-viewer-line"/>
          <w:spacing w:val="-14"/>
          <w:shd w:val="clear" w:color="auto" w:fill="FFFFFF"/>
        </w:rPr>
        <w:t xml:space="preserve"> </w:t>
      </w:r>
      <w:r w:rsidRPr="00B04EC3">
        <w:rPr>
          <w:rStyle w:val="pdf-viewer-line"/>
          <w:spacing w:val="6"/>
          <w:shd w:val="clear" w:color="auto" w:fill="FFFFFF"/>
        </w:rPr>
        <w:t>the</w:t>
      </w:r>
      <w:r w:rsidRPr="00B04EC3">
        <w:rPr>
          <w:rStyle w:val="pdf-viewer-line"/>
          <w:spacing w:val="-14"/>
          <w:shd w:val="clear" w:color="auto" w:fill="FFFFFF"/>
        </w:rPr>
        <w:t xml:space="preserve"> </w:t>
      </w:r>
      <w:r w:rsidRPr="00B04EC3">
        <w:rPr>
          <w:rStyle w:val="pdf-viewer-line"/>
          <w:shd w:val="clear" w:color="auto" w:fill="FFFFFF"/>
        </w:rPr>
        <w:t>Crown</w:t>
      </w:r>
      <w:r w:rsidRPr="00B04EC3">
        <w:rPr>
          <w:rStyle w:val="pdf-viewer-line"/>
          <w:spacing w:val="-5"/>
          <w:shd w:val="clear" w:color="auto" w:fill="FFFFFF"/>
        </w:rPr>
        <w:t xml:space="preserve"> </w:t>
      </w:r>
      <w:r w:rsidRPr="00B04EC3">
        <w:rPr>
          <w:rStyle w:val="pdf-viewer-line"/>
          <w:spacing w:val="3"/>
          <w:shd w:val="clear" w:color="auto" w:fill="FFFFFF"/>
        </w:rPr>
        <w:t>to</w:t>
      </w:r>
      <w:r w:rsidRPr="00B04EC3">
        <w:rPr>
          <w:rStyle w:val="pdf-viewer-line"/>
          <w:spacing w:val="-11"/>
          <w:shd w:val="clear" w:color="auto" w:fill="FFFFFF"/>
        </w:rPr>
        <w:t xml:space="preserve"> verify.”</w:t>
      </w:r>
      <w:r w:rsidRPr="00B04EC3">
        <w:rPr>
          <w:rStyle w:val="pdf-viewer-line"/>
          <w:rFonts w:ascii="Liberation-Serif" w:hAnsi="Liberation-Serif"/>
          <w:i w:val="0"/>
          <w:iCs/>
          <w:spacing w:val="-11"/>
          <w:sz w:val="29"/>
          <w:szCs w:val="29"/>
          <w:shd w:val="clear" w:color="auto" w:fill="FFFFFF"/>
        </w:rPr>
        <w:t xml:space="preserve"> </w:t>
      </w:r>
    </w:p>
    <w:p w14:paraId="52B03AC5" w14:textId="77777777" w:rsidR="00B04EC3" w:rsidRPr="00024E4E" w:rsidRDefault="00B04EC3" w:rsidP="006D6EFF">
      <w:pPr>
        <w:pStyle w:val="NumberedQuotationindent1"/>
        <w:numPr>
          <w:ilvl w:val="0"/>
          <w:numId w:val="0"/>
        </w:numPr>
        <w:ind w:left="1440"/>
        <w:rPr>
          <w:rStyle w:val="pdf-viewer-line"/>
          <w:i w:val="0"/>
          <w:iCs/>
        </w:rPr>
      </w:pPr>
    </w:p>
    <w:p w14:paraId="56D277BA" w14:textId="330ED71F" w:rsidR="005C025C" w:rsidRPr="005C025C" w:rsidRDefault="001B5525" w:rsidP="006D6EFF">
      <w:pPr>
        <w:pStyle w:val="JudgmentText"/>
        <w:ind w:left="720"/>
      </w:pPr>
      <w:r>
        <w:t xml:space="preserve">In </w:t>
      </w:r>
      <w:r w:rsidR="00F93D78" w:rsidRPr="00F93D78">
        <w:t>this regard</w:t>
      </w:r>
      <w:r w:rsidR="00F93D78">
        <w:rPr>
          <w:i/>
          <w:iCs/>
        </w:rPr>
        <w:t>,</w:t>
      </w:r>
      <w:r w:rsidR="00FC7F6B" w:rsidRPr="00FC7F6B">
        <w:rPr>
          <w:i/>
          <w:iCs/>
        </w:rPr>
        <w:t xml:space="preserve"> </w:t>
      </w:r>
      <w:r w:rsidR="005C025C">
        <w:t>Alec Samuels</w:t>
      </w:r>
      <w:r w:rsidR="005C025C">
        <w:rPr>
          <w:rStyle w:val="FootnoteReference"/>
        </w:rPr>
        <w:footnoteReference w:id="23"/>
      </w:r>
      <w:r w:rsidR="005C025C">
        <w:t xml:space="preserve">  </w:t>
      </w:r>
      <w:r w:rsidR="00F93D78">
        <w:t>adds</w:t>
      </w:r>
      <w:r w:rsidR="005C025C">
        <w:t xml:space="preserve"> that:</w:t>
      </w:r>
    </w:p>
    <w:p w14:paraId="6347FB4D" w14:textId="76E62877" w:rsidR="005C025C" w:rsidRDefault="00F93D78" w:rsidP="006D6EFF">
      <w:pPr>
        <w:pStyle w:val="Unnumberedquote"/>
      </w:pPr>
      <w:r>
        <w:t>“The</w:t>
      </w:r>
      <w:r w:rsidR="005C025C">
        <w:t xml:space="preserve"> criminal trial should be a fairly conducted inquiry into the truth, not a forensic game.”</w:t>
      </w:r>
      <w:r w:rsidR="005C025C">
        <w:rPr>
          <w:rStyle w:val="FootnoteReference"/>
        </w:rPr>
        <w:footnoteReference w:id="24"/>
      </w:r>
    </w:p>
    <w:p w14:paraId="76AB54BD" w14:textId="77777777" w:rsidR="00F93D78" w:rsidRDefault="00F93D78" w:rsidP="006D6EFF">
      <w:pPr>
        <w:pStyle w:val="Unnumberedquote"/>
      </w:pPr>
    </w:p>
    <w:p w14:paraId="0F99C22A" w14:textId="0E6CAF33" w:rsidR="00B04EC3" w:rsidRPr="00024E4E" w:rsidRDefault="00B04EC3" w:rsidP="006D6EFF">
      <w:pPr>
        <w:pStyle w:val="JudgmentText"/>
        <w:ind w:left="720"/>
        <w:rPr>
          <w:i/>
          <w:iCs/>
        </w:rPr>
      </w:pPr>
      <w:r w:rsidRPr="00024E4E">
        <w:t xml:space="preserve">It must also </w:t>
      </w:r>
      <w:r w:rsidR="00024E4E" w:rsidRPr="00024E4E">
        <w:t>be noted</w:t>
      </w:r>
      <w:r w:rsidRPr="00024E4E">
        <w:t xml:space="preserve"> that in many </w:t>
      </w:r>
      <w:r w:rsidR="00024E4E" w:rsidRPr="00024E4E">
        <w:t>common</w:t>
      </w:r>
      <w:r w:rsidRPr="00024E4E">
        <w:t xml:space="preserve"> law juris</w:t>
      </w:r>
      <w:r w:rsidR="00024E4E" w:rsidRPr="00024E4E">
        <w:t>di</w:t>
      </w:r>
      <w:r w:rsidRPr="00024E4E">
        <w:t>c</w:t>
      </w:r>
      <w:r w:rsidR="00024E4E" w:rsidRPr="00024E4E">
        <w:t>t</w:t>
      </w:r>
      <w:r w:rsidRPr="00024E4E">
        <w:t xml:space="preserve">ions where advance </w:t>
      </w:r>
      <w:r w:rsidR="00024E4E" w:rsidRPr="00024E4E">
        <w:t>notice</w:t>
      </w:r>
      <w:r w:rsidRPr="00024E4E">
        <w:t xml:space="preserve"> of an alibi </w:t>
      </w:r>
      <w:r w:rsidR="00024E4E" w:rsidRPr="00024E4E">
        <w:t>is not</w:t>
      </w:r>
      <w:r w:rsidRPr="00024E4E">
        <w:t xml:space="preserve"> given and</w:t>
      </w:r>
      <w:r w:rsidR="00024E4E" w:rsidRPr="00024E4E">
        <w:t xml:space="preserve"> </w:t>
      </w:r>
      <w:r w:rsidRPr="00024E4E">
        <w:t xml:space="preserve">then raised during a </w:t>
      </w:r>
      <w:r w:rsidR="00024E4E" w:rsidRPr="00024E4E">
        <w:t>trial</w:t>
      </w:r>
      <w:r w:rsidRPr="00024E4E">
        <w:t xml:space="preserve">, </w:t>
      </w:r>
      <w:r w:rsidR="00024E4E" w:rsidRPr="00024E4E">
        <w:rPr>
          <w:rStyle w:val="pdf-viewer-line"/>
          <w:spacing w:val="5"/>
          <w:shd w:val="clear" w:color="auto" w:fill="FFFFFF"/>
        </w:rPr>
        <w:t>an</w:t>
      </w:r>
      <w:r w:rsidR="00024E4E" w:rsidRPr="00024E4E">
        <w:rPr>
          <w:rStyle w:val="pdf-viewer-line"/>
          <w:spacing w:val="-20"/>
          <w:shd w:val="clear" w:color="auto" w:fill="FFFFFF"/>
        </w:rPr>
        <w:t xml:space="preserve"> </w:t>
      </w:r>
      <w:r w:rsidR="00024E4E" w:rsidRPr="00024E4E">
        <w:rPr>
          <w:rStyle w:val="pdf-viewer-line"/>
          <w:spacing w:val="-8"/>
          <w:shd w:val="clear" w:color="auto" w:fill="FFFFFF"/>
        </w:rPr>
        <w:t>adverse</w:t>
      </w:r>
      <w:r w:rsidR="00024E4E" w:rsidRPr="00024E4E">
        <w:rPr>
          <w:rStyle w:val="pdf-viewer-line"/>
          <w:spacing w:val="-20"/>
          <w:shd w:val="clear" w:color="auto" w:fill="FFFFFF"/>
        </w:rPr>
        <w:t xml:space="preserve"> </w:t>
      </w:r>
      <w:r w:rsidR="00024E4E" w:rsidRPr="00024E4E">
        <w:rPr>
          <w:rStyle w:val="pdf-viewer-line"/>
          <w:spacing w:val="-3"/>
          <w:shd w:val="clear" w:color="auto" w:fill="FFFFFF"/>
        </w:rPr>
        <w:t>inference</w:t>
      </w:r>
      <w:r w:rsidR="00024E4E" w:rsidRPr="00024E4E">
        <w:rPr>
          <w:rStyle w:val="pdf-viewer-line"/>
          <w:spacing w:val="-5"/>
          <w:shd w:val="clear" w:color="auto" w:fill="FFFFFF"/>
        </w:rPr>
        <w:t xml:space="preserve"> </w:t>
      </w:r>
      <w:r w:rsidR="00024E4E" w:rsidRPr="00024E4E">
        <w:rPr>
          <w:rStyle w:val="pdf-viewer-line"/>
          <w:spacing w:val="-2"/>
          <w:shd w:val="clear" w:color="auto" w:fill="FFFFFF"/>
        </w:rPr>
        <w:t>from</w:t>
      </w:r>
      <w:r w:rsidR="00024E4E" w:rsidRPr="00024E4E">
        <w:rPr>
          <w:rStyle w:val="pdf-viewer-line"/>
          <w:spacing w:val="-14"/>
          <w:shd w:val="clear" w:color="auto" w:fill="FFFFFF"/>
        </w:rPr>
        <w:t xml:space="preserve"> </w:t>
      </w:r>
      <w:r w:rsidR="00024E4E" w:rsidRPr="00024E4E">
        <w:rPr>
          <w:rStyle w:val="pdf-viewer-line"/>
          <w:spacing w:val="6"/>
          <w:shd w:val="clear" w:color="auto" w:fill="FFFFFF"/>
        </w:rPr>
        <w:t>the</w:t>
      </w:r>
      <w:r w:rsidR="00024E4E" w:rsidRPr="00024E4E">
        <w:rPr>
          <w:rStyle w:val="pdf-viewer-line"/>
          <w:spacing w:val="-14"/>
          <w:shd w:val="clear" w:color="auto" w:fill="FFFFFF"/>
        </w:rPr>
        <w:t xml:space="preserve"> </w:t>
      </w:r>
      <w:r w:rsidR="00024E4E" w:rsidRPr="00024E4E">
        <w:rPr>
          <w:rStyle w:val="pdf-viewer-line"/>
          <w:spacing w:val="-5"/>
          <w:shd w:val="clear" w:color="auto" w:fill="FFFFFF"/>
        </w:rPr>
        <w:t>late</w:t>
      </w:r>
      <w:r w:rsidR="00024E4E" w:rsidRPr="00024E4E">
        <w:rPr>
          <w:rStyle w:val="pdf-viewer-line"/>
          <w:spacing w:val="-14"/>
          <w:shd w:val="clear" w:color="auto" w:fill="FFFFFF"/>
        </w:rPr>
        <w:t xml:space="preserve"> </w:t>
      </w:r>
      <w:r w:rsidR="00024E4E" w:rsidRPr="00024E4E">
        <w:rPr>
          <w:rStyle w:val="pdf-viewer-line"/>
          <w:spacing w:val="-5"/>
          <w:shd w:val="clear" w:color="auto" w:fill="FFFFFF"/>
        </w:rPr>
        <w:t>disclosure</w:t>
      </w:r>
      <w:r w:rsidR="00024E4E" w:rsidRPr="00024E4E">
        <w:rPr>
          <w:rStyle w:val="pdf-viewer-line"/>
          <w:spacing w:val="-14"/>
          <w:shd w:val="clear" w:color="auto" w:fill="FFFFFF"/>
        </w:rPr>
        <w:t xml:space="preserve"> can be drawn, although the court </w:t>
      </w:r>
      <w:r w:rsidR="00024E4E" w:rsidRPr="00024E4E">
        <w:rPr>
          <w:rStyle w:val="pdf-viewer-line"/>
          <w:spacing w:val="3"/>
          <w:shd w:val="clear" w:color="auto" w:fill="FFFFFF"/>
        </w:rPr>
        <w:t>cannot</w:t>
      </w:r>
      <w:r w:rsidR="00024E4E" w:rsidRPr="00024E4E">
        <w:rPr>
          <w:rStyle w:val="pdf-viewer-line"/>
          <w:spacing w:val="-12"/>
          <w:shd w:val="clear" w:color="auto" w:fill="FFFFFF"/>
        </w:rPr>
        <w:t xml:space="preserve"> </w:t>
      </w:r>
      <w:r w:rsidR="00024E4E" w:rsidRPr="00024E4E">
        <w:rPr>
          <w:rStyle w:val="pdf-viewer-line"/>
          <w:spacing w:val="-2"/>
          <w:shd w:val="clear" w:color="auto" w:fill="FFFFFF"/>
        </w:rPr>
        <w:t>prevent</w:t>
      </w:r>
      <w:r w:rsidR="00024E4E" w:rsidRPr="00024E4E">
        <w:rPr>
          <w:rStyle w:val="pdf-viewer-line"/>
          <w:spacing w:val="-12"/>
          <w:shd w:val="clear" w:color="auto" w:fill="FFFFFF"/>
        </w:rPr>
        <w:t xml:space="preserve"> </w:t>
      </w:r>
      <w:r w:rsidR="00024E4E" w:rsidRPr="00024E4E">
        <w:rPr>
          <w:rStyle w:val="pdf-viewer-line"/>
          <w:spacing w:val="5"/>
          <w:shd w:val="clear" w:color="auto" w:fill="FFFFFF"/>
        </w:rPr>
        <w:t>the</w:t>
      </w:r>
      <w:r w:rsidR="00024E4E" w:rsidRPr="00024E4E">
        <w:rPr>
          <w:rStyle w:val="pdf-viewer-line"/>
          <w:spacing w:val="-14"/>
          <w:shd w:val="clear" w:color="auto" w:fill="FFFFFF"/>
        </w:rPr>
        <w:t xml:space="preserve"> </w:t>
      </w:r>
      <w:r w:rsidR="00024E4E" w:rsidRPr="00024E4E">
        <w:rPr>
          <w:rStyle w:val="pdf-viewer-line"/>
          <w:spacing w:val="-6"/>
          <w:shd w:val="clear" w:color="auto" w:fill="FFFFFF"/>
        </w:rPr>
        <w:t>evidence</w:t>
      </w:r>
      <w:r w:rsidR="00024E4E" w:rsidRPr="00024E4E">
        <w:rPr>
          <w:rStyle w:val="pdf-viewer-line"/>
          <w:spacing w:val="-14"/>
          <w:shd w:val="clear" w:color="auto" w:fill="FFFFFF"/>
        </w:rPr>
        <w:t xml:space="preserve"> </w:t>
      </w:r>
      <w:r w:rsidR="00024E4E" w:rsidRPr="00024E4E">
        <w:rPr>
          <w:rStyle w:val="pdf-viewer-line"/>
          <w:spacing w:val="-2"/>
          <w:shd w:val="clear" w:color="auto" w:fill="FFFFFF"/>
        </w:rPr>
        <w:t>from</w:t>
      </w:r>
      <w:r w:rsidR="00024E4E" w:rsidRPr="00024E4E">
        <w:rPr>
          <w:rStyle w:val="pdf-viewer-line"/>
          <w:spacing w:val="-14"/>
          <w:shd w:val="clear" w:color="auto" w:fill="FFFFFF"/>
        </w:rPr>
        <w:t xml:space="preserve"> </w:t>
      </w:r>
      <w:r w:rsidR="00024E4E" w:rsidRPr="00024E4E">
        <w:rPr>
          <w:rStyle w:val="pdf-viewer-line"/>
          <w:spacing w:val="-3"/>
          <w:shd w:val="clear" w:color="auto" w:fill="FFFFFF"/>
        </w:rPr>
        <w:t>being</w:t>
      </w:r>
      <w:r w:rsidR="00024E4E" w:rsidRPr="00024E4E">
        <w:rPr>
          <w:rStyle w:val="pdf-viewer-line"/>
          <w:spacing w:val="-14"/>
          <w:shd w:val="clear" w:color="auto" w:fill="FFFFFF"/>
        </w:rPr>
        <w:t xml:space="preserve"> </w:t>
      </w:r>
      <w:r w:rsidR="00024E4E" w:rsidRPr="00024E4E">
        <w:rPr>
          <w:rStyle w:val="pdf-viewer-line"/>
          <w:spacing w:val="-6"/>
          <w:shd w:val="clear" w:color="auto" w:fill="FFFFFF"/>
        </w:rPr>
        <w:t>called</w:t>
      </w:r>
      <w:r w:rsidR="00024E4E">
        <w:rPr>
          <w:rStyle w:val="pdf-viewer-line"/>
          <w:spacing w:val="-6"/>
          <w:shd w:val="clear" w:color="auto" w:fill="FFFFFF"/>
        </w:rPr>
        <w:t xml:space="preserve">. Moreover, </w:t>
      </w:r>
      <w:r w:rsidR="00024E4E" w:rsidRPr="00024E4E">
        <w:rPr>
          <w:rStyle w:val="pdf-viewer-line"/>
          <w:spacing w:val="-6"/>
          <w:shd w:val="clear" w:color="auto" w:fill="FFFFFF"/>
        </w:rPr>
        <w:t>where</w:t>
      </w:r>
      <w:r w:rsidR="00024E4E" w:rsidRPr="00024E4E">
        <w:rPr>
          <w:rStyle w:val="pdf-viewer-line"/>
          <w:spacing w:val="-8"/>
          <w:shd w:val="clear" w:color="auto" w:fill="FFFFFF"/>
        </w:rPr>
        <w:t xml:space="preserve"> </w:t>
      </w:r>
      <w:r w:rsidR="00024E4E" w:rsidRPr="00024E4E">
        <w:rPr>
          <w:rStyle w:val="pdf-viewer-line"/>
          <w:spacing w:val="2"/>
          <w:shd w:val="clear" w:color="auto" w:fill="FFFFFF"/>
        </w:rPr>
        <w:t>there</w:t>
      </w:r>
      <w:r w:rsidR="00024E4E" w:rsidRPr="00024E4E">
        <w:rPr>
          <w:rStyle w:val="pdf-viewer-line"/>
          <w:spacing w:val="-8"/>
          <w:shd w:val="clear" w:color="auto" w:fill="FFFFFF"/>
        </w:rPr>
        <w:t xml:space="preserve"> </w:t>
      </w:r>
      <w:r w:rsidR="00024E4E" w:rsidRPr="00024E4E">
        <w:rPr>
          <w:rStyle w:val="pdf-viewer-line"/>
          <w:spacing w:val="-12"/>
          <w:shd w:val="clear" w:color="auto" w:fill="FFFFFF"/>
        </w:rPr>
        <w:t>is</w:t>
      </w:r>
      <w:r w:rsidR="00024E4E" w:rsidRPr="00024E4E">
        <w:rPr>
          <w:rStyle w:val="pdf-viewer-line"/>
          <w:spacing w:val="-8"/>
          <w:shd w:val="clear" w:color="auto" w:fill="FFFFFF"/>
        </w:rPr>
        <w:t xml:space="preserve"> </w:t>
      </w:r>
      <w:r w:rsidR="00024E4E" w:rsidRPr="00024E4E">
        <w:rPr>
          <w:rStyle w:val="pdf-viewer-line"/>
          <w:spacing w:val="-6"/>
          <w:shd w:val="clear" w:color="auto" w:fill="FFFFFF"/>
        </w:rPr>
        <w:t>evidence</w:t>
      </w:r>
      <w:r w:rsidR="00024E4E" w:rsidRPr="00024E4E">
        <w:rPr>
          <w:rStyle w:val="pdf-viewer-line"/>
          <w:spacing w:val="-8"/>
          <w:shd w:val="clear" w:color="auto" w:fill="FFFFFF"/>
        </w:rPr>
        <w:t xml:space="preserve"> </w:t>
      </w:r>
      <w:r w:rsidR="00024E4E" w:rsidRPr="00024E4E">
        <w:rPr>
          <w:rStyle w:val="pdf-viewer-line"/>
          <w:spacing w:val="3"/>
          <w:shd w:val="clear" w:color="auto" w:fill="FFFFFF"/>
        </w:rPr>
        <w:t>that</w:t>
      </w:r>
      <w:r w:rsidR="00024E4E" w:rsidRPr="00024E4E">
        <w:rPr>
          <w:rStyle w:val="pdf-viewer-line"/>
          <w:spacing w:val="-8"/>
          <w:shd w:val="clear" w:color="auto" w:fill="FFFFFF"/>
        </w:rPr>
        <w:t xml:space="preserve"> </w:t>
      </w:r>
      <w:r w:rsidR="00024E4E" w:rsidRPr="00024E4E">
        <w:rPr>
          <w:rStyle w:val="pdf-viewer-line"/>
          <w:spacing w:val="5"/>
          <w:shd w:val="clear" w:color="auto" w:fill="FFFFFF"/>
        </w:rPr>
        <w:t>an</w:t>
      </w:r>
      <w:r w:rsidR="00024E4E" w:rsidRPr="00024E4E">
        <w:rPr>
          <w:rStyle w:val="pdf-viewer-line"/>
          <w:spacing w:val="-8"/>
          <w:shd w:val="clear" w:color="auto" w:fill="FFFFFF"/>
        </w:rPr>
        <w:t xml:space="preserve"> </w:t>
      </w:r>
      <w:r w:rsidR="00024E4E" w:rsidRPr="00024E4E">
        <w:rPr>
          <w:rStyle w:val="pdf-viewer-line"/>
          <w:spacing w:val="-5"/>
          <w:shd w:val="clear" w:color="auto" w:fill="FFFFFF"/>
        </w:rPr>
        <w:t>alibi</w:t>
      </w:r>
      <w:r w:rsidR="00024E4E" w:rsidRPr="00024E4E">
        <w:rPr>
          <w:rStyle w:val="pdf-viewer-line"/>
          <w:spacing w:val="-8"/>
          <w:shd w:val="clear" w:color="auto" w:fill="FFFFFF"/>
        </w:rPr>
        <w:t xml:space="preserve"> </w:t>
      </w:r>
      <w:r w:rsidR="00024E4E" w:rsidRPr="00024E4E">
        <w:rPr>
          <w:rStyle w:val="pdf-viewer-line"/>
          <w:spacing w:val="-2"/>
          <w:shd w:val="clear" w:color="auto" w:fill="FFFFFF"/>
        </w:rPr>
        <w:t>has</w:t>
      </w:r>
      <w:r w:rsidR="00024E4E" w:rsidRPr="00024E4E">
        <w:rPr>
          <w:rStyle w:val="pdf-viewer-line"/>
          <w:spacing w:val="-8"/>
          <w:shd w:val="clear" w:color="auto" w:fill="FFFFFF"/>
        </w:rPr>
        <w:t xml:space="preserve"> </w:t>
      </w:r>
      <w:r w:rsidR="00024E4E" w:rsidRPr="00024E4E">
        <w:rPr>
          <w:rStyle w:val="pdf-viewer-line"/>
          <w:shd w:val="clear" w:color="auto" w:fill="FFFFFF"/>
        </w:rPr>
        <w:t>been</w:t>
      </w:r>
      <w:r w:rsidR="00024E4E" w:rsidRPr="00024E4E">
        <w:rPr>
          <w:rStyle w:val="pdf-viewer-line"/>
          <w:spacing w:val="-8"/>
          <w:shd w:val="clear" w:color="auto" w:fill="FFFFFF"/>
        </w:rPr>
        <w:t xml:space="preserve"> </w:t>
      </w:r>
      <w:r w:rsidR="00024E4E" w:rsidRPr="00024E4E">
        <w:rPr>
          <w:rStyle w:val="pdf-viewer-line"/>
          <w:spacing w:val="-3"/>
          <w:shd w:val="clear" w:color="auto" w:fill="FFFFFF"/>
        </w:rPr>
        <w:t>fabricated,</w:t>
      </w:r>
      <w:r w:rsidR="00024E4E" w:rsidRPr="00024E4E">
        <w:rPr>
          <w:rStyle w:val="pdf-viewer-line"/>
          <w:spacing w:val="-8"/>
          <w:shd w:val="clear" w:color="auto" w:fill="FFFFFF"/>
        </w:rPr>
        <w:t xml:space="preserve"> </w:t>
      </w:r>
      <w:r w:rsidR="00024E4E" w:rsidRPr="00024E4E">
        <w:rPr>
          <w:rStyle w:val="pdf-viewer-line"/>
          <w:spacing w:val="-3"/>
          <w:shd w:val="clear" w:color="auto" w:fill="FFFFFF"/>
        </w:rPr>
        <w:t>this</w:t>
      </w:r>
      <w:r w:rsidR="00024E4E" w:rsidRPr="00024E4E">
        <w:rPr>
          <w:rStyle w:val="pdf-viewer-line"/>
          <w:spacing w:val="-5"/>
          <w:shd w:val="clear" w:color="auto" w:fill="FFFFFF"/>
        </w:rPr>
        <w:t xml:space="preserve"> </w:t>
      </w:r>
      <w:r w:rsidR="00024E4E" w:rsidRPr="00024E4E">
        <w:rPr>
          <w:rStyle w:val="pdf-viewer-line"/>
          <w:spacing w:val="-12"/>
          <w:shd w:val="clear" w:color="auto" w:fill="FFFFFF"/>
        </w:rPr>
        <w:t>may</w:t>
      </w:r>
      <w:r w:rsidR="00024E4E" w:rsidRPr="00024E4E">
        <w:rPr>
          <w:rStyle w:val="pdf-viewer-line"/>
          <w:spacing w:val="131"/>
          <w:shd w:val="clear" w:color="auto" w:fill="FFFFFF"/>
        </w:rPr>
        <w:t xml:space="preserve"> </w:t>
      </w:r>
      <w:r w:rsidR="00024E4E" w:rsidRPr="00024E4E">
        <w:rPr>
          <w:rStyle w:val="pdf-viewer-line"/>
          <w:spacing w:val="-3"/>
          <w:shd w:val="clear" w:color="auto" w:fill="FFFFFF"/>
        </w:rPr>
        <w:t>be</w:t>
      </w:r>
      <w:r w:rsidR="00024E4E" w:rsidRPr="00024E4E">
        <w:rPr>
          <w:rStyle w:val="pdf-viewer-line"/>
          <w:spacing w:val="131"/>
          <w:shd w:val="clear" w:color="auto" w:fill="FFFFFF"/>
        </w:rPr>
        <w:t xml:space="preserve"> </w:t>
      </w:r>
      <w:r w:rsidR="00024E4E" w:rsidRPr="00024E4E">
        <w:rPr>
          <w:rStyle w:val="pdf-viewer-line"/>
          <w:spacing w:val="-3"/>
          <w:shd w:val="clear" w:color="auto" w:fill="FFFFFF"/>
        </w:rPr>
        <w:t>used</w:t>
      </w:r>
      <w:r w:rsidR="00024E4E" w:rsidRPr="00024E4E">
        <w:rPr>
          <w:rStyle w:val="pdf-viewer-line"/>
          <w:spacing w:val="128"/>
          <w:shd w:val="clear" w:color="auto" w:fill="FFFFFF"/>
        </w:rPr>
        <w:t xml:space="preserve"> </w:t>
      </w:r>
      <w:r w:rsidR="00024E4E" w:rsidRPr="00024E4E">
        <w:rPr>
          <w:rStyle w:val="pdf-viewer-line"/>
          <w:spacing w:val="-12"/>
          <w:shd w:val="clear" w:color="auto" w:fill="FFFFFF"/>
        </w:rPr>
        <w:t>as</w:t>
      </w:r>
      <w:r w:rsidR="00024E4E" w:rsidRPr="00024E4E">
        <w:rPr>
          <w:rStyle w:val="pdf-viewer-line"/>
          <w:spacing w:val="131"/>
          <w:shd w:val="clear" w:color="auto" w:fill="FFFFFF"/>
        </w:rPr>
        <w:t xml:space="preserve"> </w:t>
      </w:r>
      <w:r w:rsidR="00024E4E" w:rsidRPr="00024E4E">
        <w:rPr>
          <w:rStyle w:val="pdf-viewer-line"/>
          <w:spacing w:val="-2"/>
          <w:shd w:val="clear" w:color="auto" w:fill="FFFFFF"/>
        </w:rPr>
        <w:t>circumstantial</w:t>
      </w:r>
      <w:r w:rsidR="00024E4E" w:rsidRPr="00024E4E">
        <w:rPr>
          <w:rStyle w:val="pdf-viewer-line"/>
          <w:spacing w:val="128"/>
          <w:shd w:val="clear" w:color="auto" w:fill="FFFFFF"/>
        </w:rPr>
        <w:t xml:space="preserve"> </w:t>
      </w:r>
      <w:r w:rsidR="00024E4E" w:rsidRPr="00024E4E">
        <w:rPr>
          <w:rStyle w:val="pdf-viewer-line"/>
          <w:spacing w:val="-6"/>
          <w:shd w:val="clear" w:color="auto" w:fill="FFFFFF"/>
        </w:rPr>
        <w:t>evidence</w:t>
      </w:r>
      <w:r w:rsidR="00024E4E" w:rsidRPr="00024E4E">
        <w:rPr>
          <w:rStyle w:val="pdf-viewer-line"/>
          <w:spacing w:val="131"/>
          <w:shd w:val="clear" w:color="auto" w:fill="FFFFFF"/>
        </w:rPr>
        <w:t xml:space="preserve"> </w:t>
      </w:r>
      <w:r w:rsidR="00024E4E" w:rsidRPr="00024E4E">
        <w:rPr>
          <w:rStyle w:val="pdf-viewer-line"/>
          <w:spacing w:val="3"/>
          <w:shd w:val="clear" w:color="auto" w:fill="FFFFFF"/>
        </w:rPr>
        <w:t>to</w:t>
      </w:r>
      <w:r w:rsidR="00024E4E" w:rsidRPr="00024E4E">
        <w:rPr>
          <w:rStyle w:val="pdf-viewer-line"/>
          <w:spacing w:val="131"/>
          <w:shd w:val="clear" w:color="auto" w:fill="FFFFFF"/>
        </w:rPr>
        <w:t xml:space="preserve"> </w:t>
      </w:r>
      <w:r w:rsidR="00024E4E" w:rsidRPr="00024E4E">
        <w:rPr>
          <w:rStyle w:val="pdf-viewer-line"/>
          <w:spacing w:val="-6"/>
          <w:shd w:val="clear" w:color="auto" w:fill="FFFFFF"/>
        </w:rPr>
        <w:t>draw</w:t>
      </w:r>
      <w:r w:rsidR="00024E4E" w:rsidRPr="00024E4E">
        <w:rPr>
          <w:rStyle w:val="pdf-viewer-line"/>
          <w:spacing w:val="131"/>
          <w:shd w:val="clear" w:color="auto" w:fill="FFFFFF"/>
        </w:rPr>
        <w:t xml:space="preserve"> </w:t>
      </w:r>
      <w:r w:rsidR="00024E4E" w:rsidRPr="00024E4E">
        <w:rPr>
          <w:rStyle w:val="pdf-viewer-line"/>
          <w:spacing w:val="5"/>
          <w:shd w:val="clear" w:color="auto" w:fill="FFFFFF"/>
        </w:rPr>
        <w:t>an</w:t>
      </w:r>
      <w:r w:rsidR="00024E4E" w:rsidRPr="00024E4E">
        <w:rPr>
          <w:rStyle w:val="pdf-viewer-line"/>
          <w:spacing w:val="131"/>
          <w:shd w:val="clear" w:color="auto" w:fill="FFFFFF"/>
        </w:rPr>
        <w:t xml:space="preserve"> </w:t>
      </w:r>
      <w:r w:rsidR="00024E4E" w:rsidRPr="00024E4E">
        <w:rPr>
          <w:rStyle w:val="pdf-viewer-line"/>
          <w:spacing w:val="-3"/>
          <w:shd w:val="clear" w:color="auto" w:fill="FFFFFF"/>
        </w:rPr>
        <w:t>inference</w:t>
      </w:r>
      <w:r w:rsidR="00024E4E" w:rsidRPr="00024E4E">
        <w:rPr>
          <w:rStyle w:val="pdf-viewer-line"/>
          <w:spacing w:val="131"/>
          <w:shd w:val="clear" w:color="auto" w:fill="FFFFFF"/>
        </w:rPr>
        <w:t xml:space="preserve"> </w:t>
      </w:r>
      <w:r w:rsidR="00024E4E" w:rsidRPr="00024E4E">
        <w:rPr>
          <w:rStyle w:val="pdf-viewer-line"/>
          <w:spacing w:val="-2"/>
          <w:shd w:val="clear" w:color="auto" w:fill="FFFFFF"/>
        </w:rPr>
        <w:t>or</w:t>
      </w:r>
      <w:r w:rsidR="00024E4E" w:rsidRPr="00024E4E">
        <w:rPr>
          <w:rStyle w:val="pdf-viewer-line"/>
          <w:spacing w:val="-5"/>
          <w:shd w:val="clear" w:color="auto" w:fill="FFFFFF"/>
        </w:rPr>
        <w:t xml:space="preserve"> </w:t>
      </w:r>
      <w:r w:rsidR="00024E4E" w:rsidRPr="00024E4E">
        <w:rPr>
          <w:rStyle w:val="pdf-viewer-line"/>
          <w:spacing w:val="-6"/>
          <w:shd w:val="clear" w:color="auto" w:fill="FFFFFF"/>
        </w:rPr>
        <w:t>“consciousness”</w:t>
      </w:r>
      <w:r w:rsidR="00024E4E" w:rsidRPr="00024E4E">
        <w:rPr>
          <w:rStyle w:val="pdf-viewer-line"/>
          <w:spacing w:val="-5"/>
          <w:shd w:val="clear" w:color="auto" w:fill="FFFFFF"/>
        </w:rPr>
        <w:t xml:space="preserve"> </w:t>
      </w:r>
      <w:r w:rsidR="00024E4E" w:rsidRPr="00024E4E">
        <w:rPr>
          <w:rStyle w:val="pdf-viewer-line"/>
          <w:spacing w:val="-6"/>
          <w:shd w:val="clear" w:color="auto" w:fill="FFFFFF"/>
        </w:rPr>
        <w:t>of</w:t>
      </w:r>
      <w:r w:rsidR="00024E4E" w:rsidRPr="00024E4E">
        <w:rPr>
          <w:rStyle w:val="pdf-viewer-line"/>
          <w:spacing w:val="-5"/>
          <w:shd w:val="clear" w:color="auto" w:fill="FFFFFF"/>
        </w:rPr>
        <w:t xml:space="preserve"> guilt.</w:t>
      </w:r>
      <w:r w:rsidR="00024E4E" w:rsidRPr="00024E4E">
        <w:rPr>
          <w:rStyle w:val="FootnoteReference"/>
          <w:spacing w:val="-6"/>
          <w:shd w:val="clear" w:color="auto" w:fill="FFFFFF"/>
        </w:rPr>
        <w:footnoteReference w:id="25"/>
      </w:r>
    </w:p>
    <w:p w14:paraId="4A7A591C" w14:textId="45F5B84B" w:rsidR="00154741" w:rsidRPr="00794014" w:rsidRDefault="00024E4E" w:rsidP="006D6EFF">
      <w:pPr>
        <w:pStyle w:val="JudgmentText"/>
        <w:ind w:left="720"/>
        <w:rPr>
          <w:i/>
          <w:iCs/>
        </w:rPr>
      </w:pPr>
      <w:r>
        <w:lastRenderedPageBreak/>
        <w:t xml:space="preserve">In the </w:t>
      </w:r>
      <w:r w:rsidR="00DC4842">
        <w:t xml:space="preserve">case of </w:t>
      </w:r>
      <w:r w:rsidR="00DC4842" w:rsidRPr="00DC4842">
        <w:rPr>
          <w:i/>
          <w:iCs/>
        </w:rPr>
        <w:t>Noble</w:t>
      </w:r>
      <w:r>
        <w:rPr>
          <w:i/>
          <w:iCs/>
        </w:rPr>
        <w:t>,</w:t>
      </w:r>
      <w:r w:rsidR="00DC4842">
        <w:rPr>
          <w:rStyle w:val="FootnoteReference"/>
          <w:i/>
          <w:iCs/>
        </w:rPr>
        <w:footnoteReference w:id="26"/>
      </w:r>
      <w:r>
        <w:rPr>
          <w:i/>
          <w:iCs/>
        </w:rPr>
        <w:t xml:space="preserve"> </w:t>
      </w:r>
      <w:r>
        <w:t xml:space="preserve">the Canadian Supreme Court, </w:t>
      </w:r>
      <w:r w:rsidR="00316886">
        <w:t xml:space="preserve">reiterated that the requirement to disclose an alibi defence </w:t>
      </w:r>
      <w:r w:rsidR="003D372A">
        <w:t>before</w:t>
      </w:r>
      <w:r w:rsidR="00316886">
        <w:t xml:space="preserve"> trial is a necessary exception to an accused’s right to silence. This rule may be traced back to the case of </w:t>
      </w:r>
      <w:r w:rsidR="00316886" w:rsidRPr="00316886">
        <w:rPr>
          <w:i/>
          <w:iCs/>
          <w:color w:val="000000" w:themeColor="text1"/>
          <w:shd w:val="clear" w:color="auto" w:fill="FFFFFF"/>
        </w:rPr>
        <w:t>R v Jenkins</w:t>
      </w:r>
      <w:r w:rsidR="00316886">
        <w:rPr>
          <w:rStyle w:val="FootnoteReference"/>
          <w:i/>
          <w:iCs/>
          <w:color w:val="000000" w:themeColor="text1"/>
          <w:shd w:val="clear" w:color="auto" w:fill="FFFFFF"/>
        </w:rPr>
        <w:footnoteReference w:id="27"/>
      </w:r>
      <w:r w:rsidR="00316886">
        <w:rPr>
          <w:i/>
          <w:iCs/>
          <w:color w:val="4A4A4A"/>
          <w:shd w:val="clear" w:color="auto" w:fill="FFFFFF"/>
        </w:rPr>
        <w:t xml:space="preserve">. </w:t>
      </w:r>
    </w:p>
    <w:p w14:paraId="66DC6C5C" w14:textId="3C2C9E96" w:rsidR="00794014" w:rsidRPr="00D813FD" w:rsidRDefault="00794014" w:rsidP="006D6EFF">
      <w:pPr>
        <w:pStyle w:val="JudgmentText"/>
        <w:ind w:left="720"/>
        <w:rPr>
          <w:i/>
          <w:iCs/>
          <w:color w:val="000000" w:themeColor="text1"/>
        </w:rPr>
      </w:pPr>
      <w:r w:rsidRPr="00794014">
        <w:rPr>
          <w:color w:val="000000" w:themeColor="text1"/>
          <w:shd w:val="clear" w:color="auto" w:fill="FFFFFF"/>
        </w:rPr>
        <w:t xml:space="preserve">What of our </w:t>
      </w:r>
      <w:r>
        <w:rPr>
          <w:color w:val="000000" w:themeColor="text1"/>
          <w:shd w:val="clear" w:color="auto" w:fill="FFFFFF"/>
        </w:rPr>
        <w:t xml:space="preserve">jurisdiction in </w:t>
      </w:r>
      <w:r w:rsidRPr="00794014">
        <w:rPr>
          <w:color w:val="000000" w:themeColor="text1"/>
          <w:shd w:val="clear" w:color="auto" w:fill="FFFFFF"/>
        </w:rPr>
        <w:t>Seychelles</w:t>
      </w:r>
      <w:r>
        <w:rPr>
          <w:color w:val="000000" w:themeColor="text1"/>
          <w:shd w:val="clear" w:color="auto" w:fill="FFFFFF"/>
        </w:rPr>
        <w:t>, then? As I have pointed out, there is a</w:t>
      </w:r>
      <w:r w:rsidR="00824624">
        <w:rPr>
          <w:color w:val="000000" w:themeColor="text1"/>
          <w:shd w:val="clear" w:color="auto" w:fill="FFFFFF"/>
        </w:rPr>
        <w:t>n enshrined</w:t>
      </w:r>
      <w:r>
        <w:rPr>
          <w:color w:val="000000" w:themeColor="text1"/>
          <w:shd w:val="clear" w:color="auto" w:fill="FFFFFF"/>
        </w:rPr>
        <w:t xml:space="preserve"> constitutional right to remain silent when charged.</w:t>
      </w:r>
      <w:r w:rsidR="00824624">
        <w:rPr>
          <w:rStyle w:val="FootnoteReference"/>
          <w:color w:val="000000" w:themeColor="text1"/>
          <w:shd w:val="clear" w:color="auto" w:fill="FFFFFF"/>
        </w:rPr>
        <w:footnoteReference w:id="28"/>
      </w:r>
      <w:r>
        <w:rPr>
          <w:color w:val="000000" w:themeColor="text1"/>
          <w:shd w:val="clear" w:color="auto" w:fill="FFFFFF"/>
        </w:rPr>
        <w:t xml:space="preserve"> </w:t>
      </w:r>
      <w:r w:rsidR="00824624">
        <w:rPr>
          <w:color w:val="000000" w:themeColor="text1"/>
          <w:shd w:val="clear" w:color="auto" w:fill="FFFFFF"/>
        </w:rPr>
        <w:t>Additionally, an accused person has a constitutional right to remain silent at the trial</w:t>
      </w:r>
      <w:r w:rsidR="00824624">
        <w:rPr>
          <w:rStyle w:val="FootnoteReference"/>
          <w:color w:val="000000" w:themeColor="text1"/>
          <w:shd w:val="clear" w:color="auto" w:fill="FFFFFF"/>
        </w:rPr>
        <w:footnoteReference w:id="29"/>
      </w:r>
      <w:r w:rsidR="0066736B">
        <w:rPr>
          <w:color w:val="000000" w:themeColor="text1"/>
          <w:shd w:val="clear" w:color="auto" w:fill="FFFFFF"/>
        </w:rPr>
        <w:t xml:space="preserve"> and not to have an adverse inf</w:t>
      </w:r>
      <w:r w:rsidR="00B7005D">
        <w:rPr>
          <w:color w:val="000000" w:themeColor="text1"/>
          <w:shd w:val="clear" w:color="auto" w:fill="FFFFFF"/>
        </w:rPr>
        <w:t>e</w:t>
      </w:r>
      <w:r w:rsidR="0066736B">
        <w:rPr>
          <w:color w:val="000000" w:themeColor="text1"/>
          <w:shd w:val="clear" w:color="auto" w:fill="FFFFFF"/>
        </w:rPr>
        <w:t>rence drawn f</w:t>
      </w:r>
      <w:r w:rsidR="00B7005D">
        <w:rPr>
          <w:color w:val="000000" w:themeColor="text1"/>
          <w:shd w:val="clear" w:color="auto" w:fill="FFFFFF"/>
        </w:rPr>
        <w:t>ro</w:t>
      </w:r>
      <w:r w:rsidR="0066736B">
        <w:rPr>
          <w:color w:val="000000" w:themeColor="text1"/>
          <w:shd w:val="clear" w:color="auto" w:fill="FFFFFF"/>
        </w:rPr>
        <w:t xml:space="preserve">m his </w:t>
      </w:r>
      <w:r w:rsidR="00B7005D">
        <w:rPr>
          <w:color w:val="000000" w:themeColor="text1"/>
          <w:shd w:val="clear" w:color="auto" w:fill="FFFFFF"/>
        </w:rPr>
        <w:t>exercise</w:t>
      </w:r>
      <w:r w:rsidR="0066736B">
        <w:rPr>
          <w:color w:val="000000" w:themeColor="text1"/>
          <w:shd w:val="clear" w:color="auto" w:fill="FFFFFF"/>
        </w:rPr>
        <w:t xml:space="preserve"> of </w:t>
      </w:r>
      <w:r w:rsidR="00B7005D">
        <w:rPr>
          <w:color w:val="000000" w:themeColor="text1"/>
          <w:shd w:val="clear" w:color="auto" w:fill="FFFFFF"/>
        </w:rPr>
        <w:t>that right</w:t>
      </w:r>
      <w:r w:rsidR="0066736B">
        <w:rPr>
          <w:color w:val="000000" w:themeColor="text1"/>
          <w:shd w:val="clear" w:color="auto" w:fill="FFFFFF"/>
        </w:rPr>
        <w:t>.</w:t>
      </w:r>
      <w:r w:rsidR="0066736B">
        <w:rPr>
          <w:rStyle w:val="FootnoteReference"/>
          <w:color w:val="000000" w:themeColor="text1"/>
          <w:shd w:val="clear" w:color="auto" w:fill="FFFFFF"/>
        </w:rPr>
        <w:footnoteReference w:id="30"/>
      </w:r>
      <w:r>
        <w:rPr>
          <w:color w:val="000000" w:themeColor="text1"/>
          <w:shd w:val="clear" w:color="auto" w:fill="FFFFFF"/>
        </w:rPr>
        <w:t xml:space="preserve"> </w:t>
      </w:r>
      <w:r w:rsidR="005B1550">
        <w:rPr>
          <w:color w:val="000000" w:themeColor="text1"/>
          <w:shd w:val="clear" w:color="auto" w:fill="FFFFFF"/>
        </w:rPr>
        <w:t xml:space="preserve">These </w:t>
      </w:r>
      <w:r w:rsidR="00931341">
        <w:rPr>
          <w:color w:val="000000" w:themeColor="text1"/>
          <w:shd w:val="clear" w:color="auto" w:fill="FFFFFF"/>
        </w:rPr>
        <w:t xml:space="preserve">are </w:t>
      </w:r>
      <w:r w:rsidR="00824624">
        <w:rPr>
          <w:color w:val="000000" w:themeColor="text1"/>
          <w:shd w:val="clear" w:color="auto" w:fill="FFFFFF"/>
        </w:rPr>
        <w:t xml:space="preserve">absolute rights </w:t>
      </w:r>
      <w:r w:rsidR="00931341">
        <w:rPr>
          <w:color w:val="000000" w:themeColor="text1"/>
          <w:shd w:val="clear" w:color="auto" w:fill="FFFFFF"/>
        </w:rPr>
        <w:t xml:space="preserve">and are </w:t>
      </w:r>
      <w:r w:rsidR="005B1550">
        <w:rPr>
          <w:color w:val="000000" w:themeColor="text1"/>
          <w:shd w:val="clear" w:color="auto" w:fill="FFFFFF"/>
        </w:rPr>
        <w:t xml:space="preserve">not </w:t>
      </w:r>
      <w:r w:rsidR="00931341">
        <w:rPr>
          <w:color w:val="000000" w:themeColor="text1"/>
          <w:shd w:val="clear" w:color="auto" w:fill="FFFFFF"/>
        </w:rPr>
        <w:t>subject to limitations,</w:t>
      </w:r>
      <w:r w:rsidR="00824624">
        <w:rPr>
          <w:color w:val="000000" w:themeColor="text1"/>
          <w:shd w:val="clear" w:color="auto" w:fill="FFFFFF"/>
        </w:rPr>
        <w:t xml:space="preserve"> </w:t>
      </w:r>
      <w:r w:rsidR="00931341">
        <w:rPr>
          <w:color w:val="000000" w:themeColor="text1"/>
          <w:shd w:val="clear" w:color="auto" w:fill="FFFFFF"/>
        </w:rPr>
        <w:t>unlike</w:t>
      </w:r>
      <w:r w:rsidR="00824624">
        <w:rPr>
          <w:color w:val="000000" w:themeColor="text1"/>
          <w:shd w:val="clear" w:color="auto" w:fill="FFFFFF"/>
        </w:rPr>
        <w:t xml:space="preserve"> other </w:t>
      </w:r>
      <w:r w:rsidR="00931341">
        <w:rPr>
          <w:color w:val="000000" w:themeColor="text1"/>
          <w:shd w:val="clear" w:color="auto" w:fill="FFFFFF"/>
        </w:rPr>
        <w:t>r</w:t>
      </w:r>
      <w:r w:rsidR="00824624">
        <w:rPr>
          <w:color w:val="000000" w:themeColor="text1"/>
          <w:shd w:val="clear" w:color="auto" w:fill="FFFFFF"/>
        </w:rPr>
        <w:t>i</w:t>
      </w:r>
      <w:r w:rsidR="00931341">
        <w:rPr>
          <w:color w:val="000000" w:themeColor="text1"/>
          <w:shd w:val="clear" w:color="auto" w:fill="FFFFFF"/>
        </w:rPr>
        <w:t>g</w:t>
      </w:r>
      <w:r w:rsidR="00824624">
        <w:rPr>
          <w:color w:val="000000" w:themeColor="text1"/>
          <w:shd w:val="clear" w:color="auto" w:fill="FFFFFF"/>
        </w:rPr>
        <w:t>hts</w:t>
      </w:r>
      <w:r w:rsidR="00931341">
        <w:rPr>
          <w:color w:val="000000" w:themeColor="text1"/>
          <w:shd w:val="clear" w:color="auto" w:fill="FFFFFF"/>
        </w:rPr>
        <w:t>,</w:t>
      </w:r>
      <w:r w:rsidR="00824624">
        <w:rPr>
          <w:color w:val="000000" w:themeColor="text1"/>
          <w:shd w:val="clear" w:color="auto" w:fill="FFFFFF"/>
        </w:rPr>
        <w:t xml:space="preserve"> which are </w:t>
      </w:r>
      <w:r w:rsidR="00931341">
        <w:rPr>
          <w:color w:val="000000" w:themeColor="text1"/>
          <w:shd w:val="clear" w:color="auto" w:fill="FFFFFF"/>
        </w:rPr>
        <w:t>subject</w:t>
      </w:r>
      <w:r w:rsidR="00824624">
        <w:rPr>
          <w:color w:val="000000" w:themeColor="text1"/>
          <w:shd w:val="clear" w:color="auto" w:fill="FFFFFF"/>
        </w:rPr>
        <w:t xml:space="preserve"> to </w:t>
      </w:r>
      <w:r w:rsidR="00931341">
        <w:rPr>
          <w:color w:val="000000" w:themeColor="text1"/>
          <w:shd w:val="clear" w:color="auto" w:fill="FFFFFF"/>
        </w:rPr>
        <w:t>qualification by law when necessary in a democratic society.</w:t>
      </w:r>
      <w:r w:rsidR="00931341">
        <w:rPr>
          <w:rStyle w:val="FootnoteReference"/>
          <w:color w:val="000000" w:themeColor="text1"/>
          <w:shd w:val="clear" w:color="auto" w:fill="FFFFFF"/>
        </w:rPr>
        <w:footnoteReference w:id="31"/>
      </w:r>
      <w:r w:rsidR="00931341">
        <w:rPr>
          <w:color w:val="000000" w:themeColor="text1"/>
          <w:shd w:val="clear" w:color="auto" w:fill="FFFFFF"/>
        </w:rPr>
        <w:t xml:space="preserve"> It is </w:t>
      </w:r>
      <w:r w:rsidR="00D813FD">
        <w:rPr>
          <w:color w:val="000000" w:themeColor="text1"/>
          <w:shd w:val="clear" w:color="auto" w:fill="FFFFFF"/>
        </w:rPr>
        <w:t xml:space="preserve">clear, therefore, that requiring an accused person to provide notice of alibi would be </w:t>
      </w:r>
      <w:r w:rsidR="00B7005D">
        <w:rPr>
          <w:color w:val="000000" w:themeColor="text1"/>
          <w:shd w:val="clear" w:color="auto" w:fill="FFFFFF"/>
        </w:rPr>
        <w:t xml:space="preserve">in </w:t>
      </w:r>
      <w:r w:rsidR="00D813FD">
        <w:rPr>
          <w:color w:val="000000" w:themeColor="text1"/>
          <w:shd w:val="clear" w:color="auto" w:fill="FFFFFF"/>
        </w:rPr>
        <w:t xml:space="preserve">breach of the </w:t>
      </w:r>
      <w:r w:rsidR="005B1550">
        <w:rPr>
          <w:color w:val="000000" w:themeColor="text1"/>
          <w:shd w:val="clear" w:color="auto" w:fill="FFFFFF"/>
        </w:rPr>
        <w:t xml:space="preserve">Charter of Fundamental and Human Rights and Freedoms in the </w:t>
      </w:r>
      <w:r w:rsidR="00D813FD">
        <w:rPr>
          <w:color w:val="000000" w:themeColor="text1"/>
          <w:shd w:val="clear" w:color="auto" w:fill="FFFFFF"/>
        </w:rPr>
        <w:t xml:space="preserve">Constitution. A court </w:t>
      </w:r>
      <w:r w:rsidR="00B7005D">
        <w:rPr>
          <w:color w:val="000000" w:themeColor="text1"/>
          <w:shd w:val="clear" w:color="auto" w:fill="FFFFFF"/>
        </w:rPr>
        <w:t>cannot</w:t>
      </w:r>
      <w:r w:rsidR="00D813FD">
        <w:rPr>
          <w:color w:val="000000" w:themeColor="text1"/>
          <w:shd w:val="clear" w:color="auto" w:fill="FFFFFF"/>
        </w:rPr>
        <w:t>, therefore, require an accused person to disclose particulars of an alibi if he wishes to rely on the same at trial.</w:t>
      </w:r>
      <w:r w:rsidR="00B7005D">
        <w:rPr>
          <w:color w:val="000000" w:themeColor="text1"/>
          <w:shd w:val="clear" w:color="auto" w:fill="FFFFFF"/>
        </w:rPr>
        <w:t xml:space="preserve"> The trial can only be delayed if an adjournment is sought by the prosecution to inquire into the alibi details. </w:t>
      </w:r>
    </w:p>
    <w:p w14:paraId="06988C04" w14:textId="1AFE87EC" w:rsidR="00D813FD" w:rsidRPr="00794014" w:rsidRDefault="00B7005D" w:rsidP="006D6EFF">
      <w:pPr>
        <w:pStyle w:val="JudgmentText"/>
        <w:ind w:left="720"/>
        <w:rPr>
          <w:i/>
          <w:iCs/>
          <w:color w:val="000000" w:themeColor="text1"/>
        </w:rPr>
      </w:pPr>
      <w:r>
        <w:rPr>
          <w:color w:val="000000" w:themeColor="text1"/>
        </w:rPr>
        <w:t xml:space="preserve">As I have said this was not an issue at the trial, </w:t>
      </w:r>
      <w:r w:rsidR="00B80D36">
        <w:rPr>
          <w:color w:val="000000" w:themeColor="text1"/>
        </w:rPr>
        <w:t>and</w:t>
      </w:r>
      <w:r>
        <w:rPr>
          <w:color w:val="000000" w:themeColor="text1"/>
        </w:rPr>
        <w:t xml:space="preserve"> the grounds raised regarding the alibi have no substance and are dismissed in their entirety. </w:t>
      </w:r>
    </w:p>
    <w:p w14:paraId="7CB148C4" w14:textId="11969237" w:rsidR="00794014" w:rsidRPr="00B7005D" w:rsidRDefault="00CD1F08" w:rsidP="00B7005D">
      <w:pPr>
        <w:pStyle w:val="Jjmntheading1"/>
      </w:pPr>
      <w:r>
        <w:t xml:space="preserve">A manifestly harsh and excessive sentence contrary to </w:t>
      </w:r>
      <w:r w:rsidR="00B7005D">
        <w:t>sentenc</w:t>
      </w:r>
      <w:r>
        <w:t>ing principles – Ground 8</w:t>
      </w:r>
    </w:p>
    <w:p w14:paraId="77F1A401" w14:textId="3B092294" w:rsidR="00794014" w:rsidRPr="00E65DE5" w:rsidRDefault="00CD1F08" w:rsidP="006D6EFF">
      <w:pPr>
        <w:pStyle w:val="JudgmentText"/>
        <w:ind w:left="720"/>
        <w:rPr>
          <w:i/>
          <w:iCs/>
          <w:color w:val="000000" w:themeColor="text1"/>
        </w:rPr>
      </w:pPr>
      <w:r>
        <w:rPr>
          <w:color w:val="000000" w:themeColor="text1"/>
          <w:shd w:val="clear" w:color="auto" w:fill="FFFFFF"/>
        </w:rPr>
        <w:t xml:space="preserve">The final ground of appeal as submitted by Mr. Camille for the </w:t>
      </w:r>
      <w:r w:rsidR="00B80D36">
        <w:rPr>
          <w:color w:val="000000" w:themeColor="text1"/>
          <w:shd w:val="clear" w:color="auto" w:fill="FFFFFF"/>
        </w:rPr>
        <w:t>appellant,</w:t>
      </w:r>
      <w:r>
        <w:rPr>
          <w:color w:val="000000" w:themeColor="text1"/>
          <w:shd w:val="clear" w:color="auto" w:fill="FFFFFF"/>
        </w:rPr>
        <w:t xml:space="preserve"> is that </w:t>
      </w:r>
      <w:r w:rsidR="00794014">
        <w:rPr>
          <w:color w:val="000000" w:themeColor="text1"/>
          <w:shd w:val="clear" w:color="auto" w:fill="FFFFFF"/>
        </w:rPr>
        <w:t xml:space="preserve"> </w:t>
      </w:r>
      <w:r>
        <w:rPr>
          <w:lang w:val="en"/>
        </w:rPr>
        <w:t xml:space="preserve">the learned trial judge erred in law and on the facts in meting a sentence of fifteen years imprisonment on the charge, against the appellant in that the sentence is manifestly harsh and excessive </w:t>
      </w:r>
      <w:r>
        <w:rPr>
          <w:lang w:val="en"/>
        </w:rPr>
        <w:lastRenderedPageBreak/>
        <w:t xml:space="preserve">and goes contrary to sentencing principles relating to the same offence charged. He has relied on the case of </w:t>
      </w:r>
      <w:r w:rsidRPr="00E65DE5">
        <w:rPr>
          <w:i/>
          <w:iCs/>
          <w:lang w:val="en"/>
        </w:rPr>
        <w:t>R</w:t>
      </w:r>
      <w:r w:rsidR="00E65DE5">
        <w:rPr>
          <w:i/>
          <w:iCs/>
          <w:lang w:val="en"/>
        </w:rPr>
        <w:t xml:space="preserve"> v</w:t>
      </w:r>
      <w:r w:rsidRPr="00E65DE5">
        <w:rPr>
          <w:i/>
          <w:iCs/>
          <w:lang w:val="en"/>
        </w:rPr>
        <w:t xml:space="preserve"> </w:t>
      </w:r>
      <w:r w:rsidR="00E65DE5" w:rsidRPr="00E65DE5">
        <w:rPr>
          <w:i/>
          <w:iCs/>
          <w:lang w:val="en"/>
        </w:rPr>
        <w:t>Suzette</w:t>
      </w:r>
      <w:r>
        <w:rPr>
          <w:rStyle w:val="FootnoteReference"/>
          <w:lang w:val="en"/>
        </w:rPr>
        <w:footnoteReference w:id="32"/>
      </w:r>
      <w:r w:rsidR="00E65DE5">
        <w:rPr>
          <w:i/>
          <w:iCs/>
          <w:lang w:val="en"/>
        </w:rPr>
        <w:t>,</w:t>
      </w:r>
      <w:r w:rsidR="00E65DE5">
        <w:rPr>
          <w:lang w:val="en"/>
        </w:rPr>
        <w:t xml:space="preserve"> in which this </w:t>
      </w:r>
      <w:r w:rsidR="00A667D5">
        <w:rPr>
          <w:lang w:val="en"/>
        </w:rPr>
        <w:t>C</w:t>
      </w:r>
      <w:r w:rsidR="00E65DE5">
        <w:rPr>
          <w:lang w:val="en"/>
        </w:rPr>
        <w:t xml:space="preserve">ourt reduced a sentence of nine years upheld by the Supreme Court for the sexual assault by a teacher of a pupil of </w:t>
      </w:r>
      <w:r w:rsidR="00A667D5">
        <w:rPr>
          <w:lang w:val="en"/>
        </w:rPr>
        <w:t>thirteen</w:t>
      </w:r>
      <w:r w:rsidR="00E65DE5">
        <w:rPr>
          <w:lang w:val="en"/>
        </w:rPr>
        <w:t xml:space="preserve"> years </w:t>
      </w:r>
      <w:r w:rsidR="00A667D5">
        <w:rPr>
          <w:lang w:val="en"/>
        </w:rPr>
        <w:t>from</w:t>
      </w:r>
      <w:r w:rsidR="00E65DE5">
        <w:rPr>
          <w:lang w:val="en"/>
        </w:rPr>
        <w:t xml:space="preserve"> the same school in which he taught. </w:t>
      </w:r>
    </w:p>
    <w:p w14:paraId="64849678" w14:textId="44867833" w:rsidR="00E65DE5" w:rsidRPr="00200544" w:rsidRDefault="00E65DE5" w:rsidP="006D6EFF">
      <w:pPr>
        <w:pStyle w:val="JudgmentText"/>
        <w:ind w:left="720"/>
        <w:rPr>
          <w:i/>
          <w:iCs/>
          <w:color w:val="000000" w:themeColor="text1"/>
        </w:rPr>
      </w:pPr>
      <w:r>
        <w:rPr>
          <w:color w:val="000000" w:themeColor="text1"/>
        </w:rPr>
        <w:t xml:space="preserve">Mrs. Monthy has </w:t>
      </w:r>
      <w:r w:rsidR="00A667D5">
        <w:rPr>
          <w:color w:val="000000" w:themeColor="text1"/>
        </w:rPr>
        <w:t>submitted</w:t>
      </w:r>
      <w:r>
        <w:rPr>
          <w:color w:val="000000" w:themeColor="text1"/>
        </w:rPr>
        <w:t xml:space="preserve"> that the offence with which the appellant was charged with carries a maximum penalty of twenty years.</w:t>
      </w:r>
      <w:r>
        <w:rPr>
          <w:rStyle w:val="FootnoteReference"/>
          <w:color w:val="000000" w:themeColor="text1"/>
        </w:rPr>
        <w:footnoteReference w:id="33"/>
      </w:r>
      <w:r>
        <w:rPr>
          <w:color w:val="000000" w:themeColor="text1"/>
        </w:rPr>
        <w:t xml:space="preserve"> She has also </w:t>
      </w:r>
      <w:r w:rsidR="00A667D5">
        <w:rPr>
          <w:color w:val="000000" w:themeColor="text1"/>
        </w:rPr>
        <w:t>proposed</w:t>
      </w:r>
      <w:r>
        <w:rPr>
          <w:color w:val="000000" w:themeColor="text1"/>
        </w:rPr>
        <w:t xml:space="preserve"> that on the authority of </w:t>
      </w:r>
      <w:r w:rsidRPr="00E65DE5">
        <w:rPr>
          <w:i/>
          <w:iCs/>
          <w:color w:val="000000" w:themeColor="text1"/>
        </w:rPr>
        <w:t>Marengo v R</w:t>
      </w:r>
      <w:r w:rsidR="00200544">
        <w:rPr>
          <w:i/>
          <w:iCs/>
          <w:color w:val="000000" w:themeColor="text1"/>
        </w:rPr>
        <w:t>,</w:t>
      </w:r>
      <w:r w:rsidR="00200544">
        <w:rPr>
          <w:rStyle w:val="FootnoteReference"/>
          <w:i/>
          <w:iCs/>
          <w:color w:val="000000" w:themeColor="text1"/>
        </w:rPr>
        <w:footnoteReference w:id="34"/>
      </w:r>
      <w:r w:rsidR="00200544">
        <w:rPr>
          <w:i/>
          <w:iCs/>
          <w:color w:val="000000" w:themeColor="text1"/>
        </w:rPr>
        <w:t xml:space="preserve"> </w:t>
      </w:r>
      <w:r w:rsidR="00200544" w:rsidRPr="00200544">
        <w:rPr>
          <w:color w:val="000000" w:themeColor="text1"/>
        </w:rPr>
        <w:t>and</w:t>
      </w:r>
      <w:r w:rsidR="00200544">
        <w:rPr>
          <w:i/>
          <w:iCs/>
          <w:color w:val="000000" w:themeColor="text1"/>
        </w:rPr>
        <w:t xml:space="preserve"> Cedras v R</w:t>
      </w:r>
      <w:r w:rsidR="00200544">
        <w:rPr>
          <w:rStyle w:val="FootnoteReference"/>
          <w:i/>
          <w:iCs/>
          <w:color w:val="000000" w:themeColor="text1"/>
        </w:rPr>
        <w:footnoteReference w:id="35"/>
      </w:r>
      <w:r w:rsidR="00200544">
        <w:rPr>
          <w:i/>
          <w:iCs/>
          <w:color w:val="000000" w:themeColor="text1"/>
        </w:rPr>
        <w:t xml:space="preserve">  </w:t>
      </w:r>
      <w:r w:rsidR="00200544" w:rsidRPr="00200544">
        <w:rPr>
          <w:color w:val="000000" w:themeColor="text1"/>
        </w:rPr>
        <w:t>the sentencing</w:t>
      </w:r>
      <w:r w:rsidR="00200544">
        <w:rPr>
          <w:i/>
          <w:iCs/>
          <w:color w:val="000000" w:themeColor="text1"/>
        </w:rPr>
        <w:t xml:space="preserve"> </w:t>
      </w:r>
      <w:r w:rsidR="00200544">
        <w:rPr>
          <w:color w:val="000000" w:themeColor="text1"/>
        </w:rPr>
        <w:t>power</w:t>
      </w:r>
      <w:r>
        <w:rPr>
          <w:color w:val="000000" w:themeColor="text1"/>
        </w:rPr>
        <w:t xml:space="preserve"> is discr</w:t>
      </w:r>
      <w:r w:rsidR="00200544">
        <w:rPr>
          <w:color w:val="000000" w:themeColor="text1"/>
        </w:rPr>
        <w:t>e</w:t>
      </w:r>
      <w:r>
        <w:rPr>
          <w:color w:val="000000" w:themeColor="text1"/>
        </w:rPr>
        <w:t>t</w:t>
      </w:r>
      <w:r w:rsidR="00200544">
        <w:rPr>
          <w:color w:val="000000" w:themeColor="text1"/>
        </w:rPr>
        <w:t>ion</w:t>
      </w:r>
      <w:r>
        <w:rPr>
          <w:color w:val="000000" w:themeColor="text1"/>
        </w:rPr>
        <w:t>ary</w:t>
      </w:r>
      <w:r w:rsidR="00200544">
        <w:rPr>
          <w:color w:val="000000" w:themeColor="text1"/>
        </w:rPr>
        <w:t>,</w:t>
      </w:r>
      <w:r w:rsidR="00A667D5">
        <w:rPr>
          <w:color w:val="000000" w:themeColor="text1"/>
        </w:rPr>
        <w:t xml:space="preserve"> </w:t>
      </w:r>
      <w:r w:rsidR="00200544">
        <w:rPr>
          <w:color w:val="000000" w:themeColor="text1"/>
        </w:rPr>
        <w:t>exercisable</w:t>
      </w:r>
      <w:r>
        <w:rPr>
          <w:color w:val="000000" w:themeColor="text1"/>
        </w:rPr>
        <w:t xml:space="preserve"> by the court</w:t>
      </w:r>
      <w:r w:rsidR="00200544">
        <w:rPr>
          <w:color w:val="000000" w:themeColor="text1"/>
        </w:rPr>
        <w:t xml:space="preserve"> and that unless the sentence imposed goes beyond recent trends the court will not interfere with it.</w:t>
      </w:r>
    </w:p>
    <w:p w14:paraId="4BD09B9E" w14:textId="7CF250E5" w:rsidR="00843683" w:rsidRPr="00843683" w:rsidRDefault="00200544" w:rsidP="006D6EFF">
      <w:pPr>
        <w:pStyle w:val="JudgmentText"/>
        <w:ind w:left="720"/>
        <w:rPr>
          <w:i/>
          <w:iCs/>
          <w:color w:val="000000" w:themeColor="text1"/>
        </w:rPr>
      </w:pPr>
      <w:r>
        <w:rPr>
          <w:color w:val="000000" w:themeColor="text1"/>
        </w:rPr>
        <w:t xml:space="preserve">Sentencing principles generally were expounded by the Supreme Court in the case of </w:t>
      </w:r>
      <w:r w:rsidRPr="009D39DC">
        <w:rPr>
          <w:i/>
          <w:iCs/>
          <w:color w:val="000000" w:themeColor="text1"/>
        </w:rPr>
        <w:t>R v MI and ors</w:t>
      </w:r>
      <w:r w:rsidR="009D39DC">
        <w:rPr>
          <w:i/>
          <w:iCs/>
          <w:color w:val="000000" w:themeColor="text1"/>
        </w:rPr>
        <w:t>.</w:t>
      </w:r>
      <w:r>
        <w:rPr>
          <w:rStyle w:val="FootnoteReference"/>
          <w:color w:val="000000" w:themeColor="text1"/>
        </w:rPr>
        <w:footnoteReference w:id="36"/>
      </w:r>
      <w:r w:rsidR="009D39DC">
        <w:rPr>
          <w:color w:val="000000" w:themeColor="text1"/>
        </w:rPr>
        <w:t xml:space="preserve"> Those relevant to the present appeal bear repeating: aggravating factors, including penetration by an act of sexual intercourse with a minor, the young age of the complainant, the position of trust held by the appellant with regard to the complainant; the interests of society </w:t>
      </w:r>
      <w:r w:rsidR="00843683">
        <w:rPr>
          <w:color w:val="000000" w:themeColor="text1"/>
        </w:rPr>
        <w:t>– the protection of vulnerable members of society and the welfare of children from the degenerate conduct of rapists and paedophiles.</w:t>
      </w:r>
      <w:r w:rsidR="009933E5">
        <w:rPr>
          <w:rStyle w:val="FootnoteReference"/>
          <w:color w:val="000000" w:themeColor="text1"/>
        </w:rPr>
        <w:footnoteReference w:id="37"/>
      </w:r>
    </w:p>
    <w:p w14:paraId="460EB3DA" w14:textId="3B2E19AE" w:rsidR="00E21331" w:rsidRPr="00E21331" w:rsidRDefault="00843683" w:rsidP="006D6EFF">
      <w:pPr>
        <w:pStyle w:val="JudgmentText"/>
        <w:ind w:left="720"/>
        <w:rPr>
          <w:i/>
          <w:iCs/>
          <w:color w:val="000000" w:themeColor="text1"/>
        </w:rPr>
      </w:pPr>
      <w:r>
        <w:rPr>
          <w:color w:val="000000" w:themeColor="text1"/>
        </w:rPr>
        <w:t xml:space="preserve">If anything, previous sentences in similar cases do not reflect the increase in such cases clearly demonstrated by the incidence of such </w:t>
      </w:r>
      <w:r w:rsidR="00A667D5">
        <w:rPr>
          <w:color w:val="000000" w:themeColor="text1"/>
        </w:rPr>
        <w:t>issues</w:t>
      </w:r>
      <w:r>
        <w:rPr>
          <w:color w:val="000000" w:themeColor="text1"/>
        </w:rPr>
        <w:t xml:space="preserve"> before the courts.  It is extremely concerning that the court found the rape of a thirteen-year-old </w:t>
      </w:r>
      <w:r w:rsidR="00E21331">
        <w:rPr>
          <w:color w:val="000000" w:themeColor="text1"/>
        </w:rPr>
        <w:t>schoolgirl</w:t>
      </w:r>
      <w:r>
        <w:rPr>
          <w:color w:val="000000" w:themeColor="text1"/>
        </w:rPr>
        <w:t xml:space="preserve"> by a teacher meriting a sentence of </w:t>
      </w:r>
      <w:r w:rsidR="00E21331">
        <w:rPr>
          <w:color w:val="000000" w:themeColor="text1"/>
        </w:rPr>
        <w:t>only</w:t>
      </w:r>
      <w:r>
        <w:rPr>
          <w:color w:val="000000" w:themeColor="text1"/>
        </w:rPr>
        <w:t xml:space="preserve"> four and half years on the g</w:t>
      </w:r>
      <w:r w:rsidR="00E21331">
        <w:rPr>
          <w:color w:val="000000" w:themeColor="text1"/>
        </w:rPr>
        <w:t>r</w:t>
      </w:r>
      <w:r>
        <w:rPr>
          <w:color w:val="000000" w:themeColor="text1"/>
        </w:rPr>
        <w:t>o</w:t>
      </w:r>
      <w:r w:rsidR="00E21331">
        <w:rPr>
          <w:color w:val="000000" w:themeColor="text1"/>
        </w:rPr>
        <w:t xml:space="preserve">unds </w:t>
      </w:r>
      <w:r>
        <w:rPr>
          <w:color w:val="000000" w:themeColor="text1"/>
        </w:rPr>
        <w:t>that</w:t>
      </w:r>
      <w:r w:rsidR="00E21331">
        <w:rPr>
          <w:color w:val="000000" w:themeColor="text1"/>
        </w:rPr>
        <w:t>:</w:t>
      </w:r>
    </w:p>
    <w:p w14:paraId="24F8A797" w14:textId="2A4BBF5D" w:rsidR="00E21331" w:rsidRDefault="00E21331" w:rsidP="00E21331">
      <w:pPr>
        <w:pStyle w:val="NumberedQuotationindent1"/>
        <w:numPr>
          <w:ilvl w:val="0"/>
          <w:numId w:val="0"/>
        </w:numPr>
        <w:ind w:left="900"/>
      </w:pPr>
      <w:r>
        <w:t>“There [was]no evidence that [she] was tricked, coerced, misled or in any way forced into having sexual intercourse with the appellant. There is no evidence that this was the first time that she ever had sexual intercourse.”</w:t>
      </w:r>
    </w:p>
    <w:p w14:paraId="36F91014" w14:textId="77777777" w:rsidR="00E21331" w:rsidRPr="00E21331" w:rsidRDefault="00E21331" w:rsidP="00E21331">
      <w:pPr>
        <w:pStyle w:val="NumberedQuotationindent1"/>
        <w:numPr>
          <w:ilvl w:val="0"/>
          <w:numId w:val="0"/>
        </w:numPr>
        <w:ind w:left="900"/>
      </w:pPr>
    </w:p>
    <w:p w14:paraId="3B3DD4D9" w14:textId="0215655B" w:rsidR="009933E5" w:rsidRPr="009933E5" w:rsidRDefault="00E21331" w:rsidP="006D6EFF">
      <w:pPr>
        <w:pStyle w:val="JudgmentText"/>
        <w:ind w:left="720"/>
        <w:rPr>
          <w:i/>
          <w:iCs/>
          <w:color w:val="000000" w:themeColor="text1"/>
        </w:rPr>
      </w:pPr>
      <w:r>
        <w:rPr>
          <w:color w:val="000000" w:themeColor="text1"/>
        </w:rPr>
        <w:t xml:space="preserve">A child does not and cannot consent to intercourse. It is even worse when it is a person </w:t>
      </w:r>
      <w:r w:rsidR="00150E98">
        <w:rPr>
          <w:color w:val="000000" w:themeColor="text1"/>
        </w:rPr>
        <w:t xml:space="preserve">in a relationship </w:t>
      </w:r>
      <w:r>
        <w:rPr>
          <w:color w:val="000000" w:themeColor="text1"/>
        </w:rPr>
        <w:t xml:space="preserve">of trust that commits the </w:t>
      </w:r>
      <w:r w:rsidR="00150E98">
        <w:rPr>
          <w:color w:val="000000" w:themeColor="text1"/>
        </w:rPr>
        <w:t>offence</w:t>
      </w:r>
      <w:r>
        <w:rPr>
          <w:color w:val="000000" w:themeColor="text1"/>
        </w:rPr>
        <w:t xml:space="preserve">. </w:t>
      </w:r>
      <w:r w:rsidR="00150E98">
        <w:rPr>
          <w:color w:val="000000" w:themeColor="text1"/>
        </w:rPr>
        <w:t xml:space="preserve">Whether </w:t>
      </w:r>
      <w:r w:rsidR="00A667D5">
        <w:rPr>
          <w:color w:val="000000" w:themeColor="text1"/>
        </w:rPr>
        <w:t>a complainant</w:t>
      </w:r>
      <w:r w:rsidR="00150E98">
        <w:rPr>
          <w:color w:val="000000" w:themeColor="text1"/>
        </w:rPr>
        <w:t xml:space="preserve"> has had sexual </w:t>
      </w:r>
      <w:r w:rsidR="00150E98">
        <w:rPr>
          <w:color w:val="000000" w:themeColor="text1"/>
        </w:rPr>
        <w:lastRenderedPageBreak/>
        <w:t xml:space="preserve">intercourse </w:t>
      </w:r>
      <w:r w:rsidR="00150E98" w:rsidRPr="009933E5">
        <w:rPr>
          <w:color w:val="000000" w:themeColor="text1"/>
        </w:rPr>
        <w:t xml:space="preserve">before is not a consideration to be taken into account in cases of sexual assault. </w:t>
      </w:r>
      <w:r w:rsidR="009933E5" w:rsidRPr="009933E5">
        <w:rPr>
          <w:color w:val="000000" w:themeColor="text1"/>
        </w:rPr>
        <w:t xml:space="preserve">This court in </w:t>
      </w:r>
      <w:r w:rsidR="009933E5" w:rsidRPr="009933E5">
        <w:rPr>
          <w:i/>
          <w:iCs/>
          <w:color w:val="000000" w:themeColor="text1"/>
        </w:rPr>
        <w:t>Jumeau v R</w:t>
      </w:r>
      <w:r w:rsidR="009933E5" w:rsidRPr="009933E5">
        <w:rPr>
          <w:rStyle w:val="FootnoteReference"/>
          <w:color w:val="000000" w:themeColor="text1"/>
        </w:rPr>
        <w:footnoteReference w:id="38"/>
      </w:r>
      <w:r w:rsidR="009933E5" w:rsidRPr="009933E5">
        <w:rPr>
          <w:i/>
          <w:iCs/>
          <w:color w:val="000000" w:themeColor="text1"/>
        </w:rPr>
        <w:t xml:space="preserve"> </w:t>
      </w:r>
      <w:r w:rsidR="009933E5" w:rsidRPr="009933E5">
        <w:rPr>
          <w:color w:val="000000" w:themeColor="text1"/>
        </w:rPr>
        <w:t xml:space="preserve">has already distanced </w:t>
      </w:r>
      <w:r w:rsidR="009933E5">
        <w:rPr>
          <w:color w:val="000000" w:themeColor="text1"/>
        </w:rPr>
        <w:t>itself</w:t>
      </w:r>
      <w:r w:rsidR="009933E5" w:rsidRPr="009933E5">
        <w:rPr>
          <w:color w:val="000000" w:themeColor="text1"/>
        </w:rPr>
        <w:t xml:space="preserve"> </w:t>
      </w:r>
      <w:r w:rsidR="009933E5">
        <w:rPr>
          <w:color w:val="000000" w:themeColor="text1"/>
        </w:rPr>
        <w:t>from t</w:t>
      </w:r>
      <w:r w:rsidR="009933E5" w:rsidRPr="009933E5">
        <w:rPr>
          <w:color w:val="000000" w:themeColor="text1"/>
        </w:rPr>
        <w:t xml:space="preserve">he </w:t>
      </w:r>
      <w:r w:rsidR="009933E5">
        <w:rPr>
          <w:color w:val="000000" w:themeColor="text1"/>
        </w:rPr>
        <w:t>decision</w:t>
      </w:r>
      <w:r w:rsidR="009933E5" w:rsidRPr="009933E5">
        <w:rPr>
          <w:color w:val="000000" w:themeColor="text1"/>
        </w:rPr>
        <w:t xml:space="preserve"> </w:t>
      </w:r>
      <w:r w:rsidR="00A667D5">
        <w:rPr>
          <w:color w:val="000000" w:themeColor="text1"/>
        </w:rPr>
        <w:t xml:space="preserve">in </w:t>
      </w:r>
      <w:r w:rsidR="00A667D5" w:rsidRPr="00A667D5">
        <w:rPr>
          <w:i/>
          <w:iCs/>
          <w:color w:val="000000" w:themeColor="text1"/>
        </w:rPr>
        <w:t>Suzette</w:t>
      </w:r>
      <w:r w:rsidR="00A667D5">
        <w:rPr>
          <w:i/>
          <w:iCs/>
          <w:color w:val="000000" w:themeColor="text1"/>
        </w:rPr>
        <w:t>,</w:t>
      </w:r>
      <w:r w:rsidR="00A667D5" w:rsidRPr="00A667D5">
        <w:rPr>
          <w:i/>
          <w:iCs/>
          <w:color w:val="000000" w:themeColor="text1"/>
        </w:rPr>
        <w:t xml:space="preserve"> </w:t>
      </w:r>
      <w:r w:rsidR="009933E5">
        <w:rPr>
          <w:color w:val="000000" w:themeColor="text1"/>
        </w:rPr>
        <w:t>remark</w:t>
      </w:r>
      <w:r w:rsidR="00A667D5">
        <w:rPr>
          <w:color w:val="000000" w:themeColor="text1"/>
        </w:rPr>
        <w:t>ing</w:t>
      </w:r>
      <w:r w:rsidR="009933E5" w:rsidRPr="009933E5">
        <w:rPr>
          <w:color w:val="000000" w:themeColor="text1"/>
        </w:rPr>
        <w:t xml:space="preserve"> that it </w:t>
      </w:r>
      <w:r w:rsidR="009933E5">
        <w:rPr>
          <w:color w:val="000000" w:themeColor="text1"/>
        </w:rPr>
        <w:t>was</w:t>
      </w:r>
      <w:r w:rsidR="009933E5" w:rsidRPr="009933E5">
        <w:rPr>
          <w:color w:val="000000" w:themeColor="text1"/>
        </w:rPr>
        <w:t xml:space="preserve"> given per incuriam. </w:t>
      </w:r>
      <w:r w:rsidR="00A667D5">
        <w:rPr>
          <w:color w:val="000000" w:themeColor="text1"/>
        </w:rPr>
        <w:t>I reiterate that t</w:t>
      </w:r>
      <w:r w:rsidR="009933E5">
        <w:rPr>
          <w:color w:val="000000" w:themeColor="text1"/>
        </w:rPr>
        <w:t xml:space="preserve">he case of </w:t>
      </w:r>
      <w:r w:rsidR="009933E5" w:rsidRPr="00843683">
        <w:rPr>
          <w:i/>
          <w:iCs/>
          <w:color w:val="000000" w:themeColor="text1"/>
        </w:rPr>
        <w:t>Suzette</w:t>
      </w:r>
      <w:r w:rsidR="009933E5">
        <w:rPr>
          <w:color w:val="000000" w:themeColor="text1"/>
        </w:rPr>
        <w:t xml:space="preserve"> is an aberration and must not be relied on by any court.</w:t>
      </w:r>
    </w:p>
    <w:p w14:paraId="0B2B7726" w14:textId="5C40E97F" w:rsidR="00843683" w:rsidRPr="00150E98" w:rsidRDefault="00E21331" w:rsidP="006D6EFF">
      <w:pPr>
        <w:pStyle w:val="JudgmentText"/>
        <w:ind w:left="720"/>
        <w:rPr>
          <w:i/>
          <w:iCs/>
          <w:color w:val="000000" w:themeColor="text1"/>
        </w:rPr>
      </w:pPr>
      <w:r>
        <w:rPr>
          <w:color w:val="000000" w:themeColor="text1"/>
        </w:rPr>
        <w:t>In the present case</w:t>
      </w:r>
      <w:r w:rsidR="00150E98">
        <w:rPr>
          <w:color w:val="000000" w:themeColor="text1"/>
        </w:rPr>
        <w:t>, the appellant was the family taxi driver</w:t>
      </w:r>
      <w:r>
        <w:rPr>
          <w:color w:val="000000" w:themeColor="text1"/>
        </w:rPr>
        <w:t xml:space="preserve"> </w:t>
      </w:r>
      <w:r w:rsidR="00150E98">
        <w:rPr>
          <w:color w:val="000000" w:themeColor="text1"/>
        </w:rPr>
        <w:t xml:space="preserve">and the </w:t>
      </w:r>
      <w:r>
        <w:rPr>
          <w:color w:val="000000" w:themeColor="text1"/>
        </w:rPr>
        <w:t xml:space="preserve">despair and trauma </w:t>
      </w:r>
      <w:r w:rsidR="00150E98">
        <w:rPr>
          <w:color w:val="000000" w:themeColor="text1"/>
        </w:rPr>
        <w:t xml:space="preserve">of the complainant </w:t>
      </w:r>
      <w:r>
        <w:rPr>
          <w:color w:val="000000" w:themeColor="text1"/>
        </w:rPr>
        <w:t xml:space="preserve">after pleading with </w:t>
      </w:r>
      <w:r w:rsidR="00150E98">
        <w:rPr>
          <w:color w:val="000000" w:themeColor="text1"/>
        </w:rPr>
        <w:t>him to</w:t>
      </w:r>
      <w:r>
        <w:rPr>
          <w:color w:val="000000" w:themeColor="text1"/>
        </w:rPr>
        <w:t xml:space="preserve"> take her home and not to touch her </w:t>
      </w:r>
      <w:r w:rsidR="00150E98">
        <w:rPr>
          <w:color w:val="000000" w:themeColor="text1"/>
        </w:rPr>
        <w:t>are</w:t>
      </w:r>
      <w:r>
        <w:rPr>
          <w:color w:val="000000" w:themeColor="text1"/>
        </w:rPr>
        <w:t xml:space="preserve"> all too</w:t>
      </w:r>
      <w:r w:rsidR="00150E98">
        <w:rPr>
          <w:color w:val="000000" w:themeColor="text1"/>
        </w:rPr>
        <w:t xml:space="preserve"> evident</w:t>
      </w:r>
      <w:r>
        <w:rPr>
          <w:color w:val="000000" w:themeColor="text1"/>
        </w:rPr>
        <w:t xml:space="preserve"> from the proceedings. She will remain traumatised for the rest of her life. </w:t>
      </w:r>
      <w:r w:rsidR="00A667D5">
        <w:rPr>
          <w:color w:val="000000" w:themeColor="text1"/>
        </w:rPr>
        <w:t>She has borne the consequences of this crime, a child she has carried to term. Two young lives have been scarred.</w:t>
      </w:r>
    </w:p>
    <w:p w14:paraId="05C3EF10" w14:textId="4AA06B64" w:rsidR="00150E98" w:rsidRPr="0086739C" w:rsidRDefault="00150E98" w:rsidP="006D6EFF">
      <w:pPr>
        <w:pStyle w:val="JudgmentText"/>
        <w:ind w:left="720"/>
        <w:rPr>
          <w:i/>
          <w:iCs/>
          <w:color w:val="000000" w:themeColor="text1"/>
        </w:rPr>
      </w:pPr>
      <w:r>
        <w:rPr>
          <w:color w:val="000000" w:themeColor="text1"/>
        </w:rPr>
        <w:t xml:space="preserve">I am aware that a sentence of fifteen years was severe and at the higher end of the scale. </w:t>
      </w:r>
      <w:r w:rsidR="00A54B32">
        <w:rPr>
          <w:color w:val="000000" w:themeColor="text1"/>
        </w:rPr>
        <w:t>It was</w:t>
      </w:r>
      <w:r w:rsidR="00A667D5">
        <w:rPr>
          <w:color w:val="000000" w:themeColor="text1"/>
        </w:rPr>
        <w:t>,</w:t>
      </w:r>
      <w:r w:rsidR="00A54B32">
        <w:rPr>
          <w:color w:val="000000" w:themeColor="text1"/>
        </w:rPr>
        <w:t xml:space="preserve"> </w:t>
      </w:r>
      <w:r w:rsidR="0086739C">
        <w:rPr>
          <w:color w:val="000000" w:themeColor="text1"/>
        </w:rPr>
        <w:t>however</w:t>
      </w:r>
      <w:r w:rsidR="00A667D5">
        <w:rPr>
          <w:color w:val="000000" w:themeColor="text1"/>
        </w:rPr>
        <w:t>,</w:t>
      </w:r>
      <w:r w:rsidR="00A54B32">
        <w:rPr>
          <w:color w:val="000000" w:themeColor="text1"/>
        </w:rPr>
        <w:t xml:space="preserve"> neither wrong in law </w:t>
      </w:r>
      <w:r w:rsidR="0086739C">
        <w:rPr>
          <w:color w:val="000000" w:themeColor="text1"/>
        </w:rPr>
        <w:t>n</w:t>
      </w:r>
      <w:r w:rsidR="00A54B32">
        <w:rPr>
          <w:color w:val="000000" w:themeColor="text1"/>
        </w:rPr>
        <w:t>or in principle</w:t>
      </w:r>
      <w:r w:rsidR="0086739C">
        <w:rPr>
          <w:color w:val="000000" w:themeColor="text1"/>
        </w:rPr>
        <w:t>.</w:t>
      </w:r>
      <w:r w:rsidR="00A54B32">
        <w:rPr>
          <w:color w:val="000000" w:themeColor="text1"/>
        </w:rPr>
        <w:t xml:space="preserve"> </w:t>
      </w:r>
      <w:r w:rsidR="0086739C">
        <w:rPr>
          <w:color w:val="000000" w:themeColor="text1"/>
        </w:rPr>
        <w:t>It</w:t>
      </w:r>
      <w:r w:rsidR="00A54B32">
        <w:rPr>
          <w:color w:val="000000" w:themeColor="text1"/>
        </w:rPr>
        <w:t xml:space="preserve"> was not manifestly harsh or excessive, giv</w:t>
      </w:r>
      <w:r w:rsidR="0086739C">
        <w:rPr>
          <w:color w:val="000000" w:themeColor="text1"/>
        </w:rPr>
        <w:t>en</w:t>
      </w:r>
      <w:r w:rsidR="00A54B32">
        <w:rPr>
          <w:color w:val="000000" w:themeColor="text1"/>
        </w:rPr>
        <w:t xml:space="preserve"> the offence, the </w:t>
      </w:r>
      <w:r w:rsidR="0086739C">
        <w:rPr>
          <w:color w:val="000000" w:themeColor="text1"/>
        </w:rPr>
        <w:t xml:space="preserve">maximum </w:t>
      </w:r>
      <w:r w:rsidR="00A54B32">
        <w:rPr>
          <w:color w:val="000000" w:themeColor="text1"/>
        </w:rPr>
        <w:t>p</w:t>
      </w:r>
      <w:r w:rsidR="0086739C">
        <w:rPr>
          <w:color w:val="000000" w:themeColor="text1"/>
        </w:rPr>
        <w:t>enalty imposable, the particular circumstances of this case and the considerations of public interest I have already outlined</w:t>
      </w:r>
      <w:r w:rsidR="00A667D5">
        <w:rPr>
          <w:color w:val="000000" w:themeColor="text1"/>
        </w:rPr>
        <w:t>.</w:t>
      </w:r>
      <w:r w:rsidR="0086739C">
        <w:rPr>
          <w:color w:val="000000" w:themeColor="text1"/>
        </w:rPr>
        <w:t xml:space="preserve"> In the circumstances, I see no reason to interfere with it. This ground of appeal is </w:t>
      </w:r>
      <w:r w:rsidR="00A667D5">
        <w:rPr>
          <w:color w:val="000000" w:themeColor="text1"/>
        </w:rPr>
        <w:t>also devoid of merit</w:t>
      </w:r>
      <w:r w:rsidR="0086739C">
        <w:rPr>
          <w:color w:val="000000" w:themeColor="text1"/>
        </w:rPr>
        <w:t>.</w:t>
      </w:r>
    </w:p>
    <w:p w14:paraId="2AF7A9F4" w14:textId="0744B9AB" w:rsidR="00873E5B" w:rsidRPr="00A667D5" w:rsidRDefault="0086739C" w:rsidP="006D6EFF">
      <w:pPr>
        <w:pStyle w:val="JudgmentText"/>
        <w:ind w:left="720"/>
        <w:rPr>
          <w:i/>
          <w:iCs/>
          <w:color w:val="000000" w:themeColor="text1"/>
        </w:rPr>
      </w:pPr>
      <w:r>
        <w:rPr>
          <w:color w:val="000000" w:themeColor="text1"/>
        </w:rPr>
        <w:t>For all these reasons, this appeal</w:t>
      </w:r>
      <w:r w:rsidR="00873E5B">
        <w:rPr>
          <w:color w:val="000000" w:themeColor="text1"/>
        </w:rPr>
        <w:t xml:space="preserve"> fails in its entirety.</w:t>
      </w:r>
    </w:p>
    <w:p w14:paraId="72937C88" w14:textId="1F1D5C14" w:rsidR="00A667D5" w:rsidRDefault="00A667D5" w:rsidP="00A667D5">
      <w:pPr>
        <w:pStyle w:val="JudgmentText"/>
        <w:numPr>
          <w:ilvl w:val="0"/>
          <w:numId w:val="0"/>
        </w:numPr>
        <w:ind w:left="5040" w:hanging="720"/>
        <w:rPr>
          <w:color w:val="000000" w:themeColor="text1"/>
        </w:rPr>
      </w:pPr>
    </w:p>
    <w:p w14:paraId="446229AE" w14:textId="04E5DDD1" w:rsidR="00A667D5" w:rsidRDefault="00A667D5" w:rsidP="00A667D5">
      <w:pPr>
        <w:pStyle w:val="JudgmentText"/>
        <w:numPr>
          <w:ilvl w:val="0"/>
          <w:numId w:val="0"/>
        </w:numPr>
        <w:ind w:left="5040" w:hanging="720"/>
        <w:rPr>
          <w:color w:val="000000" w:themeColor="text1"/>
        </w:rPr>
      </w:pPr>
    </w:p>
    <w:p w14:paraId="017B5A18" w14:textId="743C02EA" w:rsidR="00A667D5" w:rsidRDefault="00A667D5" w:rsidP="00A667D5">
      <w:pPr>
        <w:pStyle w:val="JudgmentText"/>
        <w:numPr>
          <w:ilvl w:val="0"/>
          <w:numId w:val="0"/>
        </w:numPr>
        <w:ind w:left="5040" w:hanging="720"/>
        <w:rPr>
          <w:color w:val="000000" w:themeColor="text1"/>
        </w:rPr>
      </w:pPr>
    </w:p>
    <w:p w14:paraId="3D48ADB1" w14:textId="283C26DC" w:rsidR="00A667D5" w:rsidRDefault="00A667D5" w:rsidP="00A667D5">
      <w:pPr>
        <w:pStyle w:val="JudgmentText"/>
        <w:numPr>
          <w:ilvl w:val="0"/>
          <w:numId w:val="0"/>
        </w:numPr>
        <w:ind w:left="5040" w:hanging="720"/>
        <w:rPr>
          <w:color w:val="000000" w:themeColor="text1"/>
        </w:rPr>
      </w:pPr>
    </w:p>
    <w:p w14:paraId="4FEE07D4" w14:textId="79AF2B0D" w:rsidR="00A667D5" w:rsidRDefault="00A667D5" w:rsidP="00A667D5">
      <w:pPr>
        <w:pStyle w:val="JudgmentText"/>
        <w:numPr>
          <w:ilvl w:val="0"/>
          <w:numId w:val="0"/>
        </w:numPr>
        <w:rPr>
          <w:color w:val="000000" w:themeColor="text1"/>
        </w:rPr>
      </w:pPr>
    </w:p>
    <w:p w14:paraId="50138629" w14:textId="180EB73A" w:rsidR="00A667D5" w:rsidRDefault="00A667D5" w:rsidP="00A667D5">
      <w:pPr>
        <w:pStyle w:val="JudgmentText"/>
        <w:numPr>
          <w:ilvl w:val="0"/>
          <w:numId w:val="0"/>
        </w:numPr>
        <w:rPr>
          <w:color w:val="000000" w:themeColor="text1"/>
        </w:rPr>
      </w:pPr>
    </w:p>
    <w:p w14:paraId="0797E7DE" w14:textId="69A6E12C" w:rsidR="00A667D5" w:rsidRDefault="00A667D5" w:rsidP="00A667D5">
      <w:pPr>
        <w:pStyle w:val="JudgmentText"/>
        <w:numPr>
          <w:ilvl w:val="0"/>
          <w:numId w:val="0"/>
        </w:numPr>
        <w:rPr>
          <w:color w:val="000000" w:themeColor="text1"/>
        </w:rPr>
      </w:pPr>
    </w:p>
    <w:p w14:paraId="421957A9" w14:textId="77777777" w:rsidR="00A667D5" w:rsidRPr="00873E5B" w:rsidRDefault="00A667D5" w:rsidP="00A667D5">
      <w:pPr>
        <w:pStyle w:val="JudgmentText"/>
        <w:numPr>
          <w:ilvl w:val="0"/>
          <w:numId w:val="0"/>
        </w:numPr>
        <w:rPr>
          <w:i/>
          <w:iCs/>
          <w:color w:val="000000" w:themeColor="text1"/>
        </w:rPr>
      </w:pPr>
    </w:p>
    <w:p w14:paraId="79F000BD" w14:textId="77777777" w:rsidR="00873E5B" w:rsidRPr="00873E5B" w:rsidRDefault="00873E5B" w:rsidP="00873E5B">
      <w:pPr>
        <w:pStyle w:val="Partynames"/>
        <w:rPr>
          <w:i/>
          <w:iCs/>
        </w:rPr>
      </w:pPr>
      <w:r>
        <w:t>Order</w:t>
      </w:r>
    </w:p>
    <w:p w14:paraId="6DEF2757" w14:textId="1A176357" w:rsidR="0086739C" w:rsidRPr="00A54B32" w:rsidRDefault="0086739C" w:rsidP="006D6EFF">
      <w:pPr>
        <w:pStyle w:val="JudgmentText"/>
        <w:ind w:left="720"/>
        <w:rPr>
          <w:i/>
          <w:iCs/>
          <w:color w:val="000000" w:themeColor="text1"/>
        </w:rPr>
      </w:pPr>
      <w:r>
        <w:rPr>
          <w:color w:val="000000" w:themeColor="text1"/>
        </w:rPr>
        <w:t xml:space="preserve"> </w:t>
      </w:r>
      <w:r w:rsidR="00873E5B">
        <w:rPr>
          <w:color w:val="000000" w:themeColor="text1"/>
        </w:rPr>
        <w:t>The appeal is dismissed</w:t>
      </w:r>
      <w:r w:rsidR="005A1345">
        <w:rPr>
          <w:color w:val="000000" w:themeColor="text1"/>
        </w:rPr>
        <w:t>. The conviction</w:t>
      </w:r>
      <w:r w:rsidR="00873E5B">
        <w:rPr>
          <w:color w:val="000000" w:themeColor="text1"/>
        </w:rPr>
        <w:t xml:space="preserve"> </w:t>
      </w:r>
      <w:r>
        <w:rPr>
          <w:color w:val="000000" w:themeColor="text1"/>
        </w:rPr>
        <w:t xml:space="preserve">and the sentence </w:t>
      </w:r>
      <w:r w:rsidR="005A1345">
        <w:rPr>
          <w:color w:val="000000" w:themeColor="text1"/>
        </w:rPr>
        <w:t>are</w:t>
      </w:r>
      <w:r>
        <w:rPr>
          <w:color w:val="000000" w:themeColor="text1"/>
        </w:rPr>
        <w:t xml:space="preserve"> upheld. </w:t>
      </w:r>
    </w:p>
    <w:p w14:paraId="0F0B98C4" w14:textId="77777777" w:rsidR="00A54B32" w:rsidRPr="00843683" w:rsidRDefault="00A54B32" w:rsidP="0086739C">
      <w:pPr>
        <w:pStyle w:val="JudgmentText"/>
        <w:numPr>
          <w:ilvl w:val="0"/>
          <w:numId w:val="0"/>
        </w:numPr>
        <w:ind w:left="720"/>
        <w:rPr>
          <w:i/>
          <w:iCs/>
          <w:color w:val="000000" w:themeColor="text1"/>
        </w:rPr>
      </w:pPr>
    </w:p>
    <w:p w14:paraId="06112E87" w14:textId="77777777" w:rsidR="008225AE" w:rsidRPr="00CD1DFF" w:rsidRDefault="008225AE" w:rsidP="006D6EFF">
      <w:pPr>
        <w:jc w:val="both"/>
        <w:rPr>
          <w:rFonts w:ascii="Times New Roman" w:hAnsi="Times New Roman" w:cs="Times New Roman"/>
          <w:bCs/>
          <w:color w:val="000000" w:themeColor="text1"/>
          <w:sz w:val="24"/>
          <w:szCs w:val="24"/>
          <w:lang w:val="en-US"/>
        </w:rPr>
      </w:pPr>
      <w:r w:rsidRPr="00CD1DFF">
        <w:rPr>
          <w:rFonts w:ascii="Times New Roman" w:hAnsi="Times New Roman" w:cs="Times New Roman"/>
          <w:b/>
          <w:color w:val="000000" w:themeColor="text1"/>
          <w:sz w:val="24"/>
          <w:szCs w:val="24"/>
        </w:rPr>
        <w:t>_____</w:t>
      </w:r>
      <w:r w:rsidR="006659B0" w:rsidRPr="00CD1DFF">
        <w:rPr>
          <w:rFonts w:ascii="Times New Roman" w:hAnsi="Times New Roman" w:cs="Times New Roman"/>
          <w:b/>
          <w:color w:val="000000" w:themeColor="text1"/>
          <w:sz w:val="24"/>
          <w:szCs w:val="24"/>
        </w:rPr>
        <w:t>_</w:t>
      </w:r>
      <w:r w:rsidRPr="00CD1DFF">
        <w:rPr>
          <w:rFonts w:ascii="Times New Roman" w:hAnsi="Times New Roman" w:cs="Times New Roman"/>
          <w:b/>
          <w:color w:val="000000" w:themeColor="text1"/>
          <w:sz w:val="24"/>
          <w:szCs w:val="24"/>
        </w:rPr>
        <w:t>_______________________</w:t>
      </w:r>
    </w:p>
    <w:p w14:paraId="5C32A6EA" w14:textId="77777777" w:rsidR="008225AE" w:rsidRPr="00CD1DFF" w:rsidRDefault="008225AE" w:rsidP="006D6EFF">
      <w:pPr>
        <w:jc w:val="both"/>
        <w:rPr>
          <w:rFonts w:ascii="Times New Roman" w:hAnsi="Times New Roman" w:cs="Times New Roman"/>
          <w:color w:val="000000" w:themeColor="text1"/>
          <w:sz w:val="24"/>
          <w:szCs w:val="24"/>
          <w:lang w:val="en-US"/>
        </w:rPr>
      </w:pPr>
      <w:r w:rsidRPr="00CD1DFF">
        <w:rPr>
          <w:rFonts w:ascii="Times New Roman" w:hAnsi="Times New Roman" w:cs="Times New Roman"/>
          <w:color w:val="000000" w:themeColor="text1"/>
          <w:sz w:val="24"/>
          <w:szCs w:val="24"/>
          <w:lang w:val="en-US"/>
        </w:rPr>
        <w:t xml:space="preserve">Dr. </w:t>
      </w:r>
      <w:r w:rsidR="0096253F" w:rsidRPr="00CD1DFF">
        <w:rPr>
          <w:rFonts w:ascii="Times New Roman" w:hAnsi="Times New Roman" w:cs="Times New Roman"/>
          <w:color w:val="000000" w:themeColor="text1"/>
          <w:sz w:val="24"/>
          <w:szCs w:val="24"/>
          <w:lang w:val="en-US"/>
        </w:rPr>
        <w:t>M. Twomey</w:t>
      </w:r>
      <w:r w:rsidR="00CD1DFF" w:rsidRPr="00CD1DFF">
        <w:rPr>
          <w:rFonts w:ascii="Times New Roman" w:hAnsi="Times New Roman" w:cs="Times New Roman"/>
          <w:color w:val="000000" w:themeColor="text1"/>
          <w:sz w:val="24"/>
          <w:szCs w:val="24"/>
          <w:lang w:val="en-US"/>
        </w:rPr>
        <w:t>-Woods</w:t>
      </w:r>
      <w:r w:rsidRPr="00CD1DFF">
        <w:rPr>
          <w:rFonts w:ascii="Times New Roman" w:hAnsi="Times New Roman" w:cs="Times New Roman"/>
          <w:color w:val="000000" w:themeColor="text1"/>
          <w:sz w:val="24"/>
          <w:szCs w:val="24"/>
          <w:lang w:val="en-US"/>
        </w:rPr>
        <w:t>, JA.</w:t>
      </w:r>
    </w:p>
    <w:p w14:paraId="65190E16" w14:textId="77777777" w:rsidR="00A45510" w:rsidRDefault="00A45510" w:rsidP="006D6EFF">
      <w:pPr>
        <w:jc w:val="both"/>
        <w:rPr>
          <w:rFonts w:ascii="Times New Roman" w:hAnsi="Times New Roman" w:cs="Times New Roman"/>
          <w:color w:val="000000" w:themeColor="text1"/>
          <w:sz w:val="24"/>
          <w:szCs w:val="24"/>
          <w:lang w:val="en-US"/>
        </w:rPr>
      </w:pPr>
    </w:p>
    <w:p w14:paraId="0D3E4D38" w14:textId="77777777" w:rsidR="001F175A" w:rsidRPr="00CD1DFF" w:rsidRDefault="001F175A" w:rsidP="006D6EFF">
      <w:pPr>
        <w:jc w:val="both"/>
        <w:rPr>
          <w:rFonts w:ascii="Times New Roman" w:hAnsi="Times New Roman" w:cs="Times New Roman"/>
          <w:color w:val="000000" w:themeColor="text1"/>
          <w:sz w:val="24"/>
          <w:szCs w:val="24"/>
          <w:lang w:val="en-US"/>
        </w:rPr>
      </w:pPr>
    </w:p>
    <w:p w14:paraId="2A250E0C" w14:textId="77777777" w:rsidR="008225AE" w:rsidRPr="00CD1DFF" w:rsidRDefault="008225AE" w:rsidP="006D6EFF">
      <w:pPr>
        <w:jc w:val="both"/>
        <w:rPr>
          <w:rFonts w:ascii="Times New Roman" w:hAnsi="Times New Roman" w:cs="Times New Roman"/>
          <w:color w:val="000000" w:themeColor="text1"/>
          <w:sz w:val="24"/>
          <w:szCs w:val="24"/>
        </w:rPr>
      </w:pPr>
      <w:r w:rsidRPr="00CD1DFF">
        <w:rPr>
          <w:rFonts w:ascii="Times New Roman" w:hAnsi="Times New Roman" w:cs="Times New Roman"/>
          <w:color w:val="000000" w:themeColor="text1"/>
          <w:sz w:val="24"/>
          <w:szCs w:val="24"/>
        </w:rPr>
        <w:t>I concur</w:t>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t>________________</w:t>
      </w:r>
    </w:p>
    <w:p w14:paraId="2D20D3C6" w14:textId="78F260DF" w:rsidR="0086739C" w:rsidRPr="0086739C" w:rsidRDefault="008225AE" w:rsidP="006D6EFF">
      <w:pPr>
        <w:jc w:val="both"/>
        <w:rPr>
          <w:rFonts w:ascii="Times New Roman" w:hAnsi="Times New Roman" w:cs="Times New Roman"/>
          <w:color w:val="000000" w:themeColor="text1"/>
          <w:sz w:val="24"/>
          <w:szCs w:val="24"/>
        </w:rPr>
      </w:pP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004F65E9">
        <w:rPr>
          <w:rFonts w:ascii="Times New Roman" w:hAnsi="Times New Roman" w:cs="Times New Roman"/>
          <w:color w:val="000000" w:themeColor="text1"/>
          <w:sz w:val="24"/>
          <w:szCs w:val="24"/>
        </w:rPr>
        <w:t xml:space="preserve">Dr. L. </w:t>
      </w:r>
      <w:r w:rsidR="001B2FE6">
        <w:rPr>
          <w:rFonts w:ascii="Times New Roman" w:hAnsi="Times New Roman" w:cs="Times New Roman"/>
          <w:sz w:val="24"/>
          <w:szCs w:val="24"/>
        </w:rPr>
        <w:t>Tibatemwa-Ekirikubinza</w:t>
      </w:r>
      <w:r w:rsidR="00191EA7">
        <w:rPr>
          <w:rFonts w:ascii="Times New Roman" w:hAnsi="Times New Roman" w:cs="Times New Roman"/>
          <w:color w:val="000000" w:themeColor="text1"/>
          <w:sz w:val="24"/>
          <w:szCs w:val="24"/>
        </w:rPr>
        <w:t>, JA</w:t>
      </w:r>
    </w:p>
    <w:p w14:paraId="33EE5341" w14:textId="3A72E044" w:rsidR="00C45C2C" w:rsidRDefault="00C45C2C" w:rsidP="006D6EFF">
      <w:pPr>
        <w:shd w:val="clear" w:color="auto" w:fill="FFFFFF"/>
        <w:tabs>
          <w:tab w:val="left" w:pos="1260"/>
        </w:tabs>
        <w:spacing w:line="360" w:lineRule="auto"/>
        <w:jc w:val="both"/>
        <w:textAlignment w:val="baseline"/>
        <w:rPr>
          <w:rFonts w:ascii="Times New Roman" w:eastAsia="Times New Roman" w:hAnsi="Times New Roman" w:cs="Times New Roman"/>
          <w:b/>
          <w:color w:val="333333"/>
          <w:sz w:val="24"/>
          <w:szCs w:val="24"/>
          <w:bdr w:val="none" w:sz="0" w:space="0" w:color="auto" w:frame="1"/>
        </w:rPr>
      </w:pPr>
    </w:p>
    <w:p w14:paraId="641250C4" w14:textId="24E0AE85" w:rsidR="00F60482" w:rsidRDefault="00F60482" w:rsidP="006D6EFF">
      <w:pPr>
        <w:shd w:val="clear" w:color="auto" w:fill="FFFFFF"/>
        <w:tabs>
          <w:tab w:val="left" w:pos="1260"/>
        </w:tabs>
        <w:spacing w:line="360" w:lineRule="auto"/>
        <w:jc w:val="both"/>
        <w:textAlignment w:val="baseline"/>
        <w:rPr>
          <w:rFonts w:ascii="Times New Roman" w:eastAsia="Times New Roman" w:hAnsi="Times New Roman" w:cs="Times New Roman"/>
          <w:b/>
          <w:color w:val="333333"/>
          <w:sz w:val="24"/>
          <w:szCs w:val="24"/>
          <w:bdr w:val="none" w:sz="0" w:space="0" w:color="auto" w:frame="1"/>
        </w:rPr>
      </w:pPr>
    </w:p>
    <w:p w14:paraId="5A93E20E" w14:textId="0CFC65E7" w:rsidR="00F60482" w:rsidRDefault="00F60482" w:rsidP="006D6EFF">
      <w:pPr>
        <w:shd w:val="clear" w:color="auto" w:fill="FFFFFF"/>
        <w:tabs>
          <w:tab w:val="left" w:pos="1260"/>
        </w:tabs>
        <w:spacing w:line="360" w:lineRule="auto"/>
        <w:jc w:val="both"/>
        <w:textAlignment w:val="baseline"/>
        <w:rPr>
          <w:rFonts w:ascii="Times New Roman" w:eastAsia="Times New Roman" w:hAnsi="Times New Roman" w:cs="Times New Roman"/>
          <w:b/>
          <w:color w:val="333333"/>
          <w:sz w:val="24"/>
          <w:szCs w:val="24"/>
          <w:bdr w:val="none" w:sz="0" w:space="0" w:color="auto" w:frame="1"/>
        </w:rPr>
      </w:pPr>
      <w:r>
        <w:rPr>
          <w:rFonts w:ascii="Times New Roman" w:eastAsia="Times New Roman" w:hAnsi="Times New Roman" w:cs="Times New Roman"/>
          <w:b/>
          <w:color w:val="333333"/>
          <w:sz w:val="24"/>
          <w:szCs w:val="24"/>
          <w:bdr w:val="none" w:sz="0" w:space="0" w:color="auto" w:frame="1"/>
        </w:rPr>
        <w:t>F. ROBINSON JA</w:t>
      </w:r>
    </w:p>
    <w:p w14:paraId="6A2DD6BB" w14:textId="03C455B7" w:rsidR="00F60482" w:rsidRDefault="00F60482" w:rsidP="00F60482">
      <w:pPr>
        <w:shd w:val="clear" w:color="auto" w:fill="FFFFFF"/>
        <w:spacing w:line="360" w:lineRule="auto"/>
        <w:jc w:val="both"/>
        <w:textAlignment w:val="baseline"/>
        <w:rPr>
          <w:rFonts w:ascii="Times New Roman" w:eastAsia="Times New Roman" w:hAnsi="Times New Roman" w:cs="Times New Roman"/>
          <w:color w:val="333333"/>
          <w:sz w:val="24"/>
          <w:szCs w:val="24"/>
          <w:bdr w:val="none" w:sz="0" w:space="0" w:color="auto" w:frame="1"/>
        </w:rPr>
      </w:pPr>
      <w:r w:rsidRPr="00F60482">
        <w:rPr>
          <w:rFonts w:ascii="Times New Roman" w:eastAsia="Times New Roman" w:hAnsi="Times New Roman" w:cs="Times New Roman"/>
          <w:color w:val="333333"/>
          <w:sz w:val="24"/>
          <w:szCs w:val="24"/>
          <w:bdr w:val="none" w:sz="0" w:space="0" w:color="auto" w:frame="1"/>
        </w:rPr>
        <w:t>[57]</w:t>
      </w:r>
      <w:r w:rsidRPr="00F60482">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I agree with the conclusion and order</w:t>
      </w:r>
      <w:r w:rsidRPr="00F60482">
        <w:rPr>
          <w:rFonts w:ascii="Times New Roman" w:eastAsia="Times New Roman" w:hAnsi="Times New Roman" w:cs="Times New Roman"/>
          <w:color w:val="333333"/>
          <w:sz w:val="24"/>
          <w:szCs w:val="24"/>
          <w:bdr w:val="none" w:sz="0" w:space="0" w:color="auto" w:frame="1"/>
        </w:rPr>
        <w:t xml:space="preserve"> </w:t>
      </w:r>
      <w:r>
        <w:rPr>
          <w:rFonts w:ascii="Times New Roman" w:eastAsia="Times New Roman" w:hAnsi="Times New Roman" w:cs="Times New Roman"/>
          <w:color w:val="333333"/>
          <w:sz w:val="24"/>
          <w:szCs w:val="24"/>
          <w:bdr w:val="none" w:sz="0" w:space="0" w:color="auto" w:frame="1"/>
        </w:rPr>
        <w:t xml:space="preserve">made by Justice Twomey-Woods in this case  </w:t>
      </w:r>
    </w:p>
    <w:p w14:paraId="40EB1F12" w14:textId="270E9905" w:rsidR="00F60482" w:rsidRDefault="00F60482" w:rsidP="00F60482">
      <w:pPr>
        <w:shd w:val="clear" w:color="auto" w:fill="FFFFFF"/>
        <w:spacing w:line="360" w:lineRule="auto"/>
        <w:ind w:left="630"/>
        <w:jc w:val="both"/>
        <w:textAlignment w:val="baseline"/>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 xml:space="preserve"> that the appeal be dismissed.</w:t>
      </w:r>
    </w:p>
    <w:p w14:paraId="2319939A" w14:textId="0807EBE4" w:rsidR="00F60482" w:rsidRPr="00F60482" w:rsidRDefault="00F60482" w:rsidP="00F60482">
      <w:pPr>
        <w:shd w:val="clear" w:color="auto" w:fill="FFFFFF"/>
        <w:spacing w:line="360" w:lineRule="auto"/>
        <w:jc w:val="both"/>
        <w:textAlignment w:val="baseline"/>
        <w:rPr>
          <w:rFonts w:ascii="Times New Roman" w:eastAsia="Times New Roman" w:hAnsi="Times New Roman" w:cs="Times New Roman"/>
          <w:color w:val="333333"/>
          <w:sz w:val="2"/>
          <w:szCs w:val="2"/>
          <w:bdr w:val="none" w:sz="0" w:space="0" w:color="auto" w:frame="1"/>
        </w:rPr>
      </w:pPr>
    </w:p>
    <w:p w14:paraId="32F12D1F" w14:textId="36B0927B" w:rsidR="00F60482" w:rsidRPr="00F60482" w:rsidRDefault="00F60482" w:rsidP="00F60482">
      <w:pPr>
        <w:shd w:val="clear" w:color="auto" w:fill="FFFFFF"/>
        <w:spacing w:line="360" w:lineRule="auto"/>
        <w:ind w:left="720" w:hanging="720"/>
        <w:jc w:val="both"/>
        <w:textAlignment w:val="baseline"/>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[58]</w:t>
      </w:r>
      <w:r>
        <w:rPr>
          <w:rFonts w:ascii="Times New Roman" w:eastAsia="Times New Roman" w:hAnsi="Times New Roman" w:cs="Times New Roman"/>
          <w:color w:val="333333"/>
          <w:sz w:val="24"/>
          <w:szCs w:val="24"/>
          <w:bdr w:val="none" w:sz="0" w:space="0" w:color="auto" w:frame="1"/>
        </w:rPr>
        <w:tab/>
      </w:r>
      <w:r w:rsidRPr="00F60482">
        <w:rPr>
          <w:rFonts w:ascii="Times New Roman" w:eastAsia="Times New Roman" w:hAnsi="Times New Roman" w:cs="Times New Roman"/>
          <w:color w:val="333333"/>
          <w:sz w:val="24"/>
          <w:szCs w:val="24"/>
          <w:bdr w:val="none" w:sz="0" w:space="0" w:color="auto" w:frame="1"/>
        </w:rPr>
        <w:t>For the avoidance of doubt, I reserve my opinion with respect to her finding as to whether or not</w:t>
      </w:r>
      <w:r w:rsidRPr="00F60482">
        <w:rPr>
          <w:rFonts w:ascii="Times New Roman" w:hAnsi="Times New Roman" w:cs="Times New Roman"/>
          <w:color w:val="000000" w:themeColor="text1"/>
          <w:sz w:val="24"/>
          <w:szCs w:val="24"/>
          <w:shd w:val="clear" w:color="auto" w:fill="FFFFFF"/>
        </w:rPr>
        <w:t xml:space="preserve"> “[46] [...] </w:t>
      </w:r>
      <w:r w:rsidRPr="00F60482">
        <w:rPr>
          <w:rFonts w:ascii="Times New Roman" w:hAnsi="Times New Roman" w:cs="Times New Roman"/>
          <w:i/>
          <w:color w:val="000000" w:themeColor="text1"/>
          <w:sz w:val="24"/>
          <w:szCs w:val="24"/>
          <w:shd w:val="clear" w:color="auto" w:fill="FFFFFF"/>
        </w:rPr>
        <w:t>requiring an accused person to provide notice of alibi would be in breach of the Charter of Fundamental and Human Rights and Freedoms in the Constitution.”</w:t>
      </w:r>
      <w:r w:rsidRPr="00F60482">
        <w:rPr>
          <w:rFonts w:ascii="Times New Roman" w:hAnsi="Times New Roman" w:cs="Times New Roman"/>
          <w:color w:val="000000" w:themeColor="text1"/>
          <w:sz w:val="24"/>
          <w:szCs w:val="24"/>
          <w:shd w:val="clear" w:color="auto" w:fill="FFFFFF"/>
        </w:rPr>
        <w:t xml:space="preserve"> The finding goes on to state that “[46] […] [a] </w:t>
      </w:r>
      <w:r w:rsidRPr="00F60482">
        <w:rPr>
          <w:rFonts w:ascii="Times New Roman" w:hAnsi="Times New Roman" w:cs="Times New Roman"/>
          <w:i/>
          <w:color w:val="000000" w:themeColor="text1"/>
          <w:sz w:val="24"/>
          <w:szCs w:val="24"/>
          <w:shd w:val="clear" w:color="auto" w:fill="FFFFFF"/>
        </w:rPr>
        <w:t>court cannot, therefore, require an accused person to disclose particulars of an alibi if he wishes to rely on the same at trial</w:t>
      </w:r>
      <w:r w:rsidRPr="00F60482">
        <w:rPr>
          <w:rFonts w:ascii="Times New Roman" w:hAnsi="Times New Roman" w:cs="Times New Roman"/>
          <w:color w:val="000000" w:themeColor="text1"/>
          <w:sz w:val="24"/>
          <w:szCs w:val="24"/>
          <w:shd w:val="clear" w:color="auto" w:fill="FFFFFF"/>
        </w:rPr>
        <w:t>.”</w:t>
      </w:r>
    </w:p>
    <w:p w14:paraId="5D37181E" w14:textId="27AAC558" w:rsidR="00F60482" w:rsidRDefault="00F60482" w:rsidP="006D6EFF">
      <w:pPr>
        <w:shd w:val="clear" w:color="auto" w:fill="FFFFFF"/>
        <w:tabs>
          <w:tab w:val="left" w:pos="1260"/>
        </w:tabs>
        <w:spacing w:line="360" w:lineRule="auto"/>
        <w:jc w:val="both"/>
        <w:textAlignment w:val="baseline"/>
        <w:rPr>
          <w:rFonts w:ascii="Times New Roman" w:eastAsia="Times New Roman" w:hAnsi="Times New Roman" w:cs="Times New Roman"/>
          <w:b/>
          <w:color w:val="333333"/>
          <w:sz w:val="24"/>
          <w:szCs w:val="24"/>
          <w:bdr w:val="none" w:sz="0" w:space="0" w:color="auto" w:frame="1"/>
        </w:rPr>
      </w:pPr>
    </w:p>
    <w:p w14:paraId="5D618C32" w14:textId="337E7CBF" w:rsidR="00F60482" w:rsidRDefault="00F60482" w:rsidP="006D6EFF">
      <w:pPr>
        <w:shd w:val="clear" w:color="auto" w:fill="FFFFFF"/>
        <w:tabs>
          <w:tab w:val="left" w:pos="1260"/>
        </w:tabs>
        <w:spacing w:line="360" w:lineRule="auto"/>
        <w:jc w:val="both"/>
        <w:textAlignment w:val="baseline"/>
        <w:rPr>
          <w:rFonts w:ascii="Times New Roman" w:eastAsia="Times New Roman" w:hAnsi="Times New Roman" w:cs="Times New Roman"/>
          <w:b/>
          <w:color w:val="333333"/>
          <w:sz w:val="24"/>
          <w:szCs w:val="24"/>
          <w:bdr w:val="none" w:sz="0" w:space="0" w:color="auto" w:frame="1"/>
        </w:rPr>
      </w:pPr>
      <w:r>
        <w:rPr>
          <w:rFonts w:ascii="Times New Roman" w:eastAsia="Times New Roman" w:hAnsi="Times New Roman" w:cs="Times New Roman"/>
          <w:b/>
          <w:color w:val="333333"/>
          <w:sz w:val="24"/>
          <w:szCs w:val="24"/>
          <w:bdr w:val="none" w:sz="0" w:space="0" w:color="auto" w:frame="1"/>
        </w:rPr>
        <w:t xml:space="preserve">__________________ </w:t>
      </w:r>
    </w:p>
    <w:p w14:paraId="16846CCD" w14:textId="657C0A51" w:rsidR="00F60482" w:rsidRPr="00F60482" w:rsidRDefault="00F60482" w:rsidP="006D6EFF">
      <w:pPr>
        <w:shd w:val="clear" w:color="auto" w:fill="FFFFFF"/>
        <w:tabs>
          <w:tab w:val="left" w:pos="1260"/>
        </w:tabs>
        <w:spacing w:line="360" w:lineRule="auto"/>
        <w:jc w:val="both"/>
        <w:textAlignment w:val="baseline"/>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F. Robinson JA</w:t>
      </w:r>
    </w:p>
    <w:p w14:paraId="23AF91CE" w14:textId="77777777" w:rsidR="00F60482" w:rsidRDefault="00F60482" w:rsidP="006D6EFF">
      <w:pPr>
        <w:shd w:val="clear" w:color="auto" w:fill="FFFFFF"/>
        <w:tabs>
          <w:tab w:val="left" w:pos="1260"/>
        </w:tabs>
        <w:spacing w:line="360" w:lineRule="auto"/>
        <w:jc w:val="both"/>
        <w:textAlignment w:val="baseline"/>
        <w:rPr>
          <w:rFonts w:ascii="Times New Roman" w:eastAsia="Times New Roman" w:hAnsi="Times New Roman" w:cs="Times New Roman"/>
          <w:b/>
          <w:color w:val="333333"/>
          <w:sz w:val="24"/>
          <w:szCs w:val="24"/>
          <w:bdr w:val="none" w:sz="0" w:space="0" w:color="auto" w:frame="1"/>
        </w:rPr>
      </w:pPr>
    </w:p>
    <w:p w14:paraId="2013C899" w14:textId="77777777" w:rsidR="00635078" w:rsidRPr="00546301" w:rsidRDefault="00635078" w:rsidP="00635078">
      <w:pPr>
        <w:spacing w:after="240" w:line="480" w:lineRule="auto"/>
        <w:rPr>
          <w:rFonts w:ascii="Times New Roman" w:eastAsia="Times New Roman" w:hAnsi="Times New Roman" w:cs="Times New Roman"/>
          <w:color w:val="000000" w:themeColor="text1"/>
          <w:sz w:val="24"/>
          <w:szCs w:val="24"/>
        </w:rPr>
      </w:pPr>
      <w:bookmarkStart w:id="1" w:name="_Toc409448291"/>
      <w:r w:rsidRPr="00546301">
        <w:rPr>
          <w:rFonts w:ascii="Times New Roman" w:eastAsia="Times New Roman" w:hAnsi="Times New Roman" w:cs="Times New Roman"/>
          <w:color w:val="000000" w:themeColor="text1"/>
          <w:sz w:val="24"/>
          <w:szCs w:val="24"/>
        </w:rPr>
        <w:t>Signed, dated and delivered at Ile du Port on 16 December 202</w:t>
      </w:r>
      <w:bookmarkEnd w:id="1"/>
      <w:r w:rsidRPr="00546301">
        <w:rPr>
          <w:rFonts w:ascii="Times New Roman" w:eastAsia="Times New Roman" w:hAnsi="Times New Roman" w:cs="Times New Roman"/>
          <w:color w:val="000000" w:themeColor="text1"/>
          <w:sz w:val="24"/>
          <w:szCs w:val="24"/>
        </w:rPr>
        <w:t>2.</w:t>
      </w:r>
    </w:p>
    <w:sectPr w:rsidR="00635078" w:rsidRPr="00546301" w:rsidSect="00BE269A">
      <w:footerReference w:type="default" r:id="rId17"/>
      <w:pgSz w:w="12240" w:h="15840"/>
      <w:pgMar w:top="103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BF84C" w14:textId="77777777" w:rsidR="00D505A3" w:rsidRDefault="00D505A3" w:rsidP="006A68E2">
      <w:pPr>
        <w:spacing w:after="0" w:line="240" w:lineRule="auto"/>
      </w:pPr>
      <w:r>
        <w:separator/>
      </w:r>
    </w:p>
  </w:endnote>
  <w:endnote w:type="continuationSeparator" w:id="0">
    <w:p w14:paraId="06AB1F44" w14:textId="77777777" w:rsidR="00D505A3" w:rsidRDefault="00D505A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Liberation-Serif">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2DCF486" w14:textId="376F227E" w:rsidR="000A6F3D" w:rsidRDefault="000A6F3D">
        <w:pPr>
          <w:pStyle w:val="Footer"/>
          <w:jc w:val="center"/>
        </w:pPr>
        <w:r>
          <w:fldChar w:fldCharType="begin"/>
        </w:r>
        <w:r>
          <w:instrText xml:space="preserve"> PAGE   \* MERGEFORMAT </w:instrText>
        </w:r>
        <w:r>
          <w:fldChar w:fldCharType="separate"/>
        </w:r>
        <w:r w:rsidR="00D56358">
          <w:rPr>
            <w:noProof/>
          </w:rPr>
          <w:t>1</w:t>
        </w:r>
        <w:r>
          <w:rPr>
            <w:noProof/>
          </w:rPr>
          <w:fldChar w:fldCharType="end"/>
        </w:r>
      </w:p>
    </w:sdtContent>
  </w:sdt>
  <w:p w14:paraId="119D8F73" w14:textId="77777777" w:rsidR="000A6F3D" w:rsidRDefault="000A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6B34A" w14:textId="77777777" w:rsidR="00D505A3" w:rsidRDefault="00D505A3" w:rsidP="006A68E2">
      <w:pPr>
        <w:spacing w:after="0" w:line="240" w:lineRule="auto"/>
      </w:pPr>
      <w:r>
        <w:separator/>
      </w:r>
    </w:p>
  </w:footnote>
  <w:footnote w:type="continuationSeparator" w:id="0">
    <w:p w14:paraId="7AADB2BC" w14:textId="77777777" w:rsidR="00D505A3" w:rsidRDefault="00D505A3" w:rsidP="006A68E2">
      <w:pPr>
        <w:spacing w:after="0" w:line="240" w:lineRule="auto"/>
      </w:pPr>
      <w:r>
        <w:continuationSeparator/>
      </w:r>
    </w:p>
  </w:footnote>
  <w:footnote w:id="1">
    <w:p w14:paraId="5B7D453A" w14:textId="57AE5E97" w:rsidR="00113B6F" w:rsidRPr="009D39DC" w:rsidRDefault="00113B6F">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(1985) SLR 75</w:t>
      </w:r>
    </w:p>
  </w:footnote>
  <w:footnote w:id="2">
    <w:p w14:paraId="1897F956" w14:textId="53BC7DA1" w:rsidR="00646B7E" w:rsidRPr="009D39DC" w:rsidRDefault="00646B7E">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Pr="009D39DC">
        <w:rPr>
          <w:rFonts w:ascii="Times New Roman" w:hAnsi="Times New Roman" w:cs="Times New Roman"/>
          <w:color w:val="000000" w:themeColor="text1"/>
          <w:lang w:val="en"/>
        </w:rPr>
        <w:t>(1998- 1993) SCAR 131 (SCA) 1 of 1998) [1989] SCCA 5 (25 October 1989</w:t>
      </w:r>
      <w:r w:rsidR="001F37CF" w:rsidRPr="009D39DC">
        <w:rPr>
          <w:rFonts w:ascii="Times New Roman" w:hAnsi="Times New Roman" w:cs="Times New Roman"/>
          <w:color w:val="000000" w:themeColor="text1"/>
          <w:lang w:val="en"/>
        </w:rPr>
        <w:t>)</w:t>
      </w:r>
      <w:r w:rsidR="008E25BC" w:rsidRPr="009D39DC">
        <w:rPr>
          <w:rFonts w:ascii="Times New Roman" w:hAnsi="Times New Roman" w:cs="Times New Roman"/>
          <w:color w:val="000000" w:themeColor="text1"/>
          <w:lang w:val="en"/>
        </w:rPr>
        <w:t>.</w:t>
      </w:r>
    </w:p>
  </w:footnote>
  <w:footnote w:id="3">
    <w:p w14:paraId="1C6E6030" w14:textId="012C7012" w:rsidR="00646B7E" w:rsidRPr="009D39DC" w:rsidRDefault="00646B7E">
      <w:pPr>
        <w:pStyle w:val="FootnoteText"/>
        <w:rPr>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001F37CF" w:rsidRPr="009D39DC">
        <w:rPr>
          <w:rFonts w:ascii="Times New Roman" w:hAnsi="Times New Roman" w:cs="Times New Roman"/>
          <w:color w:val="000000" w:themeColor="text1"/>
        </w:rPr>
        <w:t>(</w:t>
      </w:r>
      <w:r w:rsidRPr="009D39DC">
        <w:rPr>
          <w:rFonts w:ascii="Times New Roman" w:hAnsi="Times New Roman" w:cs="Times New Roman"/>
          <w:color w:val="000000" w:themeColor="text1"/>
          <w:lang w:val="en"/>
        </w:rPr>
        <w:t>SCA 4 of 1989)[1989] SCCA 13 (25 October 1989)</w:t>
      </w:r>
      <w:r w:rsidR="008E25BC" w:rsidRPr="009D39DC">
        <w:rPr>
          <w:rFonts w:ascii="Times New Roman" w:hAnsi="Times New Roman" w:cs="Times New Roman"/>
          <w:color w:val="000000" w:themeColor="text1"/>
          <w:lang w:val="en"/>
        </w:rPr>
        <w:t>.</w:t>
      </w:r>
    </w:p>
  </w:footnote>
  <w:footnote w:id="4">
    <w:p w14:paraId="7BA4C9B1" w14:textId="47C318EE" w:rsidR="00853451" w:rsidRPr="009D39DC" w:rsidRDefault="00853451">
      <w:pPr>
        <w:pStyle w:val="FootnoteText"/>
        <w:rPr>
          <w:rFonts w:ascii="Times New Roman" w:hAnsi="Times New Roman" w:cs="Times New Roman"/>
          <w:color w:val="000000" w:themeColor="text1"/>
          <w:lang w:val="en"/>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Pr="009D39DC">
        <w:rPr>
          <w:rFonts w:ascii="Times New Roman" w:hAnsi="Times New Roman" w:cs="Times New Roman"/>
          <w:color w:val="000000" w:themeColor="text1"/>
          <w:lang w:val="en"/>
        </w:rPr>
        <w:t>(1956- 1962)</w:t>
      </w:r>
      <w:r w:rsidR="00D20180" w:rsidRPr="009D39DC">
        <w:rPr>
          <w:rFonts w:ascii="Times New Roman" w:hAnsi="Times New Roman" w:cs="Times New Roman"/>
          <w:color w:val="000000" w:themeColor="text1"/>
          <w:lang w:val="en"/>
        </w:rPr>
        <w:t xml:space="preserve"> SCAR 220.</w:t>
      </w:r>
    </w:p>
  </w:footnote>
  <w:footnote w:id="5">
    <w:p w14:paraId="42708D4A" w14:textId="2D15A98D" w:rsidR="00325A64" w:rsidRPr="009D39DC" w:rsidRDefault="00325A64">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00D20180" w:rsidRPr="009D39DC">
        <w:rPr>
          <w:rFonts w:ascii="Times New Roman" w:hAnsi="Times New Roman" w:cs="Times New Roman"/>
          <w:color w:val="000000" w:themeColor="text1"/>
        </w:rPr>
        <w:t>Now section 344 of the Criminal Procedure Code.</w:t>
      </w:r>
    </w:p>
  </w:footnote>
  <w:footnote w:id="6">
    <w:p w14:paraId="7229668A" w14:textId="19E9BE62" w:rsidR="00853451" w:rsidRPr="009D39DC" w:rsidRDefault="00853451">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00F95EA8" w:rsidRPr="009D39DC">
        <w:rPr>
          <w:rFonts w:ascii="Times New Roman" w:hAnsi="Times New Roman" w:cs="Times New Roman"/>
          <w:color w:val="000000" w:themeColor="text1"/>
        </w:rPr>
        <w:t xml:space="preserve"> </w:t>
      </w:r>
      <w:r w:rsidR="00D20180" w:rsidRPr="009D39DC">
        <w:rPr>
          <w:rFonts w:ascii="Times New Roman" w:hAnsi="Times New Roman" w:cs="Times New Roman"/>
          <w:color w:val="000000" w:themeColor="text1"/>
        </w:rPr>
        <w:t>(1972) SLR 16.</w:t>
      </w:r>
      <w:r w:rsidRPr="009D39DC">
        <w:rPr>
          <w:rFonts w:ascii="Times New Roman" w:hAnsi="Times New Roman" w:cs="Times New Roman"/>
          <w:color w:val="000000" w:themeColor="text1"/>
        </w:rPr>
        <w:t xml:space="preserve"> </w:t>
      </w:r>
    </w:p>
  </w:footnote>
  <w:footnote w:id="7">
    <w:p w14:paraId="46296862" w14:textId="734F5A95" w:rsidR="008E25BC" w:rsidRPr="009D39DC" w:rsidRDefault="008E25BC">
      <w:pPr>
        <w:pStyle w:val="FootnoteText"/>
        <w:rPr>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008724C5" w:rsidRPr="009D39DC">
        <w:rPr>
          <w:rFonts w:ascii="Times New Roman" w:hAnsi="Times New Roman" w:cs="Times New Roman"/>
          <w:color w:val="000000" w:themeColor="text1"/>
        </w:rPr>
        <w:t>Section 338 of the Criminal Procedure Code contained the same provision that is now now contained in section 344 of the Criminal Procedure Code.</w:t>
      </w:r>
      <w:r w:rsidR="00D20180" w:rsidRPr="009D39DC">
        <w:rPr>
          <w:rFonts w:ascii="Times New Roman" w:hAnsi="Times New Roman" w:cs="Times New Roman"/>
          <w:color w:val="000000" w:themeColor="text1"/>
        </w:rPr>
        <w:t xml:space="preserve"> </w:t>
      </w:r>
    </w:p>
  </w:footnote>
  <w:footnote w:id="8">
    <w:p w14:paraId="5AF46E35" w14:textId="42C9F222" w:rsidR="00325A64" w:rsidRPr="009D39DC" w:rsidRDefault="00325A64">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00AF04A7" w:rsidRPr="009D39DC">
        <w:rPr>
          <w:rFonts w:ascii="Times New Roman" w:hAnsi="Times New Roman" w:cs="Times New Roman"/>
          <w:color w:val="000000" w:themeColor="text1"/>
        </w:rPr>
        <w:t xml:space="preserve"> </w:t>
      </w:r>
      <w:r w:rsidR="00113B6F" w:rsidRPr="009D39DC">
        <w:rPr>
          <w:rFonts w:ascii="Times New Roman" w:hAnsi="Times New Roman" w:cs="Times New Roman"/>
          <w:color w:val="000000" w:themeColor="text1"/>
        </w:rPr>
        <w:t>Supra, fn 1</w:t>
      </w:r>
    </w:p>
  </w:footnote>
  <w:footnote w:id="9">
    <w:p w14:paraId="2F9F779C" w14:textId="32A99F5C" w:rsidR="0019315D" w:rsidRPr="009D39DC" w:rsidRDefault="0019315D" w:rsidP="0019315D">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Supra, fn </w:t>
      </w:r>
      <w:r w:rsidR="00113B6F" w:rsidRPr="009D39DC">
        <w:rPr>
          <w:rFonts w:ascii="Times New Roman" w:hAnsi="Times New Roman" w:cs="Times New Roman"/>
          <w:color w:val="000000" w:themeColor="text1"/>
        </w:rPr>
        <w:t>2</w:t>
      </w:r>
      <w:r w:rsidRPr="009D39DC">
        <w:rPr>
          <w:rFonts w:ascii="Times New Roman" w:hAnsi="Times New Roman" w:cs="Times New Roman"/>
          <w:color w:val="000000" w:themeColor="text1"/>
        </w:rPr>
        <w:t>.</w:t>
      </w:r>
    </w:p>
  </w:footnote>
  <w:footnote w:id="10">
    <w:p w14:paraId="13BC7238" w14:textId="61D55732" w:rsidR="0019315D" w:rsidRPr="009D39DC" w:rsidRDefault="0019315D" w:rsidP="0019315D">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008724C5" w:rsidRPr="009D39DC">
        <w:rPr>
          <w:rFonts w:ascii="Times New Roman" w:hAnsi="Times New Roman" w:cs="Times New Roman"/>
          <w:color w:val="000000" w:themeColor="text1"/>
        </w:rPr>
        <w:t>Supra fn 3</w:t>
      </w:r>
    </w:p>
  </w:footnote>
  <w:footnote w:id="11">
    <w:p w14:paraId="6AFB212D" w14:textId="779C9EDC" w:rsidR="00F95EA8" w:rsidRPr="009D39DC" w:rsidRDefault="00F95EA8">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[1905] I KB 551.</w:t>
      </w:r>
    </w:p>
  </w:footnote>
  <w:footnote w:id="12">
    <w:p w14:paraId="7D8C8676" w14:textId="16A1E582" w:rsidR="004154C2" w:rsidRPr="009D39DC" w:rsidRDefault="004154C2" w:rsidP="00850980">
      <w:pPr>
        <w:pStyle w:val="Heading3"/>
        <w:shd w:val="clear" w:color="auto" w:fill="FFFFFF"/>
        <w:spacing w:before="0"/>
        <w:rPr>
          <w:rFonts w:ascii="Times New Roman" w:hAnsi="Times New Roman" w:cs="Times New Roman"/>
          <w:color w:val="000000" w:themeColor="text1"/>
          <w:sz w:val="20"/>
          <w:szCs w:val="20"/>
        </w:rPr>
      </w:pPr>
      <w:r w:rsidRPr="009D39DC">
        <w:rPr>
          <w:rStyle w:val="FootnoteReference"/>
          <w:rFonts w:ascii="Times New Roman" w:hAnsi="Times New Roman" w:cs="Times New Roman"/>
          <w:color w:val="000000" w:themeColor="text1"/>
          <w:sz w:val="20"/>
          <w:szCs w:val="20"/>
        </w:rPr>
        <w:footnoteRef/>
      </w:r>
      <w:r w:rsidRPr="009D39DC">
        <w:rPr>
          <w:rFonts w:ascii="Times New Roman" w:hAnsi="Times New Roman" w:cs="Times New Roman"/>
          <w:color w:val="000000" w:themeColor="text1"/>
          <w:sz w:val="20"/>
          <w:szCs w:val="20"/>
        </w:rPr>
        <w:t xml:space="preserve"> </w:t>
      </w:r>
      <w:r w:rsidR="007C42A2" w:rsidRPr="009D39DC">
        <w:rPr>
          <w:rFonts w:ascii="Times New Roman" w:hAnsi="Times New Roman" w:cs="Times New Roman"/>
          <w:color w:val="000000" w:themeColor="text1"/>
          <w:sz w:val="20"/>
          <w:szCs w:val="20"/>
        </w:rPr>
        <w:t xml:space="preserve">(2011) SLR 313, </w:t>
      </w:r>
      <w:r w:rsidRPr="009D39DC">
        <w:rPr>
          <w:rFonts w:ascii="Times New Roman" w:hAnsi="Times New Roman" w:cs="Times New Roman"/>
          <w:color w:val="000000" w:themeColor="text1"/>
          <w:sz w:val="20"/>
          <w:szCs w:val="20"/>
        </w:rPr>
        <w:t>(SCA 17 of 2009) [2011] SCCA 38 (02 September 2011)</w:t>
      </w:r>
      <w:r w:rsidR="007C42A2" w:rsidRPr="009D39DC">
        <w:rPr>
          <w:rFonts w:ascii="Times New Roman" w:hAnsi="Times New Roman" w:cs="Times New Roman"/>
          <w:color w:val="000000" w:themeColor="text1"/>
          <w:sz w:val="20"/>
          <w:szCs w:val="20"/>
        </w:rPr>
        <w:t>.</w:t>
      </w:r>
    </w:p>
  </w:footnote>
  <w:footnote w:id="13">
    <w:p w14:paraId="18682B08" w14:textId="59271593" w:rsidR="00B903DF" w:rsidRPr="009D39DC" w:rsidRDefault="00B903DF" w:rsidP="00C75835">
      <w:pPr>
        <w:pStyle w:val="Heading3"/>
        <w:shd w:val="clear" w:color="auto" w:fill="FFFFFF"/>
        <w:spacing w:before="0"/>
        <w:rPr>
          <w:rFonts w:ascii="Times New Roman" w:hAnsi="Times New Roman" w:cs="Times New Roman"/>
          <w:color w:val="000000" w:themeColor="text1"/>
          <w:sz w:val="20"/>
          <w:szCs w:val="20"/>
        </w:rPr>
      </w:pPr>
      <w:r w:rsidRPr="009D39DC">
        <w:rPr>
          <w:rStyle w:val="FootnoteReference"/>
          <w:rFonts w:ascii="Times New Roman" w:hAnsi="Times New Roman" w:cs="Times New Roman"/>
          <w:color w:val="000000" w:themeColor="text1"/>
          <w:sz w:val="20"/>
          <w:szCs w:val="20"/>
        </w:rPr>
        <w:footnoteRef/>
      </w:r>
      <w:r w:rsidRPr="009D39DC">
        <w:rPr>
          <w:rFonts w:ascii="Times New Roman" w:hAnsi="Times New Roman" w:cs="Times New Roman"/>
          <w:color w:val="000000" w:themeColor="text1"/>
          <w:sz w:val="20"/>
          <w:szCs w:val="20"/>
        </w:rPr>
        <w:t xml:space="preserve"> </w:t>
      </w:r>
      <w:r w:rsidR="009B41CE" w:rsidRPr="009D39DC">
        <w:rPr>
          <w:rFonts w:ascii="Times New Roman" w:hAnsi="Times New Roman" w:cs="Times New Roman"/>
          <w:i/>
          <w:iCs/>
          <w:color w:val="000000" w:themeColor="text1"/>
          <w:sz w:val="20"/>
          <w:szCs w:val="20"/>
        </w:rPr>
        <w:t>Vidot v Republic</w:t>
      </w:r>
      <w:r w:rsidR="009B41CE" w:rsidRPr="009D39DC">
        <w:rPr>
          <w:rFonts w:ascii="Times New Roman" w:hAnsi="Times New Roman" w:cs="Times New Roman"/>
          <w:color w:val="000000" w:themeColor="text1"/>
          <w:sz w:val="20"/>
          <w:szCs w:val="20"/>
        </w:rPr>
        <w:t xml:space="preserve"> </w:t>
      </w:r>
      <w:r w:rsidRPr="009D39DC">
        <w:rPr>
          <w:rFonts w:ascii="Times New Roman" w:hAnsi="Times New Roman" w:cs="Times New Roman"/>
          <w:color w:val="000000" w:themeColor="text1"/>
          <w:sz w:val="20"/>
          <w:szCs w:val="20"/>
        </w:rPr>
        <w:t>3</w:t>
      </w:r>
      <w:r w:rsidR="009B41CE" w:rsidRPr="009D39DC">
        <w:rPr>
          <w:rFonts w:ascii="Times New Roman" w:hAnsi="Times New Roman" w:cs="Times New Roman"/>
          <w:color w:val="000000" w:themeColor="text1"/>
          <w:sz w:val="20"/>
          <w:szCs w:val="20"/>
        </w:rPr>
        <w:t>(</w:t>
      </w:r>
      <w:r w:rsidRPr="009D39DC">
        <w:rPr>
          <w:rFonts w:ascii="Times New Roman" w:hAnsi="Times New Roman" w:cs="Times New Roman"/>
          <w:color w:val="000000" w:themeColor="text1"/>
          <w:sz w:val="20"/>
          <w:szCs w:val="20"/>
        </w:rPr>
        <w:t>7 of 1999) [2004] SCSC 11 (02 November 2004)</w:t>
      </w:r>
    </w:p>
  </w:footnote>
  <w:footnote w:id="14">
    <w:p w14:paraId="120982AD" w14:textId="192179D0" w:rsidR="00C75835" w:rsidRPr="009D39DC" w:rsidRDefault="00C75835" w:rsidP="00C75835">
      <w:pPr>
        <w:pStyle w:val="Heading3"/>
        <w:shd w:val="clear" w:color="auto" w:fill="FFFFFF"/>
        <w:spacing w:before="0"/>
        <w:rPr>
          <w:rFonts w:ascii="Times New Roman" w:hAnsi="Times New Roman" w:cs="Times New Roman"/>
          <w:color w:val="000000" w:themeColor="text1"/>
          <w:sz w:val="20"/>
          <w:szCs w:val="20"/>
        </w:rPr>
      </w:pPr>
      <w:r w:rsidRPr="009D39DC">
        <w:rPr>
          <w:rStyle w:val="FootnoteReference"/>
          <w:rFonts w:ascii="Times New Roman" w:hAnsi="Times New Roman" w:cs="Times New Roman"/>
          <w:color w:val="000000" w:themeColor="text1"/>
          <w:sz w:val="20"/>
          <w:szCs w:val="20"/>
        </w:rPr>
        <w:footnoteRef/>
      </w:r>
      <w:r w:rsidRPr="009D39DC">
        <w:rPr>
          <w:rFonts w:ascii="Times New Roman" w:hAnsi="Times New Roman" w:cs="Times New Roman"/>
          <w:color w:val="000000" w:themeColor="text1"/>
          <w:sz w:val="20"/>
          <w:szCs w:val="20"/>
        </w:rPr>
        <w:t xml:space="preserve"> </w:t>
      </w:r>
      <w:r w:rsidRPr="009D39DC">
        <w:rPr>
          <w:rFonts w:ascii="Times New Roman" w:hAnsi="Times New Roman" w:cs="Times New Roman"/>
          <w:i/>
          <w:iCs/>
          <w:color w:val="000000" w:themeColor="text1"/>
          <w:sz w:val="20"/>
          <w:szCs w:val="20"/>
        </w:rPr>
        <w:t xml:space="preserve">Sopha &amp; Anor v </w:t>
      </w:r>
      <w:r w:rsidR="00E33477" w:rsidRPr="009D39DC">
        <w:rPr>
          <w:rFonts w:ascii="Times New Roman" w:hAnsi="Times New Roman" w:cs="Times New Roman"/>
          <w:i/>
          <w:iCs/>
          <w:color w:val="000000" w:themeColor="text1"/>
          <w:sz w:val="20"/>
          <w:szCs w:val="20"/>
        </w:rPr>
        <w:t>Republic</w:t>
      </w:r>
      <w:r w:rsidR="00E33477" w:rsidRPr="009D39DC">
        <w:rPr>
          <w:rFonts w:ascii="Times New Roman" w:hAnsi="Times New Roman" w:cs="Times New Roman"/>
          <w:color w:val="000000" w:themeColor="text1"/>
          <w:sz w:val="20"/>
          <w:szCs w:val="20"/>
        </w:rPr>
        <w:t xml:space="preserve"> (</w:t>
      </w:r>
      <w:r w:rsidRPr="009D39DC">
        <w:rPr>
          <w:rFonts w:ascii="Times New Roman" w:hAnsi="Times New Roman" w:cs="Times New Roman"/>
          <w:color w:val="000000" w:themeColor="text1"/>
          <w:sz w:val="20"/>
          <w:szCs w:val="20"/>
        </w:rPr>
        <w:t>1988 – 1993) SCAR 209 (SCA 2 of 1991) [1991] SCCA 10 (14 October 1991)</w:t>
      </w:r>
    </w:p>
    <w:p w14:paraId="579FCE4A" w14:textId="11E6DF1F" w:rsidR="00C75835" w:rsidRPr="009D39DC" w:rsidRDefault="00C75835">
      <w:pPr>
        <w:pStyle w:val="FootnoteText"/>
        <w:rPr>
          <w:color w:val="000000" w:themeColor="text1"/>
        </w:rPr>
      </w:pPr>
    </w:p>
  </w:footnote>
  <w:footnote w:id="15">
    <w:p w14:paraId="5E2D7DCC" w14:textId="264D61AA" w:rsidR="00D53674" w:rsidRPr="009D39DC" w:rsidRDefault="00D53674">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There are few exceptions</w:t>
      </w:r>
      <w:r w:rsidR="00C71DC7" w:rsidRPr="009D39DC">
        <w:rPr>
          <w:rFonts w:ascii="Times New Roman" w:hAnsi="Times New Roman" w:cs="Times New Roman"/>
          <w:color w:val="000000" w:themeColor="text1"/>
        </w:rPr>
        <w:t xml:space="preserve"> </w:t>
      </w:r>
      <w:r w:rsidRPr="009D39DC">
        <w:rPr>
          <w:rFonts w:ascii="Times New Roman" w:hAnsi="Times New Roman" w:cs="Times New Roman"/>
          <w:color w:val="000000" w:themeColor="text1"/>
        </w:rPr>
        <w:t xml:space="preserve">- </w:t>
      </w:r>
      <w:r w:rsidR="00AE619F" w:rsidRPr="009D39DC">
        <w:rPr>
          <w:rFonts w:ascii="Times New Roman" w:hAnsi="Times New Roman" w:cs="Times New Roman"/>
          <w:color w:val="000000" w:themeColor="text1"/>
        </w:rPr>
        <w:t xml:space="preserve">these are </w:t>
      </w:r>
      <w:r w:rsidR="00C71DC7" w:rsidRPr="009D39DC">
        <w:rPr>
          <w:rFonts w:ascii="Times New Roman" w:hAnsi="Times New Roman" w:cs="Times New Roman"/>
          <w:color w:val="000000" w:themeColor="text1"/>
        </w:rPr>
        <w:t>provided by statute – e.g. insanity</w:t>
      </w:r>
      <w:r w:rsidR="003D372A" w:rsidRPr="009D39DC">
        <w:rPr>
          <w:rFonts w:ascii="Times New Roman" w:hAnsi="Times New Roman" w:cs="Times New Roman"/>
          <w:color w:val="000000" w:themeColor="text1"/>
        </w:rPr>
        <w:t xml:space="preserve"> </w:t>
      </w:r>
      <w:r w:rsidR="00C71DC7" w:rsidRPr="009D39DC">
        <w:rPr>
          <w:rFonts w:ascii="Times New Roman" w:hAnsi="Times New Roman" w:cs="Times New Roman"/>
          <w:color w:val="000000" w:themeColor="text1"/>
        </w:rPr>
        <w:t xml:space="preserve">as contained in section 13 of the Penal Code. </w:t>
      </w:r>
    </w:p>
  </w:footnote>
  <w:footnote w:id="16">
    <w:p w14:paraId="06925FAC" w14:textId="77777777" w:rsidR="007C4E0E" w:rsidRPr="009D39DC" w:rsidRDefault="007C4E0E" w:rsidP="007C4E0E">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These directions were repealed by the Chief Justice in 2021.</w:t>
      </w:r>
    </w:p>
  </w:footnote>
  <w:footnote w:id="17">
    <w:p w14:paraId="64002D7E" w14:textId="3B0D1339" w:rsidR="00D37243" w:rsidRPr="009D39DC" w:rsidRDefault="00D37243" w:rsidP="00C52D63">
      <w:pPr>
        <w:pStyle w:val="NormalWeb"/>
        <w:spacing w:before="0" w:beforeAutospacing="0" w:after="0" w:afterAutospacing="0"/>
        <w:rPr>
          <w:color w:val="000000" w:themeColor="text1"/>
          <w:sz w:val="20"/>
          <w:szCs w:val="20"/>
        </w:rPr>
      </w:pPr>
      <w:r w:rsidRPr="009D39DC">
        <w:rPr>
          <w:rStyle w:val="FootnoteReference"/>
          <w:color w:val="000000" w:themeColor="text1"/>
          <w:sz w:val="20"/>
          <w:szCs w:val="20"/>
        </w:rPr>
        <w:footnoteRef/>
      </w:r>
      <w:r w:rsidRPr="009D39DC">
        <w:rPr>
          <w:color w:val="000000" w:themeColor="text1"/>
          <w:sz w:val="20"/>
          <w:szCs w:val="20"/>
        </w:rPr>
        <w:t xml:space="preserve"> David M. Epstein, Advance Notice of Alibi, 55 J. Crim. L. Criminology &amp; Police Sci. 29 (1964)</w:t>
      </w:r>
      <w:r w:rsidR="00B04EC3" w:rsidRPr="009D39DC">
        <w:rPr>
          <w:color w:val="000000" w:themeColor="text1"/>
          <w:sz w:val="20"/>
          <w:szCs w:val="20"/>
        </w:rPr>
        <w:t>.</w:t>
      </w:r>
    </w:p>
  </w:footnote>
  <w:footnote w:id="18">
    <w:p w14:paraId="7F4B364C" w14:textId="77777777" w:rsidR="00F93D78" w:rsidRPr="009D39DC" w:rsidRDefault="00F93D78" w:rsidP="00F93D78">
      <w:pPr>
        <w:pStyle w:val="Heading2"/>
        <w:rPr>
          <w:rFonts w:ascii="Times New Roman" w:hAnsi="Times New Roman" w:cs="Times New Roman"/>
          <w:color w:val="000000" w:themeColor="text1"/>
          <w:sz w:val="20"/>
          <w:szCs w:val="20"/>
        </w:rPr>
      </w:pPr>
      <w:r w:rsidRPr="009D39DC">
        <w:rPr>
          <w:rStyle w:val="FootnoteReference"/>
          <w:rFonts w:ascii="Times New Roman" w:hAnsi="Times New Roman" w:cs="Times New Roman"/>
          <w:color w:val="000000" w:themeColor="text1"/>
          <w:sz w:val="20"/>
          <w:szCs w:val="20"/>
        </w:rPr>
        <w:footnoteRef/>
      </w:r>
      <w:r w:rsidRPr="009D39DC">
        <w:rPr>
          <w:rFonts w:ascii="Times New Roman" w:hAnsi="Times New Roman" w:cs="Times New Roman"/>
          <w:color w:val="000000" w:themeColor="text1"/>
          <w:sz w:val="20"/>
          <w:szCs w:val="20"/>
        </w:rPr>
        <w:t xml:space="preserve"> [1997] UKHL 33; [1998] AC 367; [1997] 3 All ER 769; [1997] 3 WLR 447; [1998] 1 Cr App Rep 66 (24th July, 1997)</w:t>
      </w:r>
    </w:p>
  </w:footnote>
  <w:footnote w:id="19">
    <w:p w14:paraId="6F0D3C5C" w14:textId="74979487" w:rsidR="00277D69" w:rsidRPr="009D39DC" w:rsidRDefault="00277D69">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[1994] 1 W.L.R. 746.</w:t>
      </w:r>
    </w:p>
  </w:footnote>
  <w:footnote w:id="20">
    <w:p w14:paraId="32A7D4B7" w14:textId="125F1CC0" w:rsidR="00604061" w:rsidRPr="009D39DC" w:rsidRDefault="00604061">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Ibid, </w:t>
      </w:r>
      <w:r w:rsidR="00277D69" w:rsidRPr="009D39DC">
        <w:rPr>
          <w:rFonts w:ascii="Times New Roman" w:hAnsi="Times New Roman" w:cs="Times New Roman"/>
          <w:color w:val="000000" w:themeColor="text1"/>
        </w:rPr>
        <w:t>page 370.</w:t>
      </w:r>
    </w:p>
  </w:footnote>
  <w:footnote w:id="21">
    <w:p w14:paraId="6E57354A" w14:textId="528134A4" w:rsidR="00C52D63" w:rsidRPr="009D39DC" w:rsidRDefault="00C52D63" w:rsidP="00E65DE5">
      <w:pPr>
        <w:pStyle w:val="NormalWeb"/>
        <w:spacing w:before="0" w:beforeAutospacing="0" w:after="0" w:afterAutospacing="0"/>
        <w:rPr>
          <w:color w:val="000000" w:themeColor="text1"/>
          <w:sz w:val="20"/>
          <w:szCs w:val="20"/>
        </w:rPr>
      </w:pPr>
      <w:r w:rsidRPr="009D39DC">
        <w:rPr>
          <w:rStyle w:val="FootnoteReference"/>
          <w:color w:val="000000" w:themeColor="text1"/>
          <w:sz w:val="20"/>
          <w:szCs w:val="20"/>
        </w:rPr>
        <w:footnoteRef/>
      </w:r>
      <w:r w:rsidRPr="009D39DC">
        <w:rPr>
          <w:color w:val="000000" w:themeColor="text1"/>
          <w:sz w:val="20"/>
          <w:szCs w:val="20"/>
        </w:rPr>
        <w:t xml:space="preserve"> Roger J. Traynor, Ground Lost and Found in Criminal Discovery in England, 39 N.Y.U. L. REV. 749 (1964), 754. </w:t>
      </w:r>
    </w:p>
  </w:footnote>
  <w:footnote w:id="22">
    <w:p w14:paraId="609B5767" w14:textId="2DEB2697" w:rsidR="00B04EC3" w:rsidRPr="009D39DC" w:rsidRDefault="00B04EC3">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Pr="009D39DC">
        <w:rPr>
          <w:rFonts w:ascii="Times New Roman" w:hAnsi="Times New Roman" w:cs="Times New Roman"/>
          <w:color w:val="000000" w:themeColor="text1"/>
          <w:shd w:val="clear" w:color="auto" w:fill="FFFFFF"/>
        </w:rPr>
        <w:t>John W Burchill, Alibi Evidence: Responsibility for Disclosure and Investigation, 2018 41-3 </w:t>
      </w:r>
      <w:r w:rsidRPr="009D39DC">
        <w:rPr>
          <w:rFonts w:ascii="Times New Roman" w:hAnsi="Times New Roman" w:cs="Times New Roman"/>
          <w:i/>
          <w:iCs/>
          <w:color w:val="000000" w:themeColor="text1"/>
          <w:shd w:val="clear" w:color="auto" w:fill="FFFFFF"/>
        </w:rPr>
        <w:t>Manitoba Law Journal</w:t>
      </w:r>
      <w:r w:rsidRPr="009D39DC">
        <w:rPr>
          <w:rFonts w:ascii="Times New Roman" w:hAnsi="Times New Roman" w:cs="Times New Roman"/>
          <w:color w:val="000000" w:themeColor="text1"/>
          <w:shd w:val="clear" w:color="auto" w:fill="FFFFFF"/>
        </w:rPr>
        <w:t> 99, 2018 </w:t>
      </w:r>
    </w:p>
  </w:footnote>
  <w:footnote w:id="23">
    <w:p w14:paraId="716A0641" w14:textId="199B0E88" w:rsidR="005C025C" w:rsidRPr="009D39DC" w:rsidRDefault="005C025C" w:rsidP="005C025C">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A.</w:t>
      </w:r>
      <w:r w:rsidR="00D813FD" w:rsidRPr="009D39DC">
        <w:rPr>
          <w:rFonts w:ascii="Times New Roman" w:hAnsi="Times New Roman" w:cs="Times New Roman"/>
          <w:color w:val="000000" w:themeColor="text1"/>
        </w:rPr>
        <w:t xml:space="preserve"> </w:t>
      </w:r>
      <w:r w:rsidRPr="009D39DC">
        <w:rPr>
          <w:rFonts w:ascii="Times New Roman" w:hAnsi="Times New Roman" w:cs="Times New Roman"/>
          <w:color w:val="000000" w:themeColor="text1"/>
        </w:rPr>
        <w:t>Samuels, The Criminal Justice Act, 31 (1) The Modern Law review, 16 (1968).</w:t>
      </w:r>
    </w:p>
  </w:footnote>
  <w:footnote w:id="24">
    <w:p w14:paraId="0B7EDC4F" w14:textId="77777777" w:rsidR="005C025C" w:rsidRPr="009D39DC" w:rsidRDefault="005C025C" w:rsidP="005C025C">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Ibid, at 22.</w:t>
      </w:r>
    </w:p>
  </w:footnote>
  <w:footnote w:id="25">
    <w:p w14:paraId="603CDCA7" w14:textId="26AEC3D2" w:rsidR="00024E4E" w:rsidRPr="009D39DC" w:rsidRDefault="00024E4E">
      <w:pPr>
        <w:pStyle w:val="FootnoteText"/>
        <w:rPr>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See the </w:t>
      </w:r>
      <w:r w:rsidR="00D813FD" w:rsidRPr="009D39DC">
        <w:rPr>
          <w:rFonts w:ascii="Times New Roman" w:hAnsi="Times New Roman" w:cs="Times New Roman"/>
          <w:color w:val="000000" w:themeColor="text1"/>
        </w:rPr>
        <w:t>Canadian</w:t>
      </w:r>
      <w:r w:rsidRPr="009D39DC">
        <w:rPr>
          <w:rFonts w:ascii="Times New Roman" w:hAnsi="Times New Roman" w:cs="Times New Roman"/>
          <w:color w:val="000000" w:themeColor="text1"/>
        </w:rPr>
        <w:t xml:space="preserve"> Suporme Court case of </w:t>
      </w:r>
      <w:r w:rsidRPr="009D39DC">
        <w:rPr>
          <w:rFonts w:ascii="Times New Roman" w:hAnsi="Times New Roman" w:cs="Times New Roman"/>
          <w:i/>
          <w:iCs/>
          <w:color w:val="000000" w:themeColor="text1"/>
        </w:rPr>
        <w:t>R v Hibbert</w:t>
      </w:r>
      <w:r w:rsidRPr="009D39DC">
        <w:rPr>
          <w:rFonts w:ascii="Times New Roman" w:hAnsi="Times New Roman" w:cs="Times New Roman"/>
          <w:color w:val="000000" w:themeColor="text1"/>
        </w:rPr>
        <w:t xml:space="preserve"> 2002 2 SCR 445 at 62.</w:t>
      </w:r>
    </w:p>
  </w:footnote>
  <w:footnote w:id="26">
    <w:p w14:paraId="664DF9FA" w14:textId="7FA73BE2" w:rsidR="00DC4842" w:rsidRPr="009D39DC" w:rsidRDefault="00DC4842">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Pr="009D39DC">
        <w:rPr>
          <w:rFonts w:ascii="Times New Roman" w:hAnsi="Times New Roman" w:cs="Times New Roman"/>
          <w:i/>
          <w:iCs/>
          <w:color w:val="000000" w:themeColor="text1"/>
        </w:rPr>
        <w:t>R v</w:t>
      </w:r>
      <w:r w:rsidR="00B04EC3" w:rsidRPr="009D39DC">
        <w:rPr>
          <w:rFonts w:ascii="Times New Roman" w:hAnsi="Times New Roman" w:cs="Times New Roman"/>
          <w:i/>
          <w:iCs/>
          <w:color w:val="000000" w:themeColor="text1"/>
        </w:rPr>
        <w:t xml:space="preserve"> Noble</w:t>
      </w:r>
      <w:r w:rsidR="00B04EC3" w:rsidRPr="009D39DC">
        <w:rPr>
          <w:rFonts w:ascii="Times New Roman" w:hAnsi="Times New Roman" w:cs="Times New Roman"/>
          <w:color w:val="000000" w:themeColor="text1"/>
        </w:rPr>
        <w:t xml:space="preserve"> [1997] 1 SCR 874 </w:t>
      </w:r>
      <w:r w:rsidR="00B04EC3" w:rsidRPr="009D39DC">
        <w:rPr>
          <w:rFonts w:ascii="Times New Roman" w:hAnsi="Times New Roman" w:cs="Times New Roman"/>
          <w:color w:val="000000" w:themeColor="text1"/>
          <w:spacing w:val="2"/>
          <w:shd w:val="clear" w:color="auto" w:fill="FFFFFF"/>
        </w:rPr>
        <w:t>146</w:t>
      </w:r>
      <w:r w:rsidR="00B04EC3" w:rsidRPr="009D39DC">
        <w:rPr>
          <w:rFonts w:ascii="Times New Roman" w:hAnsi="Times New Roman" w:cs="Times New Roman"/>
          <w:color w:val="000000" w:themeColor="text1"/>
          <w:spacing w:val="-5"/>
          <w:shd w:val="clear" w:color="auto" w:fill="FFFFFF"/>
        </w:rPr>
        <w:t xml:space="preserve"> </w:t>
      </w:r>
      <w:r w:rsidR="00B04EC3" w:rsidRPr="009D39DC">
        <w:rPr>
          <w:rFonts w:ascii="Times New Roman" w:hAnsi="Times New Roman" w:cs="Times New Roman"/>
          <w:color w:val="000000" w:themeColor="text1"/>
          <w:spacing w:val="-6"/>
          <w:shd w:val="clear" w:color="auto" w:fill="FFFFFF"/>
        </w:rPr>
        <w:t>DLR</w:t>
      </w:r>
      <w:r w:rsidR="00B04EC3" w:rsidRPr="009D39DC">
        <w:rPr>
          <w:rFonts w:ascii="Times New Roman" w:hAnsi="Times New Roman" w:cs="Times New Roman"/>
          <w:color w:val="000000" w:themeColor="text1"/>
          <w:spacing w:val="-5"/>
          <w:shd w:val="clear" w:color="auto" w:fill="FFFFFF"/>
        </w:rPr>
        <w:t xml:space="preserve"> </w:t>
      </w:r>
      <w:r w:rsidR="00B04EC3" w:rsidRPr="009D39DC">
        <w:rPr>
          <w:rFonts w:ascii="Times New Roman" w:hAnsi="Times New Roman" w:cs="Times New Roman"/>
          <w:color w:val="000000" w:themeColor="text1"/>
          <w:spacing w:val="-2"/>
          <w:shd w:val="clear" w:color="auto" w:fill="FFFFFF"/>
        </w:rPr>
        <w:t>(4th)</w:t>
      </w:r>
      <w:r w:rsidR="00B04EC3" w:rsidRPr="009D39DC">
        <w:rPr>
          <w:rFonts w:ascii="Times New Roman" w:hAnsi="Times New Roman" w:cs="Times New Roman"/>
          <w:color w:val="000000" w:themeColor="text1"/>
          <w:spacing w:val="-5"/>
          <w:shd w:val="clear" w:color="auto" w:fill="FFFFFF"/>
        </w:rPr>
        <w:t xml:space="preserve"> </w:t>
      </w:r>
      <w:r w:rsidR="00B04EC3" w:rsidRPr="009D39DC">
        <w:rPr>
          <w:rFonts w:ascii="Times New Roman" w:hAnsi="Times New Roman" w:cs="Times New Roman"/>
          <w:color w:val="000000" w:themeColor="text1"/>
          <w:spacing w:val="2"/>
          <w:shd w:val="clear" w:color="auto" w:fill="FFFFFF"/>
        </w:rPr>
        <w:t>385</w:t>
      </w:r>
      <w:r w:rsidR="00B04EC3" w:rsidRPr="009D39DC">
        <w:rPr>
          <w:rFonts w:ascii="Times New Roman" w:hAnsi="Times New Roman" w:cs="Times New Roman"/>
          <w:color w:val="000000" w:themeColor="text1"/>
          <w:spacing w:val="-5"/>
          <w:shd w:val="clear" w:color="auto" w:fill="FFFFFF"/>
        </w:rPr>
        <w:t xml:space="preserve"> </w:t>
      </w:r>
      <w:r w:rsidR="00B04EC3" w:rsidRPr="009D39DC">
        <w:rPr>
          <w:rFonts w:ascii="Times New Roman" w:hAnsi="Times New Roman" w:cs="Times New Roman"/>
          <w:color w:val="000000" w:themeColor="text1"/>
          <w:spacing w:val="-15"/>
          <w:shd w:val="clear" w:color="auto" w:fill="FFFFFF"/>
        </w:rPr>
        <w:t>[Noble].</w:t>
      </w:r>
    </w:p>
  </w:footnote>
  <w:footnote w:id="27">
    <w:p w14:paraId="1499E8B9" w14:textId="2C848C69" w:rsidR="00316886" w:rsidRPr="009D39DC" w:rsidRDefault="00316886">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Pr="009D39DC">
        <w:rPr>
          <w:rFonts w:ascii="Times New Roman" w:hAnsi="Times New Roman" w:cs="Times New Roman"/>
          <w:color w:val="000000" w:themeColor="text1"/>
          <w:shd w:val="clear" w:color="auto" w:fill="FFFFFF"/>
        </w:rPr>
        <w:t>(1908), 14 C.C.C. 221 at p. 230, 14 B.C.R 61 (C.A.)</w:t>
      </w:r>
    </w:p>
  </w:footnote>
  <w:footnote w:id="28">
    <w:p w14:paraId="5E166CC2" w14:textId="1ECC0E2C" w:rsidR="00824624" w:rsidRPr="009D39DC" w:rsidRDefault="00824624">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Arti</w:t>
      </w:r>
      <w:r w:rsidR="0066736B" w:rsidRPr="009D39DC">
        <w:rPr>
          <w:rFonts w:ascii="Times New Roman" w:hAnsi="Times New Roman" w:cs="Times New Roman"/>
          <w:color w:val="000000" w:themeColor="text1"/>
        </w:rPr>
        <w:t>c</w:t>
      </w:r>
      <w:r w:rsidRPr="009D39DC">
        <w:rPr>
          <w:rFonts w:ascii="Times New Roman" w:hAnsi="Times New Roman" w:cs="Times New Roman"/>
          <w:color w:val="000000" w:themeColor="text1"/>
        </w:rPr>
        <w:t>le 18 (3) of the Constitution  provides: “</w:t>
      </w:r>
      <w:r w:rsidRPr="009D39DC">
        <w:rPr>
          <w:rFonts w:ascii="Times New Roman" w:hAnsi="Times New Roman" w:cs="Times New Roman"/>
          <w:color w:val="000000" w:themeColor="text1"/>
          <w:shd w:val="clear" w:color="auto" w:fill="FFFFFF"/>
        </w:rPr>
        <w:t>A </w:t>
      </w:r>
      <w:hyperlink r:id="rId1" w:anchor="defn-term-person" w:history="1">
        <w:r w:rsidRPr="009D39DC">
          <w:rPr>
            <w:rStyle w:val="Hyperlink"/>
            <w:rFonts w:ascii="Times New Roman" w:hAnsi="Times New Roman" w:cs="Times New Roman"/>
            <w:color w:val="000000" w:themeColor="text1"/>
            <w:u w:val="none"/>
            <w:shd w:val="clear" w:color="auto" w:fill="FFFFFF"/>
          </w:rPr>
          <w:t>person</w:t>
        </w:r>
      </w:hyperlink>
      <w:r w:rsidRPr="009D39DC">
        <w:rPr>
          <w:rFonts w:ascii="Times New Roman" w:hAnsi="Times New Roman" w:cs="Times New Roman"/>
          <w:color w:val="000000" w:themeColor="text1"/>
          <w:shd w:val="clear" w:color="auto" w:fill="FFFFFF"/>
        </w:rPr>
        <w:t> who is arrested or detained has a right to…remain silent”</w:t>
      </w:r>
    </w:p>
  </w:footnote>
  <w:footnote w:id="29">
    <w:p w14:paraId="6CD2D71C" w14:textId="599EE741" w:rsidR="00824624" w:rsidRPr="009D39DC" w:rsidRDefault="00824624">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Article 19  (2) (g) of the </w:t>
      </w:r>
      <w:r w:rsidR="0066736B" w:rsidRPr="009D39DC">
        <w:rPr>
          <w:rFonts w:ascii="Times New Roman" w:hAnsi="Times New Roman" w:cs="Times New Roman"/>
          <w:color w:val="000000" w:themeColor="text1"/>
        </w:rPr>
        <w:t>Constitution</w:t>
      </w:r>
      <w:r w:rsidRPr="009D39DC">
        <w:rPr>
          <w:rFonts w:ascii="Times New Roman" w:hAnsi="Times New Roman" w:cs="Times New Roman"/>
          <w:color w:val="000000" w:themeColor="text1"/>
        </w:rPr>
        <w:t xml:space="preserve"> </w:t>
      </w:r>
      <w:r w:rsidR="0066736B" w:rsidRPr="009D39DC">
        <w:rPr>
          <w:rFonts w:ascii="Times New Roman" w:hAnsi="Times New Roman" w:cs="Times New Roman"/>
          <w:color w:val="000000" w:themeColor="text1"/>
        </w:rPr>
        <w:t>provides</w:t>
      </w:r>
      <w:r w:rsidRPr="009D39DC">
        <w:rPr>
          <w:rFonts w:ascii="Times New Roman" w:hAnsi="Times New Roman" w:cs="Times New Roman"/>
          <w:color w:val="000000" w:themeColor="text1"/>
        </w:rPr>
        <w:t xml:space="preserve">:” Every person who is </w:t>
      </w:r>
      <w:r w:rsidR="0066736B" w:rsidRPr="009D39DC">
        <w:rPr>
          <w:rFonts w:ascii="Times New Roman" w:hAnsi="Times New Roman" w:cs="Times New Roman"/>
          <w:color w:val="000000" w:themeColor="text1"/>
        </w:rPr>
        <w:t>charged</w:t>
      </w:r>
      <w:r w:rsidRPr="009D39DC">
        <w:rPr>
          <w:rFonts w:ascii="Times New Roman" w:hAnsi="Times New Roman" w:cs="Times New Roman"/>
          <w:color w:val="000000" w:themeColor="text1"/>
        </w:rPr>
        <w:t xml:space="preserve"> with an </w:t>
      </w:r>
      <w:r w:rsidR="005B1550" w:rsidRPr="009D39DC">
        <w:rPr>
          <w:rFonts w:ascii="Times New Roman" w:hAnsi="Times New Roman" w:cs="Times New Roman"/>
          <w:color w:val="000000" w:themeColor="text1"/>
        </w:rPr>
        <w:t>o</w:t>
      </w:r>
      <w:r w:rsidRPr="009D39DC">
        <w:rPr>
          <w:rFonts w:ascii="Times New Roman" w:hAnsi="Times New Roman" w:cs="Times New Roman"/>
          <w:color w:val="000000" w:themeColor="text1"/>
        </w:rPr>
        <w:t xml:space="preserve">ffence – shall not be </w:t>
      </w:r>
      <w:r w:rsidR="005B1550" w:rsidRPr="009D39DC">
        <w:rPr>
          <w:rFonts w:ascii="Times New Roman" w:hAnsi="Times New Roman" w:cs="Times New Roman"/>
          <w:color w:val="000000" w:themeColor="text1"/>
        </w:rPr>
        <w:t>c</w:t>
      </w:r>
      <w:r w:rsidRPr="009D39DC">
        <w:rPr>
          <w:rFonts w:ascii="Times New Roman" w:hAnsi="Times New Roman" w:cs="Times New Roman"/>
          <w:color w:val="000000" w:themeColor="text1"/>
        </w:rPr>
        <w:t xml:space="preserve">ompelled </w:t>
      </w:r>
      <w:r w:rsidR="005B1550" w:rsidRPr="009D39DC">
        <w:rPr>
          <w:rFonts w:ascii="Times New Roman" w:hAnsi="Times New Roman" w:cs="Times New Roman"/>
          <w:color w:val="000000" w:themeColor="text1"/>
        </w:rPr>
        <w:t>to</w:t>
      </w:r>
      <w:r w:rsidRPr="009D39DC">
        <w:rPr>
          <w:rFonts w:ascii="Times New Roman" w:hAnsi="Times New Roman" w:cs="Times New Roman"/>
          <w:color w:val="000000" w:themeColor="text1"/>
        </w:rPr>
        <w:t xml:space="preserve"> </w:t>
      </w:r>
      <w:r w:rsidR="005B1550" w:rsidRPr="009D39DC">
        <w:rPr>
          <w:rFonts w:ascii="Times New Roman" w:hAnsi="Times New Roman" w:cs="Times New Roman"/>
          <w:color w:val="000000" w:themeColor="text1"/>
        </w:rPr>
        <w:t>testify at the trial</w:t>
      </w:r>
      <w:r w:rsidRPr="009D39DC">
        <w:rPr>
          <w:rFonts w:ascii="Times New Roman" w:hAnsi="Times New Roman" w:cs="Times New Roman"/>
          <w:color w:val="000000" w:themeColor="text1"/>
        </w:rPr>
        <w:t xml:space="preserve"> or confess guilt…</w:t>
      </w:r>
      <w:r w:rsidR="00D813FD" w:rsidRPr="009D39DC">
        <w:rPr>
          <w:rFonts w:ascii="Times New Roman" w:hAnsi="Times New Roman" w:cs="Times New Roman"/>
          <w:color w:val="000000" w:themeColor="text1"/>
        </w:rPr>
        <w:t>”</w:t>
      </w:r>
    </w:p>
  </w:footnote>
  <w:footnote w:id="30">
    <w:p w14:paraId="78EB104B" w14:textId="4EA04B49" w:rsidR="0066736B" w:rsidRPr="009D39DC" w:rsidRDefault="0066736B">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Article 19 (2) (h).</w:t>
      </w:r>
    </w:p>
  </w:footnote>
  <w:footnote w:id="31">
    <w:p w14:paraId="44C9F8F5" w14:textId="4ACFA5BD" w:rsidR="00931341" w:rsidRPr="009D39DC" w:rsidRDefault="00931341">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Article 10 provides: </w:t>
      </w:r>
      <w:r w:rsidRPr="009D39DC">
        <w:rPr>
          <w:rStyle w:val="akn-p"/>
          <w:rFonts w:ascii="Times New Roman" w:hAnsi="Times New Roman" w:cs="Times New Roman"/>
          <w:color w:val="000000" w:themeColor="text1"/>
          <w:shd w:val="clear" w:color="auto" w:fill="FFFFFF"/>
        </w:rPr>
        <w:t>Anything contained in or done under the authority of any </w:t>
      </w:r>
      <w:hyperlink r:id="rId2" w:anchor="defn-term-law" w:history="1">
        <w:r w:rsidRPr="009D39DC">
          <w:rPr>
            <w:rStyle w:val="Hyperlink"/>
            <w:rFonts w:ascii="Times New Roman" w:hAnsi="Times New Roman" w:cs="Times New Roman"/>
            <w:color w:val="000000" w:themeColor="text1"/>
            <w:u w:val="none"/>
          </w:rPr>
          <w:t>law</w:t>
        </w:r>
      </w:hyperlink>
      <w:r w:rsidRPr="009D39DC">
        <w:rPr>
          <w:rStyle w:val="akn-p"/>
          <w:rFonts w:ascii="Times New Roman" w:hAnsi="Times New Roman" w:cs="Times New Roman"/>
          <w:color w:val="000000" w:themeColor="text1"/>
          <w:shd w:val="clear" w:color="auto" w:fill="FFFFFF"/>
        </w:rPr>
        <w:t> necessary in a </w:t>
      </w:r>
      <w:hyperlink r:id="rId3" w:anchor="defn-term-democratic_society" w:history="1">
        <w:r w:rsidRPr="009D39DC">
          <w:rPr>
            <w:rStyle w:val="Hyperlink"/>
            <w:rFonts w:ascii="Times New Roman" w:hAnsi="Times New Roman" w:cs="Times New Roman"/>
            <w:color w:val="000000" w:themeColor="text1"/>
            <w:u w:val="none"/>
          </w:rPr>
          <w:t>democratic society</w:t>
        </w:r>
      </w:hyperlink>
      <w:r w:rsidRPr="009D39DC">
        <w:rPr>
          <w:rStyle w:val="akn-p"/>
          <w:rFonts w:ascii="Times New Roman" w:hAnsi="Times New Roman" w:cs="Times New Roman"/>
          <w:color w:val="000000" w:themeColor="text1"/>
          <w:shd w:val="clear" w:color="auto" w:fill="FFFFFF"/>
        </w:rPr>
        <w:t> shall not be held to be inconsistent with or in contravention of—</w:t>
      </w:r>
      <w:r w:rsidRPr="009D39DC">
        <w:rPr>
          <w:rFonts w:ascii="Times New Roman" w:hAnsi="Times New Roman" w:cs="Times New Roman"/>
          <w:color w:val="000000" w:themeColor="text1"/>
        </w:rPr>
        <w:br/>
      </w:r>
      <w:r w:rsidRPr="009D39DC">
        <w:rPr>
          <w:rStyle w:val="akn-num"/>
          <w:rFonts w:ascii="Times New Roman" w:hAnsi="Times New Roman" w:cs="Times New Roman"/>
          <w:color w:val="000000" w:themeColor="text1"/>
        </w:rPr>
        <w:t>(a)</w:t>
      </w:r>
      <w:r w:rsidRPr="009D39DC">
        <w:rPr>
          <w:rStyle w:val="akn-p"/>
          <w:rFonts w:ascii="Times New Roman" w:hAnsi="Times New Roman" w:cs="Times New Roman"/>
          <w:color w:val="000000" w:themeColor="text1"/>
        </w:rPr>
        <w:t>clause (1), (2)(e) or (8), to the extent that the </w:t>
      </w:r>
      <w:hyperlink r:id="rId4" w:anchor="defn-term-law" w:history="1">
        <w:r w:rsidRPr="009D39DC">
          <w:rPr>
            <w:rStyle w:val="Hyperlink"/>
            <w:rFonts w:ascii="Times New Roman" w:hAnsi="Times New Roman" w:cs="Times New Roman"/>
            <w:color w:val="000000" w:themeColor="text1"/>
            <w:u w:val="none"/>
          </w:rPr>
          <w:t>law</w:t>
        </w:r>
      </w:hyperlink>
      <w:r w:rsidRPr="009D39DC">
        <w:rPr>
          <w:rStyle w:val="akn-p"/>
          <w:rFonts w:ascii="Times New Roman" w:hAnsi="Times New Roman" w:cs="Times New Roman"/>
          <w:color w:val="000000" w:themeColor="text1"/>
        </w:rPr>
        <w:t> in question makes necessary provision relating to the grounds of privilege or public policy on which evidence shall not be disclosed or witnesses are not competent or cannot be compelled to give evidence in any proceedings;</w:t>
      </w:r>
      <w:r w:rsidR="00D813FD" w:rsidRPr="009D39DC">
        <w:rPr>
          <w:rStyle w:val="akn-p"/>
          <w:rFonts w:ascii="Times New Roman" w:hAnsi="Times New Roman" w:cs="Times New Roman"/>
          <w:color w:val="000000" w:themeColor="text1"/>
        </w:rPr>
        <w:t xml:space="preserve"> </w:t>
      </w:r>
      <w:r w:rsidRPr="009D39DC">
        <w:rPr>
          <w:rStyle w:val="akn-num"/>
          <w:rFonts w:ascii="Times New Roman" w:hAnsi="Times New Roman" w:cs="Times New Roman"/>
          <w:color w:val="000000" w:themeColor="text1"/>
        </w:rPr>
        <w:t>(b)</w:t>
      </w:r>
      <w:r w:rsidRPr="009D39DC">
        <w:rPr>
          <w:rStyle w:val="akn-p"/>
          <w:rFonts w:ascii="Times New Roman" w:hAnsi="Times New Roman" w:cs="Times New Roman"/>
          <w:color w:val="000000" w:themeColor="text1"/>
        </w:rPr>
        <w:t>clause (2)(a), to the extent that the </w:t>
      </w:r>
      <w:hyperlink r:id="rId5" w:anchor="defn-term-law" w:history="1">
        <w:r w:rsidRPr="009D39DC">
          <w:rPr>
            <w:rStyle w:val="Hyperlink"/>
            <w:rFonts w:ascii="Times New Roman" w:hAnsi="Times New Roman" w:cs="Times New Roman"/>
            <w:color w:val="000000" w:themeColor="text1"/>
            <w:u w:val="none"/>
          </w:rPr>
          <w:t>law</w:t>
        </w:r>
      </w:hyperlink>
      <w:r w:rsidRPr="009D39DC">
        <w:rPr>
          <w:rStyle w:val="akn-p"/>
          <w:rFonts w:ascii="Times New Roman" w:hAnsi="Times New Roman" w:cs="Times New Roman"/>
          <w:color w:val="000000" w:themeColor="text1"/>
        </w:rPr>
        <w:t> in question imposes upon any </w:t>
      </w:r>
      <w:hyperlink r:id="rId6" w:anchor="defn-term-person" w:history="1">
        <w:r w:rsidRPr="009D39DC">
          <w:rPr>
            <w:rStyle w:val="Hyperlink"/>
            <w:rFonts w:ascii="Times New Roman" w:hAnsi="Times New Roman" w:cs="Times New Roman"/>
            <w:color w:val="000000" w:themeColor="text1"/>
            <w:u w:val="none"/>
          </w:rPr>
          <w:t>person</w:t>
        </w:r>
      </w:hyperlink>
      <w:r w:rsidRPr="009D39DC">
        <w:rPr>
          <w:rStyle w:val="akn-p"/>
          <w:rFonts w:ascii="Times New Roman" w:hAnsi="Times New Roman" w:cs="Times New Roman"/>
          <w:color w:val="000000" w:themeColor="text1"/>
        </w:rPr>
        <w:t> charged with an offence the burden of proving particular facts or declares that the proof of certain facts shall be </w:t>
      </w:r>
      <w:r w:rsidRPr="009D39DC">
        <w:rPr>
          <w:rStyle w:val="akn-p"/>
          <w:rFonts w:ascii="Times New Roman" w:hAnsi="Times New Roman" w:cs="Times New Roman"/>
          <w:i/>
          <w:iCs/>
          <w:color w:val="000000" w:themeColor="text1"/>
        </w:rPr>
        <w:t>prima facie</w:t>
      </w:r>
      <w:r w:rsidRPr="009D39DC">
        <w:rPr>
          <w:rStyle w:val="akn-p"/>
          <w:rFonts w:ascii="Times New Roman" w:hAnsi="Times New Roman" w:cs="Times New Roman"/>
          <w:color w:val="000000" w:themeColor="text1"/>
        </w:rPr>
        <w:t> proof of the offence or of any element thereof;</w:t>
      </w:r>
      <w:r w:rsidR="00D813FD" w:rsidRPr="009D39DC">
        <w:rPr>
          <w:rStyle w:val="akn-p"/>
          <w:rFonts w:ascii="Times New Roman" w:hAnsi="Times New Roman" w:cs="Times New Roman"/>
          <w:color w:val="000000" w:themeColor="text1"/>
        </w:rPr>
        <w:t xml:space="preserve"> </w:t>
      </w:r>
      <w:r w:rsidRPr="009D39DC">
        <w:rPr>
          <w:rStyle w:val="akn-num"/>
          <w:rFonts w:ascii="Times New Roman" w:hAnsi="Times New Roman" w:cs="Times New Roman"/>
          <w:color w:val="000000" w:themeColor="text1"/>
        </w:rPr>
        <w:t>(c)</w:t>
      </w:r>
      <w:r w:rsidRPr="009D39DC">
        <w:rPr>
          <w:rStyle w:val="akn-p"/>
          <w:rFonts w:ascii="Times New Roman" w:hAnsi="Times New Roman" w:cs="Times New Roman"/>
          <w:color w:val="000000" w:themeColor="text1"/>
        </w:rPr>
        <w:t>clause (2)(e), to the extent that the </w:t>
      </w:r>
      <w:hyperlink r:id="rId7" w:anchor="defn-term-law" w:history="1">
        <w:r w:rsidRPr="009D39DC">
          <w:rPr>
            <w:rStyle w:val="Hyperlink"/>
            <w:rFonts w:ascii="Times New Roman" w:hAnsi="Times New Roman" w:cs="Times New Roman"/>
            <w:color w:val="000000" w:themeColor="text1"/>
            <w:u w:val="none"/>
          </w:rPr>
          <w:t>law</w:t>
        </w:r>
      </w:hyperlink>
      <w:r w:rsidRPr="009D39DC">
        <w:rPr>
          <w:rStyle w:val="akn-p"/>
          <w:rFonts w:ascii="Times New Roman" w:hAnsi="Times New Roman" w:cs="Times New Roman"/>
          <w:color w:val="000000" w:themeColor="text1"/>
        </w:rPr>
        <w:t> in question imposes conditions that must be satisfied if witnesses called to testify on behalf of an accused </w:t>
      </w:r>
      <w:hyperlink r:id="rId8" w:anchor="defn-term-person" w:history="1">
        <w:r w:rsidRPr="009D39DC">
          <w:rPr>
            <w:rStyle w:val="Hyperlink"/>
            <w:rFonts w:ascii="Times New Roman" w:hAnsi="Times New Roman" w:cs="Times New Roman"/>
            <w:color w:val="000000" w:themeColor="text1"/>
            <w:u w:val="none"/>
          </w:rPr>
          <w:t>person</w:t>
        </w:r>
      </w:hyperlink>
      <w:r w:rsidRPr="009D39DC">
        <w:rPr>
          <w:rStyle w:val="akn-p"/>
          <w:rFonts w:ascii="Times New Roman" w:hAnsi="Times New Roman" w:cs="Times New Roman"/>
          <w:color w:val="000000" w:themeColor="text1"/>
        </w:rPr>
        <w:t> are to be paid their expenses out of public funds</w:t>
      </w:r>
      <w:r w:rsidR="00D813FD" w:rsidRPr="009D39DC">
        <w:rPr>
          <w:rStyle w:val="akn-p"/>
          <w:rFonts w:ascii="Times New Roman" w:hAnsi="Times New Roman" w:cs="Times New Roman"/>
          <w:color w:val="000000" w:themeColor="text1"/>
        </w:rPr>
        <w:t>…”</w:t>
      </w:r>
      <w:r w:rsidR="005B1550" w:rsidRPr="009D39DC">
        <w:rPr>
          <w:rStyle w:val="akn-p"/>
          <w:rFonts w:ascii="Times New Roman" w:hAnsi="Times New Roman" w:cs="Times New Roman"/>
          <w:color w:val="000000" w:themeColor="text1"/>
        </w:rPr>
        <w:t xml:space="preserve"> </w:t>
      </w:r>
      <w:r w:rsidR="00A667D5">
        <w:rPr>
          <w:rStyle w:val="akn-p"/>
          <w:rFonts w:ascii="Times New Roman" w:hAnsi="Times New Roman" w:cs="Times New Roman"/>
          <w:color w:val="000000" w:themeColor="text1"/>
        </w:rPr>
        <w:t xml:space="preserve">Therefore, the right to silence is </w:t>
      </w:r>
      <w:r w:rsidR="005B1550" w:rsidRPr="009D39DC">
        <w:rPr>
          <w:rStyle w:val="akn-p"/>
          <w:rFonts w:ascii="Times New Roman" w:hAnsi="Times New Roman" w:cs="Times New Roman"/>
          <w:color w:val="000000" w:themeColor="text1"/>
        </w:rPr>
        <w:t xml:space="preserve">not included in those rights </w:t>
      </w:r>
      <w:r w:rsidR="00A667D5">
        <w:rPr>
          <w:rStyle w:val="akn-p"/>
          <w:rFonts w:ascii="Times New Roman" w:hAnsi="Times New Roman" w:cs="Times New Roman"/>
          <w:color w:val="000000" w:themeColor="text1"/>
        </w:rPr>
        <w:t>capable</w:t>
      </w:r>
      <w:r w:rsidR="005B1550" w:rsidRPr="009D39DC">
        <w:rPr>
          <w:rStyle w:val="akn-p"/>
          <w:rFonts w:ascii="Times New Roman" w:hAnsi="Times New Roman" w:cs="Times New Roman"/>
          <w:color w:val="000000" w:themeColor="text1"/>
        </w:rPr>
        <w:t xml:space="preserve"> of being circumscribed. </w:t>
      </w:r>
    </w:p>
  </w:footnote>
  <w:footnote w:id="32">
    <w:p w14:paraId="790302B7" w14:textId="10B09233" w:rsidR="00CD1F08" w:rsidRPr="009D39DC" w:rsidRDefault="00CD1F08" w:rsidP="00E65DE5">
      <w:pPr>
        <w:pStyle w:val="Heading3"/>
        <w:shd w:val="clear" w:color="auto" w:fill="FFFFFF"/>
        <w:spacing w:before="0"/>
        <w:rPr>
          <w:rFonts w:ascii="Times New Roman" w:hAnsi="Times New Roman" w:cs="Times New Roman"/>
          <w:color w:val="000000" w:themeColor="text1"/>
          <w:sz w:val="20"/>
          <w:szCs w:val="20"/>
        </w:rPr>
      </w:pPr>
      <w:r w:rsidRPr="009D39DC">
        <w:rPr>
          <w:rStyle w:val="FootnoteReference"/>
          <w:rFonts w:ascii="Times New Roman" w:hAnsi="Times New Roman" w:cs="Times New Roman"/>
          <w:color w:val="000000" w:themeColor="text1"/>
          <w:sz w:val="20"/>
          <w:szCs w:val="20"/>
        </w:rPr>
        <w:footnoteRef/>
      </w:r>
      <w:r w:rsidRPr="009D39DC">
        <w:rPr>
          <w:rFonts w:ascii="Times New Roman" w:hAnsi="Times New Roman" w:cs="Times New Roman"/>
          <w:color w:val="000000" w:themeColor="text1"/>
          <w:sz w:val="20"/>
          <w:szCs w:val="20"/>
        </w:rPr>
        <w:t xml:space="preserve"> </w:t>
      </w:r>
      <w:hyperlink r:id="rId9" w:history="1">
        <w:r w:rsidR="00E65DE5" w:rsidRPr="00A667D5">
          <w:rPr>
            <w:rStyle w:val="Hyperlink"/>
            <w:rFonts w:ascii="Times New Roman" w:hAnsi="Times New Roman" w:cs="Times New Roman"/>
            <w:color w:val="000000" w:themeColor="text1"/>
            <w:sz w:val="20"/>
            <w:szCs w:val="20"/>
            <w:u w:val="none"/>
          </w:rPr>
          <w:t>R v Suzette (CP 5 of 2014) [2017] SCSC 916 (09 October 2017)</w:t>
        </w:r>
        <w:r w:rsidR="00200544" w:rsidRPr="00A667D5">
          <w:rPr>
            <w:rStyle w:val="Hyperlink"/>
            <w:rFonts w:ascii="Times New Roman" w:hAnsi="Times New Roman" w:cs="Times New Roman"/>
            <w:color w:val="000000" w:themeColor="text1"/>
            <w:sz w:val="20"/>
            <w:szCs w:val="20"/>
            <w:u w:val="none"/>
          </w:rPr>
          <w:t>.</w:t>
        </w:r>
      </w:hyperlink>
      <w:r w:rsidR="00200544" w:rsidRPr="00A667D5">
        <w:rPr>
          <w:rFonts w:ascii="Times New Roman" w:hAnsi="Times New Roman" w:cs="Times New Roman"/>
          <w:color w:val="000000" w:themeColor="text1"/>
          <w:sz w:val="20"/>
          <w:szCs w:val="20"/>
        </w:rPr>
        <w:t xml:space="preserve"> </w:t>
      </w:r>
    </w:p>
  </w:footnote>
  <w:footnote w:id="33">
    <w:p w14:paraId="3BD24086" w14:textId="60E5740F" w:rsidR="00E65DE5" w:rsidRPr="009D39DC" w:rsidRDefault="00E65DE5">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See section 130 (1) Penal Code</w:t>
      </w:r>
      <w:r w:rsidR="00200544" w:rsidRPr="009D39DC">
        <w:rPr>
          <w:rFonts w:ascii="Times New Roman" w:hAnsi="Times New Roman" w:cs="Times New Roman"/>
          <w:color w:val="000000" w:themeColor="text1"/>
        </w:rPr>
        <w:t>.</w:t>
      </w:r>
      <w:r w:rsidRPr="009D39DC">
        <w:rPr>
          <w:rFonts w:ascii="Times New Roman" w:hAnsi="Times New Roman" w:cs="Times New Roman"/>
          <w:color w:val="000000" w:themeColor="text1"/>
        </w:rPr>
        <w:t xml:space="preserve"> </w:t>
      </w:r>
    </w:p>
  </w:footnote>
  <w:footnote w:id="34">
    <w:p w14:paraId="28964B9E" w14:textId="3751EC4F" w:rsidR="00200544" w:rsidRPr="009D39DC" w:rsidRDefault="00200544">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Pr="009D39DC">
        <w:rPr>
          <w:rFonts w:ascii="Times New Roman" w:hAnsi="Times New Roman" w:cs="Times New Roman"/>
          <w:color w:val="000000" w:themeColor="text1"/>
          <w:shd w:val="clear" w:color="auto" w:fill="FFFFFF"/>
        </w:rPr>
        <w:t>(SCA 29 of 2018) [2019] SCCA 28 (22 August 2019).</w:t>
      </w:r>
    </w:p>
  </w:footnote>
  <w:footnote w:id="35">
    <w:p w14:paraId="1C3D8BF6" w14:textId="5CE36E7C" w:rsidR="00200544" w:rsidRPr="009D39DC" w:rsidRDefault="00200544">
      <w:pPr>
        <w:pStyle w:val="FootnoteText"/>
        <w:rPr>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Pr="009D39DC">
        <w:rPr>
          <w:rFonts w:ascii="Times New Roman" w:hAnsi="Times New Roman" w:cs="Times New Roman"/>
          <w:color w:val="000000" w:themeColor="text1"/>
          <w:shd w:val="clear" w:color="auto" w:fill="FFFFFF"/>
        </w:rPr>
        <w:t>(SCA 38 of 2014) [2017] SCCA 3 (20 April 2017).</w:t>
      </w:r>
    </w:p>
  </w:footnote>
  <w:footnote w:id="36">
    <w:p w14:paraId="664D027C" w14:textId="766F0434" w:rsidR="00200544" w:rsidRPr="009D39DC" w:rsidRDefault="00200544">
      <w:pPr>
        <w:pStyle w:val="FootnoteText"/>
        <w:rPr>
          <w:rFonts w:ascii="Times New Roman" w:hAnsi="Times New Roman" w:cs="Times New Roman"/>
          <w:color w:val="000000" w:themeColor="text1"/>
        </w:rPr>
      </w:pPr>
      <w:r w:rsidRPr="009D39DC">
        <w:rPr>
          <w:rStyle w:val="FootnoteReference"/>
          <w:rFonts w:ascii="Times New Roman" w:hAnsi="Times New Roman" w:cs="Times New Roman"/>
          <w:color w:val="000000" w:themeColor="text1"/>
        </w:rPr>
        <w:footnoteRef/>
      </w:r>
      <w:r w:rsidRPr="009D39DC">
        <w:rPr>
          <w:rFonts w:ascii="Times New Roman" w:hAnsi="Times New Roman" w:cs="Times New Roman"/>
          <w:color w:val="000000" w:themeColor="text1"/>
        </w:rPr>
        <w:t xml:space="preserve"> </w:t>
      </w:r>
      <w:r w:rsidR="009D39DC" w:rsidRPr="009D39DC">
        <w:rPr>
          <w:rFonts w:ascii="Times New Roman" w:hAnsi="Times New Roman" w:cs="Times New Roman"/>
          <w:i/>
          <w:iCs/>
          <w:color w:val="4A4A4A"/>
          <w:shd w:val="clear" w:color="auto" w:fill="FFFFFF"/>
        </w:rPr>
        <w:t>R v Ml &amp; Ors</w:t>
      </w:r>
      <w:r w:rsidR="009D39DC" w:rsidRPr="009D39DC">
        <w:rPr>
          <w:rFonts w:ascii="Times New Roman" w:hAnsi="Times New Roman" w:cs="Times New Roman"/>
          <w:color w:val="4A4A4A"/>
          <w:shd w:val="clear" w:color="auto" w:fill="FFFFFF"/>
        </w:rPr>
        <w:t xml:space="preserve"> (CR 38 of 2019) [2020] SCSC 256 (16 April 2020)</w:t>
      </w:r>
    </w:p>
  </w:footnote>
  <w:footnote w:id="37">
    <w:p w14:paraId="77166BBB" w14:textId="7C261135" w:rsidR="009933E5" w:rsidRPr="009933E5" w:rsidRDefault="009933E5">
      <w:pPr>
        <w:pStyle w:val="FootnoteText"/>
        <w:rPr>
          <w:rFonts w:ascii="Times New Roman" w:hAnsi="Times New Roman" w:cs="Times New Roman"/>
        </w:rPr>
      </w:pPr>
      <w:r w:rsidRPr="009933E5">
        <w:rPr>
          <w:rStyle w:val="FootnoteReference"/>
          <w:rFonts w:ascii="Times New Roman" w:hAnsi="Times New Roman" w:cs="Times New Roman"/>
        </w:rPr>
        <w:footnoteRef/>
      </w:r>
      <w:r w:rsidRPr="009933E5">
        <w:rPr>
          <w:rFonts w:ascii="Times New Roman" w:hAnsi="Times New Roman" w:cs="Times New Roman"/>
        </w:rPr>
        <w:t xml:space="preserve"> </w:t>
      </w:r>
      <w:r w:rsidRPr="009933E5">
        <w:rPr>
          <w:rStyle w:val="Emphasis"/>
          <w:rFonts w:ascii="Times New Roman" w:hAnsi="Times New Roman" w:cs="Times New Roman"/>
          <w:color w:val="4A4A4A"/>
          <w:shd w:val="clear" w:color="auto" w:fill="FFFFFF"/>
        </w:rPr>
        <w:t>Simon v R</w:t>
      </w:r>
      <w:r w:rsidRPr="009933E5">
        <w:rPr>
          <w:rFonts w:ascii="Times New Roman" w:hAnsi="Times New Roman" w:cs="Times New Roman"/>
          <w:color w:val="4A4A4A"/>
          <w:shd w:val="clear" w:color="auto" w:fill="FFFFFF"/>
        </w:rPr>
        <w:t> [1980] SCAR 557</w:t>
      </w:r>
    </w:p>
  </w:footnote>
  <w:footnote w:id="38">
    <w:p w14:paraId="7220FFE9" w14:textId="38AF2B72" w:rsidR="009933E5" w:rsidRPr="00A54B32" w:rsidRDefault="009933E5" w:rsidP="00A54B32">
      <w:pPr>
        <w:pStyle w:val="Heading3"/>
        <w:shd w:val="clear" w:color="auto" w:fill="FFFFFF"/>
        <w:spacing w:before="0"/>
        <w:rPr>
          <w:rFonts w:ascii="Times New Roman" w:hAnsi="Times New Roman" w:cs="Times New Roman"/>
          <w:color w:val="4A4A4A"/>
          <w:sz w:val="20"/>
          <w:szCs w:val="20"/>
        </w:rPr>
      </w:pPr>
      <w:r w:rsidRPr="009933E5">
        <w:rPr>
          <w:rStyle w:val="FootnoteReference"/>
          <w:rFonts w:ascii="Times New Roman" w:hAnsi="Times New Roman" w:cs="Times New Roman"/>
          <w:sz w:val="20"/>
          <w:szCs w:val="20"/>
        </w:rPr>
        <w:footnoteRef/>
      </w:r>
      <w:r w:rsidRPr="009933E5">
        <w:rPr>
          <w:rFonts w:ascii="Times New Roman" w:hAnsi="Times New Roman" w:cs="Times New Roman"/>
          <w:sz w:val="20"/>
          <w:szCs w:val="20"/>
        </w:rPr>
        <w:t xml:space="preserve"> </w:t>
      </w:r>
      <w:r w:rsidRPr="009933E5">
        <w:rPr>
          <w:rFonts w:ascii="Times New Roman" w:hAnsi="Times New Roman" w:cs="Times New Roman"/>
          <w:color w:val="4A4A4A"/>
          <w:sz w:val="20"/>
          <w:szCs w:val="20"/>
        </w:rPr>
        <w:t xml:space="preserve"> (SCA 22 of 2018) [2019] SCCA 30 (22 August 2019)</w:t>
      </w:r>
      <w:r w:rsidR="0086739C">
        <w:rPr>
          <w:rFonts w:ascii="Times New Roman" w:hAnsi="Times New Roman" w:cs="Times New Roman"/>
          <w:color w:val="4A4A4A"/>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7867"/>
    <w:multiLevelType w:val="hybridMultilevel"/>
    <w:tmpl w:val="CBCAC12C"/>
    <w:lvl w:ilvl="0" w:tplc="C8A4D3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AE4844"/>
    <w:multiLevelType w:val="hybridMultilevel"/>
    <w:tmpl w:val="71D433C8"/>
    <w:lvl w:ilvl="0" w:tplc="CEFC36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482A421A"/>
    <w:multiLevelType w:val="hybridMultilevel"/>
    <w:tmpl w:val="E432E7E2"/>
    <w:lvl w:ilvl="0" w:tplc="89CCF9A2">
      <w:start w:val="1"/>
      <w:numFmt w:val="decimal"/>
      <w:pStyle w:val="NumberedQuotationindent1"/>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914B69"/>
    <w:multiLevelType w:val="hybridMultilevel"/>
    <w:tmpl w:val="D676E900"/>
    <w:lvl w:ilvl="0" w:tplc="EEF00F64">
      <w:start w:val="1"/>
      <w:numFmt w:val="upp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num w:numId="1">
    <w:abstractNumId w:val="2"/>
  </w:num>
  <w:num w:numId="2">
    <w:abstractNumId w:val="4"/>
  </w:num>
  <w:num w:numId="3">
    <w:abstractNumId w:val="3"/>
    <w:lvlOverride w:ilvl="0">
      <w:lvl w:ilvl="0">
        <w:start w:val="1"/>
        <w:numFmt w:val="decimal"/>
        <w:pStyle w:val="JudgmentText"/>
        <w:lvlText w:val="[%1]"/>
        <w:lvlJc w:val="left"/>
        <w:pPr>
          <w:ind w:left="720" w:hanging="720"/>
        </w:pPr>
        <w:rPr>
          <w:rFonts w:ascii="Times New Roman" w:hAnsi="Times New Roman" w:hint="default"/>
          <w:i w:val="0"/>
          <w:color w:val="auto"/>
          <w:sz w:val="24"/>
        </w:rPr>
      </w:lvl>
    </w:lvlOverride>
    <w:lvlOverride w:ilvl="1">
      <w:lvl w:ilvl="1">
        <w:start w:val="1"/>
        <w:numFmt w:val="lowerLetter"/>
        <w:lvlText w:val="%2."/>
        <w:lvlJc w:val="left"/>
        <w:pPr>
          <w:ind w:left="5760" w:hanging="720"/>
        </w:pPr>
        <w:rPr>
          <w:rFonts w:hint="default"/>
        </w:rPr>
      </w:lvl>
    </w:lvlOverride>
    <w:lvlOverride w:ilvl="2">
      <w:lvl w:ilvl="2">
        <w:start w:val="1"/>
        <w:numFmt w:val="lowerRoman"/>
        <w:lvlText w:val="%3."/>
        <w:lvlJc w:val="right"/>
        <w:pPr>
          <w:ind w:left="6480" w:hanging="720"/>
        </w:pPr>
        <w:rPr>
          <w:rFonts w:hint="default"/>
        </w:rPr>
      </w:lvl>
    </w:lvlOverride>
    <w:lvlOverride w:ilvl="3">
      <w:lvl w:ilvl="3">
        <w:start w:val="1"/>
        <w:numFmt w:val="decimal"/>
        <w:lvlText w:val="%4."/>
        <w:lvlJc w:val="left"/>
        <w:pPr>
          <w:ind w:left="7200" w:hanging="720"/>
        </w:pPr>
        <w:rPr>
          <w:rFonts w:hint="default"/>
        </w:rPr>
      </w:lvl>
    </w:lvlOverride>
    <w:lvlOverride w:ilvl="4">
      <w:lvl w:ilvl="4">
        <w:start w:val="1"/>
        <w:numFmt w:val="lowerLetter"/>
        <w:lvlText w:val="%5."/>
        <w:lvlJc w:val="left"/>
        <w:pPr>
          <w:ind w:left="7920" w:hanging="720"/>
        </w:pPr>
        <w:rPr>
          <w:rFonts w:hint="default"/>
        </w:rPr>
      </w:lvl>
    </w:lvlOverride>
    <w:lvlOverride w:ilvl="5">
      <w:lvl w:ilvl="5">
        <w:start w:val="1"/>
        <w:numFmt w:val="lowerRoman"/>
        <w:lvlText w:val="%6."/>
        <w:lvlJc w:val="right"/>
        <w:pPr>
          <w:ind w:left="8640" w:hanging="720"/>
        </w:pPr>
        <w:rPr>
          <w:rFonts w:hint="default"/>
        </w:rPr>
      </w:lvl>
    </w:lvlOverride>
    <w:lvlOverride w:ilvl="6">
      <w:lvl w:ilvl="6">
        <w:start w:val="1"/>
        <w:numFmt w:val="decimal"/>
        <w:lvlText w:val="%7."/>
        <w:lvlJc w:val="left"/>
        <w:pPr>
          <w:ind w:left="9360" w:hanging="720"/>
        </w:pPr>
        <w:rPr>
          <w:rFonts w:hint="default"/>
        </w:rPr>
      </w:lvl>
    </w:lvlOverride>
    <w:lvlOverride w:ilvl="7">
      <w:lvl w:ilvl="7">
        <w:start w:val="1"/>
        <w:numFmt w:val="lowerLetter"/>
        <w:lvlText w:val="%8."/>
        <w:lvlJc w:val="left"/>
        <w:pPr>
          <w:ind w:left="10080" w:hanging="720"/>
        </w:pPr>
        <w:rPr>
          <w:rFonts w:hint="default"/>
        </w:rPr>
      </w:lvl>
    </w:lvlOverride>
    <w:lvlOverride w:ilvl="8">
      <w:lvl w:ilvl="8">
        <w:start w:val="1"/>
        <w:numFmt w:val="lowerRoman"/>
        <w:lvlText w:val="%9."/>
        <w:lvlJc w:val="right"/>
        <w:pPr>
          <w:ind w:left="10800" w:hanging="720"/>
        </w:pPr>
        <w:rPr>
          <w:rFonts w:hint="default"/>
        </w:rPr>
      </w:lvl>
    </w:lvlOverride>
  </w:num>
  <w:num w:numId="4">
    <w:abstractNumId w:val="5"/>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0"/>
  </w:num>
  <w:num w:numId="7">
    <w:abstractNumId w:val="6"/>
  </w:num>
  <w:num w:numId="8">
    <w:abstractNumId w:val="5"/>
    <w:lvlOverride w:ilvl="0">
      <w:startOverride w:val="1"/>
    </w:lvlOverride>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DQxsjQ1MzE0MzJV0lEKTi0uzszPAykwqQUAjOOc0ywAAAA="/>
  </w:docVars>
  <w:rsids>
    <w:rsidRoot w:val="00D449A4"/>
    <w:rsid w:val="00011B15"/>
    <w:rsid w:val="00012548"/>
    <w:rsid w:val="00015DE3"/>
    <w:rsid w:val="000165BC"/>
    <w:rsid w:val="00024E4E"/>
    <w:rsid w:val="00025CDF"/>
    <w:rsid w:val="000301BB"/>
    <w:rsid w:val="0003054E"/>
    <w:rsid w:val="00034B32"/>
    <w:rsid w:val="00040193"/>
    <w:rsid w:val="00040198"/>
    <w:rsid w:val="00050392"/>
    <w:rsid w:val="00050B7D"/>
    <w:rsid w:val="00052982"/>
    <w:rsid w:val="000534D9"/>
    <w:rsid w:val="00067FCB"/>
    <w:rsid w:val="00071B84"/>
    <w:rsid w:val="00071F6C"/>
    <w:rsid w:val="00072C78"/>
    <w:rsid w:val="00081862"/>
    <w:rsid w:val="000835B1"/>
    <w:rsid w:val="0008560D"/>
    <w:rsid w:val="000873E2"/>
    <w:rsid w:val="0009242F"/>
    <w:rsid w:val="000929A9"/>
    <w:rsid w:val="00097D19"/>
    <w:rsid w:val="000A0FCF"/>
    <w:rsid w:val="000A1F6D"/>
    <w:rsid w:val="000A3825"/>
    <w:rsid w:val="000A5E8A"/>
    <w:rsid w:val="000A6F3D"/>
    <w:rsid w:val="000A7621"/>
    <w:rsid w:val="000B2C50"/>
    <w:rsid w:val="000B589A"/>
    <w:rsid w:val="000B76B9"/>
    <w:rsid w:val="000C0D38"/>
    <w:rsid w:val="000C4794"/>
    <w:rsid w:val="000D0A01"/>
    <w:rsid w:val="000D0AC9"/>
    <w:rsid w:val="000D6415"/>
    <w:rsid w:val="000D6F0E"/>
    <w:rsid w:val="000E6D5C"/>
    <w:rsid w:val="000F043E"/>
    <w:rsid w:val="000F38FE"/>
    <w:rsid w:val="00104AF1"/>
    <w:rsid w:val="00105BE9"/>
    <w:rsid w:val="00106BA6"/>
    <w:rsid w:val="00112139"/>
    <w:rsid w:val="001126AB"/>
    <w:rsid w:val="001135C2"/>
    <w:rsid w:val="00113B6F"/>
    <w:rsid w:val="00116032"/>
    <w:rsid w:val="00116DDC"/>
    <w:rsid w:val="001249D7"/>
    <w:rsid w:val="001278AB"/>
    <w:rsid w:val="00132B6D"/>
    <w:rsid w:val="00132FBA"/>
    <w:rsid w:val="00133347"/>
    <w:rsid w:val="00134417"/>
    <w:rsid w:val="00134BA2"/>
    <w:rsid w:val="00134EA9"/>
    <w:rsid w:val="00136808"/>
    <w:rsid w:val="00136E85"/>
    <w:rsid w:val="001428B9"/>
    <w:rsid w:val="00144C3A"/>
    <w:rsid w:val="0014564E"/>
    <w:rsid w:val="00150E98"/>
    <w:rsid w:val="00151B9B"/>
    <w:rsid w:val="00151BF3"/>
    <w:rsid w:val="00154741"/>
    <w:rsid w:val="00157C6B"/>
    <w:rsid w:val="00162586"/>
    <w:rsid w:val="00163941"/>
    <w:rsid w:val="00163C27"/>
    <w:rsid w:val="001723B1"/>
    <w:rsid w:val="00176C24"/>
    <w:rsid w:val="0018256B"/>
    <w:rsid w:val="00184AE2"/>
    <w:rsid w:val="00185867"/>
    <w:rsid w:val="00191EA7"/>
    <w:rsid w:val="001930BC"/>
    <w:rsid w:val="0019315D"/>
    <w:rsid w:val="00193614"/>
    <w:rsid w:val="0019417E"/>
    <w:rsid w:val="0019438A"/>
    <w:rsid w:val="00195191"/>
    <w:rsid w:val="00195F76"/>
    <w:rsid w:val="00196639"/>
    <w:rsid w:val="001A0CAF"/>
    <w:rsid w:val="001A2096"/>
    <w:rsid w:val="001A3BBF"/>
    <w:rsid w:val="001A3E53"/>
    <w:rsid w:val="001B0EFE"/>
    <w:rsid w:val="001B2FE6"/>
    <w:rsid w:val="001B5525"/>
    <w:rsid w:val="001C3675"/>
    <w:rsid w:val="001C3FFA"/>
    <w:rsid w:val="001C54C3"/>
    <w:rsid w:val="001C72CA"/>
    <w:rsid w:val="001C78EC"/>
    <w:rsid w:val="001D33D2"/>
    <w:rsid w:val="001E282E"/>
    <w:rsid w:val="001F175A"/>
    <w:rsid w:val="001F34CA"/>
    <w:rsid w:val="001F37CF"/>
    <w:rsid w:val="001F6FA0"/>
    <w:rsid w:val="00200544"/>
    <w:rsid w:val="002015F8"/>
    <w:rsid w:val="0020285B"/>
    <w:rsid w:val="00212006"/>
    <w:rsid w:val="00213916"/>
    <w:rsid w:val="0021402A"/>
    <w:rsid w:val="00214694"/>
    <w:rsid w:val="00214DB4"/>
    <w:rsid w:val="0022043F"/>
    <w:rsid w:val="002207B6"/>
    <w:rsid w:val="00233AE3"/>
    <w:rsid w:val="00235626"/>
    <w:rsid w:val="00242C5D"/>
    <w:rsid w:val="00243AE1"/>
    <w:rsid w:val="00244FEB"/>
    <w:rsid w:val="00245165"/>
    <w:rsid w:val="00254011"/>
    <w:rsid w:val="00254C05"/>
    <w:rsid w:val="00264FC2"/>
    <w:rsid w:val="00270A5C"/>
    <w:rsid w:val="00271C68"/>
    <w:rsid w:val="00276F2D"/>
    <w:rsid w:val="0027707F"/>
    <w:rsid w:val="00277938"/>
    <w:rsid w:val="00277D69"/>
    <w:rsid w:val="00285375"/>
    <w:rsid w:val="00290F74"/>
    <w:rsid w:val="0029457C"/>
    <w:rsid w:val="002978B1"/>
    <w:rsid w:val="00297F4D"/>
    <w:rsid w:val="002A006A"/>
    <w:rsid w:val="002A1138"/>
    <w:rsid w:val="002A5772"/>
    <w:rsid w:val="002A688A"/>
    <w:rsid w:val="002A69D0"/>
    <w:rsid w:val="002B2536"/>
    <w:rsid w:val="002B25F2"/>
    <w:rsid w:val="002C07E9"/>
    <w:rsid w:val="002C2D81"/>
    <w:rsid w:val="002D0DE2"/>
    <w:rsid w:val="002D2843"/>
    <w:rsid w:val="002D3055"/>
    <w:rsid w:val="002D4EB8"/>
    <w:rsid w:val="002E1B36"/>
    <w:rsid w:val="002E2AE3"/>
    <w:rsid w:val="002E2D44"/>
    <w:rsid w:val="002F02F7"/>
    <w:rsid w:val="002F217D"/>
    <w:rsid w:val="002F24E6"/>
    <w:rsid w:val="002F7EF2"/>
    <w:rsid w:val="00307BB3"/>
    <w:rsid w:val="003137B8"/>
    <w:rsid w:val="00315AA7"/>
    <w:rsid w:val="00316886"/>
    <w:rsid w:val="00317126"/>
    <w:rsid w:val="00321EF7"/>
    <w:rsid w:val="00322BCB"/>
    <w:rsid w:val="00325A64"/>
    <w:rsid w:val="00331374"/>
    <w:rsid w:val="003330EE"/>
    <w:rsid w:val="00340CAE"/>
    <w:rsid w:val="00344425"/>
    <w:rsid w:val="00346D7F"/>
    <w:rsid w:val="00346EE7"/>
    <w:rsid w:val="00347570"/>
    <w:rsid w:val="00352500"/>
    <w:rsid w:val="00353BCD"/>
    <w:rsid w:val="003615E7"/>
    <w:rsid w:val="003616B4"/>
    <w:rsid w:val="0036640A"/>
    <w:rsid w:val="0036708A"/>
    <w:rsid w:val="00373165"/>
    <w:rsid w:val="00380619"/>
    <w:rsid w:val="00385BB5"/>
    <w:rsid w:val="00392D92"/>
    <w:rsid w:val="003A5477"/>
    <w:rsid w:val="003A6C9E"/>
    <w:rsid w:val="003B3E4B"/>
    <w:rsid w:val="003B47AB"/>
    <w:rsid w:val="003B7020"/>
    <w:rsid w:val="003B79A4"/>
    <w:rsid w:val="003C11F1"/>
    <w:rsid w:val="003D1DB9"/>
    <w:rsid w:val="003D372A"/>
    <w:rsid w:val="003D5030"/>
    <w:rsid w:val="003E2E94"/>
    <w:rsid w:val="003E5B26"/>
    <w:rsid w:val="003E71C4"/>
    <w:rsid w:val="003F5E76"/>
    <w:rsid w:val="003F751A"/>
    <w:rsid w:val="004032AC"/>
    <w:rsid w:val="00403F4C"/>
    <w:rsid w:val="00405958"/>
    <w:rsid w:val="00412994"/>
    <w:rsid w:val="00414A97"/>
    <w:rsid w:val="004154C2"/>
    <w:rsid w:val="00416353"/>
    <w:rsid w:val="004362B7"/>
    <w:rsid w:val="00436EDF"/>
    <w:rsid w:val="00444515"/>
    <w:rsid w:val="00451786"/>
    <w:rsid w:val="00453AC2"/>
    <w:rsid w:val="00455FAD"/>
    <w:rsid w:val="004602F3"/>
    <w:rsid w:val="00463B4E"/>
    <w:rsid w:val="004649BC"/>
    <w:rsid w:val="00465B77"/>
    <w:rsid w:val="0047109A"/>
    <w:rsid w:val="00472219"/>
    <w:rsid w:val="00474371"/>
    <w:rsid w:val="0047470D"/>
    <w:rsid w:val="00475E6E"/>
    <w:rsid w:val="00490D5F"/>
    <w:rsid w:val="0049216C"/>
    <w:rsid w:val="00493CED"/>
    <w:rsid w:val="0049742F"/>
    <w:rsid w:val="004A0A8E"/>
    <w:rsid w:val="004A1FE2"/>
    <w:rsid w:val="004A2599"/>
    <w:rsid w:val="004A2A89"/>
    <w:rsid w:val="004A4C0A"/>
    <w:rsid w:val="004A6F45"/>
    <w:rsid w:val="004B5C45"/>
    <w:rsid w:val="004B7720"/>
    <w:rsid w:val="004C16E0"/>
    <w:rsid w:val="004C5251"/>
    <w:rsid w:val="004C5B33"/>
    <w:rsid w:val="004D2388"/>
    <w:rsid w:val="004D456C"/>
    <w:rsid w:val="004D7477"/>
    <w:rsid w:val="004E63C8"/>
    <w:rsid w:val="004F4C7B"/>
    <w:rsid w:val="004F65E9"/>
    <w:rsid w:val="004F7EDA"/>
    <w:rsid w:val="00506F27"/>
    <w:rsid w:val="0050780C"/>
    <w:rsid w:val="00524F8B"/>
    <w:rsid w:val="00525B7D"/>
    <w:rsid w:val="005304AC"/>
    <w:rsid w:val="00533CDE"/>
    <w:rsid w:val="00534EF7"/>
    <w:rsid w:val="00535BDF"/>
    <w:rsid w:val="005444A9"/>
    <w:rsid w:val="00544E37"/>
    <w:rsid w:val="00547C08"/>
    <w:rsid w:val="005529EF"/>
    <w:rsid w:val="00553660"/>
    <w:rsid w:val="00570585"/>
    <w:rsid w:val="00570BC5"/>
    <w:rsid w:val="00572ED8"/>
    <w:rsid w:val="005802AC"/>
    <w:rsid w:val="00581DA3"/>
    <w:rsid w:val="005851CB"/>
    <w:rsid w:val="0058564A"/>
    <w:rsid w:val="0059340D"/>
    <w:rsid w:val="0059597A"/>
    <w:rsid w:val="005960CB"/>
    <w:rsid w:val="005A1345"/>
    <w:rsid w:val="005A1554"/>
    <w:rsid w:val="005A5FCB"/>
    <w:rsid w:val="005B12AA"/>
    <w:rsid w:val="005B1550"/>
    <w:rsid w:val="005B6263"/>
    <w:rsid w:val="005C025C"/>
    <w:rsid w:val="005D2891"/>
    <w:rsid w:val="005D3054"/>
    <w:rsid w:val="005D6463"/>
    <w:rsid w:val="005E068C"/>
    <w:rsid w:val="005E50BB"/>
    <w:rsid w:val="005E5495"/>
    <w:rsid w:val="005E54C0"/>
    <w:rsid w:val="005E5B3B"/>
    <w:rsid w:val="005E6FB2"/>
    <w:rsid w:val="00601509"/>
    <w:rsid w:val="00602452"/>
    <w:rsid w:val="00602E59"/>
    <w:rsid w:val="00604061"/>
    <w:rsid w:val="0060768B"/>
    <w:rsid w:val="0060782F"/>
    <w:rsid w:val="0061354A"/>
    <w:rsid w:val="00616B41"/>
    <w:rsid w:val="006255D1"/>
    <w:rsid w:val="00635078"/>
    <w:rsid w:val="00635504"/>
    <w:rsid w:val="00636AFB"/>
    <w:rsid w:val="00643202"/>
    <w:rsid w:val="00646B7E"/>
    <w:rsid w:val="0065089F"/>
    <w:rsid w:val="00652326"/>
    <w:rsid w:val="00654755"/>
    <w:rsid w:val="006568D1"/>
    <w:rsid w:val="00662CEA"/>
    <w:rsid w:val="00664E51"/>
    <w:rsid w:val="006659B0"/>
    <w:rsid w:val="0066736B"/>
    <w:rsid w:val="006720CF"/>
    <w:rsid w:val="00673D15"/>
    <w:rsid w:val="00673F34"/>
    <w:rsid w:val="00673FDC"/>
    <w:rsid w:val="00676F12"/>
    <w:rsid w:val="00681B65"/>
    <w:rsid w:val="00682172"/>
    <w:rsid w:val="00687181"/>
    <w:rsid w:val="006877AD"/>
    <w:rsid w:val="00690374"/>
    <w:rsid w:val="00694655"/>
    <w:rsid w:val="006968ED"/>
    <w:rsid w:val="00696A9B"/>
    <w:rsid w:val="006A1F42"/>
    <w:rsid w:val="006A5990"/>
    <w:rsid w:val="006A6465"/>
    <w:rsid w:val="006A68E2"/>
    <w:rsid w:val="006B558D"/>
    <w:rsid w:val="006B7A9E"/>
    <w:rsid w:val="006B7D2C"/>
    <w:rsid w:val="006C0A16"/>
    <w:rsid w:val="006C0E3E"/>
    <w:rsid w:val="006C1880"/>
    <w:rsid w:val="006C1CA1"/>
    <w:rsid w:val="006C30D7"/>
    <w:rsid w:val="006C5E78"/>
    <w:rsid w:val="006D1343"/>
    <w:rsid w:val="006D305B"/>
    <w:rsid w:val="006D4E5F"/>
    <w:rsid w:val="006D57EC"/>
    <w:rsid w:val="006D6EFF"/>
    <w:rsid w:val="006D7935"/>
    <w:rsid w:val="006E2863"/>
    <w:rsid w:val="006F5ABA"/>
    <w:rsid w:val="0070371E"/>
    <w:rsid w:val="00706EB0"/>
    <w:rsid w:val="00707A01"/>
    <w:rsid w:val="007113C3"/>
    <w:rsid w:val="00715C55"/>
    <w:rsid w:val="00716FAC"/>
    <w:rsid w:val="00717030"/>
    <w:rsid w:val="0072185E"/>
    <w:rsid w:val="00722761"/>
    <w:rsid w:val="0072322D"/>
    <w:rsid w:val="00723DED"/>
    <w:rsid w:val="00730A82"/>
    <w:rsid w:val="00730DD6"/>
    <w:rsid w:val="00732E4A"/>
    <w:rsid w:val="00733AD4"/>
    <w:rsid w:val="00736607"/>
    <w:rsid w:val="007403D6"/>
    <w:rsid w:val="0074633F"/>
    <w:rsid w:val="00751FB9"/>
    <w:rsid w:val="0075634D"/>
    <w:rsid w:val="00756E67"/>
    <w:rsid w:val="007637B5"/>
    <w:rsid w:val="0076445C"/>
    <w:rsid w:val="00775BB7"/>
    <w:rsid w:val="007805CB"/>
    <w:rsid w:val="00783127"/>
    <w:rsid w:val="00790202"/>
    <w:rsid w:val="007904C2"/>
    <w:rsid w:val="00790BD1"/>
    <w:rsid w:val="007925FA"/>
    <w:rsid w:val="007936F6"/>
    <w:rsid w:val="00793D87"/>
    <w:rsid w:val="00794014"/>
    <w:rsid w:val="00796B89"/>
    <w:rsid w:val="007A5F5C"/>
    <w:rsid w:val="007A6037"/>
    <w:rsid w:val="007A6875"/>
    <w:rsid w:val="007A6F06"/>
    <w:rsid w:val="007B4F8B"/>
    <w:rsid w:val="007C399E"/>
    <w:rsid w:val="007C42A2"/>
    <w:rsid w:val="007C4E0E"/>
    <w:rsid w:val="007C5E28"/>
    <w:rsid w:val="007D25FE"/>
    <w:rsid w:val="007D2B64"/>
    <w:rsid w:val="007D4A28"/>
    <w:rsid w:val="007D5C18"/>
    <w:rsid w:val="007D691F"/>
    <w:rsid w:val="007D72AE"/>
    <w:rsid w:val="007E26EE"/>
    <w:rsid w:val="007E7357"/>
    <w:rsid w:val="007F503A"/>
    <w:rsid w:val="007F6889"/>
    <w:rsid w:val="008001C8"/>
    <w:rsid w:val="0081101D"/>
    <w:rsid w:val="00811A7F"/>
    <w:rsid w:val="00813B26"/>
    <w:rsid w:val="008140EE"/>
    <w:rsid w:val="00815764"/>
    <w:rsid w:val="008208F8"/>
    <w:rsid w:val="008225AE"/>
    <w:rsid w:val="00824624"/>
    <w:rsid w:val="0082466B"/>
    <w:rsid w:val="008252B1"/>
    <w:rsid w:val="0083205F"/>
    <w:rsid w:val="00832098"/>
    <w:rsid w:val="008325A3"/>
    <w:rsid w:val="00833AC5"/>
    <w:rsid w:val="008409A4"/>
    <w:rsid w:val="00841774"/>
    <w:rsid w:val="00843683"/>
    <w:rsid w:val="008440E2"/>
    <w:rsid w:val="00845C17"/>
    <w:rsid w:val="00845ED7"/>
    <w:rsid w:val="00850980"/>
    <w:rsid w:val="00852345"/>
    <w:rsid w:val="00853451"/>
    <w:rsid w:val="008577B7"/>
    <w:rsid w:val="00861B94"/>
    <w:rsid w:val="00862B7B"/>
    <w:rsid w:val="00862C86"/>
    <w:rsid w:val="00863627"/>
    <w:rsid w:val="0086739C"/>
    <w:rsid w:val="008724C5"/>
    <w:rsid w:val="00873E5B"/>
    <w:rsid w:val="00875DDC"/>
    <w:rsid w:val="00877F00"/>
    <w:rsid w:val="008817F2"/>
    <w:rsid w:val="008821CA"/>
    <w:rsid w:val="00885657"/>
    <w:rsid w:val="00890F42"/>
    <w:rsid w:val="008945BE"/>
    <w:rsid w:val="008A00BC"/>
    <w:rsid w:val="008A63F8"/>
    <w:rsid w:val="008B23BB"/>
    <w:rsid w:val="008C5D6B"/>
    <w:rsid w:val="008C7846"/>
    <w:rsid w:val="008D7137"/>
    <w:rsid w:val="008D714D"/>
    <w:rsid w:val="008E21AE"/>
    <w:rsid w:val="008E25BC"/>
    <w:rsid w:val="008E4240"/>
    <w:rsid w:val="008E771B"/>
    <w:rsid w:val="008F017C"/>
    <w:rsid w:val="008F021E"/>
    <w:rsid w:val="008F09EA"/>
    <w:rsid w:val="008F393C"/>
    <w:rsid w:val="00900462"/>
    <w:rsid w:val="00903F1F"/>
    <w:rsid w:val="00907773"/>
    <w:rsid w:val="00913D9C"/>
    <w:rsid w:val="0091590C"/>
    <w:rsid w:val="009253B7"/>
    <w:rsid w:val="00931341"/>
    <w:rsid w:val="00932D76"/>
    <w:rsid w:val="009378DE"/>
    <w:rsid w:val="009400F3"/>
    <w:rsid w:val="00942690"/>
    <w:rsid w:val="00945E66"/>
    <w:rsid w:val="00947BF3"/>
    <w:rsid w:val="009501E8"/>
    <w:rsid w:val="00950870"/>
    <w:rsid w:val="00952714"/>
    <w:rsid w:val="009539C2"/>
    <w:rsid w:val="00953F74"/>
    <w:rsid w:val="00956F67"/>
    <w:rsid w:val="0096253F"/>
    <w:rsid w:val="009637AC"/>
    <w:rsid w:val="00970B6F"/>
    <w:rsid w:val="009745CC"/>
    <w:rsid w:val="00977F51"/>
    <w:rsid w:val="00983AAA"/>
    <w:rsid w:val="00987977"/>
    <w:rsid w:val="009933E5"/>
    <w:rsid w:val="009A07FD"/>
    <w:rsid w:val="009A3363"/>
    <w:rsid w:val="009A34F7"/>
    <w:rsid w:val="009A4C24"/>
    <w:rsid w:val="009A7688"/>
    <w:rsid w:val="009A769C"/>
    <w:rsid w:val="009B202D"/>
    <w:rsid w:val="009B3EAA"/>
    <w:rsid w:val="009B41CE"/>
    <w:rsid w:val="009B495E"/>
    <w:rsid w:val="009B65F3"/>
    <w:rsid w:val="009C69BF"/>
    <w:rsid w:val="009D095A"/>
    <w:rsid w:val="009D2243"/>
    <w:rsid w:val="009D39DC"/>
    <w:rsid w:val="009E6F9C"/>
    <w:rsid w:val="009F08EA"/>
    <w:rsid w:val="009F125D"/>
    <w:rsid w:val="009F3700"/>
    <w:rsid w:val="009F3D0C"/>
    <w:rsid w:val="009F67AA"/>
    <w:rsid w:val="009F73C2"/>
    <w:rsid w:val="00A018B4"/>
    <w:rsid w:val="00A0256C"/>
    <w:rsid w:val="00A04F30"/>
    <w:rsid w:val="00A057AA"/>
    <w:rsid w:val="00A102D5"/>
    <w:rsid w:val="00A163BC"/>
    <w:rsid w:val="00A1750E"/>
    <w:rsid w:val="00A2058F"/>
    <w:rsid w:val="00A22E70"/>
    <w:rsid w:val="00A2448D"/>
    <w:rsid w:val="00A24A6D"/>
    <w:rsid w:val="00A24F6C"/>
    <w:rsid w:val="00A25856"/>
    <w:rsid w:val="00A25BCD"/>
    <w:rsid w:val="00A266BE"/>
    <w:rsid w:val="00A34979"/>
    <w:rsid w:val="00A356E2"/>
    <w:rsid w:val="00A35C63"/>
    <w:rsid w:val="00A3661F"/>
    <w:rsid w:val="00A42F82"/>
    <w:rsid w:val="00A43E6C"/>
    <w:rsid w:val="00A45510"/>
    <w:rsid w:val="00A534F9"/>
    <w:rsid w:val="00A53CF8"/>
    <w:rsid w:val="00A54B32"/>
    <w:rsid w:val="00A63EE1"/>
    <w:rsid w:val="00A667D5"/>
    <w:rsid w:val="00A84B99"/>
    <w:rsid w:val="00A86E9C"/>
    <w:rsid w:val="00A913BE"/>
    <w:rsid w:val="00A91F17"/>
    <w:rsid w:val="00AA0103"/>
    <w:rsid w:val="00AA2611"/>
    <w:rsid w:val="00AB187A"/>
    <w:rsid w:val="00AB3BD4"/>
    <w:rsid w:val="00AC497D"/>
    <w:rsid w:val="00AC65DC"/>
    <w:rsid w:val="00AE04BB"/>
    <w:rsid w:val="00AE1C74"/>
    <w:rsid w:val="00AE439F"/>
    <w:rsid w:val="00AE619F"/>
    <w:rsid w:val="00AF04A7"/>
    <w:rsid w:val="00AF0758"/>
    <w:rsid w:val="00AF21E5"/>
    <w:rsid w:val="00AF4F3B"/>
    <w:rsid w:val="00B011F1"/>
    <w:rsid w:val="00B03209"/>
    <w:rsid w:val="00B047A4"/>
    <w:rsid w:val="00B04EC3"/>
    <w:rsid w:val="00B05D48"/>
    <w:rsid w:val="00B05F5F"/>
    <w:rsid w:val="00B10A39"/>
    <w:rsid w:val="00B21440"/>
    <w:rsid w:val="00B33C2E"/>
    <w:rsid w:val="00B3739D"/>
    <w:rsid w:val="00B41E09"/>
    <w:rsid w:val="00B45069"/>
    <w:rsid w:val="00B4754A"/>
    <w:rsid w:val="00B5371D"/>
    <w:rsid w:val="00B53FB6"/>
    <w:rsid w:val="00B54203"/>
    <w:rsid w:val="00B57C81"/>
    <w:rsid w:val="00B6660F"/>
    <w:rsid w:val="00B7005D"/>
    <w:rsid w:val="00B80D36"/>
    <w:rsid w:val="00B81E71"/>
    <w:rsid w:val="00B837E4"/>
    <w:rsid w:val="00B8383A"/>
    <w:rsid w:val="00B843CF"/>
    <w:rsid w:val="00B87082"/>
    <w:rsid w:val="00B903DF"/>
    <w:rsid w:val="00B921CA"/>
    <w:rsid w:val="00B93B26"/>
    <w:rsid w:val="00B950DF"/>
    <w:rsid w:val="00B96055"/>
    <w:rsid w:val="00BA10B0"/>
    <w:rsid w:val="00BA5383"/>
    <w:rsid w:val="00BA613D"/>
    <w:rsid w:val="00BB1A3E"/>
    <w:rsid w:val="00BB3A99"/>
    <w:rsid w:val="00BC1AFA"/>
    <w:rsid w:val="00BC3E1E"/>
    <w:rsid w:val="00BC73B1"/>
    <w:rsid w:val="00BD0F02"/>
    <w:rsid w:val="00BE0813"/>
    <w:rsid w:val="00BE269A"/>
    <w:rsid w:val="00BE3EC0"/>
    <w:rsid w:val="00BF06E3"/>
    <w:rsid w:val="00BF6167"/>
    <w:rsid w:val="00C03BF2"/>
    <w:rsid w:val="00C057B3"/>
    <w:rsid w:val="00C14484"/>
    <w:rsid w:val="00C2023D"/>
    <w:rsid w:val="00C21152"/>
    <w:rsid w:val="00C22961"/>
    <w:rsid w:val="00C22CE0"/>
    <w:rsid w:val="00C243E8"/>
    <w:rsid w:val="00C2466E"/>
    <w:rsid w:val="00C3065A"/>
    <w:rsid w:val="00C34016"/>
    <w:rsid w:val="00C34C0A"/>
    <w:rsid w:val="00C40F27"/>
    <w:rsid w:val="00C45C2C"/>
    <w:rsid w:val="00C52D49"/>
    <w:rsid w:val="00C52D63"/>
    <w:rsid w:val="00C54410"/>
    <w:rsid w:val="00C645D9"/>
    <w:rsid w:val="00C65D1E"/>
    <w:rsid w:val="00C660F0"/>
    <w:rsid w:val="00C713FA"/>
    <w:rsid w:val="00C71DC7"/>
    <w:rsid w:val="00C75835"/>
    <w:rsid w:val="00C809A6"/>
    <w:rsid w:val="00C87447"/>
    <w:rsid w:val="00C94537"/>
    <w:rsid w:val="00CA2B2E"/>
    <w:rsid w:val="00CB1D03"/>
    <w:rsid w:val="00CB2331"/>
    <w:rsid w:val="00CB61D3"/>
    <w:rsid w:val="00CB6B4A"/>
    <w:rsid w:val="00CC0848"/>
    <w:rsid w:val="00CC3C2E"/>
    <w:rsid w:val="00CC437E"/>
    <w:rsid w:val="00CC4C21"/>
    <w:rsid w:val="00CC57D4"/>
    <w:rsid w:val="00CC7975"/>
    <w:rsid w:val="00CD09C7"/>
    <w:rsid w:val="00CD1DFF"/>
    <w:rsid w:val="00CD1F08"/>
    <w:rsid w:val="00CD2178"/>
    <w:rsid w:val="00CD4154"/>
    <w:rsid w:val="00CD67A5"/>
    <w:rsid w:val="00CD7565"/>
    <w:rsid w:val="00D01A26"/>
    <w:rsid w:val="00D021F4"/>
    <w:rsid w:val="00D03494"/>
    <w:rsid w:val="00D05100"/>
    <w:rsid w:val="00D2005C"/>
    <w:rsid w:val="00D20180"/>
    <w:rsid w:val="00D22F07"/>
    <w:rsid w:val="00D31F1B"/>
    <w:rsid w:val="00D331ED"/>
    <w:rsid w:val="00D33DBF"/>
    <w:rsid w:val="00D37243"/>
    <w:rsid w:val="00D40E41"/>
    <w:rsid w:val="00D41FB6"/>
    <w:rsid w:val="00D44341"/>
    <w:rsid w:val="00D449A4"/>
    <w:rsid w:val="00D505A3"/>
    <w:rsid w:val="00D53674"/>
    <w:rsid w:val="00D54252"/>
    <w:rsid w:val="00D56358"/>
    <w:rsid w:val="00D63092"/>
    <w:rsid w:val="00D63708"/>
    <w:rsid w:val="00D709F3"/>
    <w:rsid w:val="00D710E7"/>
    <w:rsid w:val="00D73A09"/>
    <w:rsid w:val="00D75FFC"/>
    <w:rsid w:val="00D81333"/>
    <w:rsid w:val="00D813FD"/>
    <w:rsid w:val="00D82330"/>
    <w:rsid w:val="00D8338F"/>
    <w:rsid w:val="00D83A13"/>
    <w:rsid w:val="00D94B6A"/>
    <w:rsid w:val="00DA28D0"/>
    <w:rsid w:val="00DA65D1"/>
    <w:rsid w:val="00DB3A43"/>
    <w:rsid w:val="00DB3CF8"/>
    <w:rsid w:val="00DB468A"/>
    <w:rsid w:val="00DC4842"/>
    <w:rsid w:val="00DC5C7F"/>
    <w:rsid w:val="00DD0855"/>
    <w:rsid w:val="00DD1F51"/>
    <w:rsid w:val="00DD540D"/>
    <w:rsid w:val="00DD676C"/>
    <w:rsid w:val="00DE31A7"/>
    <w:rsid w:val="00DE36A2"/>
    <w:rsid w:val="00DE764B"/>
    <w:rsid w:val="00DF11BB"/>
    <w:rsid w:val="00DF5669"/>
    <w:rsid w:val="00DF6C12"/>
    <w:rsid w:val="00DF78C2"/>
    <w:rsid w:val="00E11829"/>
    <w:rsid w:val="00E13315"/>
    <w:rsid w:val="00E1575C"/>
    <w:rsid w:val="00E1659A"/>
    <w:rsid w:val="00E21331"/>
    <w:rsid w:val="00E32520"/>
    <w:rsid w:val="00E33477"/>
    <w:rsid w:val="00E37F04"/>
    <w:rsid w:val="00E409F3"/>
    <w:rsid w:val="00E5501F"/>
    <w:rsid w:val="00E602BF"/>
    <w:rsid w:val="00E6497A"/>
    <w:rsid w:val="00E65792"/>
    <w:rsid w:val="00E65DE5"/>
    <w:rsid w:val="00E65F6A"/>
    <w:rsid w:val="00E7006C"/>
    <w:rsid w:val="00E74A43"/>
    <w:rsid w:val="00E76A84"/>
    <w:rsid w:val="00E80C7F"/>
    <w:rsid w:val="00E82C79"/>
    <w:rsid w:val="00E850A8"/>
    <w:rsid w:val="00E868F3"/>
    <w:rsid w:val="00E95760"/>
    <w:rsid w:val="00E9769A"/>
    <w:rsid w:val="00EA4875"/>
    <w:rsid w:val="00EA6048"/>
    <w:rsid w:val="00EA639A"/>
    <w:rsid w:val="00EA6A2B"/>
    <w:rsid w:val="00EA76DC"/>
    <w:rsid w:val="00EB7E00"/>
    <w:rsid w:val="00EC0DF2"/>
    <w:rsid w:val="00EC2665"/>
    <w:rsid w:val="00ED0BFC"/>
    <w:rsid w:val="00ED7A86"/>
    <w:rsid w:val="00EE0020"/>
    <w:rsid w:val="00EE033B"/>
    <w:rsid w:val="00EE1B62"/>
    <w:rsid w:val="00EE2F90"/>
    <w:rsid w:val="00EF02CC"/>
    <w:rsid w:val="00EF13E2"/>
    <w:rsid w:val="00EF69E8"/>
    <w:rsid w:val="00EF6D79"/>
    <w:rsid w:val="00F11205"/>
    <w:rsid w:val="00F1782C"/>
    <w:rsid w:val="00F24182"/>
    <w:rsid w:val="00F33B83"/>
    <w:rsid w:val="00F35190"/>
    <w:rsid w:val="00F35EE5"/>
    <w:rsid w:val="00F360C5"/>
    <w:rsid w:val="00F4065F"/>
    <w:rsid w:val="00F40AE4"/>
    <w:rsid w:val="00F43258"/>
    <w:rsid w:val="00F5049E"/>
    <w:rsid w:val="00F52F9B"/>
    <w:rsid w:val="00F5494C"/>
    <w:rsid w:val="00F56F54"/>
    <w:rsid w:val="00F60482"/>
    <w:rsid w:val="00F60770"/>
    <w:rsid w:val="00F6715B"/>
    <w:rsid w:val="00F67C42"/>
    <w:rsid w:val="00F70C87"/>
    <w:rsid w:val="00F75B9C"/>
    <w:rsid w:val="00F7733A"/>
    <w:rsid w:val="00F900E0"/>
    <w:rsid w:val="00F936C5"/>
    <w:rsid w:val="00F93864"/>
    <w:rsid w:val="00F93D78"/>
    <w:rsid w:val="00F95EA8"/>
    <w:rsid w:val="00F96828"/>
    <w:rsid w:val="00FA0C48"/>
    <w:rsid w:val="00FA3EDD"/>
    <w:rsid w:val="00FB2DA9"/>
    <w:rsid w:val="00FB50FE"/>
    <w:rsid w:val="00FC174B"/>
    <w:rsid w:val="00FC4195"/>
    <w:rsid w:val="00FC7F6B"/>
    <w:rsid w:val="00FC7FD8"/>
    <w:rsid w:val="00FD1BC6"/>
    <w:rsid w:val="00FD3E30"/>
    <w:rsid w:val="00FD4B0D"/>
    <w:rsid w:val="00FD7157"/>
    <w:rsid w:val="00FE36D8"/>
    <w:rsid w:val="00FE39B9"/>
    <w:rsid w:val="00FF129B"/>
    <w:rsid w:val="00FF6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F226"/>
  <w15:docId w15:val="{E3419464-2925-714A-AFF8-0247C48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ind w:left="504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225AE"/>
    <w:rPr>
      <w:rFonts w:asciiTheme="majorHAnsi" w:eastAsiaTheme="majorEastAsia" w:hAnsiTheme="majorHAnsi" w:cstheme="majorBidi"/>
      <w:color w:val="1F4D78" w:themeColor="accent1" w:themeShade="7F"/>
      <w:sz w:val="24"/>
      <w:szCs w:val="24"/>
      <w:lang w:val="en-GB"/>
    </w:rPr>
  </w:style>
  <w:style w:type="paragraph" w:styleId="EndnoteText">
    <w:name w:val="endnote text"/>
    <w:basedOn w:val="Normal"/>
    <w:link w:val="EndnoteTextChar"/>
    <w:uiPriority w:val="99"/>
    <w:semiHidden/>
    <w:unhideWhenUsed/>
    <w:rsid w:val="00FA3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EDD"/>
    <w:rPr>
      <w:sz w:val="20"/>
      <w:szCs w:val="20"/>
      <w:lang w:val="en-GB"/>
    </w:rPr>
  </w:style>
  <w:style w:type="character" w:styleId="EndnoteReference">
    <w:name w:val="endnote reference"/>
    <w:basedOn w:val="DefaultParagraphFont"/>
    <w:uiPriority w:val="99"/>
    <w:semiHidden/>
    <w:unhideWhenUsed/>
    <w:rsid w:val="00FA3EDD"/>
    <w:rPr>
      <w:vertAlign w:val="superscript"/>
    </w:rPr>
  </w:style>
  <w:style w:type="paragraph" w:styleId="Revision">
    <w:name w:val="Revision"/>
    <w:hidden/>
    <w:uiPriority w:val="99"/>
    <w:semiHidden/>
    <w:rsid w:val="00790202"/>
    <w:pPr>
      <w:spacing w:after="0" w:line="240" w:lineRule="auto"/>
    </w:pPr>
    <w:rPr>
      <w:lang w:val="en-GB"/>
    </w:rPr>
  </w:style>
  <w:style w:type="paragraph" w:customStyle="1" w:styleId="rtejustify">
    <w:name w:val="rtejustify"/>
    <w:basedOn w:val="Normal"/>
    <w:rsid w:val="00EA6A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indent1">
    <w:name w:val="rteindent1"/>
    <w:basedOn w:val="Normal"/>
    <w:rsid w:val="00EA6A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7030"/>
    <w:rPr>
      <w:color w:val="0563C1" w:themeColor="hyperlink"/>
      <w:u w:val="single"/>
    </w:rPr>
  </w:style>
  <w:style w:type="character" w:customStyle="1" w:styleId="UnresolvedMention">
    <w:name w:val="Unresolved Mention"/>
    <w:basedOn w:val="DefaultParagraphFont"/>
    <w:uiPriority w:val="99"/>
    <w:semiHidden/>
    <w:unhideWhenUsed/>
    <w:rsid w:val="00717030"/>
    <w:rPr>
      <w:color w:val="605E5C"/>
      <w:shd w:val="clear" w:color="auto" w:fill="E1DFDD"/>
    </w:rPr>
  </w:style>
  <w:style w:type="character" w:styleId="FollowedHyperlink">
    <w:name w:val="FollowedHyperlink"/>
    <w:basedOn w:val="DefaultParagraphFont"/>
    <w:uiPriority w:val="99"/>
    <w:semiHidden/>
    <w:unhideWhenUsed/>
    <w:rsid w:val="00717030"/>
    <w:rPr>
      <w:color w:val="954F72" w:themeColor="followedHyperlink"/>
      <w:u w:val="single"/>
    </w:rPr>
  </w:style>
  <w:style w:type="character" w:customStyle="1" w:styleId="akn-num">
    <w:name w:val="akn-num"/>
    <w:basedOn w:val="DefaultParagraphFont"/>
    <w:rsid w:val="00D94B6A"/>
  </w:style>
  <w:style w:type="character" w:customStyle="1" w:styleId="akn-p">
    <w:name w:val="akn-p"/>
    <w:basedOn w:val="DefaultParagraphFont"/>
    <w:rsid w:val="00D94B6A"/>
  </w:style>
  <w:style w:type="paragraph" w:styleId="NormalWeb">
    <w:name w:val="Normal (Web)"/>
    <w:basedOn w:val="Normal"/>
    <w:uiPriority w:val="99"/>
    <w:unhideWhenUsed/>
    <w:rsid w:val="007C4E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df-viewer-line">
    <w:name w:val="pdf-viewer-line"/>
    <w:basedOn w:val="DefaultParagraphFont"/>
    <w:rsid w:val="00B0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853">
      <w:bodyDiv w:val="1"/>
      <w:marLeft w:val="0"/>
      <w:marRight w:val="0"/>
      <w:marTop w:val="0"/>
      <w:marBottom w:val="0"/>
      <w:divBdr>
        <w:top w:val="none" w:sz="0" w:space="0" w:color="auto"/>
        <w:left w:val="none" w:sz="0" w:space="0" w:color="auto"/>
        <w:bottom w:val="none" w:sz="0" w:space="0" w:color="auto"/>
        <w:right w:val="none" w:sz="0" w:space="0" w:color="auto"/>
      </w:divBdr>
      <w:divsChild>
        <w:div w:id="283075381">
          <w:marLeft w:val="0"/>
          <w:marRight w:val="0"/>
          <w:marTop w:val="0"/>
          <w:marBottom w:val="0"/>
          <w:divBdr>
            <w:top w:val="none" w:sz="0" w:space="0" w:color="auto"/>
            <w:left w:val="none" w:sz="0" w:space="0" w:color="auto"/>
            <w:bottom w:val="none" w:sz="0" w:space="0" w:color="auto"/>
            <w:right w:val="none" w:sz="0" w:space="0" w:color="auto"/>
          </w:divBdr>
          <w:divsChild>
            <w:div w:id="1335298419">
              <w:marLeft w:val="0"/>
              <w:marRight w:val="0"/>
              <w:marTop w:val="0"/>
              <w:marBottom w:val="0"/>
              <w:divBdr>
                <w:top w:val="none" w:sz="0" w:space="0" w:color="auto"/>
                <w:left w:val="none" w:sz="0" w:space="0" w:color="auto"/>
                <w:bottom w:val="none" w:sz="0" w:space="0" w:color="auto"/>
                <w:right w:val="none" w:sz="0" w:space="0" w:color="auto"/>
              </w:divBdr>
              <w:divsChild>
                <w:div w:id="17493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222">
      <w:bodyDiv w:val="1"/>
      <w:marLeft w:val="0"/>
      <w:marRight w:val="0"/>
      <w:marTop w:val="0"/>
      <w:marBottom w:val="0"/>
      <w:divBdr>
        <w:top w:val="none" w:sz="0" w:space="0" w:color="auto"/>
        <w:left w:val="none" w:sz="0" w:space="0" w:color="auto"/>
        <w:bottom w:val="none" w:sz="0" w:space="0" w:color="auto"/>
        <w:right w:val="none" w:sz="0" w:space="0" w:color="auto"/>
      </w:divBdr>
      <w:divsChild>
        <w:div w:id="2070883401">
          <w:marLeft w:val="0"/>
          <w:marRight w:val="0"/>
          <w:marTop w:val="0"/>
          <w:marBottom w:val="0"/>
          <w:divBdr>
            <w:top w:val="none" w:sz="0" w:space="0" w:color="auto"/>
            <w:left w:val="none" w:sz="0" w:space="0" w:color="auto"/>
            <w:bottom w:val="none" w:sz="0" w:space="0" w:color="auto"/>
            <w:right w:val="none" w:sz="0" w:space="0" w:color="auto"/>
          </w:divBdr>
          <w:divsChild>
            <w:div w:id="1781954735">
              <w:marLeft w:val="0"/>
              <w:marRight w:val="0"/>
              <w:marTop w:val="0"/>
              <w:marBottom w:val="0"/>
              <w:divBdr>
                <w:top w:val="none" w:sz="0" w:space="0" w:color="auto"/>
                <w:left w:val="none" w:sz="0" w:space="0" w:color="auto"/>
                <w:bottom w:val="none" w:sz="0" w:space="0" w:color="auto"/>
                <w:right w:val="none" w:sz="0" w:space="0" w:color="auto"/>
              </w:divBdr>
              <w:divsChild>
                <w:div w:id="7798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7362">
      <w:bodyDiv w:val="1"/>
      <w:marLeft w:val="0"/>
      <w:marRight w:val="0"/>
      <w:marTop w:val="0"/>
      <w:marBottom w:val="0"/>
      <w:divBdr>
        <w:top w:val="none" w:sz="0" w:space="0" w:color="auto"/>
        <w:left w:val="none" w:sz="0" w:space="0" w:color="auto"/>
        <w:bottom w:val="none" w:sz="0" w:space="0" w:color="auto"/>
        <w:right w:val="none" w:sz="0" w:space="0" w:color="auto"/>
      </w:divBdr>
      <w:divsChild>
        <w:div w:id="1335493609">
          <w:marLeft w:val="0"/>
          <w:marRight w:val="0"/>
          <w:marTop w:val="0"/>
          <w:marBottom w:val="0"/>
          <w:divBdr>
            <w:top w:val="none" w:sz="0" w:space="0" w:color="auto"/>
            <w:left w:val="none" w:sz="0" w:space="0" w:color="auto"/>
            <w:bottom w:val="none" w:sz="0" w:space="0" w:color="auto"/>
            <w:right w:val="none" w:sz="0" w:space="0" w:color="auto"/>
          </w:divBdr>
          <w:divsChild>
            <w:div w:id="347870622">
              <w:marLeft w:val="0"/>
              <w:marRight w:val="0"/>
              <w:marTop w:val="0"/>
              <w:marBottom w:val="0"/>
              <w:divBdr>
                <w:top w:val="none" w:sz="0" w:space="0" w:color="auto"/>
                <w:left w:val="none" w:sz="0" w:space="0" w:color="auto"/>
                <w:bottom w:val="none" w:sz="0" w:space="0" w:color="auto"/>
                <w:right w:val="none" w:sz="0" w:space="0" w:color="auto"/>
              </w:divBdr>
              <w:divsChild>
                <w:div w:id="1269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98">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1604783">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313146235">
      <w:bodyDiv w:val="1"/>
      <w:marLeft w:val="0"/>
      <w:marRight w:val="0"/>
      <w:marTop w:val="0"/>
      <w:marBottom w:val="0"/>
      <w:divBdr>
        <w:top w:val="none" w:sz="0" w:space="0" w:color="auto"/>
        <w:left w:val="none" w:sz="0" w:space="0" w:color="auto"/>
        <w:bottom w:val="none" w:sz="0" w:space="0" w:color="auto"/>
        <w:right w:val="none" w:sz="0" w:space="0" w:color="auto"/>
      </w:divBdr>
      <w:divsChild>
        <w:div w:id="1770268615">
          <w:marLeft w:val="0"/>
          <w:marRight w:val="0"/>
          <w:marTop w:val="0"/>
          <w:marBottom w:val="0"/>
          <w:divBdr>
            <w:top w:val="none" w:sz="0" w:space="0" w:color="auto"/>
            <w:left w:val="none" w:sz="0" w:space="0" w:color="auto"/>
            <w:bottom w:val="none" w:sz="0" w:space="0" w:color="auto"/>
            <w:right w:val="none" w:sz="0" w:space="0" w:color="auto"/>
          </w:divBdr>
          <w:divsChild>
            <w:div w:id="1925335628">
              <w:marLeft w:val="0"/>
              <w:marRight w:val="0"/>
              <w:marTop w:val="0"/>
              <w:marBottom w:val="0"/>
              <w:divBdr>
                <w:top w:val="none" w:sz="0" w:space="0" w:color="auto"/>
                <w:left w:val="none" w:sz="0" w:space="0" w:color="auto"/>
                <w:bottom w:val="none" w:sz="0" w:space="0" w:color="auto"/>
                <w:right w:val="none" w:sz="0" w:space="0" w:color="auto"/>
              </w:divBdr>
              <w:divsChild>
                <w:div w:id="8118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61490">
      <w:bodyDiv w:val="1"/>
      <w:marLeft w:val="0"/>
      <w:marRight w:val="0"/>
      <w:marTop w:val="0"/>
      <w:marBottom w:val="0"/>
      <w:divBdr>
        <w:top w:val="none" w:sz="0" w:space="0" w:color="auto"/>
        <w:left w:val="none" w:sz="0" w:space="0" w:color="auto"/>
        <w:bottom w:val="none" w:sz="0" w:space="0" w:color="auto"/>
        <w:right w:val="none" w:sz="0" w:space="0" w:color="auto"/>
      </w:divBdr>
    </w:div>
    <w:div w:id="471286257">
      <w:bodyDiv w:val="1"/>
      <w:marLeft w:val="0"/>
      <w:marRight w:val="0"/>
      <w:marTop w:val="0"/>
      <w:marBottom w:val="0"/>
      <w:divBdr>
        <w:top w:val="none" w:sz="0" w:space="0" w:color="auto"/>
        <w:left w:val="none" w:sz="0" w:space="0" w:color="auto"/>
        <w:bottom w:val="none" w:sz="0" w:space="0" w:color="auto"/>
        <w:right w:val="none" w:sz="0" w:space="0" w:color="auto"/>
      </w:divBdr>
    </w:div>
    <w:div w:id="514223263">
      <w:bodyDiv w:val="1"/>
      <w:marLeft w:val="0"/>
      <w:marRight w:val="0"/>
      <w:marTop w:val="0"/>
      <w:marBottom w:val="0"/>
      <w:divBdr>
        <w:top w:val="none" w:sz="0" w:space="0" w:color="auto"/>
        <w:left w:val="none" w:sz="0" w:space="0" w:color="auto"/>
        <w:bottom w:val="none" w:sz="0" w:space="0" w:color="auto"/>
        <w:right w:val="none" w:sz="0" w:space="0" w:color="auto"/>
      </w:divBdr>
    </w:div>
    <w:div w:id="569733014">
      <w:bodyDiv w:val="1"/>
      <w:marLeft w:val="0"/>
      <w:marRight w:val="0"/>
      <w:marTop w:val="0"/>
      <w:marBottom w:val="0"/>
      <w:divBdr>
        <w:top w:val="none" w:sz="0" w:space="0" w:color="auto"/>
        <w:left w:val="none" w:sz="0" w:space="0" w:color="auto"/>
        <w:bottom w:val="none" w:sz="0" w:space="0" w:color="auto"/>
        <w:right w:val="none" w:sz="0" w:space="0" w:color="auto"/>
      </w:divBdr>
    </w:div>
    <w:div w:id="638195726">
      <w:bodyDiv w:val="1"/>
      <w:marLeft w:val="0"/>
      <w:marRight w:val="0"/>
      <w:marTop w:val="0"/>
      <w:marBottom w:val="0"/>
      <w:divBdr>
        <w:top w:val="none" w:sz="0" w:space="0" w:color="auto"/>
        <w:left w:val="none" w:sz="0" w:space="0" w:color="auto"/>
        <w:bottom w:val="none" w:sz="0" w:space="0" w:color="auto"/>
        <w:right w:val="none" w:sz="0" w:space="0" w:color="auto"/>
      </w:divBdr>
    </w:div>
    <w:div w:id="736320385">
      <w:bodyDiv w:val="1"/>
      <w:marLeft w:val="0"/>
      <w:marRight w:val="0"/>
      <w:marTop w:val="0"/>
      <w:marBottom w:val="0"/>
      <w:divBdr>
        <w:top w:val="none" w:sz="0" w:space="0" w:color="auto"/>
        <w:left w:val="none" w:sz="0" w:space="0" w:color="auto"/>
        <w:bottom w:val="none" w:sz="0" w:space="0" w:color="auto"/>
        <w:right w:val="none" w:sz="0" w:space="0" w:color="auto"/>
      </w:divBdr>
      <w:divsChild>
        <w:div w:id="911282769">
          <w:marLeft w:val="0"/>
          <w:marRight w:val="0"/>
          <w:marTop w:val="0"/>
          <w:marBottom w:val="0"/>
          <w:divBdr>
            <w:top w:val="none" w:sz="0" w:space="0" w:color="auto"/>
            <w:left w:val="none" w:sz="0" w:space="0" w:color="auto"/>
            <w:bottom w:val="none" w:sz="0" w:space="0" w:color="auto"/>
            <w:right w:val="none" w:sz="0" w:space="0" w:color="auto"/>
          </w:divBdr>
          <w:divsChild>
            <w:div w:id="1338925301">
              <w:marLeft w:val="0"/>
              <w:marRight w:val="0"/>
              <w:marTop w:val="0"/>
              <w:marBottom w:val="0"/>
              <w:divBdr>
                <w:top w:val="none" w:sz="0" w:space="0" w:color="auto"/>
                <w:left w:val="none" w:sz="0" w:space="0" w:color="auto"/>
                <w:bottom w:val="none" w:sz="0" w:space="0" w:color="auto"/>
                <w:right w:val="none" w:sz="0" w:space="0" w:color="auto"/>
              </w:divBdr>
              <w:divsChild>
                <w:div w:id="1441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974412250">
      <w:bodyDiv w:val="1"/>
      <w:marLeft w:val="0"/>
      <w:marRight w:val="0"/>
      <w:marTop w:val="0"/>
      <w:marBottom w:val="0"/>
      <w:divBdr>
        <w:top w:val="none" w:sz="0" w:space="0" w:color="auto"/>
        <w:left w:val="none" w:sz="0" w:space="0" w:color="auto"/>
        <w:bottom w:val="none" w:sz="0" w:space="0" w:color="auto"/>
        <w:right w:val="none" w:sz="0" w:space="0" w:color="auto"/>
      </w:divBdr>
      <w:divsChild>
        <w:div w:id="393356649">
          <w:marLeft w:val="0"/>
          <w:marRight w:val="0"/>
          <w:marTop w:val="0"/>
          <w:marBottom w:val="0"/>
          <w:divBdr>
            <w:top w:val="none" w:sz="0" w:space="0" w:color="auto"/>
            <w:left w:val="none" w:sz="0" w:space="0" w:color="auto"/>
            <w:bottom w:val="none" w:sz="0" w:space="0" w:color="auto"/>
            <w:right w:val="none" w:sz="0" w:space="0" w:color="auto"/>
          </w:divBdr>
          <w:divsChild>
            <w:div w:id="197861682">
              <w:marLeft w:val="0"/>
              <w:marRight w:val="0"/>
              <w:marTop w:val="0"/>
              <w:marBottom w:val="0"/>
              <w:divBdr>
                <w:top w:val="none" w:sz="0" w:space="0" w:color="auto"/>
                <w:left w:val="none" w:sz="0" w:space="0" w:color="auto"/>
                <w:bottom w:val="none" w:sz="0" w:space="0" w:color="auto"/>
                <w:right w:val="none" w:sz="0" w:space="0" w:color="auto"/>
              </w:divBdr>
              <w:divsChild>
                <w:div w:id="13149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8642">
      <w:bodyDiv w:val="1"/>
      <w:marLeft w:val="0"/>
      <w:marRight w:val="0"/>
      <w:marTop w:val="0"/>
      <w:marBottom w:val="0"/>
      <w:divBdr>
        <w:top w:val="none" w:sz="0" w:space="0" w:color="auto"/>
        <w:left w:val="none" w:sz="0" w:space="0" w:color="auto"/>
        <w:bottom w:val="none" w:sz="0" w:space="0" w:color="auto"/>
        <w:right w:val="none" w:sz="0" w:space="0" w:color="auto"/>
      </w:divBdr>
      <w:divsChild>
        <w:div w:id="1203204315">
          <w:marLeft w:val="0"/>
          <w:marRight w:val="0"/>
          <w:marTop w:val="0"/>
          <w:marBottom w:val="0"/>
          <w:divBdr>
            <w:top w:val="none" w:sz="0" w:space="0" w:color="auto"/>
            <w:left w:val="none" w:sz="0" w:space="0" w:color="auto"/>
            <w:bottom w:val="none" w:sz="0" w:space="0" w:color="auto"/>
            <w:right w:val="none" w:sz="0" w:space="0" w:color="auto"/>
          </w:divBdr>
          <w:divsChild>
            <w:div w:id="1843353968">
              <w:marLeft w:val="0"/>
              <w:marRight w:val="0"/>
              <w:marTop w:val="0"/>
              <w:marBottom w:val="0"/>
              <w:divBdr>
                <w:top w:val="none" w:sz="0" w:space="0" w:color="auto"/>
                <w:left w:val="none" w:sz="0" w:space="0" w:color="auto"/>
                <w:bottom w:val="none" w:sz="0" w:space="0" w:color="auto"/>
                <w:right w:val="none" w:sz="0" w:space="0" w:color="auto"/>
              </w:divBdr>
              <w:divsChild>
                <w:div w:id="12717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3947">
      <w:bodyDiv w:val="1"/>
      <w:marLeft w:val="0"/>
      <w:marRight w:val="0"/>
      <w:marTop w:val="0"/>
      <w:marBottom w:val="0"/>
      <w:divBdr>
        <w:top w:val="none" w:sz="0" w:space="0" w:color="auto"/>
        <w:left w:val="none" w:sz="0" w:space="0" w:color="auto"/>
        <w:bottom w:val="none" w:sz="0" w:space="0" w:color="auto"/>
        <w:right w:val="none" w:sz="0" w:space="0" w:color="auto"/>
      </w:divBdr>
    </w:div>
    <w:div w:id="120864235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52877337">
      <w:bodyDiv w:val="1"/>
      <w:marLeft w:val="0"/>
      <w:marRight w:val="0"/>
      <w:marTop w:val="0"/>
      <w:marBottom w:val="0"/>
      <w:divBdr>
        <w:top w:val="none" w:sz="0" w:space="0" w:color="auto"/>
        <w:left w:val="none" w:sz="0" w:space="0" w:color="auto"/>
        <w:bottom w:val="none" w:sz="0" w:space="0" w:color="auto"/>
        <w:right w:val="none" w:sz="0" w:space="0" w:color="auto"/>
      </w:divBdr>
    </w:div>
    <w:div w:id="1369988696">
      <w:bodyDiv w:val="1"/>
      <w:marLeft w:val="0"/>
      <w:marRight w:val="0"/>
      <w:marTop w:val="0"/>
      <w:marBottom w:val="0"/>
      <w:divBdr>
        <w:top w:val="none" w:sz="0" w:space="0" w:color="auto"/>
        <w:left w:val="none" w:sz="0" w:space="0" w:color="auto"/>
        <w:bottom w:val="none" w:sz="0" w:space="0" w:color="auto"/>
        <w:right w:val="none" w:sz="0" w:space="0" w:color="auto"/>
      </w:divBdr>
    </w:div>
    <w:div w:id="1487085648">
      <w:bodyDiv w:val="1"/>
      <w:marLeft w:val="0"/>
      <w:marRight w:val="0"/>
      <w:marTop w:val="0"/>
      <w:marBottom w:val="0"/>
      <w:divBdr>
        <w:top w:val="none" w:sz="0" w:space="0" w:color="auto"/>
        <w:left w:val="none" w:sz="0" w:space="0" w:color="auto"/>
        <w:bottom w:val="none" w:sz="0" w:space="0" w:color="auto"/>
        <w:right w:val="none" w:sz="0" w:space="0" w:color="auto"/>
      </w:divBdr>
      <w:divsChild>
        <w:div w:id="1607619681">
          <w:marLeft w:val="0"/>
          <w:marRight w:val="0"/>
          <w:marTop w:val="15"/>
          <w:marBottom w:val="0"/>
          <w:divBdr>
            <w:top w:val="single" w:sz="48" w:space="0" w:color="auto"/>
            <w:left w:val="single" w:sz="48" w:space="0" w:color="auto"/>
            <w:bottom w:val="single" w:sz="48" w:space="0" w:color="auto"/>
            <w:right w:val="single" w:sz="48" w:space="0" w:color="auto"/>
          </w:divBdr>
          <w:divsChild>
            <w:div w:id="1046375971">
              <w:marLeft w:val="0"/>
              <w:marRight w:val="0"/>
              <w:marTop w:val="0"/>
              <w:marBottom w:val="0"/>
              <w:divBdr>
                <w:top w:val="none" w:sz="0" w:space="0" w:color="auto"/>
                <w:left w:val="none" w:sz="0" w:space="0" w:color="auto"/>
                <w:bottom w:val="none" w:sz="0" w:space="0" w:color="auto"/>
                <w:right w:val="none" w:sz="0" w:space="0" w:color="auto"/>
              </w:divBdr>
            </w:div>
          </w:divsChild>
        </w:div>
        <w:div w:id="1538004949">
          <w:marLeft w:val="0"/>
          <w:marRight w:val="0"/>
          <w:marTop w:val="15"/>
          <w:marBottom w:val="0"/>
          <w:divBdr>
            <w:top w:val="single" w:sz="48" w:space="0" w:color="auto"/>
            <w:left w:val="single" w:sz="48" w:space="0" w:color="auto"/>
            <w:bottom w:val="single" w:sz="48" w:space="0" w:color="auto"/>
            <w:right w:val="single" w:sz="48" w:space="0" w:color="auto"/>
          </w:divBdr>
          <w:divsChild>
            <w:div w:id="8247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9193">
      <w:bodyDiv w:val="1"/>
      <w:marLeft w:val="0"/>
      <w:marRight w:val="0"/>
      <w:marTop w:val="0"/>
      <w:marBottom w:val="0"/>
      <w:divBdr>
        <w:top w:val="none" w:sz="0" w:space="0" w:color="auto"/>
        <w:left w:val="none" w:sz="0" w:space="0" w:color="auto"/>
        <w:bottom w:val="none" w:sz="0" w:space="0" w:color="auto"/>
        <w:right w:val="none" w:sz="0" w:space="0" w:color="auto"/>
      </w:divBdr>
      <w:divsChild>
        <w:div w:id="1699349883">
          <w:marLeft w:val="0"/>
          <w:marRight w:val="0"/>
          <w:marTop w:val="0"/>
          <w:marBottom w:val="0"/>
          <w:divBdr>
            <w:top w:val="none" w:sz="0" w:space="0" w:color="auto"/>
            <w:left w:val="none" w:sz="0" w:space="0" w:color="auto"/>
            <w:bottom w:val="none" w:sz="0" w:space="0" w:color="auto"/>
            <w:right w:val="none" w:sz="0" w:space="0" w:color="auto"/>
          </w:divBdr>
          <w:divsChild>
            <w:div w:id="2053922225">
              <w:marLeft w:val="0"/>
              <w:marRight w:val="0"/>
              <w:marTop w:val="0"/>
              <w:marBottom w:val="0"/>
              <w:divBdr>
                <w:top w:val="none" w:sz="0" w:space="0" w:color="auto"/>
                <w:left w:val="none" w:sz="0" w:space="0" w:color="auto"/>
                <w:bottom w:val="none" w:sz="0" w:space="0" w:color="auto"/>
                <w:right w:val="none" w:sz="0" w:space="0" w:color="auto"/>
              </w:divBdr>
              <w:divsChild>
                <w:div w:id="21027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19691722">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 w:id="1906337478">
      <w:bodyDiv w:val="1"/>
      <w:marLeft w:val="0"/>
      <w:marRight w:val="0"/>
      <w:marTop w:val="0"/>
      <w:marBottom w:val="0"/>
      <w:divBdr>
        <w:top w:val="none" w:sz="0" w:space="0" w:color="auto"/>
        <w:left w:val="none" w:sz="0" w:space="0" w:color="auto"/>
        <w:bottom w:val="none" w:sz="0" w:space="0" w:color="auto"/>
        <w:right w:val="none" w:sz="0" w:space="0" w:color="auto"/>
      </w:divBdr>
      <w:divsChild>
        <w:div w:id="1357929611">
          <w:marLeft w:val="0"/>
          <w:marRight w:val="0"/>
          <w:marTop w:val="0"/>
          <w:marBottom w:val="0"/>
          <w:divBdr>
            <w:top w:val="none" w:sz="0" w:space="0" w:color="auto"/>
            <w:left w:val="none" w:sz="0" w:space="0" w:color="auto"/>
            <w:bottom w:val="none" w:sz="0" w:space="0" w:color="auto"/>
            <w:right w:val="none" w:sz="0" w:space="0" w:color="auto"/>
          </w:divBdr>
          <w:divsChild>
            <w:div w:id="627980627">
              <w:marLeft w:val="0"/>
              <w:marRight w:val="0"/>
              <w:marTop w:val="0"/>
              <w:marBottom w:val="0"/>
              <w:divBdr>
                <w:top w:val="none" w:sz="0" w:space="0" w:color="auto"/>
                <w:left w:val="none" w:sz="0" w:space="0" w:color="auto"/>
                <w:bottom w:val="none" w:sz="0" w:space="0" w:color="auto"/>
                <w:right w:val="none" w:sz="0" w:space="0" w:color="auto"/>
              </w:divBdr>
              <w:divsChild>
                <w:div w:id="19893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900/5/eng@2014-12-01" TargetMode="External"/><Relationship Id="rId13" Type="http://schemas.openxmlformats.org/officeDocument/2006/relationships/hyperlink" Target="https://seylii.org/akn/sc/act/1900/5/eng@2014-1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ylii.org/akn/sc/act/1900/5/eng@2014-12-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ylii.org/akn/sc/act/1900/5/eng@2014-1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ylii.org/akn/sc/act/1900/5/eng@2014-12-01" TargetMode="External"/><Relationship Id="rId5" Type="http://schemas.openxmlformats.org/officeDocument/2006/relationships/webSettings" Target="webSettings.xml"/><Relationship Id="rId15" Type="http://schemas.openxmlformats.org/officeDocument/2006/relationships/hyperlink" Target="https://seylii.org/akn/sc/act/1900/5/eng@2014-12-01" TargetMode="External"/><Relationship Id="rId10" Type="http://schemas.openxmlformats.org/officeDocument/2006/relationships/hyperlink" Target="https://seylii.org/akn/sc/act/1900/5/eng@2014-12-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ylii.org/akn/sc/act/1900/5/eng@2014-12-01" TargetMode="External"/><Relationship Id="rId14" Type="http://schemas.openxmlformats.org/officeDocument/2006/relationships/hyperlink" Target="https://seylii.org/akn/sc/act/1900/5/eng@2014-12-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eylii.org/akn/sc/act/1994/7/eng@2020-06-01" TargetMode="External"/><Relationship Id="rId3" Type="http://schemas.openxmlformats.org/officeDocument/2006/relationships/hyperlink" Target="https://seylii.org/akn/sc/act/1994/7/eng@2020-06-01" TargetMode="External"/><Relationship Id="rId7" Type="http://schemas.openxmlformats.org/officeDocument/2006/relationships/hyperlink" Target="https://seylii.org/akn/sc/act/1994/7/eng@2020-06-01" TargetMode="External"/><Relationship Id="rId2" Type="http://schemas.openxmlformats.org/officeDocument/2006/relationships/hyperlink" Target="https://seylii.org/akn/sc/act/1994/7/eng@2020-06-01" TargetMode="External"/><Relationship Id="rId1" Type="http://schemas.openxmlformats.org/officeDocument/2006/relationships/hyperlink" Target="https://seylii.org/akn/sc/act/1994/7/eng@2020-06-01" TargetMode="External"/><Relationship Id="rId6" Type="http://schemas.openxmlformats.org/officeDocument/2006/relationships/hyperlink" Target="https://seylii.org/akn/sc/act/1994/7/eng@2020-06-01" TargetMode="External"/><Relationship Id="rId5" Type="http://schemas.openxmlformats.org/officeDocument/2006/relationships/hyperlink" Target="https://seylii.org/akn/sc/act/1994/7/eng@2020-06-01" TargetMode="External"/><Relationship Id="rId4" Type="http://schemas.openxmlformats.org/officeDocument/2006/relationships/hyperlink" Target="https://seylii.org/akn/sc/act/1994/7/eng@2020-06-01" TargetMode="External"/><Relationship Id="rId9" Type="http://schemas.openxmlformats.org/officeDocument/2006/relationships/hyperlink" Target="https://seylii.org/sc/judgment/supreme-court/2017/9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1_archive%20(15).zip\GOS%20v%20PS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BEFF-6823-41A8-AF1E-DCB57874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GOS v PSAB.dotx</Template>
  <TotalTime>1</TotalTime>
  <Pages>16</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Marie-Claire Julie</cp:lastModifiedBy>
  <cp:revision>2</cp:revision>
  <cp:lastPrinted>2022-12-16T04:34:00Z</cp:lastPrinted>
  <dcterms:created xsi:type="dcterms:W3CDTF">2022-12-16T06:29:00Z</dcterms:created>
  <dcterms:modified xsi:type="dcterms:W3CDTF">2022-12-16T06:29:00Z</dcterms:modified>
</cp:coreProperties>
</file>