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354D2" w14:textId="77777777" w:rsidR="00B85059" w:rsidRDefault="00B85059" w:rsidP="00951D84">
      <w:pPr>
        <w:widowControl w:val="0"/>
        <w:tabs>
          <w:tab w:val="left" w:pos="4092"/>
        </w:tabs>
        <w:autoSpaceDE w:val="0"/>
        <w:autoSpaceDN w:val="0"/>
        <w:adjustRightInd w:val="0"/>
        <w:spacing w:after="0" w:line="240" w:lineRule="auto"/>
        <w:jc w:val="center"/>
        <w:rPr>
          <w:rFonts w:ascii="Times New Roman" w:eastAsia="Calibri" w:hAnsi="Times New Roman" w:cs="Times New Roman"/>
          <w:b/>
          <w:sz w:val="24"/>
          <w:szCs w:val="24"/>
        </w:rPr>
      </w:pPr>
      <w:bookmarkStart w:id="0" w:name="_GoBack"/>
      <w:bookmarkEnd w:id="0"/>
      <w:r>
        <w:rPr>
          <w:rFonts w:ascii="Times New Roman" w:eastAsia="Calibri" w:hAnsi="Times New Roman" w:cs="Times New Roman"/>
          <w:b/>
          <w:sz w:val="24"/>
          <w:szCs w:val="24"/>
        </w:rPr>
        <w:t>COURT OF APPEAL OF SEYCHELLES</w:t>
      </w:r>
    </w:p>
    <w:p w14:paraId="3A29AC3E" w14:textId="77777777" w:rsidR="00B85059" w:rsidRDefault="00B85059" w:rsidP="00B85059">
      <w:pPr>
        <w:widowControl w:val="0"/>
        <w:tabs>
          <w:tab w:val="left" w:pos="4092"/>
        </w:tabs>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______________________________________________________________________________</w:t>
      </w:r>
    </w:p>
    <w:p w14:paraId="6BC1A9F3" w14:textId="77777777" w:rsidR="00B85059" w:rsidRDefault="00B85059" w:rsidP="00B85059">
      <w:pPr>
        <w:widowControl w:val="0"/>
        <w:tabs>
          <w:tab w:val="left" w:pos="4092"/>
        </w:tabs>
        <w:autoSpaceDE w:val="0"/>
        <w:autoSpaceDN w:val="0"/>
        <w:adjustRightInd w:val="0"/>
        <w:spacing w:after="0" w:line="240" w:lineRule="auto"/>
        <w:jc w:val="center"/>
        <w:rPr>
          <w:rFonts w:ascii="Times New Roman" w:eastAsia="Calibri" w:hAnsi="Times New Roman" w:cs="Times New Roman"/>
          <w:b/>
          <w:sz w:val="24"/>
          <w:szCs w:val="24"/>
        </w:rPr>
      </w:pPr>
    </w:p>
    <w:p w14:paraId="7FA1D0E6" w14:textId="77777777" w:rsidR="00B85059" w:rsidRDefault="00B85059" w:rsidP="00B85059">
      <w:pPr>
        <w:spacing w:after="0" w:line="240" w:lineRule="auto"/>
        <w:ind w:left="558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Reportable</w:t>
      </w:r>
    </w:p>
    <w:p w14:paraId="4EAF93C7" w14:textId="1EF32809" w:rsidR="007A616F" w:rsidRDefault="000363E2" w:rsidP="00B85059">
      <w:pPr>
        <w:spacing w:after="0" w:line="240" w:lineRule="auto"/>
        <w:ind w:left="5580"/>
        <w:rPr>
          <w:rFonts w:ascii="Times New Roman" w:eastAsia="Calibri" w:hAnsi="Times New Roman" w:cs="Times New Roman"/>
          <w:sz w:val="24"/>
          <w:szCs w:val="24"/>
        </w:rPr>
      </w:pPr>
      <w:r>
        <w:rPr>
          <w:rFonts w:ascii="Times New Roman" w:eastAsia="Calibri" w:hAnsi="Times New Roman" w:cs="Times New Roman"/>
          <w:sz w:val="24"/>
          <w:szCs w:val="24"/>
        </w:rPr>
        <w:t>[2023</w:t>
      </w:r>
      <w:r w:rsidR="00B85059">
        <w:rPr>
          <w:rFonts w:ascii="Times New Roman" w:eastAsia="Calibri" w:hAnsi="Times New Roman" w:cs="Times New Roman"/>
          <w:sz w:val="24"/>
          <w:szCs w:val="24"/>
        </w:rPr>
        <w:t>] SCCA</w:t>
      </w:r>
      <w:r w:rsidR="00E72069">
        <w:rPr>
          <w:rFonts w:ascii="Times New Roman" w:eastAsia="Calibri" w:hAnsi="Times New Roman" w:cs="Times New Roman"/>
          <w:sz w:val="24"/>
          <w:szCs w:val="24"/>
        </w:rPr>
        <w:t xml:space="preserve"> </w:t>
      </w:r>
      <w:r w:rsidR="00884195">
        <w:rPr>
          <w:rFonts w:ascii="Times New Roman" w:eastAsia="Calibri" w:hAnsi="Times New Roman" w:cs="Times New Roman"/>
          <w:sz w:val="24"/>
          <w:szCs w:val="24"/>
        </w:rPr>
        <w:t>13</w:t>
      </w:r>
      <w:r w:rsidR="007A616F">
        <w:rPr>
          <w:rFonts w:ascii="Times New Roman" w:eastAsia="Calibri" w:hAnsi="Times New Roman" w:cs="Times New Roman"/>
          <w:sz w:val="24"/>
          <w:szCs w:val="24"/>
        </w:rPr>
        <w:t xml:space="preserve"> (2</w:t>
      </w:r>
      <w:r>
        <w:rPr>
          <w:rFonts w:ascii="Times New Roman" w:eastAsia="Calibri" w:hAnsi="Times New Roman" w:cs="Times New Roman"/>
          <w:sz w:val="24"/>
          <w:szCs w:val="24"/>
        </w:rPr>
        <w:t>6 April  2023</w:t>
      </w:r>
      <w:r w:rsidR="007A616F">
        <w:rPr>
          <w:rFonts w:ascii="Times New Roman" w:eastAsia="Calibri" w:hAnsi="Times New Roman" w:cs="Times New Roman"/>
          <w:sz w:val="24"/>
          <w:szCs w:val="24"/>
        </w:rPr>
        <w:t>)</w:t>
      </w:r>
    </w:p>
    <w:p w14:paraId="64D50439" w14:textId="6BF4C913" w:rsidR="007A616F" w:rsidRDefault="007A616F" w:rsidP="00B85059">
      <w:pPr>
        <w:spacing w:after="0" w:line="240" w:lineRule="auto"/>
        <w:ind w:left="5580"/>
        <w:rPr>
          <w:rFonts w:ascii="Times New Roman" w:eastAsia="Calibri" w:hAnsi="Times New Roman" w:cs="Times New Roman"/>
          <w:sz w:val="24"/>
          <w:szCs w:val="24"/>
        </w:rPr>
      </w:pPr>
      <w:r>
        <w:rPr>
          <w:rFonts w:ascii="Times New Roman" w:eastAsia="Calibri" w:hAnsi="Times New Roman" w:cs="Times New Roman"/>
          <w:sz w:val="24"/>
          <w:szCs w:val="24"/>
        </w:rPr>
        <w:t xml:space="preserve">SCA </w:t>
      </w:r>
      <w:r w:rsidR="00E72069">
        <w:rPr>
          <w:rFonts w:ascii="Times New Roman" w:eastAsia="Calibri" w:hAnsi="Times New Roman" w:cs="Times New Roman"/>
          <w:sz w:val="24"/>
          <w:szCs w:val="24"/>
        </w:rPr>
        <w:t>1</w:t>
      </w:r>
      <w:r w:rsidR="00426E4F">
        <w:rPr>
          <w:rFonts w:ascii="Times New Roman" w:eastAsia="Calibri" w:hAnsi="Times New Roman" w:cs="Times New Roman"/>
          <w:sz w:val="24"/>
          <w:szCs w:val="24"/>
        </w:rPr>
        <w:t>8</w:t>
      </w:r>
      <w:r w:rsidR="00754C9D">
        <w:rPr>
          <w:rFonts w:ascii="Times New Roman" w:eastAsia="Calibri" w:hAnsi="Times New Roman" w:cs="Times New Roman"/>
          <w:sz w:val="24"/>
          <w:szCs w:val="24"/>
        </w:rPr>
        <w:t>/202</w:t>
      </w:r>
      <w:r w:rsidR="000363E2">
        <w:rPr>
          <w:rFonts w:ascii="Times New Roman" w:eastAsia="Calibri" w:hAnsi="Times New Roman" w:cs="Times New Roman"/>
          <w:sz w:val="24"/>
          <w:szCs w:val="24"/>
        </w:rPr>
        <w:t>1</w:t>
      </w:r>
      <w:r w:rsidR="00AF4B33">
        <w:rPr>
          <w:rFonts w:ascii="Times New Roman" w:eastAsia="Calibri" w:hAnsi="Times New Roman" w:cs="Times New Roman"/>
          <w:sz w:val="24"/>
          <w:szCs w:val="24"/>
        </w:rPr>
        <w:t xml:space="preserve"> </w:t>
      </w:r>
    </w:p>
    <w:p w14:paraId="6512DF2F" w14:textId="42BE5C55" w:rsidR="00B85059" w:rsidRDefault="00754C9D" w:rsidP="00B85059">
      <w:pPr>
        <w:spacing w:after="0" w:line="240" w:lineRule="auto"/>
        <w:ind w:left="5580"/>
        <w:rPr>
          <w:rFonts w:ascii="Times New Roman" w:eastAsia="Calibri" w:hAnsi="Times New Roman" w:cs="Times New Roman"/>
          <w:sz w:val="24"/>
          <w:szCs w:val="24"/>
        </w:rPr>
      </w:pPr>
      <w:r>
        <w:rPr>
          <w:rFonts w:ascii="Times New Roman" w:eastAsia="Calibri" w:hAnsi="Times New Roman" w:cs="Times New Roman"/>
          <w:sz w:val="24"/>
          <w:szCs w:val="24"/>
        </w:rPr>
        <w:t xml:space="preserve">(Arising in </w:t>
      </w:r>
      <w:r w:rsidR="003138BB">
        <w:rPr>
          <w:rFonts w:ascii="Times New Roman" w:eastAsia="Calibri" w:hAnsi="Times New Roman" w:cs="Times New Roman"/>
          <w:sz w:val="24"/>
          <w:szCs w:val="24"/>
        </w:rPr>
        <w:t>CS 94/2018</w:t>
      </w:r>
      <w:r w:rsidR="00DF2207">
        <w:rPr>
          <w:rFonts w:ascii="Times New Roman" w:eastAsia="Calibri" w:hAnsi="Times New Roman" w:cs="Times New Roman"/>
          <w:sz w:val="24"/>
          <w:szCs w:val="24"/>
        </w:rPr>
        <w:t>)</w:t>
      </w:r>
      <w:r w:rsidR="00426E4F" w:rsidRPr="00426E4F">
        <w:rPr>
          <w:rFonts w:ascii="Times New Roman" w:eastAsia="Calibri" w:hAnsi="Times New Roman" w:cs="Times New Roman"/>
          <w:sz w:val="24"/>
          <w:szCs w:val="24"/>
        </w:rPr>
        <w:t xml:space="preserve"> </w:t>
      </w:r>
      <w:r w:rsidR="00426E4F">
        <w:rPr>
          <w:rFonts w:ascii="Times New Roman" w:eastAsia="Calibri" w:hAnsi="Times New Roman" w:cs="Times New Roman"/>
          <w:sz w:val="24"/>
          <w:szCs w:val="24"/>
        </w:rPr>
        <w:t xml:space="preserve">SCSC </w:t>
      </w:r>
      <w:r w:rsidR="003A1F8A">
        <w:rPr>
          <w:rFonts w:ascii="Times New Roman" w:eastAsia="Calibri" w:hAnsi="Times New Roman" w:cs="Times New Roman"/>
          <w:sz w:val="24"/>
          <w:szCs w:val="24"/>
        </w:rPr>
        <w:t>245</w:t>
      </w:r>
    </w:p>
    <w:p w14:paraId="20090896" w14:textId="77777777" w:rsidR="00B85059" w:rsidRDefault="00B85059" w:rsidP="00B85059">
      <w:pPr>
        <w:spacing w:after="0" w:line="240" w:lineRule="auto"/>
        <w:ind w:left="5580"/>
        <w:rPr>
          <w:rFonts w:ascii="Times New Roman" w:eastAsia="Calibri" w:hAnsi="Times New Roman" w:cs="Times New Roman"/>
          <w:sz w:val="24"/>
          <w:szCs w:val="24"/>
        </w:rPr>
      </w:pPr>
    </w:p>
    <w:p w14:paraId="159B154C" w14:textId="40A91A01" w:rsidR="00B85059" w:rsidRDefault="00B85059" w:rsidP="00B85059">
      <w:pPr>
        <w:tabs>
          <w:tab w:val="left" w:pos="540"/>
          <w:tab w:val="left" w:pos="409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In the matter between </w:t>
      </w:r>
    </w:p>
    <w:p w14:paraId="32577F8A" w14:textId="77777777" w:rsidR="00B02211" w:rsidRDefault="00B02211" w:rsidP="00B85059">
      <w:pPr>
        <w:tabs>
          <w:tab w:val="left" w:pos="540"/>
          <w:tab w:val="left" w:pos="4092"/>
        </w:tabs>
        <w:spacing w:after="0" w:line="240" w:lineRule="auto"/>
        <w:rPr>
          <w:rFonts w:ascii="Times New Roman" w:eastAsia="Calibri" w:hAnsi="Times New Roman" w:cs="Times New Roman"/>
          <w:sz w:val="24"/>
          <w:szCs w:val="24"/>
        </w:rPr>
      </w:pPr>
    </w:p>
    <w:p w14:paraId="798CBDED" w14:textId="5A836165" w:rsidR="00B85059" w:rsidRDefault="00E72069" w:rsidP="00E72069">
      <w:pPr>
        <w:pStyle w:val="NoSpacing"/>
        <w:tabs>
          <w:tab w:val="left" w:pos="5580"/>
        </w:tabs>
        <w:rPr>
          <w:rFonts w:ascii="Times New Roman" w:eastAsia="Calibri" w:hAnsi="Times New Roman" w:cs="Times New Roman"/>
          <w:sz w:val="24"/>
          <w:szCs w:val="24"/>
        </w:rPr>
      </w:pPr>
      <w:r>
        <w:rPr>
          <w:rFonts w:ascii="Times New Roman" w:hAnsi="Times New Roman" w:cs="Times New Roman"/>
          <w:b/>
          <w:sz w:val="24"/>
          <w:szCs w:val="24"/>
        </w:rPr>
        <w:t>Machinery and Equipment Limited</w:t>
      </w:r>
      <w:r>
        <w:rPr>
          <w:rFonts w:ascii="Times New Roman" w:hAnsi="Times New Roman" w:cs="Times New Roman"/>
          <w:b/>
          <w:sz w:val="24"/>
          <w:szCs w:val="24"/>
        </w:rPr>
        <w:tab/>
      </w:r>
      <w:r w:rsidR="00B85059" w:rsidRPr="000363E2">
        <w:rPr>
          <w:rFonts w:ascii="Times New Roman" w:eastAsia="Calibri" w:hAnsi="Times New Roman" w:cs="Times New Roman"/>
          <w:b/>
          <w:sz w:val="24"/>
          <w:szCs w:val="24"/>
        </w:rPr>
        <w:t>App</w:t>
      </w:r>
      <w:r w:rsidR="000363E2" w:rsidRPr="000363E2">
        <w:rPr>
          <w:rFonts w:ascii="Times New Roman" w:eastAsia="Calibri" w:hAnsi="Times New Roman" w:cs="Times New Roman"/>
          <w:b/>
          <w:sz w:val="24"/>
          <w:szCs w:val="24"/>
        </w:rPr>
        <w:t>ellant</w:t>
      </w:r>
      <w:r w:rsidR="00B85059" w:rsidRPr="008F525B">
        <w:rPr>
          <w:rFonts w:ascii="Times New Roman" w:eastAsia="Calibri" w:hAnsi="Times New Roman" w:cs="Times New Roman"/>
          <w:sz w:val="24"/>
          <w:szCs w:val="24"/>
        </w:rPr>
        <w:tab/>
      </w:r>
    </w:p>
    <w:p w14:paraId="275F2B94" w14:textId="45C227F6" w:rsidR="00B85059" w:rsidRDefault="004674D8" w:rsidP="00B85059">
      <w:pPr>
        <w:tabs>
          <w:tab w:val="left" w:pos="540"/>
          <w:tab w:val="left" w:pos="4092"/>
          <w:tab w:val="left" w:pos="5580"/>
        </w:tab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(rep. by</w:t>
      </w:r>
      <w:r w:rsidR="00CB75FB" w:rsidRPr="00CB75FB">
        <w:rPr>
          <w:rFonts w:ascii="Times New Roman" w:eastAsia="Calibri" w:hAnsi="Times New Roman" w:cs="Times New Roman"/>
          <w:i/>
          <w:sz w:val="24"/>
          <w:szCs w:val="24"/>
        </w:rPr>
        <w:t xml:space="preserve"> </w:t>
      </w:r>
      <w:r w:rsidR="00E72069">
        <w:rPr>
          <w:rFonts w:ascii="Times New Roman" w:eastAsia="Calibri" w:hAnsi="Times New Roman" w:cs="Times New Roman"/>
          <w:i/>
          <w:sz w:val="24"/>
          <w:szCs w:val="24"/>
        </w:rPr>
        <w:t>Mr. Bernard Georges</w:t>
      </w:r>
      <w:r w:rsidR="00B85059">
        <w:rPr>
          <w:rFonts w:ascii="Times New Roman" w:eastAsia="Calibri" w:hAnsi="Times New Roman" w:cs="Times New Roman"/>
          <w:i/>
          <w:sz w:val="24"/>
          <w:szCs w:val="24"/>
        </w:rPr>
        <w:t>)</w:t>
      </w:r>
    </w:p>
    <w:p w14:paraId="0917979F" w14:textId="77777777" w:rsidR="00B85059" w:rsidRDefault="00B85059" w:rsidP="00B85059">
      <w:pPr>
        <w:tabs>
          <w:tab w:val="left" w:pos="540"/>
          <w:tab w:val="left" w:pos="4092"/>
          <w:tab w:val="left" w:pos="5580"/>
        </w:tabs>
        <w:spacing w:after="0" w:line="240" w:lineRule="auto"/>
        <w:rPr>
          <w:rFonts w:ascii="Times New Roman" w:eastAsia="Calibri" w:hAnsi="Times New Roman" w:cs="Times New Roman"/>
          <w:sz w:val="24"/>
          <w:szCs w:val="24"/>
        </w:rPr>
      </w:pPr>
    </w:p>
    <w:p w14:paraId="1D091171" w14:textId="2DB59371" w:rsidR="00B85059" w:rsidRPr="00CB75FB" w:rsidRDefault="00B85059" w:rsidP="00CB75FB">
      <w:pPr>
        <w:tabs>
          <w:tab w:val="left" w:pos="540"/>
          <w:tab w:val="left" w:pos="4092"/>
          <w:tab w:val="left" w:pos="558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and</w:t>
      </w:r>
    </w:p>
    <w:p w14:paraId="7FEEEC12" w14:textId="6B4945DD" w:rsidR="00B85059" w:rsidRDefault="008065BE" w:rsidP="00B85059">
      <w:pPr>
        <w:tabs>
          <w:tab w:val="left" w:pos="540"/>
          <w:tab w:val="left" w:pos="5580"/>
        </w:tabs>
        <w:spacing w:before="240"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Cousine Island Company Ltd.</w:t>
      </w:r>
      <w:r w:rsidR="00951D84">
        <w:rPr>
          <w:rFonts w:ascii="Times New Roman" w:eastAsia="Calibri" w:hAnsi="Times New Roman" w:cs="Times New Roman"/>
          <w:b/>
          <w:sz w:val="24"/>
          <w:szCs w:val="24"/>
        </w:rPr>
        <w:tab/>
      </w:r>
      <w:r w:rsidR="00B85059" w:rsidRPr="000363E2">
        <w:rPr>
          <w:rFonts w:ascii="Times New Roman" w:eastAsia="Calibri" w:hAnsi="Times New Roman" w:cs="Times New Roman"/>
          <w:b/>
          <w:sz w:val="24"/>
          <w:szCs w:val="24"/>
        </w:rPr>
        <w:t>Respondent</w:t>
      </w:r>
    </w:p>
    <w:p w14:paraId="2F10C14A" w14:textId="2064A99F" w:rsidR="00B85059" w:rsidRDefault="00235F2A" w:rsidP="00B85059">
      <w:pPr>
        <w:tabs>
          <w:tab w:val="left" w:pos="540"/>
          <w:tab w:val="left" w:pos="4092"/>
        </w:tab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(rep. by</w:t>
      </w:r>
      <w:r w:rsidR="00DF23F3">
        <w:rPr>
          <w:rFonts w:ascii="Times New Roman" w:eastAsia="Calibri" w:hAnsi="Times New Roman" w:cs="Times New Roman"/>
          <w:i/>
          <w:sz w:val="24"/>
          <w:szCs w:val="24"/>
        </w:rPr>
        <w:t xml:space="preserve"> </w:t>
      </w:r>
      <w:r w:rsidR="00754C9D">
        <w:rPr>
          <w:rFonts w:ascii="Times New Roman" w:eastAsia="Calibri" w:hAnsi="Times New Roman" w:cs="Times New Roman"/>
          <w:i/>
          <w:sz w:val="24"/>
          <w:szCs w:val="24"/>
        </w:rPr>
        <w:t xml:space="preserve">Mr </w:t>
      </w:r>
      <w:r w:rsidR="000363E2">
        <w:rPr>
          <w:rFonts w:ascii="Times New Roman" w:eastAsia="Calibri" w:hAnsi="Times New Roman" w:cs="Times New Roman"/>
          <w:i/>
          <w:sz w:val="24"/>
          <w:szCs w:val="24"/>
        </w:rPr>
        <w:t>B</w:t>
      </w:r>
      <w:r w:rsidR="00E72069">
        <w:rPr>
          <w:rFonts w:ascii="Times New Roman" w:eastAsia="Calibri" w:hAnsi="Times New Roman" w:cs="Times New Roman"/>
          <w:i/>
          <w:sz w:val="24"/>
          <w:szCs w:val="24"/>
        </w:rPr>
        <w:t>asil Hoareau</w:t>
      </w:r>
      <w:r w:rsidR="00B85059">
        <w:rPr>
          <w:rFonts w:ascii="Times New Roman" w:eastAsia="Calibri" w:hAnsi="Times New Roman" w:cs="Times New Roman"/>
          <w:i/>
          <w:sz w:val="24"/>
          <w:szCs w:val="24"/>
        </w:rPr>
        <w:t>)</w:t>
      </w:r>
    </w:p>
    <w:p w14:paraId="30D3FE5D" w14:textId="77777777" w:rsidR="00B85059" w:rsidRDefault="00B85059" w:rsidP="00B85059">
      <w:pPr>
        <w:tabs>
          <w:tab w:val="left" w:pos="540"/>
          <w:tab w:val="left" w:pos="4092"/>
        </w:tab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______________________________________________________________________________</w:t>
      </w:r>
    </w:p>
    <w:p w14:paraId="4FD1FE64" w14:textId="77777777" w:rsidR="00B85059" w:rsidRDefault="00B85059" w:rsidP="00B85059">
      <w:pPr>
        <w:tabs>
          <w:tab w:val="left" w:pos="540"/>
          <w:tab w:val="left" w:pos="4092"/>
        </w:tabs>
        <w:spacing w:after="0" w:line="240" w:lineRule="auto"/>
        <w:rPr>
          <w:rFonts w:ascii="Times New Roman" w:eastAsia="Calibri" w:hAnsi="Times New Roman" w:cs="Times New Roman"/>
          <w:i/>
          <w:sz w:val="24"/>
          <w:szCs w:val="24"/>
        </w:rPr>
      </w:pPr>
    </w:p>
    <w:p w14:paraId="46191C8B" w14:textId="33E58ECB" w:rsidR="00B85059" w:rsidRPr="00754C9D" w:rsidRDefault="00B85059" w:rsidP="00B85059">
      <w:pPr>
        <w:spacing w:before="120" w:after="0" w:line="240" w:lineRule="auto"/>
        <w:ind w:left="1886" w:hanging="1886"/>
        <w:rPr>
          <w:rFonts w:ascii="Times New Roman" w:eastAsia="Calibri" w:hAnsi="Times New Roman" w:cs="Times New Roman"/>
          <w:i/>
          <w:sz w:val="24"/>
          <w:szCs w:val="24"/>
        </w:rPr>
      </w:pPr>
      <w:r w:rsidRPr="00B85059">
        <w:rPr>
          <w:rFonts w:ascii="Times New Roman" w:eastAsia="Calibri" w:hAnsi="Times New Roman" w:cs="Times New Roman"/>
          <w:b/>
          <w:sz w:val="24"/>
          <w:szCs w:val="24"/>
        </w:rPr>
        <w:t>Neutral Citation:</w:t>
      </w:r>
      <w:r w:rsidRPr="00B85059">
        <w:rPr>
          <w:rFonts w:ascii="Times New Roman" w:eastAsia="Calibri" w:hAnsi="Times New Roman" w:cs="Times New Roman"/>
          <w:sz w:val="24"/>
          <w:szCs w:val="24"/>
        </w:rPr>
        <w:t xml:space="preserve"> </w:t>
      </w:r>
      <w:r w:rsidRPr="00B85059">
        <w:rPr>
          <w:rFonts w:ascii="Times New Roman" w:eastAsia="Calibri" w:hAnsi="Times New Roman" w:cs="Times New Roman"/>
          <w:sz w:val="24"/>
          <w:szCs w:val="24"/>
        </w:rPr>
        <w:tab/>
      </w:r>
      <w:r w:rsidR="00E72069">
        <w:rPr>
          <w:rFonts w:ascii="Times New Roman" w:eastAsia="Calibri" w:hAnsi="Times New Roman" w:cs="Times New Roman"/>
          <w:i/>
          <w:sz w:val="24"/>
          <w:szCs w:val="24"/>
        </w:rPr>
        <w:t>Machinery and Equipment Limited v Cousine Island Co. Ltd</w:t>
      </w:r>
      <w:r w:rsidR="00235F2A" w:rsidRPr="00754C9D">
        <w:rPr>
          <w:rFonts w:ascii="Times New Roman" w:eastAsia="Calibri" w:hAnsi="Times New Roman" w:cs="Times New Roman"/>
          <w:i/>
          <w:sz w:val="24"/>
          <w:szCs w:val="24"/>
        </w:rPr>
        <w:t xml:space="preserve"> </w:t>
      </w:r>
      <w:r w:rsidR="00754C9D" w:rsidRPr="007A616F">
        <w:rPr>
          <w:rFonts w:ascii="Times New Roman" w:eastAsia="Calibri" w:hAnsi="Times New Roman" w:cs="Times New Roman"/>
          <w:sz w:val="24"/>
          <w:szCs w:val="24"/>
        </w:rPr>
        <w:t>(</w:t>
      </w:r>
      <w:r w:rsidR="007A616F" w:rsidRPr="007A616F">
        <w:rPr>
          <w:rFonts w:ascii="Times New Roman" w:eastAsia="Calibri" w:hAnsi="Times New Roman" w:cs="Times New Roman"/>
          <w:sz w:val="24"/>
          <w:szCs w:val="24"/>
        </w:rPr>
        <w:t>SCA</w:t>
      </w:r>
      <w:r w:rsidR="00884195">
        <w:rPr>
          <w:rFonts w:ascii="Times New Roman" w:eastAsia="Calibri" w:hAnsi="Times New Roman" w:cs="Times New Roman"/>
          <w:sz w:val="24"/>
          <w:szCs w:val="24"/>
        </w:rPr>
        <w:t xml:space="preserve"> </w:t>
      </w:r>
      <w:r w:rsidR="00E72069">
        <w:rPr>
          <w:rFonts w:ascii="Times New Roman" w:eastAsia="Calibri" w:hAnsi="Times New Roman" w:cs="Times New Roman"/>
          <w:sz w:val="24"/>
          <w:szCs w:val="24"/>
        </w:rPr>
        <w:t>1</w:t>
      </w:r>
      <w:r w:rsidR="00884195">
        <w:rPr>
          <w:rFonts w:ascii="Times New Roman" w:eastAsia="Calibri" w:hAnsi="Times New Roman" w:cs="Times New Roman"/>
          <w:sz w:val="24"/>
          <w:szCs w:val="24"/>
        </w:rPr>
        <w:t>8</w:t>
      </w:r>
      <w:r w:rsidR="00754C9D" w:rsidRPr="007A616F">
        <w:rPr>
          <w:rFonts w:ascii="Times New Roman" w:eastAsia="Calibri" w:hAnsi="Times New Roman" w:cs="Times New Roman"/>
          <w:sz w:val="24"/>
          <w:szCs w:val="24"/>
        </w:rPr>
        <w:t>/202</w:t>
      </w:r>
      <w:r w:rsidR="000363E2">
        <w:rPr>
          <w:rFonts w:ascii="Times New Roman" w:eastAsia="Calibri" w:hAnsi="Times New Roman" w:cs="Times New Roman"/>
          <w:sz w:val="24"/>
          <w:szCs w:val="24"/>
        </w:rPr>
        <w:t>1</w:t>
      </w:r>
      <w:r w:rsidR="00754C9D" w:rsidRPr="007A616F">
        <w:rPr>
          <w:rFonts w:ascii="Times New Roman" w:eastAsia="Calibri" w:hAnsi="Times New Roman" w:cs="Times New Roman"/>
          <w:sz w:val="24"/>
          <w:szCs w:val="24"/>
        </w:rPr>
        <w:t>)</w:t>
      </w:r>
      <w:r w:rsidR="00754C9D" w:rsidRPr="00754C9D">
        <w:rPr>
          <w:rFonts w:ascii="Times New Roman" w:eastAsia="Calibri" w:hAnsi="Times New Roman" w:cs="Times New Roman"/>
          <w:i/>
          <w:sz w:val="24"/>
          <w:szCs w:val="24"/>
        </w:rPr>
        <w:t xml:space="preserve"> </w:t>
      </w:r>
      <w:r w:rsidR="00754C9D" w:rsidRPr="007A616F">
        <w:rPr>
          <w:rFonts w:ascii="Times New Roman" w:eastAsia="Calibri" w:hAnsi="Times New Roman" w:cs="Times New Roman"/>
          <w:sz w:val="24"/>
          <w:szCs w:val="24"/>
        </w:rPr>
        <w:t>[202</w:t>
      </w:r>
      <w:r w:rsidR="000363E2">
        <w:rPr>
          <w:rFonts w:ascii="Times New Roman" w:eastAsia="Calibri" w:hAnsi="Times New Roman" w:cs="Times New Roman"/>
          <w:sz w:val="24"/>
          <w:szCs w:val="24"/>
        </w:rPr>
        <w:t>3</w:t>
      </w:r>
      <w:r w:rsidRPr="007A616F">
        <w:rPr>
          <w:rFonts w:ascii="Times New Roman" w:eastAsia="Calibri" w:hAnsi="Times New Roman" w:cs="Times New Roman"/>
          <w:sz w:val="24"/>
          <w:szCs w:val="24"/>
        </w:rPr>
        <w:t>]</w:t>
      </w:r>
      <w:r w:rsidRPr="00754C9D">
        <w:rPr>
          <w:rFonts w:ascii="Times New Roman" w:eastAsia="Calibri" w:hAnsi="Times New Roman" w:cs="Times New Roman"/>
          <w:i/>
          <w:sz w:val="24"/>
          <w:szCs w:val="24"/>
        </w:rPr>
        <w:t xml:space="preserve"> </w:t>
      </w:r>
      <w:r w:rsidRPr="007A616F">
        <w:rPr>
          <w:rFonts w:ascii="Times New Roman" w:eastAsia="Calibri" w:hAnsi="Times New Roman" w:cs="Times New Roman"/>
          <w:sz w:val="24"/>
          <w:szCs w:val="24"/>
        </w:rPr>
        <w:t xml:space="preserve">SCCA </w:t>
      </w:r>
      <w:r w:rsidR="00884195">
        <w:rPr>
          <w:rFonts w:ascii="Times New Roman" w:eastAsia="Calibri" w:hAnsi="Times New Roman" w:cs="Times New Roman"/>
          <w:sz w:val="24"/>
          <w:szCs w:val="24"/>
        </w:rPr>
        <w:t>13</w:t>
      </w:r>
      <w:r w:rsidR="000363E2">
        <w:rPr>
          <w:rFonts w:ascii="Times New Roman" w:eastAsia="Calibri" w:hAnsi="Times New Roman" w:cs="Times New Roman"/>
          <w:sz w:val="24"/>
          <w:szCs w:val="24"/>
        </w:rPr>
        <w:t xml:space="preserve"> (Arising in</w:t>
      </w:r>
      <w:r w:rsidR="008E4270">
        <w:rPr>
          <w:rFonts w:ascii="Times New Roman" w:eastAsia="Calibri" w:hAnsi="Times New Roman" w:cs="Times New Roman"/>
          <w:sz w:val="24"/>
          <w:szCs w:val="24"/>
        </w:rPr>
        <w:t xml:space="preserve"> </w:t>
      </w:r>
      <w:r w:rsidR="003138BB">
        <w:rPr>
          <w:rFonts w:ascii="Times New Roman" w:eastAsia="Calibri" w:hAnsi="Times New Roman" w:cs="Times New Roman"/>
          <w:sz w:val="24"/>
          <w:szCs w:val="24"/>
        </w:rPr>
        <w:t>CS 94/2018)</w:t>
      </w:r>
      <w:r w:rsidR="008E4270" w:rsidRPr="008E4270">
        <w:rPr>
          <w:rFonts w:ascii="Times New Roman" w:eastAsia="Calibri" w:hAnsi="Times New Roman" w:cs="Times New Roman"/>
          <w:sz w:val="24"/>
          <w:szCs w:val="24"/>
        </w:rPr>
        <w:t xml:space="preserve"> </w:t>
      </w:r>
      <w:r w:rsidR="00426E4F">
        <w:rPr>
          <w:rFonts w:ascii="Times New Roman" w:eastAsia="Calibri" w:hAnsi="Times New Roman" w:cs="Times New Roman"/>
          <w:sz w:val="24"/>
          <w:szCs w:val="24"/>
        </w:rPr>
        <w:t>SCSC</w:t>
      </w:r>
      <w:r w:rsidR="003A1F8A">
        <w:rPr>
          <w:rFonts w:ascii="Times New Roman" w:eastAsia="Calibri" w:hAnsi="Times New Roman" w:cs="Times New Roman"/>
          <w:sz w:val="24"/>
          <w:szCs w:val="24"/>
        </w:rPr>
        <w:t xml:space="preserve"> 245</w:t>
      </w:r>
      <w:r w:rsidR="00426E4F">
        <w:rPr>
          <w:rFonts w:ascii="Times New Roman" w:eastAsia="Calibri" w:hAnsi="Times New Roman" w:cs="Times New Roman"/>
          <w:sz w:val="24"/>
          <w:szCs w:val="24"/>
        </w:rPr>
        <w:t xml:space="preserve"> </w:t>
      </w:r>
      <w:r w:rsidR="008E4270">
        <w:rPr>
          <w:rFonts w:ascii="Times New Roman" w:eastAsia="Calibri" w:hAnsi="Times New Roman" w:cs="Times New Roman"/>
          <w:sz w:val="24"/>
          <w:szCs w:val="24"/>
        </w:rPr>
        <w:t>(</w:t>
      </w:r>
      <w:r w:rsidR="008E4270" w:rsidRPr="007A616F">
        <w:rPr>
          <w:rFonts w:ascii="Times New Roman" w:eastAsia="Calibri" w:hAnsi="Times New Roman" w:cs="Times New Roman"/>
          <w:sz w:val="24"/>
          <w:szCs w:val="24"/>
        </w:rPr>
        <w:t>2</w:t>
      </w:r>
      <w:r w:rsidR="008E4270">
        <w:rPr>
          <w:rFonts w:ascii="Times New Roman" w:eastAsia="Calibri" w:hAnsi="Times New Roman" w:cs="Times New Roman"/>
          <w:sz w:val="24"/>
          <w:szCs w:val="24"/>
        </w:rPr>
        <w:t>6 April 2023</w:t>
      </w:r>
      <w:r w:rsidR="00884195">
        <w:rPr>
          <w:rFonts w:ascii="Times New Roman" w:eastAsia="Calibri" w:hAnsi="Times New Roman" w:cs="Times New Roman"/>
          <w:sz w:val="24"/>
          <w:szCs w:val="24"/>
        </w:rPr>
        <w:t>)</w:t>
      </w:r>
    </w:p>
    <w:p w14:paraId="4C68CEA5" w14:textId="4D10D4A3" w:rsidR="00B85059" w:rsidRPr="00B85059" w:rsidRDefault="00B85059" w:rsidP="00426E4F">
      <w:pPr>
        <w:spacing w:after="0" w:line="240" w:lineRule="auto"/>
        <w:ind w:left="1890" w:hanging="1890"/>
        <w:jc w:val="both"/>
        <w:rPr>
          <w:rFonts w:ascii="Times New Roman" w:eastAsia="Calibri" w:hAnsi="Times New Roman" w:cs="Times New Roman"/>
          <w:sz w:val="24"/>
          <w:szCs w:val="24"/>
        </w:rPr>
      </w:pPr>
      <w:r w:rsidRPr="00B85059">
        <w:rPr>
          <w:rFonts w:ascii="Times New Roman" w:eastAsia="Calibri" w:hAnsi="Times New Roman" w:cs="Times New Roman"/>
          <w:b/>
          <w:sz w:val="24"/>
          <w:szCs w:val="24"/>
        </w:rPr>
        <w:t xml:space="preserve">Before: </w:t>
      </w:r>
      <w:r w:rsidRPr="00B85059">
        <w:rPr>
          <w:rFonts w:ascii="Times New Roman" w:eastAsia="Calibri" w:hAnsi="Times New Roman" w:cs="Times New Roman"/>
          <w:b/>
          <w:sz w:val="24"/>
          <w:szCs w:val="24"/>
        </w:rPr>
        <w:tab/>
      </w:r>
      <w:r w:rsidR="000363E2">
        <w:rPr>
          <w:rFonts w:ascii="Times New Roman" w:eastAsia="Calibri" w:hAnsi="Times New Roman" w:cs="Times New Roman"/>
          <w:sz w:val="24"/>
          <w:szCs w:val="24"/>
        </w:rPr>
        <w:t>Twomey-Woods, Tibatemwa-Ekirikubinza, Andre, JJA</w:t>
      </w:r>
    </w:p>
    <w:p w14:paraId="1552AA15" w14:textId="52441874" w:rsidR="00426E4F" w:rsidRDefault="00B85059" w:rsidP="00426E4F">
      <w:pPr>
        <w:spacing w:after="0" w:line="240" w:lineRule="auto"/>
        <w:ind w:left="1890" w:hanging="1890"/>
        <w:jc w:val="both"/>
        <w:rPr>
          <w:rFonts w:ascii="Times New Roman" w:hAnsi="Times New Roman"/>
          <w:b/>
          <w:sz w:val="24"/>
          <w:szCs w:val="24"/>
        </w:rPr>
      </w:pPr>
      <w:r w:rsidRPr="00B85059">
        <w:rPr>
          <w:rFonts w:ascii="Times New Roman" w:eastAsia="Calibri" w:hAnsi="Times New Roman" w:cs="Times New Roman"/>
          <w:b/>
          <w:sz w:val="24"/>
          <w:szCs w:val="24"/>
        </w:rPr>
        <w:t xml:space="preserve">Summary: </w:t>
      </w:r>
      <w:r w:rsidR="00426E4F">
        <w:rPr>
          <w:rFonts w:ascii="Times New Roman" w:eastAsia="Calibri" w:hAnsi="Times New Roman" w:cs="Times New Roman"/>
          <w:b/>
          <w:sz w:val="24"/>
          <w:szCs w:val="24"/>
        </w:rPr>
        <w:tab/>
      </w:r>
      <w:r w:rsidR="00426E4F" w:rsidRPr="00426E4F">
        <w:rPr>
          <w:rFonts w:ascii="Times New Roman" w:hAnsi="Times New Roman"/>
          <w:b/>
          <w:sz w:val="24"/>
          <w:szCs w:val="24"/>
        </w:rPr>
        <w:t>1. Election of claims - interpretation of Article 1370 (3) of the Civil Code-</w:t>
      </w:r>
      <w:r w:rsidR="00426E4F" w:rsidRPr="00426E4F">
        <w:rPr>
          <w:rFonts w:ascii="Times New Roman" w:hAnsi="Times New Roman"/>
          <w:sz w:val="24"/>
          <w:szCs w:val="24"/>
        </w:rPr>
        <w:t>The provision does not bar simultaneous claims under breach of contract and delict, it bars consecutive claims or actions which give the Plaintiff opportunity to simultaneously enjoy remedies accruing from both contract and delict.</w:t>
      </w:r>
      <w:r w:rsidR="00426E4F" w:rsidRPr="00426E4F">
        <w:rPr>
          <w:rFonts w:ascii="Times New Roman" w:hAnsi="Times New Roman"/>
          <w:b/>
          <w:sz w:val="24"/>
          <w:szCs w:val="24"/>
        </w:rPr>
        <w:t xml:space="preserve"> </w:t>
      </w:r>
    </w:p>
    <w:p w14:paraId="196AFF12" w14:textId="77777777" w:rsidR="00426E4F" w:rsidRPr="00426E4F" w:rsidRDefault="00426E4F" w:rsidP="00426E4F">
      <w:pPr>
        <w:spacing w:after="0" w:line="240" w:lineRule="auto"/>
        <w:ind w:left="1890" w:hanging="1890"/>
        <w:jc w:val="both"/>
        <w:rPr>
          <w:rFonts w:ascii="Times New Roman" w:hAnsi="Times New Roman"/>
          <w:b/>
          <w:sz w:val="24"/>
          <w:szCs w:val="24"/>
        </w:rPr>
      </w:pPr>
    </w:p>
    <w:p w14:paraId="1F53B6FB" w14:textId="77777777" w:rsidR="00426E4F" w:rsidRPr="00426E4F" w:rsidRDefault="00426E4F" w:rsidP="00426E4F">
      <w:pPr>
        <w:spacing w:after="0" w:line="240" w:lineRule="auto"/>
        <w:ind w:left="1890"/>
        <w:jc w:val="both"/>
        <w:rPr>
          <w:rFonts w:ascii="Times New Roman" w:hAnsi="Times New Roman"/>
          <w:sz w:val="24"/>
          <w:szCs w:val="24"/>
        </w:rPr>
      </w:pPr>
      <w:r w:rsidRPr="00426E4F">
        <w:rPr>
          <w:rFonts w:ascii="Times New Roman" w:hAnsi="Times New Roman"/>
          <w:sz w:val="24"/>
          <w:szCs w:val="24"/>
        </w:rPr>
        <w:t xml:space="preserve">The principle of </w:t>
      </w:r>
      <w:r w:rsidRPr="00426E4F">
        <w:rPr>
          <w:rFonts w:ascii="Times New Roman" w:hAnsi="Times New Roman"/>
          <w:i/>
          <w:sz w:val="24"/>
          <w:szCs w:val="24"/>
        </w:rPr>
        <w:t>non cumul de responsabilite</w:t>
      </w:r>
      <w:r w:rsidRPr="00426E4F">
        <w:rPr>
          <w:rFonts w:ascii="Times New Roman" w:hAnsi="Times New Roman"/>
          <w:sz w:val="24"/>
          <w:szCs w:val="24"/>
        </w:rPr>
        <w:t xml:space="preserve"> is no longer part of the Law of Seychelles</w:t>
      </w:r>
    </w:p>
    <w:p w14:paraId="699F7C5E" w14:textId="77777777" w:rsidR="00426E4F" w:rsidRPr="00426E4F" w:rsidRDefault="00426E4F" w:rsidP="00426E4F">
      <w:pPr>
        <w:spacing w:after="0" w:line="240" w:lineRule="auto"/>
        <w:ind w:left="1890"/>
        <w:jc w:val="both"/>
        <w:rPr>
          <w:rFonts w:ascii="Times New Roman" w:hAnsi="Times New Roman"/>
          <w:sz w:val="24"/>
          <w:szCs w:val="24"/>
        </w:rPr>
      </w:pPr>
    </w:p>
    <w:p w14:paraId="26732367" w14:textId="77777777" w:rsidR="00426E4F" w:rsidRPr="00426E4F" w:rsidRDefault="00426E4F" w:rsidP="00426E4F">
      <w:pPr>
        <w:spacing w:after="0" w:line="240" w:lineRule="auto"/>
        <w:ind w:left="1890"/>
        <w:jc w:val="both"/>
        <w:rPr>
          <w:rFonts w:ascii="Times New Roman" w:hAnsi="Times New Roman"/>
          <w:b/>
          <w:sz w:val="24"/>
          <w:szCs w:val="24"/>
        </w:rPr>
      </w:pPr>
      <w:r w:rsidRPr="00426E4F">
        <w:rPr>
          <w:rFonts w:ascii="Times New Roman" w:hAnsi="Times New Roman"/>
          <w:sz w:val="24"/>
          <w:szCs w:val="24"/>
        </w:rPr>
        <w:t xml:space="preserve">The law in Seychelles is to the effect that claims in both delict and contract can be pursued in the same plaint as long as one of them is pleaded in the </w:t>
      </w:r>
      <w:commentRangeStart w:id="1"/>
      <w:r w:rsidRPr="00426E4F">
        <w:rPr>
          <w:rFonts w:ascii="Times New Roman" w:hAnsi="Times New Roman"/>
          <w:sz w:val="24"/>
          <w:szCs w:val="24"/>
        </w:rPr>
        <w:t>alternative</w:t>
      </w:r>
      <w:commentRangeEnd w:id="1"/>
      <w:r w:rsidR="004A01F2">
        <w:rPr>
          <w:rStyle w:val="CommentReference"/>
          <w:rFonts w:ascii="Times New Roman" w:eastAsia="Calibri" w:hAnsi="Times New Roman" w:cs="Times New Roman"/>
        </w:rPr>
        <w:commentReference w:id="1"/>
      </w:r>
      <w:r w:rsidRPr="00426E4F">
        <w:rPr>
          <w:rFonts w:ascii="Times New Roman" w:hAnsi="Times New Roman"/>
          <w:sz w:val="24"/>
          <w:szCs w:val="24"/>
        </w:rPr>
        <w:t>.</w:t>
      </w:r>
    </w:p>
    <w:p w14:paraId="2A21E68F" w14:textId="77777777" w:rsidR="00426E4F" w:rsidRPr="00426E4F" w:rsidRDefault="00426E4F" w:rsidP="00426E4F">
      <w:pPr>
        <w:spacing w:after="0" w:line="240" w:lineRule="auto"/>
        <w:ind w:left="1890" w:hanging="1890"/>
        <w:jc w:val="both"/>
        <w:rPr>
          <w:rFonts w:ascii="Times New Roman" w:hAnsi="Times New Roman"/>
          <w:sz w:val="24"/>
          <w:szCs w:val="24"/>
        </w:rPr>
      </w:pPr>
    </w:p>
    <w:p w14:paraId="3F9D9A32" w14:textId="6CC2307D" w:rsidR="00426E4F" w:rsidRPr="000A78FC" w:rsidRDefault="00426E4F" w:rsidP="00426E4F">
      <w:pPr>
        <w:spacing w:after="0" w:line="240" w:lineRule="auto"/>
        <w:ind w:left="1890" w:hanging="1890"/>
        <w:jc w:val="both"/>
        <w:rPr>
          <w:rFonts w:ascii="Times New Roman" w:hAnsi="Times New Roman"/>
          <w:i/>
          <w:sz w:val="24"/>
          <w:szCs w:val="24"/>
        </w:rPr>
      </w:pPr>
      <w:r w:rsidRPr="00426E4F">
        <w:rPr>
          <w:rFonts w:ascii="Times New Roman" w:hAnsi="Times New Roman"/>
          <w:sz w:val="24"/>
          <w:szCs w:val="24"/>
        </w:rPr>
        <w:t xml:space="preserve"> </w:t>
      </w:r>
      <w:r w:rsidRPr="00426E4F">
        <w:rPr>
          <w:rFonts w:ascii="Times New Roman" w:hAnsi="Times New Roman"/>
          <w:b/>
          <w:sz w:val="24"/>
          <w:szCs w:val="24"/>
        </w:rPr>
        <w:t xml:space="preserve">                               2. Vicarious Liability – </w:t>
      </w:r>
      <w:r w:rsidRPr="000A78FC">
        <w:rPr>
          <w:rFonts w:ascii="Times New Roman" w:hAnsi="Times New Roman"/>
          <w:sz w:val="24"/>
          <w:szCs w:val="24"/>
        </w:rPr>
        <w:t>B</w:t>
      </w:r>
      <w:r w:rsidR="000A78FC">
        <w:rPr>
          <w:rFonts w:ascii="Times New Roman" w:hAnsi="Times New Roman"/>
          <w:sz w:val="24"/>
          <w:szCs w:val="24"/>
        </w:rPr>
        <w:t xml:space="preserve">ringing </w:t>
      </w:r>
      <w:r w:rsidRPr="000A78FC">
        <w:rPr>
          <w:rFonts w:ascii="Times New Roman" w:hAnsi="Times New Roman"/>
          <w:sz w:val="24"/>
          <w:szCs w:val="24"/>
        </w:rPr>
        <w:t xml:space="preserve">a claim in delict </w:t>
      </w:r>
      <w:r w:rsidR="000A78FC">
        <w:rPr>
          <w:rFonts w:ascii="Times New Roman" w:hAnsi="Times New Roman"/>
          <w:sz w:val="24"/>
          <w:szCs w:val="24"/>
        </w:rPr>
        <w:t xml:space="preserve">based </w:t>
      </w:r>
      <w:r w:rsidRPr="000A78FC">
        <w:rPr>
          <w:rFonts w:ascii="Times New Roman" w:hAnsi="Times New Roman"/>
          <w:sz w:val="24"/>
          <w:szCs w:val="24"/>
        </w:rPr>
        <w:t>on the princip</w:t>
      </w:r>
      <w:r w:rsidR="00514E0E">
        <w:rPr>
          <w:rFonts w:ascii="Times New Roman" w:hAnsi="Times New Roman"/>
          <w:sz w:val="24"/>
          <w:szCs w:val="24"/>
        </w:rPr>
        <w:t xml:space="preserve">le </w:t>
      </w:r>
      <w:r w:rsidRPr="000A78FC">
        <w:rPr>
          <w:rFonts w:ascii="Times New Roman" w:hAnsi="Times New Roman"/>
          <w:sz w:val="24"/>
          <w:szCs w:val="24"/>
        </w:rPr>
        <w:t xml:space="preserve">of vicarious liability does not bring the suit under the operations of the relegated doctrine of </w:t>
      </w:r>
      <w:r w:rsidRPr="000A78FC">
        <w:rPr>
          <w:rFonts w:ascii="Times New Roman" w:hAnsi="Times New Roman"/>
          <w:i/>
          <w:sz w:val="24"/>
          <w:szCs w:val="24"/>
        </w:rPr>
        <w:t xml:space="preserve">non cumul de </w:t>
      </w:r>
      <w:commentRangeStart w:id="2"/>
      <w:r w:rsidRPr="000A78FC">
        <w:rPr>
          <w:rFonts w:ascii="Times New Roman" w:hAnsi="Times New Roman"/>
          <w:i/>
          <w:sz w:val="24"/>
          <w:szCs w:val="24"/>
        </w:rPr>
        <w:t>responsabilite</w:t>
      </w:r>
      <w:commentRangeEnd w:id="2"/>
      <w:r w:rsidR="004A01F2">
        <w:rPr>
          <w:rStyle w:val="CommentReference"/>
          <w:rFonts w:ascii="Times New Roman" w:eastAsia="Calibri" w:hAnsi="Times New Roman" w:cs="Times New Roman"/>
        </w:rPr>
        <w:commentReference w:id="2"/>
      </w:r>
      <w:r w:rsidRPr="000A78FC">
        <w:rPr>
          <w:rFonts w:ascii="Times New Roman" w:hAnsi="Times New Roman"/>
          <w:i/>
          <w:sz w:val="24"/>
          <w:szCs w:val="24"/>
        </w:rPr>
        <w:t>.</w:t>
      </w:r>
    </w:p>
    <w:p w14:paraId="453B06DC" w14:textId="77777777" w:rsidR="00426E4F" w:rsidRPr="00426E4F" w:rsidRDefault="00426E4F" w:rsidP="00426E4F">
      <w:pPr>
        <w:spacing w:after="0" w:line="240" w:lineRule="auto"/>
        <w:ind w:left="1890" w:hanging="1890"/>
        <w:rPr>
          <w:rFonts w:ascii="Times New Roman" w:hAnsi="Times New Roman"/>
          <w:b/>
          <w:i/>
          <w:sz w:val="10"/>
          <w:szCs w:val="10"/>
        </w:rPr>
      </w:pPr>
    </w:p>
    <w:p w14:paraId="4CEB512B" w14:textId="259CBCB9" w:rsidR="00B41619" w:rsidRPr="00041F7A" w:rsidRDefault="00B41619" w:rsidP="00B41619">
      <w:pPr>
        <w:spacing w:before="100" w:beforeAutospacing="1" w:after="100" w:afterAutospacing="1" w:line="240" w:lineRule="auto"/>
        <w:ind w:left="1890" w:hanging="1890"/>
        <w:contextualSpacing/>
        <w:jc w:val="both"/>
        <w:outlineLvl w:val="0"/>
        <w:rPr>
          <w:rFonts w:ascii="Times New Roman" w:eastAsia="Times New Roman" w:hAnsi="Times New Roman" w:cs="Times New Roman"/>
          <w:sz w:val="24"/>
          <w:szCs w:val="24"/>
        </w:rPr>
      </w:pPr>
      <w:r>
        <w:rPr>
          <w:rFonts w:ascii="Times New Roman" w:eastAsia="Calibri" w:hAnsi="Times New Roman" w:cs="Times New Roman"/>
          <w:b/>
          <w:sz w:val="24"/>
          <w:szCs w:val="24"/>
        </w:rPr>
        <w:t>Heard</w:t>
      </w:r>
      <w:r w:rsidRPr="00B41619">
        <w:rPr>
          <w:rFonts w:ascii="Times New Roman" w:eastAsia="Times New Roman" w:hAnsi="Times New Roman" w:cs="Times New Roman"/>
          <w:sz w:val="24"/>
          <w:szCs w:val="24"/>
        </w:rPr>
        <w:t>:</w:t>
      </w:r>
      <w:r>
        <w:rPr>
          <w:rFonts w:ascii="Times New Roman" w:eastAsia="Times New Roman" w:hAnsi="Times New Roman" w:cs="Times New Roman"/>
          <w:sz w:val="24"/>
          <w:szCs w:val="24"/>
        </w:rPr>
        <w:tab/>
        <w:t>1</w:t>
      </w:r>
      <w:r w:rsidR="00E7206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April 2023</w:t>
      </w:r>
    </w:p>
    <w:p w14:paraId="392DCFB9" w14:textId="789F9D8A" w:rsidR="00B85059" w:rsidRPr="00041F7A" w:rsidRDefault="00B85059" w:rsidP="009120F2">
      <w:pPr>
        <w:tabs>
          <w:tab w:val="left" w:pos="1890"/>
        </w:tabs>
        <w:rPr>
          <w:rFonts w:ascii="Times New Roman" w:eastAsia="Times New Roman" w:hAnsi="Times New Roman" w:cs="Times New Roman"/>
          <w:sz w:val="24"/>
          <w:szCs w:val="24"/>
        </w:rPr>
      </w:pPr>
      <w:r w:rsidRPr="00041F7A">
        <w:rPr>
          <w:rFonts w:ascii="Times New Roman" w:eastAsia="Times New Roman" w:hAnsi="Times New Roman" w:cs="Times New Roman"/>
          <w:b/>
          <w:sz w:val="24"/>
          <w:szCs w:val="24"/>
        </w:rPr>
        <w:t>Delivered:</w:t>
      </w:r>
      <w:r w:rsidRPr="00041F7A">
        <w:rPr>
          <w:rFonts w:ascii="Times New Roman" w:eastAsia="Times New Roman" w:hAnsi="Times New Roman" w:cs="Times New Roman"/>
          <w:sz w:val="24"/>
          <w:szCs w:val="24"/>
        </w:rPr>
        <w:t xml:space="preserve"> </w:t>
      </w:r>
      <w:r w:rsidR="009120F2" w:rsidRPr="00041F7A">
        <w:rPr>
          <w:rFonts w:ascii="Times New Roman" w:eastAsia="Times New Roman" w:hAnsi="Times New Roman" w:cs="Times New Roman"/>
          <w:sz w:val="24"/>
          <w:szCs w:val="24"/>
        </w:rPr>
        <w:tab/>
      </w:r>
      <w:r w:rsidR="006626B5">
        <w:rPr>
          <w:rFonts w:ascii="Times New Roman" w:eastAsia="Times New Roman" w:hAnsi="Times New Roman" w:cs="Times New Roman"/>
          <w:sz w:val="24"/>
          <w:szCs w:val="24"/>
        </w:rPr>
        <w:t>2</w:t>
      </w:r>
      <w:r w:rsidR="00B41619">
        <w:rPr>
          <w:rFonts w:ascii="Times New Roman" w:eastAsia="Times New Roman" w:hAnsi="Times New Roman" w:cs="Times New Roman"/>
          <w:sz w:val="24"/>
          <w:szCs w:val="24"/>
        </w:rPr>
        <w:t>6 April</w:t>
      </w:r>
      <w:r w:rsidR="006626B5">
        <w:rPr>
          <w:rFonts w:ascii="Times New Roman" w:eastAsia="Times New Roman" w:hAnsi="Times New Roman" w:cs="Times New Roman"/>
          <w:sz w:val="24"/>
          <w:szCs w:val="24"/>
        </w:rPr>
        <w:t xml:space="preserve"> 202</w:t>
      </w:r>
      <w:r w:rsidR="00B41619">
        <w:rPr>
          <w:rFonts w:ascii="Times New Roman" w:eastAsia="Times New Roman" w:hAnsi="Times New Roman" w:cs="Times New Roman"/>
          <w:sz w:val="24"/>
          <w:szCs w:val="24"/>
        </w:rPr>
        <w:t>3</w:t>
      </w:r>
    </w:p>
    <w:p w14:paraId="2D86CB38" w14:textId="77777777" w:rsidR="00B85059" w:rsidRDefault="00B85059" w:rsidP="00B85059">
      <w:pPr>
        <w:rPr>
          <w:rFonts w:ascii="Times New Roman" w:eastAsia="Calibri" w:hAnsi="Times New Roman" w:cs="Times New Roman"/>
          <w:b/>
          <w:sz w:val="24"/>
          <w:szCs w:val="24"/>
        </w:rPr>
      </w:pPr>
      <w:r>
        <w:rPr>
          <w:rFonts w:ascii="Times New Roman" w:eastAsia="Calibri" w:hAnsi="Times New Roman" w:cs="Times New Roman"/>
          <w:sz w:val="24"/>
          <w:szCs w:val="24"/>
        </w:rPr>
        <w:t>______________________________________________________________________________</w:t>
      </w:r>
    </w:p>
    <w:p w14:paraId="272EE31C" w14:textId="77777777" w:rsidR="00B85059" w:rsidRDefault="00B85059" w:rsidP="00B8505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ORDER</w:t>
      </w:r>
    </w:p>
    <w:p w14:paraId="7BA7360B" w14:textId="6DA5D543" w:rsidR="004A01F2" w:rsidRPr="000D4950" w:rsidRDefault="00426E4F" w:rsidP="000D4950">
      <w:pPr>
        <w:pStyle w:val="ListParagraph"/>
        <w:numPr>
          <w:ilvl w:val="0"/>
          <w:numId w:val="43"/>
        </w:numPr>
        <w:tabs>
          <w:tab w:val="left" w:pos="1890"/>
          <w:tab w:val="left" w:pos="2892"/>
        </w:tabs>
        <w:spacing w:line="276" w:lineRule="auto"/>
        <w:jc w:val="both"/>
        <w:rPr>
          <w:b/>
          <w:sz w:val="28"/>
          <w:szCs w:val="28"/>
        </w:rPr>
      </w:pPr>
      <w:r w:rsidRPr="000D4950">
        <w:rPr>
          <w:b/>
          <w:sz w:val="24"/>
          <w:szCs w:val="24"/>
        </w:rPr>
        <w:t xml:space="preserve">The appeal </w:t>
      </w:r>
      <w:r w:rsidR="004A01F2" w:rsidRPr="000D4950">
        <w:rPr>
          <w:b/>
          <w:sz w:val="24"/>
          <w:szCs w:val="24"/>
        </w:rPr>
        <w:t>is dismissed.</w:t>
      </w:r>
    </w:p>
    <w:p w14:paraId="6EBD7926" w14:textId="6D019341" w:rsidR="00426E4F" w:rsidRPr="000D4950" w:rsidRDefault="004A01F2" w:rsidP="000D4950">
      <w:pPr>
        <w:pStyle w:val="ListParagraph"/>
        <w:numPr>
          <w:ilvl w:val="0"/>
          <w:numId w:val="43"/>
        </w:numPr>
        <w:tabs>
          <w:tab w:val="left" w:pos="1890"/>
          <w:tab w:val="left" w:pos="2892"/>
        </w:tabs>
        <w:spacing w:line="276" w:lineRule="auto"/>
        <w:jc w:val="both"/>
        <w:rPr>
          <w:b/>
          <w:sz w:val="28"/>
          <w:szCs w:val="28"/>
        </w:rPr>
      </w:pPr>
      <w:r>
        <w:rPr>
          <w:b/>
          <w:sz w:val="24"/>
          <w:szCs w:val="24"/>
        </w:rPr>
        <w:t>C</w:t>
      </w:r>
      <w:r w:rsidR="00426E4F" w:rsidRPr="000D4950">
        <w:rPr>
          <w:b/>
          <w:sz w:val="24"/>
          <w:szCs w:val="24"/>
        </w:rPr>
        <w:t xml:space="preserve">osts </w:t>
      </w:r>
      <w:r>
        <w:rPr>
          <w:b/>
          <w:sz w:val="24"/>
          <w:szCs w:val="24"/>
        </w:rPr>
        <w:t xml:space="preserve">awarded </w:t>
      </w:r>
      <w:r w:rsidR="00DD5027">
        <w:rPr>
          <w:b/>
          <w:sz w:val="24"/>
          <w:szCs w:val="24"/>
        </w:rPr>
        <w:t>to</w:t>
      </w:r>
      <w:r w:rsidRPr="000D4950">
        <w:rPr>
          <w:b/>
          <w:sz w:val="24"/>
          <w:szCs w:val="24"/>
        </w:rPr>
        <w:t xml:space="preserve"> </w:t>
      </w:r>
      <w:r w:rsidR="00426E4F" w:rsidRPr="000D4950">
        <w:rPr>
          <w:b/>
          <w:sz w:val="24"/>
          <w:szCs w:val="24"/>
        </w:rPr>
        <w:t>the Respondent</w:t>
      </w:r>
      <w:r>
        <w:rPr>
          <w:b/>
          <w:sz w:val="24"/>
          <w:szCs w:val="24"/>
        </w:rPr>
        <w:t xml:space="preserve">. </w:t>
      </w:r>
    </w:p>
    <w:p w14:paraId="33FE17D4" w14:textId="32FBF7B7" w:rsidR="00B85059" w:rsidRDefault="00426E4F" w:rsidP="00426E4F">
      <w:pPr>
        <w:tabs>
          <w:tab w:val="left" w:pos="2892"/>
        </w:tabs>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______________________________________________________________________________</w:t>
      </w:r>
    </w:p>
    <w:p w14:paraId="672C9D80" w14:textId="77777777" w:rsidR="00426E4F" w:rsidRDefault="00426E4F" w:rsidP="00B85059">
      <w:pPr>
        <w:pBdr>
          <w:top w:val="single" w:sz="4" w:space="1" w:color="auto"/>
          <w:bottom w:val="single" w:sz="4" w:space="1" w:color="auto"/>
        </w:pBdr>
        <w:tabs>
          <w:tab w:val="left" w:pos="2892"/>
        </w:tabs>
        <w:spacing w:after="0" w:line="276" w:lineRule="auto"/>
        <w:jc w:val="center"/>
        <w:rPr>
          <w:rFonts w:ascii="Times New Roman" w:eastAsia="Calibri" w:hAnsi="Times New Roman" w:cs="Times New Roman"/>
          <w:b/>
          <w:sz w:val="24"/>
          <w:szCs w:val="24"/>
        </w:rPr>
      </w:pPr>
    </w:p>
    <w:p w14:paraId="284A26A9" w14:textId="5BB4926C" w:rsidR="00B85059" w:rsidRDefault="00B41619" w:rsidP="00B85059">
      <w:pPr>
        <w:pBdr>
          <w:top w:val="single" w:sz="4" w:space="1" w:color="auto"/>
          <w:bottom w:val="single" w:sz="4" w:space="1" w:color="auto"/>
        </w:pBdr>
        <w:tabs>
          <w:tab w:val="left" w:pos="2892"/>
        </w:tabs>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JUDGMENT</w:t>
      </w:r>
    </w:p>
    <w:p w14:paraId="39622EA6" w14:textId="77777777" w:rsidR="00B41619" w:rsidRDefault="00B41619" w:rsidP="00B85059">
      <w:pPr>
        <w:pBdr>
          <w:top w:val="single" w:sz="4" w:space="1" w:color="auto"/>
          <w:bottom w:val="single" w:sz="4" w:space="1" w:color="auto"/>
        </w:pBdr>
        <w:tabs>
          <w:tab w:val="left" w:pos="2892"/>
        </w:tabs>
        <w:spacing w:after="0" w:line="276" w:lineRule="auto"/>
        <w:jc w:val="center"/>
        <w:rPr>
          <w:rFonts w:ascii="Times New Roman" w:eastAsia="Calibri" w:hAnsi="Times New Roman" w:cs="Times New Roman"/>
          <w:b/>
          <w:sz w:val="24"/>
          <w:szCs w:val="24"/>
        </w:rPr>
      </w:pPr>
    </w:p>
    <w:p w14:paraId="3FB9EA13" w14:textId="77777777" w:rsidR="00B85059" w:rsidRDefault="00B85059" w:rsidP="00B85059"/>
    <w:p w14:paraId="147819D1" w14:textId="43F5F6DF" w:rsidR="00B41619" w:rsidRPr="00C805F9" w:rsidRDefault="00B41619" w:rsidP="00E72069">
      <w:pPr>
        <w:spacing w:line="360" w:lineRule="auto"/>
        <w:jc w:val="both"/>
        <w:rPr>
          <w:rFonts w:ascii="Times New Roman" w:hAnsi="Times New Roman" w:cs="Times New Roman"/>
          <w:sz w:val="24"/>
          <w:szCs w:val="24"/>
        </w:rPr>
      </w:pPr>
      <w:r w:rsidRPr="00B41619">
        <w:rPr>
          <w:rFonts w:ascii="Times New Roman" w:hAnsi="Times New Roman" w:cs="Times New Roman"/>
          <w:b/>
          <w:sz w:val="24"/>
          <w:szCs w:val="24"/>
        </w:rPr>
        <w:t>DR. LILLIAN TIBATEMWA-EKIRIKUBINZA, JA.</w:t>
      </w:r>
      <w:r w:rsidR="00C805F9">
        <w:rPr>
          <w:rFonts w:ascii="Times New Roman" w:hAnsi="Times New Roman" w:cs="Times New Roman"/>
          <w:b/>
          <w:sz w:val="24"/>
          <w:szCs w:val="24"/>
        </w:rPr>
        <w:t xml:space="preserve"> </w:t>
      </w:r>
      <w:r w:rsidR="00C805F9">
        <w:rPr>
          <w:rFonts w:ascii="Times New Roman" w:hAnsi="Times New Roman" w:cs="Times New Roman"/>
          <w:sz w:val="24"/>
          <w:szCs w:val="24"/>
        </w:rPr>
        <w:t>(Dr. M.Twomey-Woods JA, S. Andre JA concurring)</w:t>
      </w:r>
    </w:p>
    <w:p w14:paraId="66989999" w14:textId="77777777" w:rsidR="002F5130" w:rsidRPr="002F5130" w:rsidRDefault="002F5130" w:rsidP="002F5130">
      <w:pPr>
        <w:spacing w:line="360" w:lineRule="auto"/>
        <w:jc w:val="both"/>
        <w:rPr>
          <w:rFonts w:ascii="Times New Roman" w:hAnsi="Times New Roman" w:cs="Times New Roman"/>
          <w:b/>
          <w:sz w:val="24"/>
          <w:szCs w:val="24"/>
        </w:rPr>
      </w:pPr>
      <w:r w:rsidRPr="002F5130">
        <w:rPr>
          <w:rFonts w:ascii="Times New Roman" w:hAnsi="Times New Roman" w:cs="Times New Roman"/>
          <w:b/>
          <w:sz w:val="24"/>
          <w:szCs w:val="24"/>
        </w:rPr>
        <w:t>The Facts</w:t>
      </w:r>
    </w:p>
    <w:p w14:paraId="07496797" w14:textId="725EAB2A" w:rsidR="002F5130" w:rsidRPr="002F5130" w:rsidRDefault="002F5130" w:rsidP="002F5130">
      <w:pPr>
        <w:numPr>
          <w:ilvl w:val="0"/>
          <w:numId w:val="32"/>
        </w:numPr>
        <w:spacing w:before="100" w:beforeAutospacing="1" w:after="100" w:afterAutospacing="1" w:line="360" w:lineRule="auto"/>
        <w:contextualSpacing/>
        <w:jc w:val="both"/>
        <w:outlineLvl w:val="0"/>
        <w:rPr>
          <w:rFonts w:ascii="Times New Roman" w:hAnsi="Times New Roman" w:cs="Times New Roman"/>
          <w:sz w:val="24"/>
          <w:szCs w:val="24"/>
        </w:rPr>
      </w:pPr>
      <w:r w:rsidRPr="002F5130">
        <w:rPr>
          <w:rFonts w:ascii="Times New Roman" w:hAnsi="Times New Roman" w:cs="Times New Roman"/>
          <w:sz w:val="24"/>
          <w:szCs w:val="24"/>
        </w:rPr>
        <w:t xml:space="preserve">This is an appeal from the decision and orders of the Supreme Court (Vidot J) in which he found in favour of the Respondent company </w:t>
      </w:r>
      <w:r w:rsidR="004A01F2">
        <w:rPr>
          <w:rFonts w:ascii="Times New Roman" w:hAnsi="Times New Roman" w:cs="Times New Roman"/>
          <w:sz w:val="24"/>
          <w:szCs w:val="24"/>
        </w:rPr>
        <w:t xml:space="preserve">in view of the </w:t>
      </w:r>
      <w:r w:rsidRPr="002F5130">
        <w:rPr>
          <w:rFonts w:ascii="Times New Roman" w:hAnsi="Times New Roman" w:cs="Times New Roman"/>
          <w:sz w:val="24"/>
          <w:szCs w:val="24"/>
        </w:rPr>
        <w:t xml:space="preserve"> Appellant’s failure to properly install a Daikin Air Conditioning system at its premises.</w:t>
      </w:r>
    </w:p>
    <w:p w14:paraId="2617B9A3" w14:textId="77777777" w:rsidR="002F5130" w:rsidRPr="002F5130" w:rsidRDefault="002F5130" w:rsidP="002F5130">
      <w:pPr>
        <w:spacing w:before="100" w:beforeAutospacing="1" w:after="100" w:afterAutospacing="1" w:line="360" w:lineRule="auto"/>
        <w:ind w:left="720"/>
        <w:contextualSpacing/>
        <w:jc w:val="both"/>
        <w:outlineLvl w:val="0"/>
        <w:rPr>
          <w:rFonts w:ascii="Times New Roman" w:hAnsi="Times New Roman" w:cs="Times New Roman"/>
          <w:sz w:val="24"/>
          <w:szCs w:val="24"/>
        </w:rPr>
      </w:pPr>
    </w:p>
    <w:p w14:paraId="77397B60" w14:textId="77777777" w:rsidR="002F5130" w:rsidRPr="002F5130" w:rsidRDefault="002F5130" w:rsidP="002F5130">
      <w:pPr>
        <w:numPr>
          <w:ilvl w:val="0"/>
          <w:numId w:val="32"/>
        </w:numPr>
        <w:spacing w:before="100" w:beforeAutospacing="1" w:after="100" w:afterAutospacing="1" w:line="360" w:lineRule="auto"/>
        <w:contextualSpacing/>
        <w:jc w:val="both"/>
        <w:outlineLvl w:val="0"/>
        <w:rPr>
          <w:rFonts w:ascii="Times New Roman" w:hAnsi="Times New Roman" w:cs="Times New Roman"/>
          <w:sz w:val="24"/>
          <w:szCs w:val="24"/>
        </w:rPr>
      </w:pPr>
      <w:r w:rsidRPr="002F5130">
        <w:rPr>
          <w:rFonts w:ascii="Times New Roman" w:hAnsi="Times New Roman" w:cs="Times New Roman"/>
          <w:sz w:val="24"/>
          <w:szCs w:val="24"/>
        </w:rPr>
        <w:t>The background facts as accepted by the lower court are that on 22nd December 2014, Cousine Island (Respondent company) entered into a contract with the Appellant company for supply, installation, commission, issue of a warranty and delivery of a Daikin air-conditioner. The contract price from purchase up to installation of the equipment was for a total sum of US$171,137.00. </w:t>
      </w:r>
    </w:p>
    <w:p w14:paraId="733F17EB" w14:textId="77777777" w:rsidR="002F5130" w:rsidRPr="002F5130" w:rsidRDefault="002F5130" w:rsidP="002F5130">
      <w:pPr>
        <w:spacing w:before="100" w:beforeAutospacing="1" w:after="100" w:afterAutospacing="1" w:line="360" w:lineRule="auto"/>
        <w:ind w:left="720"/>
        <w:contextualSpacing/>
        <w:jc w:val="both"/>
        <w:outlineLvl w:val="0"/>
        <w:rPr>
          <w:rFonts w:ascii="Times New Roman" w:hAnsi="Times New Roman" w:cs="Times New Roman"/>
          <w:sz w:val="24"/>
          <w:szCs w:val="24"/>
        </w:rPr>
      </w:pPr>
    </w:p>
    <w:p w14:paraId="568590ED" w14:textId="77777777" w:rsidR="002F5130" w:rsidRPr="002F5130" w:rsidRDefault="002F5130" w:rsidP="002F5130">
      <w:pPr>
        <w:numPr>
          <w:ilvl w:val="0"/>
          <w:numId w:val="32"/>
        </w:numPr>
        <w:spacing w:before="100" w:beforeAutospacing="1" w:after="100" w:afterAutospacing="1" w:line="360" w:lineRule="auto"/>
        <w:contextualSpacing/>
        <w:jc w:val="both"/>
        <w:outlineLvl w:val="0"/>
        <w:rPr>
          <w:rFonts w:ascii="Times New Roman" w:hAnsi="Times New Roman" w:cs="Times New Roman"/>
          <w:sz w:val="24"/>
          <w:szCs w:val="24"/>
        </w:rPr>
      </w:pPr>
      <w:r w:rsidRPr="002F5130">
        <w:rPr>
          <w:rFonts w:ascii="Times New Roman" w:hAnsi="Times New Roman" w:cs="Times New Roman"/>
          <w:sz w:val="24"/>
          <w:szCs w:val="24"/>
        </w:rPr>
        <w:t>It is common cause that at the time of entering into the agreement, the Appellant presented itself as a licensed, qualified and experienced mechanical, electrical and air-conditioning operator.</w:t>
      </w:r>
    </w:p>
    <w:p w14:paraId="5D15A5FE" w14:textId="77777777" w:rsidR="002F5130" w:rsidRPr="002F5130" w:rsidRDefault="002F5130" w:rsidP="002F5130">
      <w:pPr>
        <w:spacing w:before="100" w:beforeAutospacing="1" w:after="100" w:afterAutospacing="1" w:line="360" w:lineRule="auto"/>
        <w:ind w:left="720"/>
        <w:contextualSpacing/>
        <w:jc w:val="both"/>
        <w:outlineLvl w:val="0"/>
        <w:rPr>
          <w:rFonts w:ascii="Times New Roman" w:hAnsi="Times New Roman" w:cs="Times New Roman"/>
          <w:sz w:val="24"/>
          <w:szCs w:val="24"/>
        </w:rPr>
      </w:pPr>
    </w:p>
    <w:p w14:paraId="228DEF92" w14:textId="77777777" w:rsidR="002F5130" w:rsidRPr="002F5130" w:rsidRDefault="002F5130" w:rsidP="002F5130">
      <w:pPr>
        <w:numPr>
          <w:ilvl w:val="0"/>
          <w:numId w:val="32"/>
        </w:numPr>
        <w:spacing w:before="100" w:beforeAutospacing="1" w:after="100" w:afterAutospacing="1" w:line="360" w:lineRule="auto"/>
        <w:contextualSpacing/>
        <w:jc w:val="both"/>
        <w:outlineLvl w:val="0"/>
        <w:rPr>
          <w:rFonts w:ascii="Times New Roman" w:hAnsi="Times New Roman" w:cs="Times New Roman"/>
          <w:sz w:val="24"/>
          <w:szCs w:val="24"/>
        </w:rPr>
      </w:pPr>
      <w:r w:rsidRPr="002F5130">
        <w:rPr>
          <w:rFonts w:ascii="Times New Roman" w:hAnsi="Times New Roman" w:cs="Times New Roman"/>
          <w:sz w:val="24"/>
          <w:szCs w:val="24"/>
        </w:rPr>
        <w:t>After the installation, on 4 December 2015, the Appellant issued the Respondent with a warranty certificate.</w:t>
      </w:r>
    </w:p>
    <w:p w14:paraId="3A2C75E7" w14:textId="77777777" w:rsidR="002F5130" w:rsidRPr="002F5130" w:rsidRDefault="002F5130" w:rsidP="002F5130">
      <w:pPr>
        <w:spacing w:before="100" w:beforeAutospacing="1" w:after="100" w:afterAutospacing="1" w:line="360" w:lineRule="auto"/>
        <w:ind w:left="720"/>
        <w:contextualSpacing/>
        <w:jc w:val="both"/>
        <w:outlineLvl w:val="0"/>
        <w:rPr>
          <w:rFonts w:ascii="Times New Roman" w:hAnsi="Times New Roman" w:cs="Times New Roman"/>
          <w:sz w:val="24"/>
          <w:szCs w:val="24"/>
        </w:rPr>
      </w:pPr>
    </w:p>
    <w:p w14:paraId="56B3EBCB" w14:textId="77777777" w:rsidR="002F5130" w:rsidRPr="002F5130" w:rsidRDefault="002F5130" w:rsidP="002F5130">
      <w:pPr>
        <w:numPr>
          <w:ilvl w:val="0"/>
          <w:numId w:val="32"/>
        </w:numPr>
        <w:spacing w:before="100" w:beforeAutospacing="1" w:after="100" w:afterAutospacing="1" w:line="360" w:lineRule="auto"/>
        <w:contextualSpacing/>
        <w:jc w:val="both"/>
        <w:outlineLvl w:val="0"/>
        <w:rPr>
          <w:rFonts w:ascii="Times New Roman" w:hAnsi="Times New Roman" w:cs="Times New Roman"/>
          <w:sz w:val="24"/>
          <w:szCs w:val="24"/>
        </w:rPr>
      </w:pPr>
      <w:r w:rsidRPr="002F5130">
        <w:rPr>
          <w:rFonts w:ascii="Times New Roman" w:hAnsi="Times New Roman" w:cs="Times New Roman"/>
          <w:sz w:val="24"/>
          <w:szCs w:val="24"/>
        </w:rPr>
        <w:t>It was alleged by the Respondent that after the air-conditioning system was installed, it was discovered that it was not functioning properly. It broke down and required repair.</w:t>
      </w:r>
    </w:p>
    <w:p w14:paraId="4F69B285" w14:textId="77777777" w:rsidR="002F5130" w:rsidRPr="002F5130" w:rsidRDefault="002F5130" w:rsidP="002F5130">
      <w:pPr>
        <w:spacing w:before="100" w:beforeAutospacing="1" w:after="100" w:afterAutospacing="1" w:line="360" w:lineRule="auto"/>
        <w:ind w:left="720"/>
        <w:contextualSpacing/>
        <w:jc w:val="both"/>
        <w:outlineLvl w:val="0"/>
        <w:rPr>
          <w:rFonts w:ascii="Times New Roman" w:hAnsi="Times New Roman" w:cs="Times New Roman"/>
          <w:sz w:val="24"/>
          <w:szCs w:val="24"/>
        </w:rPr>
      </w:pPr>
      <w:r w:rsidRPr="002F5130">
        <w:rPr>
          <w:rFonts w:ascii="Times New Roman" w:hAnsi="Times New Roman" w:cs="Times New Roman"/>
          <w:sz w:val="24"/>
          <w:szCs w:val="24"/>
        </w:rPr>
        <w:t> </w:t>
      </w:r>
    </w:p>
    <w:p w14:paraId="24F2881D" w14:textId="77777777" w:rsidR="002F5130" w:rsidRPr="002F5130" w:rsidRDefault="002F5130" w:rsidP="002F5130">
      <w:pPr>
        <w:numPr>
          <w:ilvl w:val="0"/>
          <w:numId w:val="32"/>
        </w:numPr>
        <w:spacing w:before="100" w:beforeAutospacing="1" w:after="100" w:afterAutospacing="1" w:line="360" w:lineRule="auto"/>
        <w:contextualSpacing/>
        <w:jc w:val="both"/>
        <w:outlineLvl w:val="0"/>
        <w:rPr>
          <w:rFonts w:ascii="Times New Roman" w:hAnsi="Times New Roman" w:cs="Times New Roman"/>
          <w:sz w:val="24"/>
          <w:szCs w:val="24"/>
        </w:rPr>
      </w:pPr>
      <w:r w:rsidRPr="002F5130">
        <w:rPr>
          <w:rFonts w:ascii="Times New Roman" w:hAnsi="Times New Roman" w:cs="Times New Roman"/>
          <w:sz w:val="24"/>
          <w:szCs w:val="24"/>
        </w:rPr>
        <w:t>In May 2016 the Respondent formally informed the Appellant of the malfunction in the equipment and asked that necessary repairs or replacement of the system be carried out.</w:t>
      </w:r>
    </w:p>
    <w:p w14:paraId="075C7450" w14:textId="77777777" w:rsidR="002F5130" w:rsidRPr="002F5130" w:rsidRDefault="002F5130" w:rsidP="002F5130">
      <w:pPr>
        <w:spacing w:before="100" w:beforeAutospacing="1" w:after="100" w:afterAutospacing="1" w:line="360" w:lineRule="auto"/>
        <w:ind w:left="720"/>
        <w:contextualSpacing/>
        <w:jc w:val="both"/>
        <w:outlineLvl w:val="0"/>
        <w:rPr>
          <w:rFonts w:ascii="Times New Roman" w:hAnsi="Times New Roman" w:cs="Times New Roman"/>
          <w:sz w:val="24"/>
          <w:szCs w:val="24"/>
        </w:rPr>
      </w:pPr>
    </w:p>
    <w:p w14:paraId="00E6E840" w14:textId="77777777" w:rsidR="002F5130" w:rsidRPr="002F5130" w:rsidRDefault="002F5130" w:rsidP="002F5130">
      <w:pPr>
        <w:numPr>
          <w:ilvl w:val="0"/>
          <w:numId w:val="32"/>
        </w:numPr>
        <w:spacing w:before="100" w:beforeAutospacing="1" w:after="100" w:afterAutospacing="1" w:line="360" w:lineRule="auto"/>
        <w:contextualSpacing/>
        <w:jc w:val="both"/>
        <w:outlineLvl w:val="0"/>
        <w:rPr>
          <w:rFonts w:ascii="Times New Roman" w:hAnsi="Times New Roman" w:cs="Times New Roman"/>
          <w:sz w:val="24"/>
          <w:szCs w:val="24"/>
        </w:rPr>
      </w:pPr>
      <w:r w:rsidRPr="002F5130">
        <w:rPr>
          <w:rFonts w:ascii="Times New Roman" w:hAnsi="Times New Roman" w:cs="Times New Roman"/>
          <w:sz w:val="24"/>
          <w:szCs w:val="24"/>
        </w:rPr>
        <w:lastRenderedPageBreak/>
        <w:t>The Appellant requested for an additional fee to make the repairs which the Respondent was not inclined to make. The repairs were therefore made by a different company known as Cooling Plus Seychelles.</w:t>
      </w:r>
    </w:p>
    <w:p w14:paraId="356881CB" w14:textId="77777777" w:rsidR="002F5130" w:rsidRPr="002F5130" w:rsidRDefault="002F5130" w:rsidP="002F5130">
      <w:pPr>
        <w:spacing w:before="100" w:beforeAutospacing="1" w:after="100" w:afterAutospacing="1" w:line="360" w:lineRule="auto"/>
        <w:ind w:left="720"/>
        <w:contextualSpacing/>
        <w:jc w:val="both"/>
        <w:outlineLvl w:val="0"/>
        <w:rPr>
          <w:rFonts w:ascii="Times New Roman" w:hAnsi="Times New Roman" w:cs="Times New Roman"/>
          <w:sz w:val="24"/>
          <w:szCs w:val="24"/>
        </w:rPr>
      </w:pPr>
    </w:p>
    <w:p w14:paraId="0548187A" w14:textId="17EF3E0A" w:rsidR="002F5130" w:rsidRPr="002F5130" w:rsidRDefault="002F5130" w:rsidP="002F5130">
      <w:pPr>
        <w:numPr>
          <w:ilvl w:val="0"/>
          <w:numId w:val="32"/>
        </w:numPr>
        <w:spacing w:before="100" w:beforeAutospacing="1" w:after="100" w:afterAutospacing="1" w:line="360" w:lineRule="auto"/>
        <w:contextualSpacing/>
        <w:jc w:val="both"/>
        <w:outlineLvl w:val="0"/>
        <w:rPr>
          <w:rFonts w:ascii="Times New Roman" w:hAnsi="Times New Roman" w:cs="Times New Roman"/>
          <w:sz w:val="24"/>
          <w:szCs w:val="24"/>
        </w:rPr>
      </w:pPr>
      <w:r w:rsidRPr="002F5130">
        <w:rPr>
          <w:rFonts w:ascii="Times New Roman" w:hAnsi="Times New Roman" w:cs="Times New Roman"/>
          <w:sz w:val="24"/>
          <w:szCs w:val="24"/>
        </w:rPr>
        <w:t>The Respondent</w:t>
      </w:r>
      <w:r w:rsidR="009A6EE8">
        <w:rPr>
          <w:rFonts w:ascii="Times New Roman" w:hAnsi="Times New Roman" w:cs="Times New Roman"/>
          <w:sz w:val="24"/>
          <w:szCs w:val="24"/>
        </w:rPr>
        <w:t xml:space="preserve"> company </w:t>
      </w:r>
      <w:r w:rsidRPr="002F5130">
        <w:rPr>
          <w:rFonts w:ascii="Times New Roman" w:hAnsi="Times New Roman" w:cs="Times New Roman"/>
          <w:sz w:val="24"/>
          <w:szCs w:val="24"/>
        </w:rPr>
        <w:t xml:space="preserve"> alleged that the malfunction/damage was caused by “the </w:t>
      </w:r>
      <w:r w:rsidRPr="002F5130">
        <w:rPr>
          <w:rFonts w:ascii="Times New Roman" w:hAnsi="Times New Roman" w:cs="Times New Roman"/>
          <w:i/>
          <w:sz w:val="24"/>
          <w:szCs w:val="24"/>
        </w:rPr>
        <w:t>faute</w:t>
      </w:r>
      <w:r w:rsidRPr="002F5130">
        <w:rPr>
          <w:rFonts w:ascii="Times New Roman" w:hAnsi="Times New Roman" w:cs="Times New Roman"/>
          <w:sz w:val="24"/>
          <w:szCs w:val="24"/>
        </w:rPr>
        <w:t xml:space="preserve"> and negligence of the Appellant's workmen or employees, agents, servants, preposes whilst in the course of their duties and employment.” That as a result of the malfunction, the Daikin system was badly damaged by corrosion, leakages and improper cooling. As a result, expensive furniture, paintings and highly priced items contained in the respondent's villa were at risk of being damaged.</w:t>
      </w:r>
    </w:p>
    <w:p w14:paraId="39DFA316" w14:textId="77777777" w:rsidR="002F5130" w:rsidRPr="002F5130" w:rsidRDefault="002F5130" w:rsidP="002F5130">
      <w:pPr>
        <w:spacing w:before="100" w:beforeAutospacing="1" w:after="100" w:afterAutospacing="1" w:line="360" w:lineRule="auto"/>
        <w:ind w:left="720"/>
        <w:contextualSpacing/>
        <w:jc w:val="both"/>
        <w:outlineLvl w:val="0"/>
        <w:rPr>
          <w:rFonts w:ascii="Times New Roman" w:hAnsi="Times New Roman" w:cs="Times New Roman"/>
          <w:sz w:val="24"/>
          <w:szCs w:val="24"/>
        </w:rPr>
      </w:pPr>
    </w:p>
    <w:p w14:paraId="5380679F" w14:textId="34D96571" w:rsidR="002F5130" w:rsidRPr="002F5130" w:rsidRDefault="002F5130" w:rsidP="002F5130">
      <w:pPr>
        <w:numPr>
          <w:ilvl w:val="0"/>
          <w:numId w:val="32"/>
        </w:numPr>
        <w:spacing w:before="100" w:beforeAutospacing="1" w:after="100" w:afterAutospacing="1" w:line="360" w:lineRule="auto"/>
        <w:contextualSpacing/>
        <w:jc w:val="both"/>
        <w:outlineLvl w:val="0"/>
        <w:rPr>
          <w:rFonts w:ascii="Times New Roman" w:hAnsi="Times New Roman" w:cs="Times New Roman"/>
          <w:sz w:val="24"/>
          <w:szCs w:val="24"/>
        </w:rPr>
      </w:pPr>
      <w:r w:rsidRPr="002F5130">
        <w:rPr>
          <w:rFonts w:ascii="Times New Roman" w:hAnsi="Times New Roman" w:cs="Times New Roman"/>
          <w:sz w:val="24"/>
          <w:szCs w:val="24"/>
        </w:rPr>
        <w:t xml:space="preserve">That the </w:t>
      </w:r>
      <w:r w:rsidR="009A6EE8">
        <w:rPr>
          <w:rFonts w:ascii="Times New Roman" w:hAnsi="Times New Roman" w:cs="Times New Roman"/>
          <w:sz w:val="24"/>
          <w:szCs w:val="24"/>
        </w:rPr>
        <w:t>P</w:t>
      </w:r>
      <w:r w:rsidRPr="002F5130">
        <w:rPr>
          <w:rFonts w:ascii="Times New Roman" w:hAnsi="Times New Roman" w:cs="Times New Roman"/>
          <w:sz w:val="24"/>
          <w:szCs w:val="24"/>
        </w:rPr>
        <w:t>laintiff</w:t>
      </w:r>
      <w:r w:rsidR="009A6EE8">
        <w:rPr>
          <w:rFonts w:ascii="Times New Roman" w:hAnsi="Times New Roman" w:cs="Times New Roman"/>
          <w:sz w:val="24"/>
          <w:szCs w:val="24"/>
        </w:rPr>
        <w:t>/Respondent company</w:t>
      </w:r>
      <w:r w:rsidRPr="002F5130">
        <w:rPr>
          <w:rFonts w:ascii="Times New Roman" w:hAnsi="Times New Roman" w:cs="Times New Roman"/>
          <w:sz w:val="24"/>
          <w:szCs w:val="24"/>
        </w:rPr>
        <w:t xml:space="preserve"> commissioned a report from Daikin representatives in South Africa to determine the cause of the damage and the report confirmed that the Defendant</w:t>
      </w:r>
      <w:r w:rsidR="009A6EE8">
        <w:rPr>
          <w:rFonts w:ascii="Times New Roman" w:hAnsi="Times New Roman" w:cs="Times New Roman"/>
          <w:sz w:val="24"/>
          <w:szCs w:val="24"/>
        </w:rPr>
        <w:t>/Appellant</w:t>
      </w:r>
      <w:r w:rsidRPr="002F5130">
        <w:rPr>
          <w:rFonts w:ascii="Times New Roman" w:hAnsi="Times New Roman" w:cs="Times New Roman"/>
          <w:sz w:val="24"/>
          <w:szCs w:val="24"/>
        </w:rPr>
        <w:t xml:space="preserve"> had been negligent and at faute in the preparation, installation, fitting and commissioning of the Daikan System.</w:t>
      </w:r>
    </w:p>
    <w:p w14:paraId="0014166F" w14:textId="77777777" w:rsidR="002F5130" w:rsidRPr="002F5130" w:rsidRDefault="002F5130" w:rsidP="002F5130">
      <w:pPr>
        <w:spacing w:before="100" w:beforeAutospacing="1" w:after="100" w:afterAutospacing="1" w:line="360" w:lineRule="auto"/>
        <w:ind w:left="720"/>
        <w:contextualSpacing/>
        <w:jc w:val="both"/>
        <w:outlineLvl w:val="0"/>
        <w:rPr>
          <w:rFonts w:ascii="Times New Roman" w:hAnsi="Times New Roman" w:cs="Times New Roman"/>
          <w:sz w:val="24"/>
          <w:szCs w:val="24"/>
        </w:rPr>
      </w:pPr>
    </w:p>
    <w:p w14:paraId="1DAD415F" w14:textId="37BE8AD9" w:rsidR="002F5130" w:rsidRPr="002F5130" w:rsidRDefault="002F5130" w:rsidP="002F5130">
      <w:pPr>
        <w:numPr>
          <w:ilvl w:val="0"/>
          <w:numId w:val="32"/>
        </w:numPr>
        <w:spacing w:before="100" w:beforeAutospacing="1" w:after="100" w:afterAutospacing="1" w:line="360" w:lineRule="auto"/>
        <w:contextualSpacing/>
        <w:jc w:val="both"/>
        <w:outlineLvl w:val="0"/>
        <w:rPr>
          <w:rFonts w:ascii="Times New Roman" w:hAnsi="Times New Roman" w:cs="Times New Roman"/>
          <w:sz w:val="24"/>
          <w:szCs w:val="24"/>
        </w:rPr>
      </w:pPr>
      <w:r w:rsidRPr="002F5130">
        <w:rPr>
          <w:rFonts w:ascii="Times New Roman" w:hAnsi="Times New Roman" w:cs="Times New Roman"/>
          <w:sz w:val="24"/>
          <w:szCs w:val="24"/>
        </w:rPr>
        <w:t xml:space="preserve">Subsequently, the Respondent </w:t>
      </w:r>
      <w:r w:rsidR="009A6EE8">
        <w:rPr>
          <w:rFonts w:ascii="Times New Roman" w:hAnsi="Times New Roman" w:cs="Times New Roman"/>
          <w:sz w:val="24"/>
          <w:szCs w:val="24"/>
        </w:rPr>
        <w:t xml:space="preserve">company </w:t>
      </w:r>
      <w:r w:rsidRPr="002F5130">
        <w:rPr>
          <w:rFonts w:ascii="Times New Roman" w:hAnsi="Times New Roman" w:cs="Times New Roman"/>
          <w:sz w:val="24"/>
          <w:szCs w:val="24"/>
        </w:rPr>
        <w:t xml:space="preserve">sued the Appellant in the Supreme Court for orders that the money it spent on rectifying the faults be reimbursed. The Respondent </w:t>
      </w:r>
      <w:r w:rsidR="009A6EE8">
        <w:rPr>
          <w:rFonts w:ascii="Times New Roman" w:hAnsi="Times New Roman" w:cs="Times New Roman"/>
          <w:sz w:val="24"/>
          <w:szCs w:val="24"/>
        </w:rPr>
        <w:t xml:space="preserve">company </w:t>
      </w:r>
      <w:r w:rsidRPr="002F5130">
        <w:rPr>
          <w:rFonts w:ascii="Times New Roman" w:hAnsi="Times New Roman" w:cs="Times New Roman"/>
          <w:sz w:val="24"/>
          <w:szCs w:val="24"/>
        </w:rPr>
        <w:t>claimed a sum of US$81,030.74 and SR 480,000.00 as well as interest and costs of the suit. </w:t>
      </w:r>
    </w:p>
    <w:p w14:paraId="1AB190F6" w14:textId="77777777" w:rsidR="002F5130" w:rsidRPr="002F5130" w:rsidRDefault="002F5130" w:rsidP="002F5130">
      <w:pPr>
        <w:spacing w:before="100" w:beforeAutospacing="1" w:after="100" w:afterAutospacing="1" w:line="360" w:lineRule="auto"/>
        <w:ind w:left="720"/>
        <w:contextualSpacing/>
        <w:jc w:val="both"/>
        <w:outlineLvl w:val="0"/>
        <w:rPr>
          <w:rFonts w:ascii="Times New Roman" w:hAnsi="Times New Roman" w:cs="Times New Roman"/>
          <w:sz w:val="24"/>
          <w:szCs w:val="24"/>
        </w:rPr>
      </w:pPr>
    </w:p>
    <w:p w14:paraId="2912FE5E" w14:textId="33A655EF" w:rsidR="002F5130" w:rsidRPr="002F5130" w:rsidRDefault="002F5130" w:rsidP="002F5130">
      <w:pPr>
        <w:numPr>
          <w:ilvl w:val="0"/>
          <w:numId w:val="32"/>
        </w:numPr>
        <w:spacing w:before="100" w:beforeAutospacing="1" w:after="100" w:afterAutospacing="1" w:line="360" w:lineRule="auto"/>
        <w:contextualSpacing/>
        <w:jc w:val="both"/>
        <w:outlineLvl w:val="0"/>
        <w:rPr>
          <w:rFonts w:ascii="Times New Roman" w:hAnsi="Times New Roman" w:cs="Times New Roman"/>
          <w:sz w:val="24"/>
          <w:szCs w:val="24"/>
        </w:rPr>
      </w:pPr>
      <w:r w:rsidRPr="002F5130">
        <w:rPr>
          <w:rFonts w:ascii="Times New Roman" w:hAnsi="Times New Roman" w:cs="Times New Roman"/>
          <w:sz w:val="24"/>
          <w:szCs w:val="24"/>
        </w:rPr>
        <w:t xml:space="preserve">I have to the extent necessary reproduced </w:t>
      </w:r>
      <w:r w:rsidRPr="002F5130">
        <w:rPr>
          <w:rFonts w:ascii="Times New Roman" w:hAnsi="Times New Roman" w:cs="Times New Roman"/>
          <w:i/>
          <w:sz w:val="24"/>
          <w:szCs w:val="24"/>
        </w:rPr>
        <w:t xml:space="preserve">verbatim </w:t>
      </w:r>
      <w:r w:rsidRPr="002F5130">
        <w:rPr>
          <w:rFonts w:ascii="Times New Roman" w:hAnsi="Times New Roman" w:cs="Times New Roman"/>
          <w:sz w:val="24"/>
          <w:szCs w:val="24"/>
        </w:rPr>
        <w:t>what was contained in the Plaint as will be seen below</w:t>
      </w:r>
      <w:r w:rsidR="001C3AFC">
        <w:rPr>
          <w:rFonts w:ascii="Times New Roman" w:hAnsi="Times New Roman" w:cs="Times New Roman"/>
          <w:sz w:val="24"/>
          <w:szCs w:val="24"/>
        </w:rPr>
        <w:t>.</w:t>
      </w:r>
      <w:r w:rsidRPr="002F5130">
        <w:rPr>
          <w:rFonts w:ascii="Times New Roman" w:hAnsi="Times New Roman" w:cs="Times New Roman"/>
          <w:sz w:val="24"/>
          <w:szCs w:val="24"/>
        </w:rPr>
        <w:t xml:space="preserve"> </w:t>
      </w:r>
    </w:p>
    <w:p w14:paraId="58B51D2F" w14:textId="77777777" w:rsidR="002F5130" w:rsidRPr="002F5130" w:rsidRDefault="002F5130" w:rsidP="002F5130">
      <w:pPr>
        <w:spacing w:before="100" w:beforeAutospacing="1" w:after="100" w:afterAutospacing="1" w:line="360" w:lineRule="auto"/>
        <w:ind w:left="720"/>
        <w:contextualSpacing/>
        <w:jc w:val="both"/>
        <w:outlineLvl w:val="0"/>
        <w:rPr>
          <w:rFonts w:ascii="Times New Roman" w:hAnsi="Times New Roman" w:cs="Times New Roman"/>
          <w:sz w:val="24"/>
          <w:szCs w:val="24"/>
        </w:rPr>
      </w:pPr>
    </w:p>
    <w:p w14:paraId="372D8764" w14:textId="6EAFCFB4" w:rsidR="002F5130" w:rsidRPr="002F5130" w:rsidRDefault="002F5130" w:rsidP="002F5130">
      <w:pPr>
        <w:numPr>
          <w:ilvl w:val="0"/>
          <w:numId w:val="32"/>
        </w:numPr>
        <w:spacing w:before="100" w:beforeAutospacing="1" w:after="100" w:afterAutospacing="1" w:line="360" w:lineRule="auto"/>
        <w:contextualSpacing/>
        <w:jc w:val="both"/>
        <w:outlineLvl w:val="0"/>
        <w:rPr>
          <w:rFonts w:ascii="Times New Roman" w:hAnsi="Times New Roman" w:cs="Times New Roman"/>
          <w:sz w:val="24"/>
          <w:szCs w:val="24"/>
        </w:rPr>
      </w:pPr>
      <w:r w:rsidRPr="002F5130">
        <w:rPr>
          <w:rFonts w:ascii="Times New Roman" w:hAnsi="Times New Roman" w:cs="Times New Roman"/>
          <w:sz w:val="24"/>
          <w:szCs w:val="24"/>
        </w:rPr>
        <w:t xml:space="preserve">In its paragraph 8 of the plaint, it was averred that: </w:t>
      </w:r>
      <w:r w:rsidR="001C3AFC">
        <w:rPr>
          <w:rFonts w:ascii="Times New Roman" w:hAnsi="Times New Roman" w:cs="Times New Roman"/>
          <w:sz w:val="24"/>
          <w:szCs w:val="24"/>
        </w:rPr>
        <w:t>“</w:t>
      </w:r>
      <w:r w:rsidRPr="002F5130">
        <w:rPr>
          <w:rFonts w:ascii="Times New Roman" w:hAnsi="Times New Roman" w:cs="Times New Roman"/>
          <w:sz w:val="24"/>
          <w:szCs w:val="24"/>
        </w:rPr>
        <w:t>the defendant was, in their preparation, installation, fittings and commissioning of the system, liable for the losses, damages, expenses and costs sustained in that the Defendant was vicariously liable for the fault and negligence of its servants, employees, agents, prepossess whilst in the course of carrying out their duties under the employment of the defendant and is liable to the Plaintiff for all the losses, damage, expenses and cost sustained.</w:t>
      </w:r>
      <w:r w:rsidR="001C3AFC">
        <w:rPr>
          <w:rFonts w:ascii="Times New Roman" w:hAnsi="Times New Roman" w:cs="Times New Roman"/>
          <w:sz w:val="24"/>
          <w:szCs w:val="24"/>
        </w:rPr>
        <w:t>”</w:t>
      </w:r>
    </w:p>
    <w:p w14:paraId="68AFCFB5" w14:textId="77777777" w:rsidR="002F5130" w:rsidRPr="002F5130" w:rsidRDefault="002F5130" w:rsidP="002F5130">
      <w:pPr>
        <w:spacing w:before="100" w:beforeAutospacing="1" w:after="100" w:afterAutospacing="1" w:line="360" w:lineRule="auto"/>
        <w:ind w:left="720"/>
        <w:contextualSpacing/>
        <w:jc w:val="both"/>
        <w:outlineLvl w:val="0"/>
        <w:rPr>
          <w:rFonts w:ascii="Times New Roman" w:hAnsi="Times New Roman" w:cs="Times New Roman"/>
          <w:sz w:val="24"/>
          <w:szCs w:val="24"/>
        </w:rPr>
      </w:pPr>
    </w:p>
    <w:p w14:paraId="3BC03E6D" w14:textId="51870C75" w:rsidR="002F5130" w:rsidRPr="002F5130" w:rsidRDefault="002F5130" w:rsidP="002F5130">
      <w:pPr>
        <w:numPr>
          <w:ilvl w:val="0"/>
          <w:numId w:val="32"/>
        </w:numPr>
        <w:spacing w:before="100" w:beforeAutospacing="1" w:after="100" w:afterAutospacing="1" w:line="360" w:lineRule="auto"/>
        <w:contextualSpacing/>
        <w:jc w:val="both"/>
        <w:outlineLvl w:val="0"/>
        <w:rPr>
          <w:rFonts w:ascii="Times New Roman" w:hAnsi="Times New Roman" w:cs="Times New Roman"/>
          <w:sz w:val="24"/>
          <w:szCs w:val="24"/>
        </w:rPr>
      </w:pPr>
      <w:r w:rsidRPr="002F5130">
        <w:rPr>
          <w:rFonts w:ascii="Times New Roman" w:hAnsi="Times New Roman" w:cs="Times New Roman"/>
          <w:sz w:val="24"/>
          <w:szCs w:val="24"/>
        </w:rPr>
        <w:lastRenderedPageBreak/>
        <w:t>Again, under the heading “</w:t>
      </w:r>
      <w:r w:rsidRPr="002F5130">
        <w:rPr>
          <w:rFonts w:ascii="Times New Roman" w:hAnsi="Times New Roman" w:cs="Times New Roman"/>
          <w:i/>
          <w:sz w:val="24"/>
          <w:szCs w:val="24"/>
        </w:rPr>
        <w:t>Particulars of Negligence and Faute</w:t>
      </w:r>
      <w:r w:rsidRPr="002F5130">
        <w:rPr>
          <w:rFonts w:ascii="Times New Roman" w:hAnsi="Times New Roman" w:cs="Times New Roman"/>
          <w:sz w:val="24"/>
          <w:szCs w:val="24"/>
        </w:rPr>
        <w:t>”, I have reproduced verbatim what I consider necessary for the resolution of the appeal. The plaint opens with the sentence: “The Defendant’s employees, servants, agents, preposes whilst in the course of the duties and employment with the defendant, faile</w:t>
      </w:r>
      <w:r w:rsidR="001C3AFC">
        <w:rPr>
          <w:rFonts w:ascii="Times New Roman" w:hAnsi="Times New Roman" w:cs="Times New Roman"/>
          <w:sz w:val="24"/>
          <w:szCs w:val="24"/>
        </w:rPr>
        <w:t>d …” I</w:t>
      </w:r>
      <w:r w:rsidRPr="002F5130">
        <w:rPr>
          <w:rFonts w:ascii="Times New Roman" w:hAnsi="Times New Roman" w:cs="Times New Roman"/>
          <w:sz w:val="24"/>
          <w:szCs w:val="24"/>
        </w:rPr>
        <w:t>t then lists various “fa</w:t>
      </w:r>
      <w:r w:rsidR="001C3AFC">
        <w:rPr>
          <w:rFonts w:ascii="Times New Roman" w:hAnsi="Times New Roman" w:cs="Times New Roman"/>
          <w:sz w:val="24"/>
          <w:szCs w:val="24"/>
        </w:rPr>
        <w:t>utes/failures</w:t>
      </w:r>
      <w:r w:rsidRPr="002F5130">
        <w:rPr>
          <w:rFonts w:ascii="Times New Roman" w:hAnsi="Times New Roman" w:cs="Times New Roman"/>
          <w:sz w:val="24"/>
          <w:szCs w:val="24"/>
        </w:rPr>
        <w:t xml:space="preserve">” </w:t>
      </w:r>
      <w:r w:rsidR="001C3AFC">
        <w:rPr>
          <w:rFonts w:ascii="Times New Roman" w:hAnsi="Times New Roman" w:cs="Times New Roman"/>
          <w:sz w:val="24"/>
          <w:szCs w:val="24"/>
        </w:rPr>
        <w:t xml:space="preserve">by the defendant </w:t>
      </w:r>
      <w:r w:rsidRPr="002F5130">
        <w:rPr>
          <w:rFonts w:ascii="Times New Roman" w:hAnsi="Times New Roman" w:cs="Times New Roman"/>
          <w:sz w:val="24"/>
          <w:szCs w:val="24"/>
        </w:rPr>
        <w:t xml:space="preserve">from (a) to (f), and (h) to (l). It is only in paragraph (g) that the plaint seems to specifically speak about the defendant as opposed to it workers etc. The paragraph reads as follows: “given that the Defendant represented itself as an experienced air conditioning operator and expert, knew or should have known that in order for it to issue a warranty to the Plaintiff, commissioning should have been forwarded to Daikin technicians and or carried out by approved Daikin personnel”. </w:t>
      </w:r>
    </w:p>
    <w:p w14:paraId="5927B61C" w14:textId="77777777" w:rsidR="002F5130" w:rsidRPr="002F5130" w:rsidRDefault="002F5130" w:rsidP="002F5130">
      <w:pPr>
        <w:spacing w:before="100" w:beforeAutospacing="1" w:after="100" w:afterAutospacing="1" w:line="360" w:lineRule="auto"/>
        <w:ind w:left="720"/>
        <w:contextualSpacing/>
        <w:jc w:val="both"/>
        <w:outlineLvl w:val="0"/>
        <w:rPr>
          <w:rFonts w:ascii="Times New Roman" w:hAnsi="Times New Roman" w:cs="Times New Roman"/>
          <w:sz w:val="24"/>
          <w:szCs w:val="24"/>
        </w:rPr>
      </w:pPr>
      <w:r w:rsidRPr="002F5130">
        <w:rPr>
          <w:rFonts w:ascii="Times New Roman" w:hAnsi="Times New Roman" w:cs="Times New Roman"/>
          <w:sz w:val="24"/>
          <w:szCs w:val="24"/>
        </w:rPr>
        <w:t xml:space="preserve"> </w:t>
      </w:r>
    </w:p>
    <w:p w14:paraId="63823A32" w14:textId="352BA78D" w:rsidR="002F5130" w:rsidRPr="002F5130" w:rsidRDefault="002F5130" w:rsidP="002F5130">
      <w:pPr>
        <w:numPr>
          <w:ilvl w:val="0"/>
          <w:numId w:val="32"/>
        </w:numPr>
        <w:spacing w:before="100" w:beforeAutospacing="1" w:after="100" w:afterAutospacing="1" w:line="360" w:lineRule="auto"/>
        <w:contextualSpacing/>
        <w:jc w:val="both"/>
        <w:outlineLvl w:val="0"/>
        <w:rPr>
          <w:rFonts w:ascii="Times New Roman" w:hAnsi="Times New Roman" w:cs="Times New Roman"/>
          <w:sz w:val="24"/>
          <w:szCs w:val="24"/>
        </w:rPr>
      </w:pPr>
      <w:r w:rsidRPr="002F5130">
        <w:rPr>
          <w:rFonts w:ascii="Times New Roman" w:hAnsi="Times New Roman" w:cs="Times New Roman"/>
          <w:sz w:val="24"/>
          <w:szCs w:val="24"/>
        </w:rPr>
        <w:t xml:space="preserve">The Appellant denied the respondent's claims and in its statement of defence maintained that it had properly installed the air conditioner. Apart from </w:t>
      </w:r>
      <w:r w:rsidR="001C3AFC">
        <w:rPr>
          <w:rFonts w:ascii="Times New Roman" w:hAnsi="Times New Roman" w:cs="Times New Roman"/>
          <w:sz w:val="24"/>
          <w:szCs w:val="24"/>
        </w:rPr>
        <w:t xml:space="preserve">the </w:t>
      </w:r>
      <w:r w:rsidRPr="002F5130">
        <w:rPr>
          <w:rFonts w:ascii="Times New Roman" w:hAnsi="Times New Roman" w:cs="Times New Roman"/>
          <w:sz w:val="24"/>
          <w:szCs w:val="24"/>
        </w:rPr>
        <w:t xml:space="preserve">averments </w:t>
      </w:r>
      <w:r w:rsidR="001C3AFC">
        <w:rPr>
          <w:rFonts w:ascii="Times New Roman" w:hAnsi="Times New Roman" w:cs="Times New Roman"/>
          <w:sz w:val="24"/>
          <w:szCs w:val="24"/>
        </w:rPr>
        <w:t xml:space="preserve">of fact </w:t>
      </w:r>
      <w:r w:rsidRPr="002F5130">
        <w:rPr>
          <w:rFonts w:ascii="Times New Roman" w:hAnsi="Times New Roman" w:cs="Times New Roman"/>
          <w:sz w:val="24"/>
          <w:szCs w:val="24"/>
        </w:rPr>
        <w:t>made by the Plaintiff</w:t>
      </w:r>
      <w:r w:rsidR="001C3AFC">
        <w:rPr>
          <w:rFonts w:ascii="Times New Roman" w:hAnsi="Times New Roman" w:cs="Times New Roman"/>
          <w:sz w:val="24"/>
          <w:szCs w:val="24"/>
        </w:rPr>
        <w:t xml:space="preserve"> which the defendant admitted</w:t>
      </w:r>
      <w:r w:rsidRPr="002F5130">
        <w:rPr>
          <w:rFonts w:ascii="Times New Roman" w:hAnsi="Times New Roman" w:cs="Times New Roman"/>
          <w:sz w:val="24"/>
          <w:szCs w:val="24"/>
        </w:rPr>
        <w:t xml:space="preserve">, the defendant entered denials in regard to all the averments of the plaintiff which blame on it. </w:t>
      </w:r>
    </w:p>
    <w:p w14:paraId="15FF6AD5" w14:textId="77777777" w:rsidR="002F5130" w:rsidRPr="002F5130" w:rsidRDefault="002F5130" w:rsidP="002F5130">
      <w:pPr>
        <w:spacing w:before="100" w:beforeAutospacing="1" w:after="100" w:afterAutospacing="1" w:line="360" w:lineRule="auto"/>
        <w:ind w:left="720"/>
        <w:contextualSpacing/>
        <w:jc w:val="both"/>
        <w:outlineLvl w:val="0"/>
        <w:rPr>
          <w:rFonts w:ascii="Times New Roman" w:hAnsi="Times New Roman" w:cs="Times New Roman"/>
          <w:sz w:val="24"/>
          <w:szCs w:val="24"/>
        </w:rPr>
      </w:pPr>
    </w:p>
    <w:p w14:paraId="02B2189E" w14:textId="77777777" w:rsidR="002F5130" w:rsidRPr="0092790E" w:rsidRDefault="002F5130" w:rsidP="002F5130">
      <w:pPr>
        <w:numPr>
          <w:ilvl w:val="0"/>
          <w:numId w:val="32"/>
        </w:numPr>
        <w:spacing w:before="100" w:beforeAutospacing="1" w:after="100" w:afterAutospacing="1" w:line="360" w:lineRule="auto"/>
        <w:contextualSpacing/>
        <w:jc w:val="both"/>
        <w:outlineLvl w:val="0"/>
        <w:rPr>
          <w:rFonts w:ascii="Times New Roman" w:hAnsi="Times New Roman" w:cs="Times New Roman"/>
          <w:sz w:val="24"/>
          <w:szCs w:val="24"/>
        </w:rPr>
      </w:pPr>
      <w:r w:rsidRPr="0092790E">
        <w:rPr>
          <w:rFonts w:ascii="Times New Roman" w:hAnsi="Times New Roman" w:cs="Times New Roman"/>
          <w:sz w:val="24"/>
          <w:szCs w:val="24"/>
        </w:rPr>
        <w:t xml:space="preserve">The defendant however did not, in its defence, challenge the averments which linked the defendant to the people who performed the installations.  </w:t>
      </w:r>
    </w:p>
    <w:p w14:paraId="05671176" w14:textId="77777777" w:rsidR="002F5130" w:rsidRPr="0092790E" w:rsidRDefault="002F5130" w:rsidP="002F5130">
      <w:pPr>
        <w:spacing w:before="100" w:beforeAutospacing="1" w:after="100" w:afterAutospacing="1" w:line="360" w:lineRule="auto"/>
        <w:ind w:left="720"/>
        <w:contextualSpacing/>
        <w:jc w:val="both"/>
        <w:outlineLvl w:val="0"/>
        <w:rPr>
          <w:rFonts w:ascii="Times New Roman" w:hAnsi="Times New Roman" w:cs="Times New Roman"/>
          <w:sz w:val="24"/>
          <w:szCs w:val="24"/>
        </w:rPr>
      </w:pPr>
    </w:p>
    <w:p w14:paraId="5E1587DA" w14:textId="77777777" w:rsidR="002F5130" w:rsidRPr="0092790E" w:rsidRDefault="002F5130" w:rsidP="002F5130">
      <w:pPr>
        <w:numPr>
          <w:ilvl w:val="0"/>
          <w:numId w:val="32"/>
        </w:numPr>
        <w:spacing w:before="100" w:beforeAutospacing="1" w:after="100" w:afterAutospacing="1" w:line="360" w:lineRule="auto"/>
        <w:contextualSpacing/>
        <w:jc w:val="both"/>
        <w:outlineLvl w:val="0"/>
        <w:rPr>
          <w:rFonts w:ascii="Times New Roman" w:hAnsi="Times New Roman" w:cs="Times New Roman"/>
          <w:sz w:val="24"/>
          <w:szCs w:val="24"/>
        </w:rPr>
      </w:pPr>
      <w:r w:rsidRPr="0092790E">
        <w:rPr>
          <w:rFonts w:ascii="Times New Roman" w:hAnsi="Times New Roman" w:cs="Times New Roman"/>
          <w:sz w:val="24"/>
          <w:szCs w:val="24"/>
        </w:rPr>
        <w:t xml:space="preserve">The Appellant also raised a </w:t>
      </w:r>
      <w:r w:rsidRPr="0092790E">
        <w:rPr>
          <w:rFonts w:ascii="Times New Roman" w:hAnsi="Times New Roman" w:cs="Times New Roman"/>
          <w:i/>
          <w:sz w:val="24"/>
          <w:szCs w:val="24"/>
        </w:rPr>
        <w:t>plea limine</w:t>
      </w:r>
      <w:r w:rsidRPr="0092790E">
        <w:rPr>
          <w:rFonts w:ascii="Times New Roman" w:hAnsi="Times New Roman" w:cs="Times New Roman"/>
          <w:sz w:val="24"/>
          <w:szCs w:val="24"/>
        </w:rPr>
        <w:t xml:space="preserve"> to the effect that the plaint revealed no cause of action because of having pleaded both vicarious liability and primary liability.</w:t>
      </w:r>
    </w:p>
    <w:p w14:paraId="7B099890" w14:textId="77777777" w:rsidR="002F5130" w:rsidRPr="0092790E" w:rsidRDefault="002F5130" w:rsidP="002F5130">
      <w:pPr>
        <w:spacing w:before="100" w:beforeAutospacing="1" w:after="100" w:afterAutospacing="1" w:line="360" w:lineRule="auto"/>
        <w:ind w:left="720"/>
        <w:contextualSpacing/>
        <w:jc w:val="both"/>
        <w:outlineLvl w:val="0"/>
        <w:rPr>
          <w:rFonts w:ascii="Times New Roman" w:hAnsi="Times New Roman" w:cs="Times New Roman"/>
          <w:sz w:val="24"/>
          <w:szCs w:val="24"/>
        </w:rPr>
      </w:pPr>
    </w:p>
    <w:p w14:paraId="3A2ED030" w14:textId="35D94CB8" w:rsidR="002F5130" w:rsidRPr="0092790E" w:rsidRDefault="002F5130" w:rsidP="002F5130">
      <w:pPr>
        <w:numPr>
          <w:ilvl w:val="0"/>
          <w:numId w:val="32"/>
        </w:numPr>
        <w:spacing w:before="100" w:beforeAutospacing="1" w:after="100" w:afterAutospacing="1" w:line="360" w:lineRule="auto"/>
        <w:contextualSpacing/>
        <w:jc w:val="both"/>
        <w:outlineLvl w:val="0"/>
        <w:rPr>
          <w:rFonts w:ascii="Times New Roman" w:hAnsi="Times New Roman" w:cs="Times New Roman"/>
          <w:sz w:val="24"/>
          <w:szCs w:val="24"/>
        </w:rPr>
      </w:pPr>
      <w:r w:rsidRPr="0092790E">
        <w:rPr>
          <w:rFonts w:ascii="Times New Roman" w:hAnsi="Times New Roman" w:cs="Times New Roman"/>
          <w:sz w:val="24"/>
          <w:szCs w:val="24"/>
        </w:rPr>
        <w:t xml:space="preserve">In dismissing the </w:t>
      </w:r>
      <w:r w:rsidRPr="0092790E">
        <w:rPr>
          <w:rFonts w:ascii="Times New Roman" w:hAnsi="Times New Roman" w:cs="Times New Roman"/>
          <w:i/>
          <w:sz w:val="24"/>
          <w:szCs w:val="24"/>
        </w:rPr>
        <w:t>plea limine</w:t>
      </w:r>
      <w:r w:rsidRPr="0092790E">
        <w:rPr>
          <w:rFonts w:ascii="Times New Roman" w:hAnsi="Times New Roman" w:cs="Times New Roman"/>
          <w:sz w:val="24"/>
          <w:szCs w:val="24"/>
        </w:rPr>
        <w:t xml:space="preserve">, the Supreme Court judge held that although the plaint revealed an action both under contract and delict, that did not cause any confusion in the mind of Court. This is because although there was a contract between the parties, the cause of action being pursued was </w:t>
      </w:r>
      <w:r w:rsidRPr="0092790E">
        <w:rPr>
          <w:rFonts w:ascii="Times New Roman" w:hAnsi="Times New Roman" w:cs="Times New Roman"/>
          <w:i/>
          <w:sz w:val="24"/>
          <w:szCs w:val="24"/>
        </w:rPr>
        <w:t>faute</w:t>
      </w:r>
      <w:r w:rsidR="00514E0E">
        <w:rPr>
          <w:rFonts w:ascii="Times New Roman" w:hAnsi="Times New Roman" w:cs="Times New Roman"/>
          <w:i/>
          <w:sz w:val="24"/>
          <w:szCs w:val="24"/>
        </w:rPr>
        <w:t xml:space="preserve"> </w:t>
      </w:r>
      <w:r w:rsidR="00514E0E" w:rsidRPr="00514E0E">
        <w:rPr>
          <w:rFonts w:ascii="Times New Roman" w:hAnsi="Times New Roman" w:cs="Times New Roman"/>
          <w:sz w:val="24"/>
          <w:szCs w:val="24"/>
        </w:rPr>
        <w:t>under delict</w:t>
      </w:r>
      <w:r w:rsidRPr="0092790E">
        <w:rPr>
          <w:rFonts w:ascii="Times New Roman" w:hAnsi="Times New Roman" w:cs="Times New Roman"/>
          <w:sz w:val="24"/>
          <w:szCs w:val="24"/>
        </w:rPr>
        <w:t xml:space="preserve">. That the Respondent had elaborately listed the particulars of negligence and faute in the plaint. Therefore, the fact that there was an agreement did not necessarily restrict the cause of action to contract. </w:t>
      </w:r>
    </w:p>
    <w:p w14:paraId="30F58F4A" w14:textId="77777777" w:rsidR="002F5130" w:rsidRPr="0092790E" w:rsidRDefault="002F5130" w:rsidP="002F5130">
      <w:pPr>
        <w:spacing w:before="100" w:beforeAutospacing="1" w:after="100" w:afterAutospacing="1" w:line="360" w:lineRule="auto"/>
        <w:ind w:left="720"/>
        <w:contextualSpacing/>
        <w:jc w:val="both"/>
        <w:outlineLvl w:val="0"/>
        <w:rPr>
          <w:rFonts w:ascii="Times New Roman" w:hAnsi="Times New Roman" w:cs="Times New Roman"/>
          <w:sz w:val="24"/>
          <w:szCs w:val="24"/>
        </w:rPr>
      </w:pPr>
    </w:p>
    <w:p w14:paraId="6C1B9B8B" w14:textId="77777777" w:rsidR="002F5130" w:rsidRPr="002F5130" w:rsidRDefault="002F5130" w:rsidP="002F5130">
      <w:pPr>
        <w:spacing w:before="100" w:beforeAutospacing="1" w:after="100" w:afterAutospacing="1" w:line="360" w:lineRule="auto"/>
        <w:ind w:left="720"/>
        <w:contextualSpacing/>
        <w:jc w:val="both"/>
        <w:outlineLvl w:val="0"/>
        <w:rPr>
          <w:rFonts w:ascii="Times New Roman" w:hAnsi="Times New Roman" w:cs="Times New Roman"/>
          <w:sz w:val="24"/>
          <w:szCs w:val="24"/>
        </w:rPr>
      </w:pPr>
    </w:p>
    <w:p w14:paraId="7A2B099F" w14:textId="7E1E8494" w:rsidR="002F5130" w:rsidRPr="002F5130" w:rsidRDefault="002F5130" w:rsidP="002F5130">
      <w:pPr>
        <w:numPr>
          <w:ilvl w:val="0"/>
          <w:numId w:val="32"/>
        </w:numPr>
        <w:spacing w:before="100" w:beforeAutospacing="1" w:after="100" w:afterAutospacing="1" w:line="360" w:lineRule="auto"/>
        <w:contextualSpacing/>
        <w:jc w:val="both"/>
        <w:outlineLvl w:val="0"/>
        <w:rPr>
          <w:rFonts w:ascii="Times New Roman" w:hAnsi="Times New Roman" w:cs="Times New Roman"/>
          <w:sz w:val="24"/>
          <w:szCs w:val="24"/>
        </w:rPr>
      </w:pPr>
      <w:r w:rsidRPr="002F5130">
        <w:rPr>
          <w:rFonts w:ascii="Times New Roman" w:hAnsi="Times New Roman" w:cs="Times New Roman"/>
          <w:sz w:val="24"/>
          <w:szCs w:val="24"/>
        </w:rPr>
        <w:lastRenderedPageBreak/>
        <w:t xml:space="preserve">Regarding the merits </w:t>
      </w:r>
      <w:r w:rsidR="001C3AFC">
        <w:rPr>
          <w:rFonts w:ascii="Times New Roman" w:hAnsi="Times New Roman" w:cs="Times New Roman"/>
          <w:sz w:val="24"/>
          <w:szCs w:val="24"/>
        </w:rPr>
        <w:t>of the case, the Supreme Court J</w:t>
      </w:r>
      <w:r w:rsidRPr="002F5130">
        <w:rPr>
          <w:rFonts w:ascii="Times New Roman" w:hAnsi="Times New Roman" w:cs="Times New Roman"/>
          <w:sz w:val="24"/>
          <w:szCs w:val="24"/>
        </w:rPr>
        <w:t xml:space="preserve">udge found in favour of the Respondent. He held that according to </w:t>
      </w:r>
      <w:r w:rsidRPr="002F5130">
        <w:rPr>
          <w:rFonts w:ascii="Times New Roman" w:hAnsi="Times New Roman" w:cs="Times New Roman"/>
          <w:b/>
          <w:sz w:val="24"/>
          <w:szCs w:val="24"/>
        </w:rPr>
        <w:t xml:space="preserve">Article 1383-1 </w:t>
      </w:r>
      <w:r w:rsidRPr="002F5130">
        <w:rPr>
          <w:rFonts w:ascii="Times New Roman" w:hAnsi="Times New Roman" w:cs="Times New Roman"/>
          <w:sz w:val="24"/>
          <w:szCs w:val="24"/>
        </w:rPr>
        <w:t>of the</w:t>
      </w:r>
      <w:r w:rsidRPr="002F5130">
        <w:rPr>
          <w:rFonts w:ascii="Times New Roman" w:hAnsi="Times New Roman" w:cs="Times New Roman"/>
          <w:b/>
          <w:sz w:val="24"/>
          <w:szCs w:val="24"/>
        </w:rPr>
        <w:t xml:space="preserve"> Code</w:t>
      </w:r>
      <w:r w:rsidRPr="002F5130">
        <w:rPr>
          <w:rFonts w:ascii="Times New Roman" w:hAnsi="Times New Roman" w:cs="Times New Roman"/>
          <w:sz w:val="24"/>
          <w:szCs w:val="24"/>
        </w:rPr>
        <w:t>, a person is liable for the damage it has caused not merely by his act, but also by his negligence or imprudence. That as a professional, the Appellant had to exercise such trade with the skills that the trade dictates. The Judge found that the work performed by the Appellant was not fully to the standard required.</w:t>
      </w:r>
    </w:p>
    <w:p w14:paraId="601D08C7" w14:textId="77777777" w:rsidR="002F5130" w:rsidRPr="002F5130" w:rsidRDefault="002F5130" w:rsidP="002F5130">
      <w:pPr>
        <w:spacing w:before="100" w:beforeAutospacing="1" w:after="100" w:afterAutospacing="1" w:line="360" w:lineRule="auto"/>
        <w:ind w:left="720"/>
        <w:contextualSpacing/>
        <w:jc w:val="both"/>
        <w:outlineLvl w:val="0"/>
        <w:rPr>
          <w:rFonts w:ascii="Times New Roman" w:hAnsi="Times New Roman" w:cs="Times New Roman"/>
          <w:sz w:val="24"/>
          <w:szCs w:val="24"/>
        </w:rPr>
      </w:pPr>
    </w:p>
    <w:p w14:paraId="54E6A969" w14:textId="2314610F" w:rsidR="002F5130" w:rsidRPr="002F5130" w:rsidRDefault="002F5130" w:rsidP="002F5130">
      <w:pPr>
        <w:numPr>
          <w:ilvl w:val="0"/>
          <w:numId w:val="32"/>
        </w:numPr>
        <w:spacing w:before="100" w:beforeAutospacing="1" w:after="100" w:afterAutospacing="1" w:line="360" w:lineRule="auto"/>
        <w:contextualSpacing/>
        <w:jc w:val="both"/>
        <w:outlineLvl w:val="0"/>
        <w:rPr>
          <w:rFonts w:ascii="Times New Roman" w:hAnsi="Times New Roman" w:cs="Times New Roman"/>
          <w:sz w:val="24"/>
          <w:szCs w:val="24"/>
        </w:rPr>
      </w:pPr>
      <w:r w:rsidRPr="002F5130">
        <w:rPr>
          <w:rFonts w:ascii="Times New Roman" w:hAnsi="Times New Roman" w:cs="Times New Roman"/>
          <w:sz w:val="24"/>
          <w:szCs w:val="24"/>
        </w:rPr>
        <w:t>Dissatisfied with the trial Judge's decision, the Appellant appealed to this Court. Although the Notice of Appeal contained 5 grounds, the Appellant informed court that only grounds 1 and 2 w</w:t>
      </w:r>
      <w:r w:rsidR="00514E0E">
        <w:rPr>
          <w:rFonts w:ascii="Times New Roman" w:hAnsi="Times New Roman" w:cs="Times New Roman"/>
          <w:sz w:val="24"/>
          <w:szCs w:val="24"/>
        </w:rPr>
        <w:t xml:space="preserve">ould </w:t>
      </w:r>
      <w:r w:rsidRPr="002F5130">
        <w:rPr>
          <w:rFonts w:ascii="Times New Roman" w:hAnsi="Times New Roman" w:cs="Times New Roman"/>
          <w:sz w:val="24"/>
          <w:szCs w:val="24"/>
        </w:rPr>
        <w:t>be argued. The rest of the grounds were abandoned. The grounds on which the appeal was argued were:</w:t>
      </w:r>
    </w:p>
    <w:p w14:paraId="2FFE094C" w14:textId="77777777" w:rsidR="002F5130" w:rsidRPr="002F5130" w:rsidRDefault="002F5130" w:rsidP="002F5130">
      <w:pPr>
        <w:spacing w:before="100" w:beforeAutospacing="1" w:after="100" w:afterAutospacing="1" w:line="360" w:lineRule="auto"/>
        <w:ind w:left="720"/>
        <w:contextualSpacing/>
        <w:jc w:val="both"/>
        <w:outlineLvl w:val="0"/>
        <w:rPr>
          <w:rFonts w:ascii="Times New Roman" w:hAnsi="Times New Roman" w:cs="Times New Roman"/>
          <w:sz w:val="24"/>
          <w:szCs w:val="24"/>
        </w:rPr>
      </w:pPr>
    </w:p>
    <w:p w14:paraId="3FB76E85" w14:textId="77777777" w:rsidR="002F5130" w:rsidRPr="002F5130" w:rsidRDefault="002F5130" w:rsidP="002F5130">
      <w:pPr>
        <w:spacing w:line="360" w:lineRule="auto"/>
        <w:ind w:left="720"/>
        <w:contextualSpacing/>
        <w:jc w:val="both"/>
        <w:rPr>
          <w:rFonts w:ascii="Times New Roman" w:hAnsi="Times New Roman" w:cs="Times New Roman"/>
          <w:b/>
          <w:sz w:val="24"/>
          <w:szCs w:val="24"/>
        </w:rPr>
      </w:pPr>
      <w:r w:rsidRPr="002F5130">
        <w:rPr>
          <w:rFonts w:ascii="Times New Roman" w:hAnsi="Times New Roman" w:cs="Times New Roman"/>
          <w:b/>
          <w:sz w:val="24"/>
          <w:szCs w:val="24"/>
        </w:rPr>
        <w:t>1.The findings of the learned judge that the Respondent did not have to elect whether its suit was in contract or tort is wrong in law.</w:t>
      </w:r>
    </w:p>
    <w:p w14:paraId="7B17A9D9" w14:textId="77777777" w:rsidR="002F5130" w:rsidRPr="002F5130" w:rsidRDefault="002F5130" w:rsidP="002F5130">
      <w:pPr>
        <w:spacing w:line="360" w:lineRule="auto"/>
        <w:ind w:left="720"/>
        <w:contextualSpacing/>
        <w:jc w:val="both"/>
        <w:rPr>
          <w:rFonts w:ascii="Times New Roman" w:hAnsi="Times New Roman" w:cs="Times New Roman"/>
          <w:b/>
          <w:sz w:val="24"/>
          <w:szCs w:val="24"/>
        </w:rPr>
      </w:pPr>
    </w:p>
    <w:p w14:paraId="55DBD940" w14:textId="77777777" w:rsidR="002F5130" w:rsidRPr="002F5130" w:rsidRDefault="002F5130" w:rsidP="002F5130">
      <w:pPr>
        <w:spacing w:line="360" w:lineRule="auto"/>
        <w:ind w:left="720"/>
        <w:contextualSpacing/>
        <w:jc w:val="both"/>
        <w:rPr>
          <w:rFonts w:ascii="Times New Roman" w:hAnsi="Times New Roman" w:cs="Times New Roman"/>
          <w:b/>
          <w:sz w:val="24"/>
          <w:szCs w:val="24"/>
        </w:rPr>
      </w:pPr>
      <w:r w:rsidRPr="002F5130">
        <w:rPr>
          <w:rFonts w:ascii="Times New Roman" w:hAnsi="Times New Roman" w:cs="Times New Roman"/>
          <w:b/>
          <w:sz w:val="24"/>
          <w:szCs w:val="24"/>
        </w:rPr>
        <w:t>2.The learned judge erred in finding that a case had been made out by the Respondent when it is clear the pleadings disclosed both direct and vicarious liability as against the Appellant.</w:t>
      </w:r>
    </w:p>
    <w:p w14:paraId="6E2A49FC" w14:textId="77777777" w:rsidR="002F5130" w:rsidRPr="002F5130" w:rsidRDefault="002F5130" w:rsidP="002F5130">
      <w:pPr>
        <w:spacing w:line="360" w:lineRule="auto"/>
        <w:ind w:left="720"/>
        <w:contextualSpacing/>
        <w:jc w:val="both"/>
        <w:rPr>
          <w:rFonts w:ascii="Times New Roman" w:hAnsi="Times New Roman" w:cs="Times New Roman"/>
          <w:b/>
          <w:sz w:val="24"/>
          <w:szCs w:val="24"/>
        </w:rPr>
      </w:pPr>
    </w:p>
    <w:p w14:paraId="67652B4D" w14:textId="77777777" w:rsidR="002F5130" w:rsidRPr="002F5130" w:rsidRDefault="002F5130" w:rsidP="002F5130">
      <w:pPr>
        <w:spacing w:before="100" w:beforeAutospacing="1" w:after="100" w:afterAutospacing="1" w:line="360" w:lineRule="auto"/>
        <w:ind w:left="360"/>
        <w:contextualSpacing/>
        <w:jc w:val="both"/>
        <w:outlineLvl w:val="0"/>
        <w:rPr>
          <w:rFonts w:ascii="Times New Roman" w:hAnsi="Times New Roman" w:cs="Times New Roman"/>
          <w:b/>
          <w:sz w:val="24"/>
          <w:szCs w:val="24"/>
        </w:rPr>
      </w:pPr>
      <w:r w:rsidRPr="002F5130">
        <w:rPr>
          <w:rFonts w:ascii="Times New Roman" w:hAnsi="Times New Roman" w:cs="Times New Roman"/>
          <w:b/>
          <w:sz w:val="24"/>
          <w:szCs w:val="24"/>
        </w:rPr>
        <w:t>Reliefs sought:</w:t>
      </w:r>
    </w:p>
    <w:p w14:paraId="2F3B1266" w14:textId="77777777" w:rsidR="002F5130" w:rsidRPr="002F5130" w:rsidRDefault="002F5130" w:rsidP="002F5130">
      <w:pPr>
        <w:spacing w:before="100" w:beforeAutospacing="1" w:after="100" w:afterAutospacing="1" w:line="360" w:lineRule="auto"/>
        <w:ind w:left="720"/>
        <w:contextualSpacing/>
        <w:jc w:val="both"/>
        <w:outlineLvl w:val="0"/>
        <w:rPr>
          <w:rFonts w:ascii="Times New Roman" w:hAnsi="Times New Roman" w:cs="Times New Roman"/>
          <w:sz w:val="24"/>
          <w:szCs w:val="24"/>
        </w:rPr>
      </w:pPr>
      <w:r w:rsidRPr="002F5130">
        <w:rPr>
          <w:rFonts w:ascii="Times New Roman" w:hAnsi="Times New Roman" w:cs="Times New Roman"/>
          <w:sz w:val="24"/>
          <w:szCs w:val="24"/>
        </w:rPr>
        <w:t>i. An order setting aside the judgment of the Supreme Court, allowing the appeal.</w:t>
      </w:r>
    </w:p>
    <w:p w14:paraId="083D9C57" w14:textId="77777777" w:rsidR="002F5130" w:rsidRPr="002F5130" w:rsidRDefault="002F5130" w:rsidP="002F5130">
      <w:pPr>
        <w:spacing w:before="100" w:beforeAutospacing="1" w:after="100" w:afterAutospacing="1" w:line="360" w:lineRule="auto"/>
        <w:ind w:left="720"/>
        <w:contextualSpacing/>
        <w:jc w:val="both"/>
        <w:outlineLvl w:val="0"/>
        <w:rPr>
          <w:rFonts w:ascii="Times New Roman" w:hAnsi="Times New Roman" w:cs="Times New Roman"/>
          <w:sz w:val="24"/>
          <w:szCs w:val="24"/>
        </w:rPr>
      </w:pPr>
    </w:p>
    <w:p w14:paraId="3EA35B72" w14:textId="77777777" w:rsidR="002F5130" w:rsidRPr="002F5130" w:rsidRDefault="002F5130" w:rsidP="002F5130">
      <w:pPr>
        <w:spacing w:before="100" w:beforeAutospacing="1" w:after="100" w:afterAutospacing="1" w:line="360" w:lineRule="auto"/>
        <w:ind w:left="720"/>
        <w:contextualSpacing/>
        <w:jc w:val="both"/>
        <w:outlineLvl w:val="0"/>
        <w:rPr>
          <w:rFonts w:ascii="Times New Roman" w:hAnsi="Times New Roman" w:cs="Times New Roman"/>
          <w:sz w:val="24"/>
          <w:szCs w:val="24"/>
        </w:rPr>
      </w:pPr>
      <w:r w:rsidRPr="002F5130">
        <w:rPr>
          <w:rFonts w:ascii="Times New Roman" w:hAnsi="Times New Roman" w:cs="Times New Roman"/>
          <w:sz w:val="24"/>
          <w:szCs w:val="24"/>
        </w:rPr>
        <w:t>ii. an order that the matter be set down before the Supreme Court so it can be heard afresh.</w:t>
      </w:r>
    </w:p>
    <w:p w14:paraId="1BF7F3D7" w14:textId="77777777" w:rsidR="002F5130" w:rsidRPr="002F5130" w:rsidRDefault="002F5130" w:rsidP="002F5130">
      <w:pPr>
        <w:spacing w:line="360" w:lineRule="auto"/>
        <w:jc w:val="both"/>
        <w:rPr>
          <w:rFonts w:ascii="Times New Roman" w:hAnsi="Times New Roman" w:cs="Times New Roman"/>
          <w:b/>
          <w:sz w:val="24"/>
          <w:szCs w:val="24"/>
        </w:rPr>
      </w:pPr>
    </w:p>
    <w:p w14:paraId="48A512B5" w14:textId="77777777" w:rsidR="001C3AFC" w:rsidRDefault="001C3AFC" w:rsidP="002F5130">
      <w:p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Ground 1.</w:t>
      </w:r>
    </w:p>
    <w:p w14:paraId="12524744" w14:textId="227F4724" w:rsidR="002F5130" w:rsidRPr="002F5130" w:rsidRDefault="002F5130" w:rsidP="002F5130">
      <w:pPr>
        <w:spacing w:line="360" w:lineRule="auto"/>
        <w:ind w:left="360"/>
        <w:jc w:val="both"/>
        <w:rPr>
          <w:rFonts w:ascii="Times New Roman" w:hAnsi="Times New Roman" w:cs="Times New Roman"/>
          <w:b/>
          <w:sz w:val="24"/>
          <w:szCs w:val="24"/>
        </w:rPr>
      </w:pPr>
      <w:r w:rsidRPr="002F5130">
        <w:rPr>
          <w:rFonts w:ascii="Times New Roman" w:hAnsi="Times New Roman" w:cs="Times New Roman"/>
          <w:b/>
          <w:sz w:val="24"/>
          <w:szCs w:val="24"/>
        </w:rPr>
        <w:t>The findings of the learned judge that the Respondent did not have to elect whether its suit was in contract or tort is wrong in law.</w:t>
      </w:r>
    </w:p>
    <w:p w14:paraId="7984AC1B" w14:textId="77777777" w:rsidR="002F5130" w:rsidRPr="002F5130" w:rsidRDefault="002F5130" w:rsidP="002F5130">
      <w:pPr>
        <w:spacing w:before="100" w:beforeAutospacing="1" w:after="100" w:afterAutospacing="1" w:line="360" w:lineRule="auto"/>
        <w:ind w:left="360"/>
        <w:contextualSpacing/>
        <w:jc w:val="both"/>
        <w:outlineLvl w:val="0"/>
        <w:rPr>
          <w:rFonts w:ascii="Times New Roman" w:hAnsi="Times New Roman" w:cs="Times New Roman"/>
          <w:b/>
          <w:sz w:val="12"/>
          <w:szCs w:val="12"/>
        </w:rPr>
      </w:pPr>
    </w:p>
    <w:p w14:paraId="71CB6EAF" w14:textId="77777777" w:rsidR="002F5130" w:rsidRPr="002F5130" w:rsidRDefault="002F5130" w:rsidP="002F5130">
      <w:pPr>
        <w:spacing w:before="100" w:beforeAutospacing="1" w:after="100" w:afterAutospacing="1" w:line="360" w:lineRule="auto"/>
        <w:ind w:left="360"/>
        <w:contextualSpacing/>
        <w:jc w:val="both"/>
        <w:outlineLvl w:val="0"/>
        <w:rPr>
          <w:rFonts w:ascii="Times New Roman" w:hAnsi="Times New Roman" w:cs="Times New Roman"/>
          <w:b/>
          <w:sz w:val="24"/>
          <w:szCs w:val="24"/>
        </w:rPr>
      </w:pPr>
      <w:r w:rsidRPr="002F5130">
        <w:rPr>
          <w:rFonts w:ascii="Times New Roman" w:hAnsi="Times New Roman" w:cs="Times New Roman"/>
          <w:b/>
          <w:sz w:val="24"/>
          <w:szCs w:val="24"/>
        </w:rPr>
        <w:t>Appellant’s submissions</w:t>
      </w:r>
    </w:p>
    <w:p w14:paraId="62549F21" w14:textId="77777777" w:rsidR="002F5130" w:rsidRPr="002F5130" w:rsidRDefault="002F5130" w:rsidP="002F5130">
      <w:pPr>
        <w:spacing w:before="100" w:beforeAutospacing="1" w:after="100" w:afterAutospacing="1" w:line="360" w:lineRule="auto"/>
        <w:ind w:left="720"/>
        <w:contextualSpacing/>
        <w:jc w:val="both"/>
        <w:outlineLvl w:val="0"/>
        <w:rPr>
          <w:rFonts w:ascii="Times New Roman" w:hAnsi="Times New Roman" w:cs="Times New Roman"/>
          <w:sz w:val="24"/>
          <w:szCs w:val="24"/>
        </w:rPr>
      </w:pPr>
    </w:p>
    <w:p w14:paraId="6369A0E2" w14:textId="23E18252" w:rsidR="002F5130" w:rsidRPr="002F5130" w:rsidRDefault="002F5130" w:rsidP="002F5130">
      <w:pPr>
        <w:numPr>
          <w:ilvl w:val="0"/>
          <w:numId w:val="32"/>
        </w:numPr>
        <w:spacing w:before="100" w:beforeAutospacing="1" w:after="100" w:afterAutospacing="1" w:line="360" w:lineRule="auto"/>
        <w:contextualSpacing/>
        <w:jc w:val="both"/>
        <w:outlineLvl w:val="0"/>
        <w:rPr>
          <w:rFonts w:ascii="Times New Roman" w:hAnsi="Times New Roman" w:cs="Times New Roman"/>
          <w:sz w:val="24"/>
          <w:szCs w:val="24"/>
        </w:rPr>
      </w:pPr>
      <w:r w:rsidRPr="002F5130">
        <w:rPr>
          <w:rFonts w:ascii="Times New Roman" w:hAnsi="Times New Roman" w:cs="Times New Roman"/>
          <w:sz w:val="24"/>
          <w:szCs w:val="24"/>
        </w:rPr>
        <w:lastRenderedPageBreak/>
        <w:t>Counsel for the Appellant based his arguments on Article 1370 (3) (a) of the Civil Code of Seychelles Act which provides that: A person who has a cause of action founded either in contract or in delict may elect which cause of action to pursue.</w:t>
      </w:r>
    </w:p>
    <w:p w14:paraId="664DED85" w14:textId="77777777" w:rsidR="002F5130" w:rsidRPr="002F5130" w:rsidRDefault="002F5130" w:rsidP="002F5130">
      <w:pPr>
        <w:spacing w:before="100" w:beforeAutospacing="1" w:after="100" w:afterAutospacing="1" w:line="360" w:lineRule="auto"/>
        <w:ind w:left="720"/>
        <w:contextualSpacing/>
        <w:jc w:val="both"/>
        <w:outlineLvl w:val="0"/>
        <w:rPr>
          <w:rFonts w:ascii="Times New Roman" w:hAnsi="Times New Roman" w:cs="Times New Roman"/>
          <w:sz w:val="24"/>
          <w:szCs w:val="24"/>
        </w:rPr>
      </w:pPr>
    </w:p>
    <w:p w14:paraId="569DE4FA" w14:textId="1025D077" w:rsidR="002F5130" w:rsidRDefault="002F5130" w:rsidP="002F5130">
      <w:pPr>
        <w:numPr>
          <w:ilvl w:val="0"/>
          <w:numId w:val="32"/>
        </w:numPr>
        <w:spacing w:before="100" w:beforeAutospacing="1" w:after="100" w:afterAutospacing="1" w:line="360" w:lineRule="auto"/>
        <w:contextualSpacing/>
        <w:jc w:val="both"/>
        <w:outlineLvl w:val="0"/>
        <w:rPr>
          <w:rFonts w:ascii="Times New Roman" w:hAnsi="Times New Roman" w:cs="Times New Roman"/>
          <w:sz w:val="24"/>
          <w:szCs w:val="24"/>
        </w:rPr>
      </w:pPr>
      <w:r w:rsidRPr="002F5130">
        <w:rPr>
          <w:rFonts w:ascii="Times New Roman" w:hAnsi="Times New Roman" w:cs="Times New Roman"/>
          <w:sz w:val="24"/>
          <w:szCs w:val="24"/>
        </w:rPr>
        <w:t xml:space="preserve">He conceded that the said provision, as this Court has found in the case of </w:t>
      </w:r>
      <w:r w:rsidRPr="002F5130">
        <w:rPr>
          <w:rFonts w:ascii="Times New Roman" w:hAnsi="Times New Roman" w:cs="Times New Roman"/>
          <w:b/>
          <w:sz w:val="24"/>
          <w:szCs w:val="24"/>
        </w:rPr>
        <w:t>Godfra Hermitte v The AG and Ernest Quatre, the Commissioner of Police,</w:t>
      </w:r>
      <w:r w:rsidRPr="002F5130">
        <w:rPr>
          <w:rFonts w:ascii="Times New Roman" w:hAnsi="Times New Roman" w:cs="Times New Roman"/>
          <w:b/>
          <w:sz w:val="24"/>
          <w:szCs w:val="24"/>
          <w:vertAlign w:val="superscript"/>
        </w:rPr>
        <w:footnoteReference w:id="1"/>
      </w:r>
      <w:r w:rsidRPr="002F5130">
        <w:rPr>
          <w:rFonts w:ascii="Times New Roman" w:hAnsi="Times New Roman" w:cs="Times New Roman"/>
          <w:b/>
          <w:sz w:val="24"/>
          <w:szCs w:val="24"/>
        </w:rPr>
        <w:t xml:space="preserve"> </w:t>
      </w:r>
      <w:r w:rsidRPr="002F5130">
        <w:rPr>
          <w:rFonts w:ascii="Times New Roman" w:hAnsi="Times New Roman" w:cs="Times New Roman"/>
          <w:sz w:val="24"/>
          <w:szCs w:val="24"/>
        </w:rPr>
        <w:t xml:space="preserve">did away with the French doctrine of </w:t>
      </w:r>
      <w:r w:rsidRPr="002F5130">
        <w:rPr>
          <w:rFonts w:ascii="Times New Roman" w:hAnsi="Times New Roman" w:cs="Times New Roman"/>
          <w:i/>
          <w:sz w:val="24"/>
          <w:szCs w:val="24"/>
          <w:lang w:val="fr-BE"/>
        </w:rPr>
        <w:t xml:space="preserve">non-cumul de la responsabilités contractuelle et délictuelle. </w:t>
      </w:r>
      <w:r w:rsidRPr="002F5130">
        <w:rPr>
          <w:rFonts w:ascii="Times New Roman" w:hAnsi="Times New Roman" w:cs="Times New Roman"/>
          <w:sz w:val="24"/>
          <w:szCs w:val="24"/>
          <w:lang w:val="fr-BE"/>
        </w:rPr>
        <w:t xml:space="preserve">That therefore, </w:t>
      </w:r>
      <w:r w:rsidRPr="002F5130">
        <w:rPr>
          <w:rFonts w:ascii="Times New Roman" w:hAnsi="Times New Roman" w:cs="Times New Roman"/>
          <w:sz w:val="24"/>
          <w:szCs w:val="24"/>
        </w:rPr>
        <w:t xml:space="preserve">when a contractual relationship exists between parties but the facts give rise to possible claims in either delict and contract, a plaintiff can elect to bring a claim in delict. It was also conceded that as held in </w:t>
      </w:r>
      <w:r w:rsidRPr="002F5130">
        <w:rPr>
          <w:rFonts w:ascii="Times New Roman" w:hAnsi="Times New Roman" w:cs="Times New Roman"/>
          <w:b/>
          <w:sz w:val="24"/>
          <w:szCs w:val="24"/>
        </w:rPr>
        <w:t>MulitiChoice Africa Limited vs Intelvision Network Limited and Another</w:t>
      </w:r>
      <w:r w:rsidRPr="002F5130">
        <w:rPr>
          <w:rFonts w:ascii="Times New Roman" w:hAnsi="Times New Roman" w:cs="Times New Roman"/>
          <w:sz w:val="24"/>
          <w:szCs w:val="24"/>
          <w:vertAlign w:val="superscript"/>
        </w:rPr>
        <w:footnoteReference w:id="2"/>
      </w:r>
      <w:r w:rsidRPr="002F5130">
        <w:rPr>
          <w:rFonts w:ascii="Times New Roman" w:hAnsi="Times New Roman" w:cs="Times New Roman"/>
          <w:b/>
          <w:sz w:val="24"/>
          <w:szCs w:val="24"/>
        </w:rPr>
        <w:t xml:space="preserve"> - </w:t>
      </w:r>
      <w:r w:rsidRPr="002F5130">
        <w:rPr>
          <w:rFonts w:ascii="Times New Roman" w:hAnsi="Times New Roman" w:cs="Times New Roman"/>
          <w:sz w:val="24"/>
          <w:szCs w:val="24"/>
        </w:rPr>
        <w:t>the law</w:t>
      </w:r>
      <w:r w:rsidRPr="002F5130">
        <w:rPr>
          <w:rFonts w:ascii="Times New Roman" w:hAnsi="Times New Roman" w:cs="Times New Roman"/>
          <w:b/>
          <w:sz w:val="24"/>
          <w:szCs w:val="24"/>
        </w:rPr>
        <w:t xml:space="preserve"> </w:t>
      </w:r>
      <w:r w:rsidRPr="002F5130">
        <w:rPr>
          <w:rFonts w:ascii="Times New Roman" w:hAnsi="Times New Roman" w:cs="Times New Roman"/>
          <w:sz w:val="24"/>
          <w:szCs w:val="24"/>
        </w:rPr>
        <w:t>allows a claim to be brought in the alternative. A</w:t>
      </w:r>
      <w:r w:rsidRPr="002F5130">
        <w:rPr>
          <w:rFonts w:ascii="Times New Roman" w:hAnsi="Times New Roman" w:cs="Times New Roman"/>
          <w:b/>
          <w:sz w:val="24"/>
          <w:szCs w:val="24"/>
        </w:rPr>
        <w:t xml:space="preserve"> </w:t>
      </w:r>
      <w:r w:rsidRPr="002F5130">
        <w:rPr>
          <w:rFonts w:ascii="Times New Roman" w:hAnsi="Times New Roman" w:cs="Times New Roman"/>
          <w:sz w:val="24"/>
          <w:szCs w:val="24"/>
        </w:rPr>
        <w:t>plaintiff can bring a claim in delict and in the alternative, claim in contract, as the Respondent in this case had done.</w:t>
      </w:r>
    </w:p>
    <w:p w14:paraId="15BB20CD" w14:textId="77777777" w:rsidR="002F5130" w:rsidRPr="002F5130" w:rsidRDefault="002F5130" w:rsidP="002F5130">
      <w:pPr>
        <w:spacing w:before="100" w:beforeAutospacing="1" w:after="100" w:afterAutospacing="1" w:line="360" w:lineRule="auto"/>
        <w:ind w:left="720"/>
        <w:contextualSpacing/>
        <w:jc w:val="both"/>
        <w:outlineLvl w:val="0"/>
        <w:rPr>
          <w:rFonts w:ascii="Times New Roman" w:hAnsi="Times New Roman" w:cs="Times New Roman"/>
          <w:sz w:val="8"/>
          <w:szCs w:val="8"/>
        </w:rPr>
      </w:pPr>
    </w:p>
    <w:p w14:paraId="6A5BA775" w14:textId="77777777" w:rsidR="002F5130" w:rsidRDefault="002F5130" w:rsidP="002F5130">
      <w:pPr>
        <w:pStyle w:val="ListParagraph"/>
        <w:numPr>
          <w:ilvl w:val="0"/>
          <w:numId w:val="32"/>
        </w:numPr>
        <w:spacing w:before="100" w:beforeAutospacing="1" w:after="100" w:afterAutospacing="1" w:line="360" w:lineRule="auto"/>
        <w:jc w:val="both"/>
        <w:outlineLvl w:val="0"/>
        <w:rPr>
          <w:sz w:val="24"/>
          <w:szCs w:val="24"/>
        </w:rPr>
      </w:pPr>
      <w:r w:rsidRPr="002F5130">
        <w:rPr>
          <w:sz w:val="24"/>
          <w:szCs w:val="24"/>
        </w:rPr>
        <w:t xml:space="preserve">Counsel however argued that the position as enunciated above does not mean that the principle of </w:t>
      </w:r>
      <w:r w:rsidRPr="002F5130">
        <w:rPr>
          <w:i/>
          <w:sz w:val="24"/>
          <w:szCs w:val="24"/>
        </w:rPr>
        <w:t>non-cumul</w:t>
      </w:r>
      <w:r w:rsidRPr="002F5130">
        <w:rPr>
          <w:sz w:val="24"/>
          <w:szCs w:val="24"/>
        </w:rPr>
        <w:t xml:space="preserve"> was entirely done away with – that the principle </w:t>
      </w:r>
      <w:r w:rsidRPr="002F5130">
        <w:rPr>
          <w:sz w:val="24"/>
          <w:szCs w:val="24"/>
          <w:u w:val="single"/>
        </w:rPr>
        <w:t>partly</w:t>
      </w:r>
      <w:r w:rsidRPr="002F5130">
        <w:rPr>
          <w:sz w:val="24"/>
          <w:szCs w:val="24"/>
        </w:rPr>
        <w:t xml:space="preserve"> still exists within Seychelles jurisdiction. In counsel's view, by suing the Appellant in vicarious liability as opposed to direct liability, the Respondent’s claim is not covered by Article 1370. (3) (a). That the two claims cease to have the same foundation. That whereas contract calls for direct responsibility - the defendant being directly liable for having breached a contract – under vicarious liability, the defendant’s liability is based on the actions of other people. So you have one claim which is that a number of people did certain things for which X is liable.  And on the other claim, X is directly liable for not having done something, or for having done something negligent. That therefore, the two claims are not the same foundation.  The factual matrix is the same, but the foundation of claim is different. </w:t>
      </w:r>
    </w:p>
    <w:p w14:paraId="48B13408" w14:textId="77777777" w:rsidR="002F5130" w:rsidRPr="002F5130" w:rsidRDefault="002F5130" w:rsidP="002F5130">
      <w:pPr>
        <w:pStyle w:val="ListParagraph"/>
        <w:rPr>
          <w:sz w:val="24"/>
          <w:szCs w:val="24"/>
        </w:rPr>
      </w:pPr>
    </w:p>
    <w:p w14:paraId="18091A00" w14:textId="77777777" w:rsidR="002F5130" w:rsidRDefault="002F5130" w:rsidP="002F5130">
      <w:pPr>
        <w:pStyle w:val="ListParagraph"/>
        <w:spacing w:before="100" w:beforeAutospacing="1" w:after="100" w:afterAutospacing="1" w:line="360" w:lineRule="auto"/>
        <w:jc w:val="both"/>
        <w:outlineLvl w:val="0"/>
        <w:rPr>
          <w:sz w:val="10"/>
          <w:szCs w:val="10"/>
        </w:rPr>
      </w:pPr>
    </w:p>
    <w:p w14:paraId="1FE093A3" w14:textId="15F036FE" w:rsidR="002F5130" w:rsidRPr="002F5130" w:rsidRDefault="002F5130" w:rsidP="002F5130">
      <w:pPr>
        <w:pStyle w:val="ListParagraph"/>
        <w:numPr>
          <w:ilvl w:val="0"/>
          <w:numId w:val="32"/>
        </w:numPr>
        <w:spacing w:before="100" w:beforeAutospacing="1" w:after="100" w:afterAutospacing="1" w:line="360" w:lineRule="auto"/>
        <w:jc w:val="both"/>
        <w:outlineLvl w:val="0"/>
        <w:rPr>
          <w:sz w:val="24"/>
          <w:szCs w:val="24"/>
        </w:rPr>
      </w:pPr>
      <w:r w:rsidRPr="002F5130">
        <w:rPr>
          <w:sz w:val="24"/>
          <w:szCs w:val="24"/>
        </w:rPr>
        <w:t xml:space="preserve">Counsel passionately argued that by bringing an action against the Appellant under the doctrine of vicarious liability, “the Respondent changed the cause of action from one against the Appellant in its personal capacity to one against the Appellant in its vicarious </w:t>
      </w:r>
      <w:r w:rsidRPr="002F5130">
        <w:rPr>
          <w:sz w:val="24"/>
          <w:szCs w:val="24"/>
        </w:rPr>
        <w:lastRenderedPageBreak/>
        <w:t xml:space="preserve">capacity.” That Article 1370 (2) is no longer applicable to prevent the application of the principle of </w:t>
      </w:r>
      <w:r w:rsidRPr="002F5130">
        <w:rPr>
          <w:i/>
          <w:sz w:val="24"/>
          <w:szCs w:val="24"/>
        </w:rPr>
        <w:t>non cumul</w:t>
      </w:r>
      <w:r w:rsidRPr="002F5130">
        <w:rPr>
          <w:sz w:val="24"/>
          <w:szCs w:val="24"/>
        </w:rPr>
        <w:t xml:space="preserve"> because the causes of action are not similar. That the principle would continue to apply and the Respondent would be constrained under the </w:t>
      </w:r>
      <w:r w:rsidRPr="002F5130">
        <w:rPr>
          <w:i/>
          <w:sz w:val="24"/>
          <w:szCs w:val="24"/>
        </w:rPr>
        <w:t xml:space="preserve">residual </w:t>
      </w:r>
      <w:r w:rsidRPr="002F5130">
        <w:rPr>
          <w:sz w:val="24"/>
          <w:szCs w:val="24"/>
        </w:rPr>
        <w:t xml:space="preserve">principle of </w:t>
      </w:r>
      <w:r w:rsidRPr="002F5130">
        <w:rPr>
          <w:i/>
          <w:sz w:val="24"/>
          <w:szCs w:val="24"/>
        </w:rPr>
        <w:t>non cumul</w:t>
      </w:r>
      <w:r w:rsidRPr="002F5130">
        <w:rPr>
          <w:sz w:val="24"/>
          <w:szCs w:val="24"/>
        </w:rPr>
        <w:t xml:space="preserve"> to bring its action in contract as that was the clearest pathway for it.</w:t>
      </w:r>
    </w:p>
    <w:p w14:paraId="27A9D51A" w14:textId="381F7AB5" w:rsidR="002F5130" w:rsidRPr="002F5130" w:rsidRDefault="002F5130" w:rsidP="002F5130">
      <w:pPr>
        <w:spacing w:before="100" w:beforeAutospacing="1" w:after="100" w:afterAutospacing="1" w:line="360" w:lineRule="auto"/>
        <w:ind w:left="360"/>
        <w:contextualSpacing/>
        <w:jc w:val="both"/>
        <w:outlineLvl w:val="0"/>
        <w:rPr>
          <w:rFonts w:ascii="Times New Roman" w:hAnsi="Times New Roman" w:cs="Times New Roman"/>
          <w:b/>
          <w:sz w:val="24"/>
          <w:szCs w:val="24"/>
        </w:rPr>
      </w:pPr>
      <w:r w:rsidRPr="002F5130">
        <w:rPr>
          <w:rFonts w:ascii="Times New Roman" w:hAnsi="Times New Roman" w:cs="Times New Roman"/>
          <w:b/>
          <w:sz w:val="24"/>
          <w:szCs w:val="24"/>
        </w:rPr>
        <w:t xml:space="preserve">Respondent’s </w:t>
      </w:r>
      <w:r w:rsidR="001C3AFC">
        <w:rPr>
          <w:rFonts w:ascii="Times New Roman" w:hAnsi="Times New Roman" w:cs="Times New Roman"/>
          <w:b/>
          <w:sz w:val="24"/>
          <w:szCs w:val="24"/>
        </w:rPr>
        <w:t>Submissions</w:t>
      </w:r>
    </w:p>
    <w:p w14:paraId="39611842" w14:textId="30D3B686" w:rsidR="002F5130" w:rsidRPr="0092790E" w:rsidRDefault="002F5130" w:rsidP="002F5130">
      <w:pPr>
        <w:pStyle w:val="ListParagraph"/>
        <w:keepNext/>
        <w:keepLines/>
        <w:numPr>
          <w:ilvl w:val="0"/>
          <w:numId w:val="32"/>
        </w:numPr>
        <w:shd w:val="clear" w:color="auto" w:fill="FFFFFF"/>
        <w:spacing w:after="192" w:line="360" w:lineRule="auto"/>
        <w:jc w:val="both"/>
        <w:outlineLvl w:val="0"/>
        <w:rPr>
          <w:rFonts w:eastAsiaTheme="majorEastAsia"/>
          <w:sz w:val="24"/>
          <w:szCs w:val="24"/>
          <w:shd w:val="clear" w:color="auto" w:fill="FFFFFF"/>
        </w:rPr>
      </w:pPr>
      <w:r w:rsidRPr="0092790E">
        <w:rPr>
          <w:rFonts w:eastAsiaTheme="majorEastAsia"/>
          <w:sz w:val="24"/>
          <w:szCs w:val="24"/>
        </w:rPr>
        <w:t xml:space="preserve">The Respondent started by raising a point of law in that Counsel for the Appellant was making submissions on a ground outside the grounds he had filed in the Notice of Appeal. This was in contravention of Rule 18 (8) of the Seychelles Court of Appeal Rules. The rule provides that: </w:t>
      </w:r>
      <w:r w:rsidRPr="0092790E">
        <w:rPr>
          <w:rFonts w:eastAsiaTheme="majorEastAsia"/>
          <w:sz w:val="24"/>
          <w:szCs w:val="24"/>
          <w:shd w:val="clear" w:color="auto" w:fill="FFFFFF"/>
        </w:rPr>
        <w:t>The appellant shall not without leave of the </w:t>
      </w:r>
      <w:hyperlink r:id="rId10" w:anchor="defn-term-Court" w:history="1">
        <w:r w:rsidRPr="0092790E">
          <w:rPr>
            <w:rFonts w:eastAsiaTheme="majorEastAsia"/>
            <w:sz w:val="24"/>
            <w:szCs w:val="24"/>
            <w:u w:val="single"/>
          </w:rPr>
          <w:t>Court</w:t>
        </w:r>
      </w:hyperlink>
      <w:r w:rsidRPr="0092790E">
        <w:rPr>
          <w:rFonts w:eastAsiaTheme="majorEastAsia"/>
          <w:sz w:val="24"/>
          <w:szCs w:val="24"/>
          <w:shd w:val="clear" w:color="auto" w:fill="FFFFFF"/>
        </w:rPr>
        <w:t> be permitted, on the hearing of that </w:t>
      </w:r>
      <w:hyperlink r:id="rId11" w:anchor="defn-term-appeal" w:history="1">
        <w:r w:rsidRPr="0092790E">
          <w:rPr>
            <w:rFonts w:eastAsiaTheme="majorEastAsia"/>
            <w:sz w:val="24"/>
            <w:szCs w:val="24"/>
            <w:u w:val="single"/>
          </w:rPr>
          <w:t>appeal</w:t>
        </w:r>
      </w:hyperlink>
      <w:r w:rsidRPr="0092790E">
        <w:rPr>
          <w:rFonts w:eastAsiaTheme="majorEastAsia"/>
          <w:sz w:val="24"/>
          <w:szCs w:val="24"/>
          <w:shd w:val="clear" w:color="auto" w:fill="FFFFFF"/>
        </w:rPr>
        <w:t>, to rely on any grounds of </w:t>
      </w:r>
      <w:hyperlink r:id="rId12" w:anchor="defn-term-appeal" w:history="1">
        <w:r w:rsidRPr="0092790E">
          <w:rPr>
            <w:rFonts w:eastAsiaTheme="majorEastAsia"/>
            <w:sz w:val="24"/>
            <w:szCs w:val="24"/>
            <w:u w:val="single"/>
          </w:rPr>
          <w:t>appeal</w:t>
        </w:r>
      </w:hyperlink>
      <w:r w:rsidRPr="0092790E">
        <w:rPr>
          <w:rFonts w:eastAsiaTheme="majorEastAsia"/>
          <w:sz w:val="24"/>
          <w:szCs w:val="24"/>
          <w:shd w:val="clear" w:color="auto" w:fill="FFFFFF"/>
        </w:rPr>
        <w:t> other than those set forth in the notice of </w:t>
      </w:r>
      <w:hyperlink r:id="rId13" w:anchor="defn-term-appeal" w:history="1">
        <w:r w:rsidRPr="0092790E">
          <w:rPr>
            <w:rFonts w:eastAsiaTheme="majorEastAsia"/>
            <w:sz w:val="24"/>
            <w:szCs w:val="24"/>
            <w:u w:val="single"/>
          </w:rPr>
          <w:t>appeal</w:t>
        </w:r>
      </w:hyperlink>
      <w:r w:rsidRPr="0092790E">
        <w:rPr>
          <w:rFonts w:eastAsiaTheme="majorEastAsia"/>
          <w:sz w:val="24"/>
          <w:szCs w:val="24"/>
          <w:shd w:val="clear" w:color="auto" w:fill="FFFFFF"/>
        </w:rPr>
        <w:t>.</w:t>
      </w:r>
    </w:p>
    <w:p w14:paraId="450DEE53" w14:textId="77777777" w:rsidR="002F5130" w:rsidRPr="002F5130" w:rsidRDefault="002F5130" w:rsidP="002F5130">
      <w:pPr>
        <w:pStyle w:val="ListParagraph"/>
        <w:keepNext/>
        <w:keepLines/>
        <w:shd w:val="clear" w:color="auto" w:fill="FFFFFF"/>
        <w:spacing w:after="192" w:line="360" w:lineRule="auto"/>
        <w:jc w:val="both"/>
        <w:outlineLvl w:val="0"/>
        <w:rPr>
          <w:rFonts w:eastAsiaTheme="majorEastAsia"/>
          <w:color w:val="4A4A4A"/>
          <w:sz w:val="24"/>
          <w:szCs w:val="24"/>
          <w:shd w:val="clear" w:color="auto" w:fill="FFFFFF"/>
        </w:rPr>
      </w:pPr>
    </w:p>
    <w:p w14:paraId="5CEC740E" w14:textId="3F899566" w:rsidR="002F5130" w:rsidRDefault="002F5130" w:rsidP="002F5130">
      <w:pPr>
        <w:pStyle w:val="ListParagraph"/>
        <w:numPr>
          <w:ilvl w:val="0"/>
          <w:numId w:val="32"/>
        </w:numPr>
        <w:spacing w:line="360" w:lineRule="auto"/>
        <w:jc w:val="both"/>
        <w:rPr>
          <w:sz w:val="24"/>
          <w:szCs w:val="24"/>
        </w:rPr>
      </w:pPr>
      <w:r w:rsidRPr="002F5130">
        <w:rPr>
          <w:sz w:val="24"/>
          <w:szCs w:val="24"/>
        </w:rPr>
        <w:t>The ground of appeal filed was that</w:t>
      </w:r>
      <w:r w:rsidRPr="002F5130">
        <w:rPr>
          <w:color w:val="FF0000"/>
          <w:sz w:val="24"/>
          <w:szCs w:val="24"/>
        </w:rPr>
        <w:t xml:space="preserve"> </w:t>
      </w:r>
      <w:r w:rsidRPr="002F5130">
        <w:rPr>
          <w:sz w:val="24"/>
          <w:szCs w:val="24"/>
        </w:rPr>
        <w:t xml:space="preserve">the finding of the learned judge that the Respondent did not have to elect whether its suit was in contract or tort is wrong law. </w:t>
      </w:r>
    </w:p>
    <w:p w14:paraId="6C0B817C" w14:textId="77777777" w:rsidR="002F5130" w:rsidRPr="002F5130" w:rsidRDefault="002F5130" w:rsidP="002F5130">
      <w:pPr>
        <w:pStyle w:val="ListParagraph"/>
        <w:rPr>
          <w:sz w:val="24"/>
          <w:szCs w:val="24"/>
        </w:rPr>
      </w:pPr>
    </w:p>
    <w:p w14:paraId="762D1799" w14:textId="06399951" w:rsidR="002F5130" w:rsidRDefault="002F5130" w:rsidP="002F5130">
      <w:pPr>
        <w:pStyle w:val="ListParagraph"/>
        <w:numPr>
          <w:ilvl w:val="0"/>
          <w:numId w:val="32"/>
        </w:numPr>
        <w:spacing w:line="360" w:lineRule="auto"/>
        <w:jc w:val="both"/>
        <w:rPr>
          <w:sz w:val="24"/>
          <w:szCs w:val="24"/>
        </w:rPr>
      </w:pPr>
      <w:r w:rsidRPr="002F5130">
        <w:rPr>
          <w:sz w:val="24"/>
          <w:szCs w:val="24"/>
        </w:rPr>
        <w:t xml:space="preserve">But the Appellant argued in his submissions that </w:t>
      </w:r>
      <w:r w:rsidR="00A2110D">
        <w:rPr>
          <w:sz w:val="24"/>
          <w:szCs w:val="24"/>
        </w:rPr>
        <w:t xml:space="preserve">a </w:t>
      </w:r>
      <w:r w:rsidRPr="002F5130">
        <w:rPr>
          <w:sz w:val="24"/>
          <w:szCs w:val="24"/>
        </w:rPr>
        <w:t>plaintiff is not allowed to bring an action in contract together with an action in vicarious liability, even when the claim in contract is in the alternative. That the cause of action in tort by way of vicarious liability was contrary to article 1370 (2) because it was caught by the principle of</w:t>
      </w:r>
      <w:r w:rsidRPr="002F5130">
        <w:rPr>
          <w:i/>
          <w:sz w:val="24"/>
          <w:szCs w:val="24"/>
        </w:rPr>
        <w:t xml:space="preserve"> cumul de responsabilité</w:t>
      </w:r>
      <w:r w:rsidRPr="002F5130">
        <w:rPr>
          <w:sz w:val="24"/>
          <w:szCs w:val="24"/>
        </w:rPr>
        <w:t xml:space="preserve">. </w:t>
      </w:r>
    </w:p>
    <w:p w14:paraId="30BC90A5" w14:textId="77777777" w:rsidR="002F5130" w:rsidRPr="002F5130" w:rsidRDefault="002F5130" w:rsidP="002F5130">
      <w:pPr>
        <w:pStyle w:val="ListParagraph"/>
        <w:rPr>
          <w:sz w:val="24"/>
          <w:szCs w:val="24"/>
        </w:rPr>
      </w:pPr>
    </w:p>
    <w:p w14:paraId="3AEF329B" w14:textId="4C4398B9" w:rsidR="002F5130" w:rsidRDefault="002F5130" w:rsidP="002F5130">
      <w:pPr>
        <w:pStyle w:val="ListParagraph"/>
        <w:numPr>
          <w:ilvl w:val="0"/>
          <w:numId w:val="32"/>
        </w:numPr>
        <w:spacing w:line="360" w:lineRule="auto"/>
        <w:jc w:val="both"/>
        <w:rPr>
          <w:sz w:val="24"/>
          <w:szCs w:val="24"/>
        </w:rPr>
      </w:pPr>
      <w:r w:rsidRPr="002F5130">
        <w:rPr>
          <w:sz w:val="24"/>
          <w:szCs w:val="24"/>
        </w:rPr>
        <w:t xml:space="preserve">On the merits of the case, Counsel for the Respondent submitted that it is clear from a reading of Article 1370 (2) that its intention was to depart from the principle of </w:t>
      </w:r>
      <w:r w:rsidRPr="002F5130">
        <w:rPr>
          <w:i/>
          <w:sz w:val="24"/>
          <w:szCs w:val="24"/>
        </w:rPr>
        <w:t>non cumul de responsabilite</w:t>
      </w:r>
      <w:r w:rsidRPr="002F5130">
        <w:rPr>
          <w:sz w:val="24"/>
          <w:szCs w:val="24"/>
        </w:rPr>
        <w:t>. That the operating word in the article is “cause of action” and not “founded” as argued by the Appellant’s Counsel. And cause of action refers to the factual situation</w:t>
      </w:r>
      <w:r w:rsidR="00514E0E">
        <w:rPr>
          <w:sz w:val="24"/>
          <w:szCs w:val="24"/>
        </w:rPr>
        <w:t>.</w:t>
      </w:r>
    </w:p>
    <w:p w14:paraId="0863530D" w14:textId="77777777" w:rsidR="002F5130" w:rsidRPr="002F5130" w:rsidRDefault="002F5130" w:rsidP="002F5130">
      <w:pPr>
        <w:pStyle w:val="ListParagraph"/>
        <w:rPr>
          <w:sz w:val="24"/>
          <w:szCs w:val="24"/>
        </w:rPr>
      </w:pPr>
    </w:p>
    <w:p w14:paraId="05753F0D" w14:textId="77777777" w:rsidR="002F5130" w:rsidRPr="002F5130" w:rsidRDefault="002F5130" w:rsidP="002F5130">
      <w:pPr>
        <w:spacing w:line="360" w:lineRule="auto"/>
        <w:ind w:left="360"/>
        <w:jc w:val="both"/>
        <w:rPr>
          <w:rFonts w:ascii="Times New Roman" w:hAnsi="Times New Roman" w:cs="Times New Roman"/>
          <w:sz w:val="24"/>
          <w:szCs w:val="24"/>
        </w:rPr>
      </w:pPr>
      <w:r w:rsidRPr="002F5130">
        <w:rPr>
          <w:rFonts w:ascii="Times New Roman" w:hAnsi="Times New Roman" w:cs="Times New Roman"/>
          <w:b/>
          <w:sz w:val="24"/>
          <w:szCs w:val="24"/>
        </w:rPr>
        <w:t>Courts’ Consideration</w:t>
      </w:r>
      <w:r w:rsidRPr="002F5130">
        <w:rPr>
          <w:rFonts w:ascii="Times New Roman" w:hAnsi="Times New Roman" w:cs="Times New Roman"/>
          <w:sz w:val="24"/>
          <w:szCs w:val="24"/>
        </w:rPr>
        <w:t>.</w:t>
      </w:r>
    </w:p>
    <w:p w14:paraId="7E0087EC" w14:textId="735DD9F4" w:rsidR="002F5130" w:rsidRDefault="002F5130" w:rsidP="002F5130">
      <w:pPr>
        <w:pStyle w:val="ListParagraph"/>
        <w:keepNext/>
        <w:keepLines/>
        <w:numPr>
          <w:ilvl w:val="0"/>
          <w:numId w:val="32"/>
        </w:numPr>
        <w:shd w:val="clear" w:color="auto" w:fill="FFFFFF"/>
        <w:spacing w:after="192" w:line="360" w:lineRule="auto"/>
        <w:jc w:val="both"/>
        <w:outlineLvl w:val="0"/>
        <w:rPr>
          <w:rFonts w:eastAsiaTheme="majorEastAsia"/>
          <w:color w:val="000000" w:themeColor="text1"/>
          <w:sz w:val="24"/>
          <w:szCs w:val="24"/>
        </w:rPr>
      </w:pPr>
      <w:r w:rsidRPr="0092790E">
        <w:rPr>
          <w:rFonts w:eastAsiaTheme="majorEastAsia"/>
          <w:color w:val="000000" w:themeColor="text1"/>
          <w:sz w:val="24"/>
          <w:szCs w:val="24"/>
        </w:rPr>
        <w:lastRenderedPageBreak/>
        <w:t>I will start off with the preliminary point of law raised by the Respondent in regard to Rule 18 (8) of the Seychelles Court of Appeal Rules, 2005. It was the submission of the Respondent that the arguments presented by Counsel for the Appellant in support of Ground 1 contravened the said rule. Rule 18 (8) provides that:</w:t>
      </w:r>
    </w:p>
    <w:p w14:paraId="727F6D8F" w14:textId="77777777" w:rsidR="001C3AFC" w:rsidRPr="0092790E" w:rsidRDefault="001C3AFC" w:rsidP="001C3AFC">
      <w:pPr>
        <w:pStyle w:val="ListParagraph"/>
        <w:keepNext/>
        <w:keepLines/>
        <w:shd w:val="clear" w:color="auto" w:fill="FFFFFF"/>
        <w:spacing w:after="192" w:line="360" w:lineRule="auto"/>
        <w:jc w:val="both"/>
        <w:outlineLvl w:val="0"/>
        <w:rPr>
          <w:rFonts w:eastAsiaTheme="majorEastAsia"/>
          <w:color w:val="000000" w:themeColor="text1"/>
          <w:sz w:val="24"/>
          <w:szCs w:val="24"/>
        </w:rPr>
      </w:pPr>
    </w:p>
    <w:p w14:paraId="756B5D65" w14:textId="68E51C74" w:rsidR="002F5130" w:rsidRPr="0092790E" w:rsidRDefault="002F5130" w:rsidP="001C3AFC">
      <w:pPr>
        <w:pStyle w:val="ListParagraph"/>
        <w:spacing w:line="360" w:lineRule="auto"/>
        <w:ind w:left="907" w:right="907"/>
        <w:jc w:val="both"/>
        <w:rPr>
          <w:color w:val="000000" w:themeColor="text1"/>
          <w:sz w:val="24"/>
          <w:szCs w:val="24"/>
          <w:shd w:val="clear" w:color="auto" w:fill="FFFFFF"/>
        </w:rPr>
      </w:pPr>
      <w:r w:rsidRPr="0092790E">
        <w:rPr>
          <w:color w:val="000000" w:themeColor="text1"/>
          <w:sz w:val="24"/>
          <w:szCs w:val="24"/>
          <w:shd w:val="clear" w:color="auto" w:fill="FFFFFF"/>
        </w:rPr>
        <w:t>The appellant shall not without leave of the </w:t>
      </w:r>
      <w:hyperlink r:id="rId14" w:anchor="defn-term-Court" w:history="1">
        <w:r w:rsidRPr="001C3AFC">
          <w:rPr>
            <w:color w:val="000000" w:themeColor="text1"/>
            <w:sz w:val="24"/>
            <w:szCs w:val="24"/>
          </w:rPr>
          <w:t>Court</w:t>
        </w:r>
      </w:hyperlink>
      <w:r w:rsidRPr="0092790E">
        <w:rPr>
          <w:color w:val="000000" w:themeColor="text1"/>
          <w:sz w:val="24"/>
          <w:szCs w:val="24"/>
          <w:shd w:val="clear" w:color="auto" w:fill="FFFFFF"/>
        </w:rPr>
        <w:t> be permitted, on the hearing of that </w:t>
      </w:r>
      <w:hyperlink r:id="rId15" w:anchor="defn-term-appeal" w:history="1">
        <w:r w:rsidRPr="001C3AFC">
          <w:rPr>
            <w:color w:val="000000" w:themeColor="text1"/>
            <w:sz w:val="24"/>
            <w:szCs w:val="24"/>
          </w:rPr>
          <w:t>appeal</w:t>
        </w:r>
      </w:hyperlink>
      <w:r w:rsidRPr="0092790E">
        <w:rPr>
          <w:color w:val="000000" w:themeColor="text1"/>
          <w:sz w:val="24"/>
          <w:szCs w:val="24"/>
          <w:shd w:val="clear" w:color="auto" w:fill="FFFFFF"/>
        </w:rPr>
        <w:t>, to rely on any grounds of </w:t>
      </w:r>
      <w:hyperlink r:id="rId16" w:anchor="defn-term-appeal" w:history="1">
        <w:r w:rsidRPr="001C3AFC">
          <w:rPr>
            <w:color w:val="000000" w:themeColor="text1"/>
            <w:sz w:val="24"/>
            <w:szCs w:val="24"/>
          </w:rPr>
          <w:t>appeal</w:t>
        </w:r>
      </w:hyperlink>
      <w:r w:rsidRPr="001C3AFC">
        <w:rPr>
          <w:color w:val="000000" w:themeColor="text1"/>
          <w:sz w:val="24"/>
          <w:szCs w:val="24"/>
          <w:shd w:val="clear" w:color="auto" w:fill="FFFFFF"/>
        </w:rPr>
        <w:t> </w:t>
      </w:r>
      <w:r w:rsidRPr="0092790E">
        <w:rPr>
          <w:color w:val="000000" w:themeColor="text1"/>
          <w:sz w:val="24"/>
          <w:szCs w:val="24"/>
          <w:shd w:val="clear" w:color="auto" w:fill="FFFFFF"/>
        </w:rPr>
        <w:t>other than those set forth in the notice of </w:t>
      </w:r>
      <w:hyperlink r:id="rId17" w:anchor="defn-term-appeal" w:history="1">
        <w:r w:rsidRPr="001C3AFC">
          <w:rPr>
            <w:color w:val="000000" w:themeColor="text1"/>
            <w:sz w:val="24"/>
            <w:szCs w:val="24"/>
          </w:rPr>
          <w:t>appeal</w:t>
        </w:r>
      </w:hyperlink>
      <w:r w:rsidRPr="0092790E">
        <w:rPr>
          <w:color w:val="000000" w:themeColor="text1"/>
          <w:sz w:val="24"/>
          <w:szCs w:val="24"/>
          <w:shd w:val="clear" w:color="auto" w:fill="FFFFFF"/>
        </w:rPr>
        <w:t>.</w:t>
      </w:r>
    </w:p>
    <w:p w14:paraId="32EAE4DA" w14:textId="77777777" w:rsidR="002F5130" w:rsidRPr="002F5130" w:rsidRDefault="002F5130" w:rsidP="002F5130">
      <w:pPr>
        <w:spacing w:after="0" w:line="360" w:lineRule="auto"/>
        <w:jc w:val="both"/>
        <w:rPr>
          <w:rFonts w:ascii="Times New Roman" w:hAnsi="Times New Roman" w:cs="Times New Roman"/>
          <w:sz w:val="24"/>
          <w:szCs w:val="24"/>
        </w:rPr>
      </w:pPr>
    </w:p>
    <w:p w14:paraId="785A4E17" w14:textId="3C8FC741" w:rsidR="002F5130" w:rsidRDefault="002F5130" w:rsidP="002F5130">
      <w:pPr>
        <w:pStyle w:val="ListParagraph"/>
        <w:numPr>
          <w:ilvl w:val="0"/>
          <w:numId w:val="32"/>
        </w:numPr>
        <w:spacing w:line="360" w:lineRule="auto"/>
        <w:jc w:val="both"/>
        <w:rPr>
          <w:sz w:val="24"/>
          <w:szCs w:val="24"/>
        </w:rPr>
      </w:pPr>
      <w:r w:rsidRPr="002F5130">
        <w:rPr>
          <w:sz w:val="24"/>
          <w:szCs w:val="24"/>
        </w:rPr>
        <w:t>In line with the above rule, case law has firmly established that a party is bound by its pleadings.</w:t>
      </w:r>
      <w:r w:rsidRPr="002F5130">
        <w:rPr>
          <w:vertAlign w:val="superscript"/>
        </w:rPr>
        <w:footnoteReference w:id="3"/>
      </w:r>
      <w:r w:rsidRPr="002F5130">
        <w:rPr>
          <w:sz w:val="24"/>
          <w:szCs w:val="24"/>
        </w:rPr>
        <w:t xml:space="preserve"> </w:t>
      </w:r>
    </w:p>
    <w:p w14:paraId="72DBEDD7" w14:textId="77777777" w:rsidR="002F5130" w:rsidRPr="002F5130" w:rsidRDefault="002F5130" w:rsidP="002F5130">
      <w:pPr>
        <w:pStyle w:val="ListParagraph"/>
        <w:spacing w:line="360" w:lineRule="auto"/>
        <w:jc w:val="both"/>
        <w:rPr>
          <w:sz w:val="24"/>
          <w:szCs w:val="24"/>
        </w:rPr>
      </w:pPr>
    </w:p>
    <w:p w14:paraId="3F0EB5E7" w14:textId="0D71FF80" w:rsidR="002F5130" w:rsidRDefault="002F5130" w:rsidP="002F5130">
      <w:pPr>
        <w:pStyle w:val="ListParagraph"/>
        <w:numPr>
          <w:ilvl w:val="0"/>
          <w:numId w:val="32"/>
        </w:numPr>
        <w:spacing w:before="100" w:beforeAutospacing="1" w:after="100" w:afterAutospacing="1" w:line="360" w:lineRule="auto"/>
        <w:jc w:val="both"/>
        <w:outlineLvl w:val="0"/>
        <w:rPr>
          <w:sz w:val="24"/>
          <w:szCs w:val="24"/>
        </w:rPr>
      </w:pPr>
      <w:r w:rsidRPr="0092790E">
        <w:rPr>
          <w:color w:val="000000" w:themeColor="text1"/>
          <w:sz w:val="24"/>
          <w:szCs w:val="24"/>
        </w:rPr>
        <w:t xml:space="preserve">In arguing Ground 1 Counsel for the Appellant begun by conceding that </w:t>
      </w:r>
      <w:r w:rsidRPr="002F5130">
        <w:rPr>
          <w:sz w:val="24"/>
          <w:szCs w:val="24"/>
        </w:rPr>
        <w:t xml:space="preserve">Article 1370 (2) and case law has done away with doctrine of </w:t>
      </w:r>
      <w:r w:rsidRPr="002F5130">
        <w:rPr>
          <w:i/>
          <w:sz w:val="24"/>
          <w:szCs w:val="24"/>
          <w:lang w:val="fr-BE"/>
        </w:rPr>
        <w:t>non-cumul de la responsabilités contractuelle et délictuelle.</w:t>
      </w:r>
      <w:r w:rsidRPr="002F5130">
        <w:rPr>
          <w:sz w:val="24"/>
          <w:szCs w:val="24"/>
        </w:rPr>
        <w:t xml:space="preserve"> The Appellant conceded that when a contractual relationship exists between parties but the facts give rise to possible claims in either delict and contract, a plaintiff can elect to bring a claim in delict. He also conceded that the law</w:t>
      </w:r>
      <w:r w:rsidRPr="002F5130">
        <w:rPr>
          <w:b/>
          <w:sz w:val="24"/>
          <w:szCs w:val="24"/>
        </w:rPr>
        <w:t xml:space="preserve"> </w:t>
      </w:r>
      <w:r w:rsidRPr="002F5130">
        <w:rPr>
          <w:sz w:val="24"/>
          <w:szCs w:val="24"/>
        </w:rPr>
        <w:t>allows a claim to be brought in the alternative and that a plaintiff can bring a claim in delict and in the alternative, they can claim in contract, as the Respondent in this case had done.</w:t>
      </w:r>
    </w:p>
    <w:p w14:paraId="7B56DCB7" w14:textId="77777777" w:rsidR="002F5130" w:rsidRPr="002F5130" w:rsidRDefault="002F5130" w:rsidP="002F5130">
      <w:pPr>
        <w:pStyle w:val="ListParagraph"/>
        <w:rPr>
          <w:sz w:val="24"/>
          <w:szCs w:val="24"/>
        </w:rPr>
      </w:pPr>
    </w:p>
    <w:p w14:paraId="252ED600" w14:textId="3EA92357" w:rsidR="002F5130" w:rsidRDefault="002F5130" w:rsidP="002F5130">
      <w:pPr>
        <w:pStyle w:val="ListParagraph"/>
        <w:numPr>
          <w:ilvl w:val="0"/>
          <w:numId w:val="32"/>
        </w:numPr>
        <w:spacing w:before="100" w:beforeAutospacing="1" w:after="100" w:afterAutospacing="1" w:line="360" w:lineRule="auto"/>
        <w:jc w:val="both"/>
        <w:outlineLvl w:val="0"/>
        <w:rPr>
          <w:i/>
          <w:sz w:val="24"/>
          <w:szCs w:val="24"/>
          <w:lang w:val="fr-BE"/>
        </w:rPr>
      </w:pPr>
      <w:r w:rsidRPr="002F5130">
        <w:rPr>
          <w:sz w:val="24"/>
          <w:szCs w:val="24"/>
        </w:rPr>
        <w:t xml:space="preserve">The Appellant however went on to argue that as soon as the Respondent chose to pursue his claim against the Appellant through vicarious and not direct liability, the Respondent brought himself back into the ambit of the doctrine of </w:t>
      </w:r>
      <w:r w:rsidRPr="002F5130">
        <w:rPr>
          <w:i/>
          <w:sz w:val="24"/>
          <w:szCs w:val="24"/>
          <w:lang w:val="fr-BE"/>
        </w:rPr>
        <w:t xml:space="preserve">non-cumul de la responsabilités contractuelle et délictuelle. </w:t>
      </w:r>
    </w:p>
    <w:p w14:paraId="09CB6F8D" w14:textId="77777777" w:rsidR="002F5130" w:rsidRPr="002F5130" w:rsidRDefault="002F5130" w:rsidP="002F5130">
      <w:pPr>
        <w:pStyle w:val="ListParagraph"/>
        <w:rPr>
          <w:i/>
          <w:sz w:val="24"/>
          <w:szCs w:val="24"/>
          <w:lang w:val="fr-BE"/>
        </w:rPr>
      </w:pPr>
    </w:p>
    <w:p w14:paraId="4162A35F" w14:textId="0043E19A" w:rsidR="002F5130" w:rsidRDefault="002F5130" w:rsidP="002F5130">
      <w:pPr>
        <w:pStyle w:val="ListParagraph"/>
        <w:numPr>
          <w:ilvl w:val="0"/>
          <w:numId w:val="32"/>
        </w:numPr>
        <w:spacing w:before="100" w:beforeAutospacing="1" w:after="100" w:afterAutospacing="1" w:line="360" w:lineRule="auto"/>
        <w:jc w:val="both"/>
        <w:outlineLvl w:val="0"/>
        <w:rPr>
          <w:sz w:val="24"/>
          <w:szCs w:val="24"/>
          <w:lang w:val="fr-BE"/>
        </w:rPr>
      </w:pPr>
      <w:r w:rsidRPr="002F5130">
        <w:rPr>
          <w:sz w:val="24"/>
          <w:szCs w:val="24"/>
          <w:lang w:val="fr-BE"/>
        </w:rPr>
        <w:t>In reply to the contention of Counsel for the Respondent</w:t>
      </w:r>
      <w:r w:rsidR="009A6EE8">
        <w:rPr>
          <w:sz w:val="24"/>
          <w:szCs w:val="24"/>
          <w:lang w:val="fr-BE"/>
        </w:rPr>
        <w:t xml:space="preserve"> company</w:t>
      </w:r>
      <w:r w:rsidRPr="002F5130">
        <w:rPr>
          <w:sz w:val="24"/>
          <w:szCs w:val="24"/>
          <w:lang w:val="fr-BE"/>
        </w:rPr>
        <w:t xml:space="preserve">, the Appellant’s Counsel stated that he had not gone beyond the limits of ground 1. The essence of his reply was that as a matter of fact, his arguments were merely to support his contention that in the particular circumstances of this case it was necessary for the Respondent to choose whether to proceed in contract or delict. Counsel argued further that in any event, Article 18 (8) had a </w:t>
      </w:r>
      <w:r w:rsidRPr="002F5130">
        <w:rPr>
          <w:sz w:val="24"/>
          <w:szCs w:val="24"/>
          <w:lang w:val="fr-BE"/>
        </w:rPr>
        <w:lastRenderedPageBreak/>
        <w:t>proviso which granted court discretion as follows :</w:t>
      </w:r>
    </w:p>
    <w:p w14:paraId="55659D35" w14:textId="77777777" w:rsidR="00942A20" w:rsidRPr="00942A20" w:rsidRDefault="00942A20" w:rsidP="00942A20">
      <w:pPr>
        <w:pStyle w:val="ListParagraph"/>
        <w:spacing w:before="100" w:beforeAutospacing="1" w:after="100" w:afterAutospacing="1" w:line="360" w:lineRule="auto"/>
        <w:jc w:val="both"/>
        <w:outlineLvl w:val="0"/>
        <w:rPr>
          <w:sz w:val="10"/>
          <w:szCs w:val="10"/>
          <w:lang w:val="fr-BE"/>
        </w:rPr>
      </w:pPr>
    </w:p>
    <w:p w14:paraId="3EE188A9" w14:textId="58676B5E" w:rsidR="002F5130" w:rsidRPr="0092790E" w:rsidRDefault="002F5130" w:rsidP="001C3AFC">
      <w:pPr>
        <w:pStyle w:val="ListParagraph"/>
        <w:spacing w:before="100" w:beforeAutospacing="1" w:after="100" w:afterAutospacing="1" w:line="360" w:lineRule="auto"/>
        <w:ind w:left="907" w:right="907"/>
        <w:jc w:val="both"/>
        <w:outlineLvl w:val="0"/>
        <w:rPr>
          <w:color w:val="000000" w:themeColor="text1"/>
          <w:sz w:val="24"/>
          <w:szCs w:val="24"/>
        </w:rPr>
      </w:pPr>
      <w:r w:rsidRPr="0092790E">
        <w:rPr>
          <w:color w:val="000000" w:themeColor="text1"/>
          <w:sz w:val="24"/>
          <w:szCs w:val="24"/>
        </w:rPr>
        <w:t>18  (8)The appellant shall not without leave of the </w:t>
      </w:r>
      <w:hyperlink r:id="rId18" w:anchor="defn-term-Court" w:history="1">
        <w:r w:rsidRPr="001C3AFC">
          <w:rPr>
            <w:color w:val="000000" w:themeColor="text1"/>
            <w:sz w:val="24"/>
            <w:szCs w:val="24"/>
          </w:rPr>
          <w:t>Court</w:t>
        </w:r>
      </w:hyperlink>
      <w:r w:rsidRPr="0092790E">
        <w:rPr>
          <w:color w:val="000000" w:themeColor="text1"/>
          <w:sz w:val="24"/>
          <w:szCs w:val="24"/>
        </w:rPr>
        <w:t> be permitted, on the hearing of that </w:t>
      </w:r>
      <w:hyperlink r:id="rId19" w:anchor="defn-term-appeal" w:history="1">
        <w:r w:rsidRPr="001C3AFC">
          <w:rPr>
            <w:color w:val="000000" w:themeColor="text1"/>
            <w:sz w:val="24"/>
            <w:szCs w:val="24"/>
          </w:rPr>
          <w:t>appeal</w:t>
        </w:r>
      </w:hyperlink>
      <w:r w:rsidRPr="001C3AFC">
        <w:rPr>
          <w:color w:val="000000" w:themeColor="text1"/>
          <w:sz w:val="24"/>
          <w:szCs w:val="24"/>
        </w:rPr>
        <w:t>,</w:t>
      </w:r>
      <w:r w:rsidRPr="0092790E">
        <w:rPr>
          <w:color w:val="000000" w:themeColor="text1"/>
          <w:sz w:val="24"/>
          <w:szCs w:val="24"/>
        </w:rPr>
        <w:t xml:space="preserve"> to rely on any grounds of </w:t>
      </w:r>
      <w:hyperlink r:id="rId20" w:anchor="defn-term-appeal" w:history="1">
        <w:r w:rsidRPr="001C3AFC">
          <w:rPr>
            <w:color w:val="000000" w:themeColor="text1"/>
            <w:sz w:val="24"/>
            <w:szCs w:val="24"/>
          </w:rPr>
          <w:t>appeal</w:t>
        </w:r>
      </w:hyperlink>
      <w:r w:rsidRPr="001C3AFC">
        <w:rPr>
          <w:color w:val="000000" w:themeColor="text1"/>
          <w:sz w:val="24"/>
          <w:szCs w:val="24"/>
        </w:rPr>
        <w:t> </w:t>
      </w:r>
      <w:r w:rsidRPr="0092790E">
        <w:rPr>
          <w:color w:val="000000" w:themeColor="text1"/>
          <w:sz w:val="24"/>
          <w:szCs w:val="24"/>
        </w:rPr>
        <w:t>other than those set forth in the notice of </w:t>
      </w:r>
      <w:hyperlink r:id="rId21" w:anchor="defn-term-appeal" w:history="1">
        <w:r w:rsidRPr="001C3AFC">
          <w:rPr>
            <w:color w:val="000000" w:themeColor="text1"/>
            <w:sz w:val="24"/>
            <w:szCs w:val="24"/>
          </w:rPr>
          <w:t>appeal</w:t>
        </w:r>
      </w:hyperlink>
      <w:r w:rsidRPr="0092790E">
        <w:rPr>
          <w:color w:val="000000" w:themeColor="text1"/>
          <w:sz w:val="24"/>
          <w:szCs w:val="24"/>
        </w:rPr>
        <w:t>:</w:t>
      </w:r>
    </w:p>
    <w:p w14:paraId="128EE3BF" w14:textId="77777777" w:rsidR="00942A20" w:rsidRPr="0092790E" w:rsidRDefault="00942A20" w:rsidP="001C3AFC">
      <w:pPr>
        <w:pStyle w:val="ListParagraph"/>
        <w:spacing w:before="100" w:beforeAutospacing="1" w:after="100" w:afterAutospacing="1" w:line="360" w:lineRule="auto"/>
        <w:ind w:left="907" w:right="907"/>
        <w:jc w:val="both"/>
        <w:outlineLvl w:val="0"/>
        <w:rPr>
          <w:color w:val="000000" w:themeColor="text1"/>
          <w:sz w:val="16"/>
          <w:szCs w:val="16"/>
        </w:rPr>
      </w:pPr>
    </w:p>
    <w:p w14:paraId="7B79FAB7" w14:textId="1D2950E4" w:rsidR="002F5130" w:rsidRPr="0092790E" w:rsidRDefault="002F5130" w:rsidP="001C3AFC">
      <w:pPr>
        <w:pStyle w:val="ListParagraph"/>
        <w:spacing w:before="100" w:beforeAutospacing="1" w:after="100" w:afterAutospacing="1" w:line="360" w:lineRule="auto"/>
        <w:ind w:left="907" w:right="907"/>
        <w:jc w:val="both"/>
        <w:outlineLvl w:val="0"/>
        <w:rPr>
          <w:color w:val="000000" w:themeColor="text1"/>
          <w:sz w:val="24"/>
          <w:szCs w:val="24"/>
        </w:rPr>
      </w:pPr>
      <w:r w:rsidRPr="0092790E">
        <w:rPr>
          <w:color w:val="000000" w:themeColor="text1"/>
          <w:sz w:val="24"/>
          <w:szCs w:val="24"/>
        </w:rPr>
        <w:t>Provided that nothing in this sub-rule shall restrict the power of the </w:t>
      </w:r>
      <w:hyperlink r:id="rId22" w:anchor="defn-term-Court" w:history="1">
        <w:r w:rsidRPr="001C3AFC">
          <w:rPr>
            <w:color w:val="000000" w:themeColor="text1"/>
            <w:sz w:val="24"/>
            <w:szCs w:val="24"/>
          </w:rPr>
          <w:t>Court</w:t>
        </w:r>
      </w:hyperlink>
      <w:r w:rsidRPr="0092790E">
        <w:rPr>
          <w:color w:val="000000" w:themeColor="text1"/>
          <w:sz w:val="24"/>
          <w:szCs w:val="24"/>
        </w:rPr>
        <w:t> to make such order as the justice of the case may require.</w:t>
      </w:r>
    </w:p>
    <w:p w14:paraId="5510ED67" w14:textId="77777777" w:rsidR="00942A20" w:rsidRPr="0092790E" w:rsidRDefault="00942A20" w:rsidP="00942A20">
      <w:pPr>
        <w:pStyle w:val="ListParagraph"/>
        <w:spacing w:before="100" w:beforeAutospacing="1" w:after="100" w:afterAutospacing="1" w:line="360" w:lineRule="auto"/>
        <w:jc w:val="both"/>
        <w:outlineLvl w:val="0"/>
        <w:rPr>
          <w:color w:val="000000" w:themeColor="text1"/>
          <w:sz w:val="24"/>
          <w:szCs w:val="24"/>
        </w:rPr>
      </w:pPr>
    </w:p>
    <w:p w14:paraId="7BEE3715" w14:textId="48B39D54" w:rsidR="002F5130" w:rsidRPr="0092790E" w:rsidRDefault="002F5130" w:rsidP="001C3AFC">
      <w:pPr>
        <w:pStyle w:val="ListParagraph"/>
        <w:spacing w:before="100" w:beforeAutospacing="1" w:after="100" w:afterAutospacing="1" w:line="360" w:lineRule="auto"/>
        <w:ind w:left="907" w:right="907"/>
        <w:jc w:val="both"/>
        <w:outlineLvl w:val="0"/>
        <w:rPr>
          <w:color w:val="000000" w:themeColor="text1"/>
          <w:sz w:val="24"/>
          <w:szCs w:val="24"/>
        </w:rPr>
      </w:pPr>
      <w:r w:rsidRPr="0092790E">
        <w:rPr>
          <w:color w:val="000000" w:themeColor="text1"/>
          <w:sz w:val="24"/>
          <w:szCs w:val="24"/>
        </w:rPr>
        <w:t>18 (9)Notwithstanding the foregoing provisions, the </w:t>
      </w:r>
      <w:hyperlink r:id="rId23" w:anchor="defn-term-Court" w:history="1">
        <w:r w:rsidRPr="0092790E">
          <w:rPr>
            <w:color w:val="000000" w:themeColor="text1"/>
            <w:sz w:val="24"/>
            <w:szCs w:val="24"/>
            <w:u w:val="single"/>
          </w:rPr>
          <w:t>Court</w:t>
        </w:r>
      </w:hyperlink>
      <w:r w:rsidRPr="0092790E">
        <w:rPr>
          <w:color w:val="000000" w:themeColor="text1"/>
          <w:sz w:val="24"/>
          <w:szCs w:val="24"/>
        </w:rPr>
        <w:t> in deciding the </w:t>
      </w:r>
      <w:hyperlink r:id="rId24" w:anchor="defn-term-appeal" w:history="1">
        <w:r w:rsidRPr="0092790E">
          <w:rPr>
            <w:color w:val="000000" w:themeColor="text1"/>
            <w:sz w:val="24"/>
            <w:szCs w:val="24"/>
            <w:u w:val="single"/>
          </w:rPr>
          <w:t>appeal</w:t>
        </w:r>
      </w:hyperlink>
      <w:r w:rsidRPr="0092790E">
        <w:rPr>
          <w:color w:val="000000" w:themeColor="text1"/>
          <w:sz w:val="24"/>
          <w:szCs w:val="24"/>
        </w:rPr>
        <w:t> shall not be confined to the ground set forth by the appellant:</w:t>
      </w:r>
    </w:p>
    <w:p w14:paraId="08831BDB" w14:textId="77777777" w:rsidR="002F5130" w:rsidRPr="002F5130" w:rsidRDefault="002F5130" w:rsidP="001C3AFC">
      <w:pPr>
        <w:spacing w:before="100" w:beforeAutospacing="1" w:after="100" w:afterAutospacing="1" w:line="360" w:lineRule="auto"/>
        <w:ind w:left="907" w:right="907"/>
        <w:contextualSpacing/>
        <w:jc w:val="both"/>
        <w:outlineLvl w:val="0"/>
        <w:rPr>
          <w:rFonts w:ascii="Times New Roman" w:hAnsi="Times New Roman" w:cs="Times New Roman"/>
          <w:sz w:val="24"/>
          <w:szCs w:val="24"/>
          <w:lang w:val="fr-BE"/>
        </w:rPr>
      </w:pPr>
      <w:r w:rsidRPr="0092790E">
        <w:rPr>
          <w:rFonts w:ascii="Times New Roman" w:hAnsi="Times New Roman" w:cs="Times New Roman"/>
          <w:color w:val="000000" w:themeColor="text1"/>
          <w:sz w:val="24"/>
          <w:szCs w:val="24"/>
        </w:rPr>
        <w:t>Provided that the </w:t>
      </w:r>
      <w:hyperlink r:id="rId25" w:anchor="defn-term-Court" w:history="1">
        <w:r w:rsidRPr="0092790E">
          <w:rPr>
            <w:rFonts w:ascii="Times New Roman" w:hAnsi="Times New Roman" w:cs="Times New Roman"/>
            <w:color w:val="000000" w:themeColor="text1"/>
            <w:sz w:val="24"/>
            <w:szCs w:val="24"/>
            <w:u w:val="single"/>
          </w:rPr>
          <w:t>Court</w:t>
        </w:r>
      </w:hyperlink>
      <w:r w:rsidRPr="0092790E">
        <w:rPr>
          <w:rFonts w:ascii="Times New Roman" w:hAnsi="Times New Roman" w:cs="Times New Roman"/>
          <w:color w:val="000000" w:themeColor="text1"/>
          <w:sz w:val="24"/>
          <w:szCs w:val="24"/>
        </w:rPr>
        <w:t> shall not, if it allows the </w:t>
      </w:r>
      <w:hyperlink r:id="rId26" w:anchor="defn-term-appeal" w:history="1">
        <w:r w:rsidRPr="0092790E">
          <w:rPr>
            <w:rFonts w:ascii="Times New Roman" w:hAnsi="Times New Roman" w:cs="Times New Roman"/>
            <w:color w:val="000000" w:themeColor="text1"/>
            <w:sz w:val="24"/>
            <w:szCs w:val="24"/>
            <w:u w:val="single"/>
          </w:rPr>
          <w:t>appeal</w:t>
        </w:r>
      </w:hyperlink>
      <w:r w:rsidRPr="0092790E">
        <w:rPr>
          <w:rFonts w:ascii="Times New Roman" w:hAnsi="Times New Roman" w:cs="Times New Roman"/>
          <w:color w:val="000000" w:themeColor="text1"/>
          <w:sz w:val="24"/>
          <w:szCs w:val="24"/>
        </w:rPr>
        <w:t xml:space="preserve"> rest </w:t>
      </w:r>
      <w:r w:rsidRPr="002F5130">
        <w:rPr>
          <w:rFonts w:ascii="Times New Roman" w:hAnsi="Times New Roman" w:cs="Times New Roman"/>
          <w:sz w:val="24"/>
          <w:szCs w:val="24"/>
        </w:rPr>
        <w:t>its decision on any ground not set forth by the appellant unless the respondent has had sufficient opportunity of contesting the case on that ground.</w:t>
      </w:r>
    </w:p>
    <w:p w14:paraId="34C07770" w14:textId="06DD1D39" w:rsidR="002F5130" w:rsidRDefault="002F5130" w:rsidP="00942A20">
      <w:pPr>
        <w:pStyle w:val="ListParagraph"/>
        <w:numPr>
          <w:ilvl w:val="0"/>
          <w:numId w:val="32"/>
        </w:numPr>
        <w:spacing w:before="100" w:beforeAutospacing="1" w:after="100" w:afterAutospacing="1" w:line="360" w:lineRule="auto"/>
        <w:jc w:val="both"/>
        <w:outlineLvl w:val="0"/>
        <w:rPr>
          <w:sz w:val="24"/>
          <w:szCs w:val="24"/>
          <w:lang w:val="fr-BE"/>
        </w:rPr>
      </w:pPr>
      <w:r w:rsidRPr="00942A20">
        <w:rPr>
          <w:sz w:val="24"/>
          <w:szCs w:val="24"/>
          <w:lang w:val="fr-BE"/>
        </w:rPr>
        <w:t>Counsel prayed that in the event that his arguments as to the merit of the case did not satisfy the Court, the Court may be pleased to exercise their discretion provided in the proviso to Section 18 (8).</w:t>
      </w:r>
    </w:p>
    <w:p w14:paraId="6BB6BE7D" w14:textId="77777777" w:rsidR="00942A20" w:rsidRPr="00942A20" w:rsidRDefault="00942A20" w:rsidP="00942A20">
      <w:pPr>
        <w:pStyle w:val="ListParagraph"/>
        <w:spacing w:before="100" w:beforeAutospacing="1" w:after="100" w:afterAutospacing="1" w:line="360" w:lineRule="auto"/>
        <w:jc w:val="both"/>
        <w:outlineLvl w:val="0"/>
        <w:rPr>
          <w:sz w:val="24"/>
          <w:szCs w:val="24"/>
          <w:lang w:val="fr-BE"/>
        </w:rPr>
      </w:pPr>
    </w:p>
    <w:p w14:paraId="2587C5A0" w14:textId="71C2489D" w:rsidR="002F5130" w:rsidRDefault="002F5130" w:rsidP="00942A20">
      <w:pPr>
        <w:pStyle w:val="ListParagraph"/>
        <w:numPr>
          <w:ilvl w:val="0"/>
          <w:numId w:val="32"/>
        </w:numPr>
        <w:spacing w:before="100" w:beforeAutospacing="1" w:after="100" w:afterAutospacing="1" w:line="360" w:lineRule="auto"/>
        <w:jc w:val="both"/>
        <w:outlineLvl w:val="0"/>
        <w:rPr>
          <w:sz w:val="24"/>
          <w:szCs w:val="24"/>
          <w:lang w:val="fr-BE"/>
        </w:rPr>
      </w:pPr>
      <w:r w:rsidRPr="00942A20">
        <w:rPr>
          <w:sz w:val="24"/>
          <w:szCs w:val="24"/>
          <w:lang w:val="fr-BE"/>
        </w:rPr>
        <w:t>In reply, the Respondent submitted that Rule 18 (9) dealt with cases where the Court itself raised an issue and was not applicable to the matter before the Court where the Appellant himself was raising a ground not raised in the Notice of Appeal.</w:t>
      </w:r>
    </w:p>
    <w:p w14:paraId="2CEBE314" w14:textId="77777777" w:rsidR="00942A20" w:rsidRPr="00942A20" w:rsidRDefault="00942A20" w:rsidP="00942A20">
      <w:pPr>
        <w:pStyle w:val="ListParagraph"/>
        <w:rPr>
          <w:sz w:val="24"/>
          <w:szCs w:val="24"/>
          <w:lang w:val="fr-BE"/>
        </w:rPr>
      </w:pPr>
    </w:p>
    <w:p w14:paraId="19577E4D" w14:textId="29C09491" w:rsidR="002F5130" w:rsidRPr="00942A20" w:rsidRDefault="002F5130" w:rsidP="00942A20">
      <w:pPr>
        <w:pStyle w:val="ListParagraph"/>
        <w:numPr>
          <w:ilvl w:val="0"/>
          <w:numId w:val="32"/>
        </w:numPr>
        <w:spacing w:before="100" w:beforeAutospacing="1" w:after="100" w:afterAutospacing="1" w:line="360" w:lineRule="auto"/>
        <w:jc w:val="both"/>
        <w:outlineLvl w:val="0"/>
        <w:rPr>
          <w:sz w:val="24"/>
          <w:szCs w:val="24"/>
        </w:rPr>
      </w:pPr>
      <w:r w:rsidRPr="00942A20">
        <w:rPr>
          <w:sz w:val="24"/>
          <w:szCs w:val="24"/>
          <w:lang w:val="fr-BE"/>
        </w:rPr>
        <w:t>I am in agreement with Counsel for the Respondent that the</w:t>
      </w:r>
      <w:r w:rsidRPr="00942A20">
        <w:rPr>
          <w:i/>
          <w:sz w:val="24"/>
          <w:szCs w:val="24"/>
          <w:lang w:val="fr-BE"/>
        </w:rPr>
        <w:t xml:space="preserve"> </w:t>
      </w:r>
      <w:r w:rsidRPr="00942A20">
        <w:rPr>
          <w:sz w:val="24"/>
          <w:szCs w:val="24"/>
          <w:lang w:val="fr-BE"/>
        </w:rPr>
        <w:t>submissions did not speak to the ground as had been formulated. The Court understood the ground to mean that the learned judge was wrong in his decision that the Respondent did not have to make an option. The arguments of Counsel in effect argued a ground not raised in the Notice of Appeal.</w:t>
      </w:r>
      <w:r w:rsidR="001C3AFC">
        <w:rPr>
          <w:sz w:val="24"/>
          <w:szCs w:val="24"/>
          <w:lang w:val="fr-BE"/>
        </w:rPr>
        <w:t xml:space="preserve"> In this, the Appellant contravened Rule 18 (8) and on this basis alone, the Court can dismiss the ground.</w:t>
      </w:r>
    </w:p>
    <w:p w14:paraId="6BFBE847" w14:textId="77777777" w:rsidR="00942A20" w:rsidRPr="00942A20" w:rsidRDefault="00942A20" w:rsidP="00942A20">
      <w:pPr>
        <w:pStyle w:val="ListParagraph"/>
        <w:rPr>
          <w:sz w:val="24"/>
          <w:szCs w:val="24"/>
        </w:rPr>
      </w:pPr>
    </w:p>
    <w:p w14:paraId="7F73076D" w14:textId="65A1C36C" w:rsidR="002F5130" w:rsidRDefault="002F5130" w:rsidP="00942A20">
      <w:pPr>
        <w:pStyle w:val="ListParagraph"/>
        <w:numPr>
          <w:ilvl w:val="0"/>
          <w:numId w:val="32"/>
        </w:numPr>
        <w:spacing w:before="100" w:beforeAutospacing="1" w:after="100" w:afterAutospacing="1" w:line="360" w:lineRule="auto"/>
        <w:jc w:val="both"/>
        <w:outlineLvl w:val="0"/>
        <w:rPr>
          <w:color w:val="FFC000"/>
          <w:sz w:val="24"/>
          <w:szCs w:val="24"/>
        </w:rPr>
      </w:pPr>
      <w:r w:rsidRPr="00942A20">
        <w:rPr>
          <w:sz w:val="24"/>
          <w:szCs w:val="24"/>
        </w:rPr>
        <w:t xml:space="preserve">I </w:t>
      </w:r>
      <w:r w:rsidR="001C3AFC">
        <w:rPr>
          <w:sz w:val="24"/>
          <w:szCs w:val="24"/>
        </w:rPr>
        <w:t xml:space="preserve">nevertheless, </w:t>
      </w:r>
      <w:r w:rsidRPr="00942A20">
        <w:rPr>
          <w:sz w:val="24"/>
          <w:szCs w:val="24"/>
        </w:rPr>
        <w:t>now move on to what would be the merits of the arguments of Counsel.</w:t>
      </w:r>
      <w:r w:rsidRPr="0092790E">
        <w:rPr>
          <w:color w:val="000000" w:themeColor="text1"/>
          <w:sz w:val="24"/>
          <w:szCs w:val="24"/>
        </w:rPr>
        <w:t xml:space="preserve"> It is clear that the argument of Counsel for the Appellant juxtaposes contract on the one hand </w:t>
      </w:r>
      <w:r w:rsidRPr="0092790E">
        <w:rPr>
          <w:color w:val="000000" w:themeColor="text1"/>
          <w:sz w:val="24"/>
          <w:szCs w:val="24"/>
        </w:rPr>
        <w:lastRenderedPageBreak/>
        <w:t xml:space="preserve">with vicarious liability on the other hand rather than contract on the one hand and delict on the other. He then goes to submit that the foundation of the two claims is different and it follows that Article 1370 (2) which did away with the doctrine of </w:t>
      </w:r>
      <w:r w:rsidRPr="0092790E">
        <w:rPr>
          <w:i/>
          <w:color w:val="000000" w:themeColor="text1"/>
          <w:sz w:val="24"/>
          <w:szCs w:val="24"/>
          <w:lang w:val="fr-BE"/>
        </w:rPr>
        <w:t>non-cumul de la responsabilités délictuelle and contractuelle</w:t>
      </w:r>
      <w:r w:rsidRPr="0092790E">
        <w:rPr>
          <w:color w:val="000000" w:themeColor="text1"/>
          <w:sz w:val="24"/>
          <w:szCs w:val="24"/>
          <w:lang w:val="fr-BE"/>
        </w:rPr>
        <w:t xml:space="preserve"> would not apply, </w:t>
      </w:r>
      <w:r w:rsidRPr="0092790E">
        <w:rPr>
          <w:color w:val="000000" w:themeColor="text1"/>
          <w:sz w:val="24"/>
          <w:szCs w:val="24"/>
        </w:rPr>
        <w:t xml:space="preserve">because it only applies where the two causes of action in delict and in contract are based on the same foundation.  </w:t>
      </w:r>
    </w:p>
    <w:p w14:paraId="72BA9160" w14:textId="77777777" w:rsidR="005E4E33" w:rsidRPr="005E4E33" w:rsidRDefault="005E4E33" w:rsidP="005E4E33">
      <w:pPr>
        <w:pStyle w:val="ListParagraph"/>
        <w:rPr>
          <w:color w:val="FFC000"/>
          <w:sz w:val="24"/>
          <w:szCs w:val="24"/>
        </w:rPr>
      </w:pPr>
    </w:p>
    <w:p w14:paraId="034561A8" w14:textId="6C7CC94B" w:rsidR="005E4E33" w:rsidRDefault="005E4E33" w:rsidP="005E4E33">
      <w:pPr>
        <w:tabs>
          <w:tab w:val="left" w:pos="360"/>
        </w:tabs>
        <w:spacing w:before="100" w:beforeAutospacing="1" w:after="100" w:afterAutospacing="1" w:line="360" w:lineRule="auto"/>
        <w:ind w:left="720" w:hanging="720"/>
        <w:contextualSpacing/>
        <w:jc w:val="both"/>
        <w:outlineLvl w:val="0"/>
        <w:rPr>
          <w:rFonts w:ascii="Times New Roman" w:hAnsi="Times New Roman" w:cs="Times New Roman"/>
          <w:color w:val="000000" w:themeColor="text1"/>
          <w:sz w:val="24"/>
          <w:szCs w:val="24"/>
        </w:rPr>
      </w:pPr>
      <w:r>
        <w:rPr>
          <w:color w:val="FFC000"/>
          <w:sz w:val="24"/>
          <w:szCs w:val="24"/>
        </w:rPr>
        <w:t xml:space="preserve">  </w:t>
      </w:r>
      <w:r>
        <w:rPr>
          <w:color w:val="FFC000"/>
          <w:sz w:val="24"/>
          <w:szCs w:val="24"/>
        </w:rPr>
        <w:tab/>
      </w:r>
      <w:r w:rsidRPr="0092790E">
        <w:rPr>
          <w:rFonts w:ascii="Times New Roman" w:hAnsi="Times New Roman" w:cs="Times New Roman"/>
          <w:color w:val="000000" w:themeColor="text1"/>
          <w:sz w:val="24"/>
          <w:szCs w:val="24"/>
        </w:rPr>
        <w:t xml:space="preserve">39.It is my considered view that the interpretation attached to the Article by Counsel for the Appellant is flawed. The word founded must be read together with either contract or delict. The cause of action may be ‘founded’ in contract.  The cause of action may be ‘founded’ in delict. One cannot say that a cause of action is founded in vicarious liability – vicarious liability cannot be referred to as a cause of action. Vicarious liability is but a three party doctrine that permits the extension to employers etc., liabilities for wrongs committed in the course of their duty on behalf of the employer. </w:t>
      </w:r>
      <w:r w:rsidRPr="0092790E">
        <w:rPr>
          <w:rFonts w:ascii="Times New Roman" w:hAnsi="Times New Roman" w:cs="Times New Roman"/>
          <w:color w:val="000000" w:themeColor="text1"/>
          <w:spacing w:val="9"/>
          <w:sz w:val="24"/>
          <w:szCs w:val="24"/>
          <w:shd w:val="clear" w:color="auto" w:fill="FFFFFF"/>
        </w:rPr>
        <w:t>The rationale behind the doctrine of vicarious liability is to provide victims of wrongdoing with an adequate remedy, since the employer is more likely to have the means to adequately compensate the victim, provided there is sufficient connection between the wrong committed and the employment relationship in question.</w:t>
      </w:r>
      <w:r w:rsidRPr="0092790E">
        <w:rPr>
          <w:rFonts w:ascii="Times New Roman" w:hAnsi="Times New Roman" w:cs="Times New Roman"/>
          <w:color w:val="000000" w:themeColor="text1"/>
          <w:sz w:val="24"/>
          <w:szCs w:val="24"/>
        </w:rPr>
        <w:t xml:space="preserve"> In the matter before Court, the Respondent made a choice – to go in for delict. How he proves his claim in delict, whether based on direct or vicarious liability is not regulated by 1370 (3)).</w:t>
      </w:r>
    </w:p>
    <w:p w14:paraId="0A432754" w14:textId="77777777" w:rsidR="001C3AFC" w:rsidRPr="0092790E" w:rsidRDefault="001C3AFC" w:rsidP="005E4E33">
      <w:pPr>
        <w:tabs>
          <w:tab w:val="left" w:pos="360"/>
        </w:tabs>
        <w:spacing w:before="100" w:beforeAutospacing="1" w:after="100" w:afterAutospacing="1" w:line="360" w:lineRule="auto"/>
        <w:ind w:left="720" w:hanging="720"/>
        <w:contextualSpacing/>
        <w:jc w:val="both"/>
        <w:outlineLvl w:val="0"/>
        <w:rPr>
          <w:rFonts w:ascii="Times New Roman" w:hAnsi="Times New Roman" w:cs="Times New Roman"/>
          <w:color w:val="000000" w:themeColor="text1"/>
          <w:sz w:val="24"/>
          <w:szCs w:val="24"/>
        </w:rPr>
      </w:pPr>
    </w:p>
    <w:p w14:paraId="17C00A07" w14:textId="77777777" w:rsidR="005E4E33" w:rsidRPr="0092790E" w:rsidRDefault="005E4E33" w:rsidP="005E4E33">
      <w:pPr>
        <w:spacing w:before="100" w:beforeAutospacing="1" w:after="100" w:afterAutospacing="1" w:line="360" w:lineRule="auto"/>
        <w:ind w:left="720"/>
        <w:contextualSpacing/>
        <w:jc w:val="both"/>
        <w:outlineLvl w:val="0"/>
        <w:rPr>
          <w:rFonts w:ascii="Times New Roman" w:hAnsi="Times New Roman" w:cs="Times New Roman"/>
          <w:color w:val="000000" w:themeColor="text1"/>
          <w:sz w:val="24"/>
          <w:szCs w:val="24"/>
        </w:rPr>
      </w:pPr>
      <w:r w:rsidRPr="0092790E">
        <w:rPr>
          <w:rFonts w:ascii="Times New Roman" w:hAnsi="Times New Roman" w:cs="Times New Roman"/>
          <w:color w:val="000000" w:themeColor="text1"/>
          <w:sz w:val="24"/>
          <w:szCs w:val="24"/>
        </w:rPr>
        <w:t xml:space="preserve">A choice to pursue one’s rights on the basis of vicarious liability does not change the fact that the cause of action is in delict. A cause of action refers to the </w:t>
      </w:r>
      <w:r w:rsidRPr="0092790E">
        <w:rPr>
          <w:rFonts w:ascii="Times New Roman" w:hAnsi="Times New Roman" w:cs="Times New Roman"/>
          <w:color w:val="000000" w:themeColor="text1"/>
          <w:sz w:val="24"/>
          <w:szCs w:val="24"/>
          <w:shd w:val="clear" w:color="auto" w:fill="FFFFFF"/>
        </w:rPr>
        <w:t>facts that enable a person to bring an action against another. A cause of action is </w:t>
      </w:r>
      <w:r w:rsidRPr="0092790E">
        <w:rPr>
          <w:rFonts w:ascii="Times New Roman" w:hAnsi="Times New Roman" w:cs="Times New Roman"/>
          <w:color w:val="000000" w:themeColor="text1"/>
          <w:sz w:val="24"/>
          <w:szCs w:val="24"/>
        </w:rPr>
        <w:t>the technical legal name for the set of facts which give rise to a claim enforceable in court</w:t>
      </w:r>
      <w:r w:rsidRPr="0092790E">
        <w:rPr>
          <w:rFonts w:ascii="Times New Roman" w:hAnsi="Times New Roman" w:cs="Times New Roman"/>
          <w:color w:val="000000" w:themeColor="text1"/>
          <w:sz w:val="24"/>
          <w:szCs w:val="24"/>
          <w:shd w:val="clear" w:color="auto" w:fill="FFFFFF"/>
        </w:rPr>
        <w:t>.</w:t>
      </w:r>
    </w:p>
    <w:p w14:paraId="466C1D34" w14:textId="77777777" w:rsidR="002F5130" w:rsidRPr="002F5130" w:rsidRDefault="002F5130" w:rsidP="002F5130">
      <w:pPr>
        <w:spacing w:after="0" w:line="360" w:lineRule="auto"/>
        <w:jc w:val="both"/>
        <w:rPr>
          <w:rFonts w:ascii="Times New Roman" w:hAnsi="Times New Roman" w:cs="Times New Roman"/>
          <w:sz w:val="24"/>
          <w:szCs w:val="24"/>
        </w:rPr>
      </w:pPr>
    </w:p>
    <w:p w14:paraId="3CA93F90" w14:textId="3EFB500D" w:rsidR="002F5130" w:rsidRPr="002F5130" w:rsidRDefault="005E4E33" w:rsidP="005E4E33">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40.</w:t>
      </w:r>
      <w:r w:rsidR="002F5130" w:rsidRPr="001C3AFC">
        <w:rPr>
          <w:rFonts w:ascii="Times New Roman" w:hAnsi="Times New Roman" w:cs="Times New Roman"/>
          <w:b/>
          <w:sz w:val="24"/>
          <w:szCs w:val="24"/>
        </w:rPr>
        <w:t>In light of the above reasons, ground 1 is dismissed.</w:t>
      </w:r>
      <w:r w:rsidR="002F5130" w:rsidRPr="002F5130">
        <w:rPr>
          <w:rFonts w:ascii="Times New Roman" w:hAnsi="Times New Roman" w:cs="Times New Roman"/>
          <w:sz w:val="24"/>
          <w:szCs w:val="24"/>
        </w:rPr>
        <w:t xml:space="preserve"> </w:t>
      </w:r>
    </w:p>
    <w:p w14:paraId="43F851D3" w14:textId="42212823" w:rsidR="002F5130" w:rsidRDefault="002F5130" w:rsidP="002F5130">
      <w:pPr>
        <w:spacing w:after="0" w:line="360" w:lineRule="auto"/>
        <w:jc w:val="both"/>
        <w:rPr>
          <w:rFonts w:ascii="Times New Roman" w:hAnsi="Times New Roman" w:cs="Times New Roman"/>
          <w:sz w:val="24"/>
          <w:szCs w:val="24"/>
        </w:rPr>
      </w:pPr>
    </w:p>
    <w:p w14:paraId="0D0D923F" w14:textId="77777777" w:rsidR="005E4E33" w:rsidRPr="002F5130" w:rsidRDefault="005E4E33" w:rsidP="002F5130">
      <w:pPr>
        <w:spacing w:after="0" w:line="360" w:lineRule="auto"/>
        <w:jc w:val="both"/>
        <w:rPr>
          <w:rFonts w:ascii="Times New Roman" w:hAnsi="Times New Roman" w:cs="Times New Roman"/>
          <w:sz w:val="24"/>
          <w:szCs w:val="24"/>
        </w:rPr>
      </w:pPr>
    </w:p>
    <w:p w14:paraId="2867F5AD" w14:textId="77777777" w:rsidR="002F5130" w:rsidRPr="002F5130" w:rsidRDefault="002F5130" w:rsidP="0093407D">
      <w:pPr>
        <w:spacing w:before="100" w:beforeAutospacing="1" w:after="100" w:afterAutospacing="1" w:line="360" w:lineRule="auto"/>
        <w:ind w:left="270"/>
        <w:contextualSpacing/>
        <w:jc w:val="both"/>
        <w:outlineLvl w:val="0"/>
        <w:rPr>
          <w:rFonts w:ascii="Times New Roman" w:hAnsi="Times New Roman" w:cs="Times New Roman"/>
          <w:b/>
          <w:sz w:val="24"/>
          <w:szCs w:val="24"/>
        </w:rPr>
      </w:pPr>
      <w:r w:rsidRPr="002F5130">
        <w:rPr>
          <w:rFonts w:ascii="Times New Roman" w:hAnsi="Times New Roman" w:cs="Times New Roman"/>
          <w:b/>
          <w:sz w:val="24"/>
          <w:szCs w:val="24"/>
        </w:rPr>
        <w:t>Ground 2</w:t>
      </w:r>
    </w:p>
    <w:p w14:paraId="3748C883" w14:textId="77777777" w:rsidR="002F5130" w:rsidRPr="002F5130" w:rsidRDefault="002F5130" w:rsidP="0093407D">
      <w:pPr>
        <w:spacing w:before="100" w:beforeAutospacing="1" w:after="100" w:afterAutospacing="1" w:line="360" w:lineRule="auto"/>
        <w:ind w:left="270"/>
        <w:contextualSpacing/>
        <w:jc w:val="both"/>
        <w:outlineLvl w:val="0"/>
        <w:rPr>
          <w:rFonts w:ascii="Times New Roman" w:hAnsi="Times New Roman" w:cs="Times New Roman"/>
          <w:b/>
          <w:sz w:val="24"/>
          <w:szCs w:val="24"/>
        </w:rPr>
      </w:pPr>
    </w:p>
    <w:p w14:paraId="7E411B2F" w14:textId="77777777" w:rsidR="002F5130" w:rsidRPr="002F5130" w:rsidRDefault="002F5130" w:rsidP="0093407D">
      <w:pPr>
        <w:spacing w:before="100" w:beforeAutospacing="1" w:after="100" w:afterAutospacing="1" w:line="360" w:lineRule="auto"/>
        <w:ind w:left="270"/>
        <w:contextualSpacing/>
        <w:jc w:val="both"/>
        <w:outlineLvl w:val="0"/>
        <w:rPr>
          <w:rFonts w:ascii="Times New Roman" w:hAnsi="Times New Roman" w:cs="Times New Roman"/>
          <w:b/>
          <w:sz w:val="24"/>
          <w:szCs w:val="24"/>
        </w:rPr>
      </w:pPr>
      <w:r w:rsidRPr="002F5130">
        <w:rPr>
          <w:rFonts w:ascii="Times New Roman" w:hAnsi="Times New Roman" w:cs="Times New Roman"/>
          <w:b/>
          <w:sz w:val="24"/>
          <w:szCs w:val="24"/>
        </w:rPr>
        <w:lastRenderedPageBreak/>
        <w:t>The learned judge erred in finding that a case had been made out by the Respondent when it is clear the pleadings disclosed both direct and vicarious liability as against the Appellant.</w:t>
      </w:r>
    </w:p>
    <w:p w14:paraId="22BCD2DC" w14:textId="77777777" w:rsidR="002F5130" w:rsidRPr="002F5130" w:rsidRDefault="002F5130" w:rsidP="0093407D">
      <w:pPr>
        <w:spacing w:before="100" w:beforeAutospacing="1" w:after="100" w:afterAutospacing="1" w:line="360" w:lineRule="auto"/>
        <w:ind w:left="270"/>
        <w:contextualSpacing/>
        <w:jc w:val="both"/>
        <w:outlineLvl w:val="0"/>
        <w:rPr>
          <w:rFonts w:ascii="Times New Roman" w:hAnsi="Times New Roman" w:cs="Times New Roman"/>
          <w:b/>
          <w:sz w:val="24"/>
          <w:szCs w:val="24"/>
        </w:rPr>
      </w:pPr>
    </w:p>
    <w:p w14:paraId="40F21445" w14:textId="77777777" w:rsidR="002F5130" w:rsidRPr="002F5130" w:rsidRDefault="002F5130" w:rsidP="0093407D">
      <w:pPr>
        <w:spacing w:before="100" w:beforeAutospacing="1" w:after="100" w:afterAutospacing="1" w:line="360" w:lineRule="auto"/>
        <w:ind w:left="270"/>
        <w:contextualSpacing/>
        <w:jc w:val="both"/>
        <w:outlineLvl w:val="0"/>
        <w:rPr>
          <w:rFonts w:ascii="Times New Roman" w:hAnsi="Times New Roman" w:cs="Times New Roman"/>
          <w:b/>
          <w:sz w:val="24"/>
          <w:szCs w:val="24"/>
        </w:rPr>
      </w:pPr>
      <w:r w:rsidRPr="002F5130">
        <w:rPr>
          <w:rFonts w:ascii="Times New Roman" w:hAnsi="Times New Roman" w:cs="Times New Roman"/>
          <w:b/>
          <w:sz w:val="24"/>
          <w:szCs w:val="24"/>
        </w:rPr>
        <w:t>Appellant’s submissions</w:t>
      </w:r>
    </w:p>
    <w:p w14:paraId="22006672" w14:textId="77777777" w:rsidR="002F5130" w:rsidRPr="002F5130" w:rsidRDefault="002F5130" w:rsidP="0093407D">
      <w:pPr>
        <w:spacing w:before="100" w:beforeAutospacing="1" w:after="100" w:afterAutospacing="1" w:line="360" w:lineRule="auto"/>
        <w:ind w:left="270"/>
        <w:contextualSpacing/>
        <w:jc w:val="both"/>
        <w:outlineLvl w:val="0"/>
        <w:rPr>
          <w:rFonts w:ascii="Times New Roman" w:hAnsi="Times New Roman" w:cs="Times New Roman"/>
          <w:b/>
          <w:sz w:val="24"/>
          <w:szCs w:val="24"/>
        </w:rPr>
      </w:pPr>
    </w:p>
    <w:p w14:paraId="7C81CA21" w14:textId="7C04C71D" w:rsidR="002F5130" w:rsidRPr="002F5130" w:rsidRDefault="005E4E33" w:rsidP="0093407D">
      <w:pPr>
        <w:spacing w:before="100" w:beforeAutospacing="1" w:after="100" w:afterAutospacing="1" w:line="360" w:lineRule="auto"/>
        <w:ind w:left="540" w:hanging="270"/>
        <w:contextualSpacing/>
        <w:jc w:val="both"/>
        <w:outlineLvl w:val="0"/>
        <w:rPr>
          <w:rFonts w:ascii="Times New Roman" w:hAnsi="Times New Roman" w:cs="Times New Roman"/>
          <w:sz w:val="24"/>
          <w:szCs w:val="24"/>
        </w:rPr>
      </w:pPr>
      <w:r>
        <w:rPr>
          <w:rFonts w:ascii="Times New Roman" w:hAnsi="Times New Roman" w:cs="Times New Roman"/>
          <w:color w:val="222222"/>
          <w:sz w:val="24"/>
          <w:szCs w:val="24"/>
        </w:rPr>
        <w:t>41.</w:t>
      </w:r>
      <w:r w:rsidR="002F5130" w:rsidRPr="002F5130">
        <w:rPr>
          <w:rFonts w:ascii="Times New Roman" w:hAnsi="Times New Roman" w:cs="Times New Roman"/>
          <w:color w:val="222222"/>
          <w:sz w:val="24"/>
          <w:szCs w:val="24"/>
        </w:rPr>
        <w:t>For this ground, the appellant's counsel submitted that a plaint must specify clearly in what capacity a person is</w:t>
      </w:r>
      <w:r w:rsidR="002F5130" w:rsidRPr="002F5130">
        <w:rPr>
          <w:rFonts w:ascii="Times New Roman" w:hAnsi="Times New Roman" w:cs="Times New Roman"/>
          <w:sz w:val="24"/>
          <w:szCs w:val="24"/>
        </w:rPr>
        <w:t xml:space="preserve"> </w:t>
      </w:r>
      <w:r w:rsidR="002F5130" w:rsidRPr="002F5130">
        <w:rPr>
          <w:rFonts w:ascii="Times New Roman" w:hAnsi="Times New Roman" w:cs="Times New Roman"/>
          <w:color w:val="222222"/>
          <w:sz w:val="24"/>
          <w:szCs w:val="24"/>
        </w:rPr>
        <w:t>being sued in delict whether in personal capacity as the perpetrator of a fault, or</w:t>
      </w:r>
      <w:r w:rsidR="002F5130" w:rsidRPr="002F5130">
        <w:rPr>
          <w:rFonts w:ascii="Times New Roman" w:hAnsi="Times New Roman" w:cs="Times New Roman"/>
          <w:sz w:val="24"/>
          <w:szCs w:val="24"/>
        </w:rPr>
        <w:t xml:space="preserve"> </w:t>
      </w:r>
      <w:r w:rsidR="002F5130" w:rsidRPr="002F5130">
        <w:rPr>
          <w:rFonts w:ascii="Times New Roman" w:hAnsi="Times New Roman" w:cs="Times New Roman"/>
          <w:color w:val="222222"/>
          <w:sz w:val="24"/>
          <w:szCs w:val="24"/>
        </w:rPr>
        <w:t>vicariously for the fault of another for whose actions the principal is responsible. The first action lies under article 1382 of the Civil Code; the second under article 1384.</w:t>
      </w:r>
    </w:p>
    <w:p w14:paraId="1A344D00" w14:textId="77777777" w:rsidR="002F5130" w:rsidRPr="002F5130" w:rsidRDefault="002F5130" w:rsidP="0093407D">
      <w:pPr>
        <w:spacing w:before="100" w:beforeAutospacing="1" w:after="100" w:afterAutospacing="1" w:line="360" w:lineRule="auto"/>
        <w:ind w:left="270"/>
        <w:contextualSpacing/>
        <w:jc w:val="both"/>
        <w:outlineLvl w:val="0"/>
        <w:rPr>
          <w:rFonts w:ascii="Times New Roman" w:hAnsi="Times New Roman" w:cs="Times New Roman"/>
          <w:sz w:val="24"/>
          <w:szCs w:val="24"/>
        </w:rPr>
      </w:pPr>
    </w:p>
    <w:p w14:paraId="637AB9F6" w14:textId="0D493083" w:rsidR="002F5130" w:rsidRPr="002F5130" w:rsidRDefault="005E4E33" w:rsidP="003A1F8A">
      <w:pPr>
        <w:spacing w:before="100" w:beforeAutospacing="1" w:after="100" w:afterAutospacing="1" w:line="360" w:lineRule="auto"/>
        <w:ind w:left="630" w:hanging="360"/>
        <w:contextualSpacing/>
        <w:jc w:val="both"/>
        <w:outlineLvl w:val="0"/>
        <w:rPr>
          <w:rFonts w:ascii="Times New Roman" w:hAnsi="Times New Roman" w:cs="Times New Roman"/>
          <w:sz w:val="24"/>
          <w:szCs w:val="24"/>
        </w:rPr>
      </w:pPr>
      <w:r>
        <w:rPr>
          <w:rFonts w:ascii="Times New Roman" w:hAnsi="Times New Roman" w:cs="Times New Roman"/>
          <w:color w:val="222222"/>
          <w:sz w:val="24"/>
          <w:szCs w:val="24"/>
        </w:rPr>
        <w:t>42.</w:t>
      </w:r>
      <w:r w:rsidR="002F5130" w:rsidRPr="002F5130">
        <w:rPr>
          <w:rFonts w:ascii="Times New Roman" w:hAnsi="Times New Roman" w:cs="Times New Roman"/>
          <w:color w:val="222222"/>
          <w:sz w:val="24"/>
          <w:szCs w:val="24"/>
        </w:rPr>
        <w:t>That the distinction is to enable the Appellant to know what case it is</w:t>
      </w:r>
      <w:r w:rsidR="002F5130" w:rsidRPr="002F5130">
        <w:rPr>
          <w:rFonts w:ascii="Times New Roman" w:hAnsi="Times New Roman" w:cs="Times New Roman"/>
          <w:sz w:val="24"/>
          <w:szCs w:val="24"/>
        </w:rPr>
        <w:t xml:space="preserve"> </w:t>
      </w:r>
      <w:r w:rsidR="002F5130" w:rsidRPr="002F5130">
        <w:rPr>
          <w:rFonts w:ascii="Times New Roman" w:hAnsi="Times New Roman" w:cs="Times New Roman"/>
          <w:color w:val="222222"/>
          <w:sz w:val="24"/>
          <w:szCs w:val="24"/>
        </w:rPr>
        <w:t xml:space="preserve">to meet. </w:t>
      </w:r>
      <w:r w:rsidR="00313EF9">
        <w:rPr>
          <w:rFonts w:ascii="Times New Roman" w:hAnsi="Times New Roman" w:cs="Times New Roman"/>
          <w:color w:val="222222"/>
          <w:sz w:val="24"/>
          <w:szCs w:val="24"/>
        </w:rPr>
        <w:t xml:space="preserve">Counsel extensively quoted the holding </w:t>
      </w:r>
      <w:r w:rsidR="002F5130" w:rsidRPr="002F5130">
        <w:rPr>
          <w:rFonts w:ascii="Times New Roman" w:hAnsi="Times New Roman" w:cs="Times New Roman"/>
          <w:color w:val="222222"/>
          <w:sz w:val="24"/>
          <w:szCs w:val="24"/>
        </w:rPr>
        <w:t xml:space="preserve">in </w:t>
      </w:r>
      <w:r w:rsidR="002F5130" w:rsidRPr="002F5130">
        <w:rPr>
          <w:rFonts w:ascii="Times New Roman" w:hAnsi="Times New Roman" w:cs="Times New Roman"/>
          <w:b/>
          <w:color w:val="222222"/>
          <w:sz w:val="24"/>
          <w:szCs w:val="24"/>
        </w:rPr>
        <w:t>Confait v Mathurin</w:t>
      </w:r>
      <w:r w:rsidR="002F5130" w:rsidRPr="002F5130">
        <w:rPr>
          <w:rFonts w:ascii="Times New Roman" w:hAnsi="Times New Roman" w:cs="Times New Roman"/>
          <w:b/>
          <w:color w:val="222222"/>
          <w:sz w:val="24"/>
          <w:szCs w:val="24"/>
          <w:vertAlign w:val="superscript"/>
        </w:rPr>
        <w:footnoteReference w:id="4"/>
      </w:r>
      <w:r w:rsidR="002F5130" w:rsidRPr="002F5130">
        <w:rPr>
          <w:rFonts w:ascii="Times New Roman" w:hAnsi="Times New Roman" w:cs="Times New Roman"/>
          <w:color w:val="222222"/>
          <w:sz w:val="24"/>
          <w:szCs w:val="24"/>
        </w:rPr>
        <w:t xml:space="preserve"> </w:t>
      </w:r>
      <w:r w:rsidR="00313EF9">
        <w:rPr>
          <w:rFonts w:ascii="Times New Roman" w:hAnsi="Times New Roman" w:cs="Times New Roman"/>
          <w:color w:val="222222"/>
          <w:sz w:val="24"/>
          <w:szCs w:val="24"/>
        </w:rPr>
        <w:t xml:space="preserve">where </w:t>
      </w:r>
      <w:r w:rsidR="002F5130" w:rsidRPr="002F5130">
        <w:rPr>
          <w:rFonts w:ascii="Times New Roman" w:hAnsi="Times New Roman" w:cs="Times New Roman"/>
          <w:color w:val="222222"/>
          <w:sz w:val="24"/>
          <w:szCs w:val="24"/>
        </w:rPr>
        <w:t>this court stated that:</w:t>
      </w:r>
    </w:p>
    <w:p w14:paraId="763CFEB6" w14:textId="77777777" w:rsidR="002F5130" w:rsidRPr="002F5130" w:rsidRDefault="002F5130" w:rsidP="0093407D">
      <w:pPr>
        <w:shd w:val="clear" w:color="auto" w:fill="FFFFFF"/>
        <w:spacing w:after="0" w:line="360" w:lineRule="auto"/>
        <w:ind w:left="630"/>
        <w:contextualSpacing/>
        <w:jc w:val="both"/>
        <w:rPr>
          <w:rFonts w:ascii="Times New Roman" w:hAnsi="Times New Roman" w:cs="Times New Roman"/>
          <w:color w:val="222222"/>
          <w:sz w:val="24"/>
          <w:szCs w:val="24"/>
        </w:rPr>
      </w:pPr>
      <w:r w:rsidRPr="002F5130">
        <w:rPr>
          <w:rFonts w:ascii="Times New Roman" w:hAnsi="Times New Roman" w:cs="Times New Roman"/>
          <w:color w:val="222222"/>
          <w:sz w:val="24"/>
          <w:szCs w:val="24"/>
        </w:rPr>
        <w:t>"</w:t>
      </w:r>
      <w:r w:rsidRPr="002F5130">
        <w:rPr>
          <w:rFonts w:ascii="Times New Roman" w:hAnsi="Times New Roman" w:cs="Times New Roman"/>
          <w:i/>
          <w:iCs/>
          <w:color w:val="222222"/>
          <w:sz w:val="24"/>
          <w:szCs w:val="24"/>
        </w:rPr>
        <w:t>Where a party claims damages against another for damage caused him by an act, he must state in his pleading where the damage is caused by the act of the other person himself or by the act of a person for whom he is responsible. By Article 1384 of the Civil Code a person is responsible for the damage which is caused by his own act or by the act of persons for whom he responsible. The cases in which one person must answer for the acts of another are specified... where a party avers that the liability is based on the act of the other party himself, he should not set up a case at the trial based on liability for the act of a person for whom he is responsible. Where the case of the Respondent is that the Defendant is sued for the act of a person for whom the Defendant is responsible, the Plaintiff must aver by his pleadings and prove the relationship which gives rise to such liability unless such is admitted."</w:t>
      </w:r>
    </w:p>
    <w:p w14:paraId="1D047EFC" w14:textId="77777777" w:rsidR="002F5130" w:rsidRPr="002F5130" w:rsidRDefault="002F5130" w:rsidP="0093407D">
      <w:pPr>
        <w:spacing w:line="360" w:lineRule="auto"/>
        <w:ind w:left="270"/>
        <w:contextualSpacing/>
        <w:jc w:val="both"/>
        <w:rPr>
          <w:rFonts w:ascii="Times New Roman" w:hAnsi="Times New Roman" w:cs="Times New Roman"/>
          <w:sz w:val="24"/>
          <w:szCs w:val="24"/>
        </w:rPr>
      </w:pPr>
    </w:p>
    <w:p w14:paraId="50884E8E" w14:textId="5D148E3F" w:rsidR="002F5130" w:rsidRPr="002F5130" w:rsidRDefault="005E4E33" w:rsidP="003A1F8A">
      <w:pPr>
        <w:spacing w:before="100" w:beforeAutospacing="1" w:after="100" w:afterAutospacing="1" w:line="360" w:lineRule="auto"/>
        <w:ind w:left="630" w:hanging="360"/>
        <w:contextualSpacing/>
        <w:jc w:val="both"/>
        <w:outlineLvl w:val="0"/>
        <w:rPr>
          <w:rFonts w:ascii="Times New Roman" w:hAnsi="Times New Roman" w:cs="Times New Roman"/>
          <w:sz w:val="24"/>
          <w:szCs w:val="24"/>
        </w:rPr>
      </w:pPr>
      <w:r>
        <w:rPr>
          <w:rFonts w:ascii="Times New Roman" w:hAnsi="Times New Roman" w:cs="Times New Roman"/>
          <w:color w:val="222222"/>
          <w:sz w:val="24"/>
          <w:szCs w:val="24"/>
        </w:rPr>
        <w:t>43.</w:t>
      </w:r>
      <w:r w:rsidR="002F5130" w:rsidRPr="002F5130">
        <w:rPr>
          <w:rFonts w:ascii="Times New Roman" w:hAnsi="Times New Roman" w:cs="Times New Roman"/>
          <w:color w:val="222222"/>
          <w:sz w:val="24"/>
          <w:szCs w:val="24"/>
        </w:rPr>
        <w:t>Counsel contended that agents of the Appellant could not, by the nature of the law of agency, have been employed by the Defendant (and thus would not come into the ambit of article 1384(3)).</w:t>
      </w:r>
    </w:p>
    <w:p w14:paraId="183A8298" w14:textId="2E3DCBF6" w:rsidR="002F5130" w:rsidRDefault="005E4E33" w:rsidP="003A1F8A">
      <w:pPr>
        <w:spacing w:before="100" w:beforeAutospacing="1" w:after="100" w:afterAutospacing="1" w:line="360" w:lineRule="auto"/>
        <w:ind w:left="630" w:hanging="360"/>
        <w:contextualSpacing/>
        <w:jc w:val="both"/>
        <w:outlineLvl w:val="0"/>
        <w:rPr>
          <w:rFonts w:ascii="Times New Roman" w:hAnsi="Times New Roman" w:cs="Times New Roman"/>
          <w:color w:val="222222"/>
          <w:sz w:val="24"/>
          <w:szCs w:val="24"/>
        </w:rPr>
      </w:pPr>
      <w:r>
        <w:rPr>
          <w:rFonts w:ascii="Times New Roman" w:hAnsi="Times New Roman" w:cs="Times New Roman"/>
          <w:color w:val="222222"/>
          <w:sz w:val="24"/>
          <w:szCs w:val="24"/>
        </w:rPr>
        <w:t>44.</w:t>
      </w:r>
      <w:r w:rsidR="002F5130" w:rsidRPr="002F5130">
        <w:rPr>
          <w:rFonts w:ascii="Times New Roman" w:hAnsi="Times New Roman" w:cs="Times New Roman"/>
          <w:color w:val="222222"/>
          <w:sz w:val="24"/>
          <w:szCs w:val="24"/>
        </w:rPr>
        <w:t xml:space="preserve">That as none of the persons was identified by name or by occupation and allocation of duties within the contract signed by the parties. And yet Article 1384(3) as well as 1384(2) and (4) </w:t>
      </w:r>
      <w:r w:rsidR="002F5130" w:rsidRPr="002F5130">
        <w:rPr>
          <w:rFonts w:ascii="Times New Roman" w:hAnsi="Times New Roman" w:cs="Times New Roman"/>
          <w:color w:val="222222"/>
          <w:sz w:val="24"/>
          <w:szCs w:val="24"/>
        </w:rPr>
        <w:lastRenderedPageBreak/>
        <w:t xml:space="preserve">of the Code apply strictly to three categories of relationships i.e. employer-employees, parents- children and teachers- pupils. On the other hand, under Article 1384(1), the </w:t>
      </w:r>
      <w:r w:rsidR="002F5130" w:rsidRPr="002F5130">
        <w:rPr>
          <w:rFonts w:ascii="Times New Roman" w:hAnsi="Times New Roman" w:cs="Times New Roman"/>
          <w:i/>
          <w:color w:val="222222"/>
          <w:sz w:val="24"/>
          <w:szCs w:val="24"/>
        </w:rPr>
        <w:t>lien de</w:t>
      </w:r>
      <w:r w:rsidR="002F5130" w:rsidRPr="002F5130">
        <w:rPr>
          <w:rFonts w:ascii="Times New Roman" w:hAnsi="Times New Roman" w:cs="Times New Roman"/>
          <w:i/>
          <w:sz w:val="24"/>
          <w:szCs w:val="24"/>
        </w:rPr>
        <w:t xml:space="preserve"> </w:t>
      </w:r>
      <w:r w:rsidR="002F5130" w:rsidRPr="002F5130">
        <w:rPr>
          <w:rFonts w:ascii="Times New Roman" w:hAnsi="Times New Roman" w:cs="Times New Roman"/>
          <w:i/>
          <w:color w:val="222222"/>
          <w:sz w:val="24"/>
          <w:szCs w:val="24"/>
        </w:rPr>
        <w:t>subordination</w:t>
      </w:r>
      <w:r w:rsidR="002F5130" w:rsidRPr="002F5130">
        <w:rPr>
          <w:rFonts w:ascii="Times New Roman" w:hAnsi="Times New Roman" w:cs="Times New Roman"/>
          <w:color w:val="222222"/>
          <w:sz w:val="24"/>
          <w:szCs w:val="24"/>
        </w:rPr>
        <w:t xml:space="preserve"> has to be established between a principal and the person</w:t>
      </w:r>
      <w:r w:rsidR="002F5130" w:rsidRPr="002F5130">
        <w:rPr>
          <w:rFonts w:ascii="Times New Roman" w:hAnsi="Times New Roman" w:cs="Times New Roman"/>
          <w:sz w:val="24"/>
          <w:szCs w:val="24"/>
        </w:rPr>
        <w:t xml:space="preserve"> </w:t>
      </w:r>
      <w:r w:rsidR="002F5130" w:rsidRPr="002F5130">
        <w:rPr>
          <w:rFonts w:ascii="Times New Roman" w:hAnsi="Times New Roman" w:cs="Times New Roman"/>
          <w:color w:val="222222"/>
          <w:sz w:val="24"/>
          <w:szCs w:val="24"/>
        </w:rPr>
        <w:t xml:space="preserve">for whom he is responsible (the préposé). </w:t>
      </w:r>
    </w:p>
    <w:p w14:paraId="13C66221" w14:textId="77777777" w:rsidR="005E4E33" w:rsidRPr="002F5130" w:rsidRDefault="005E4E33" w:rsidP="003A1F8A">
      <w:pPr>
        <w:spacing w:before="100" w:beforeAutospacing="1" w:after="100" w:afterAutospacing="1" w:line="360" w:lineRule="auto"/>
        <w:ind w:left="270" w:hanging="360"/>
        <w:contextualSpacing/>
        <w:jc w:val="both"/>
        <w:outlineLvl w:val="0"/>
        <w:rPr>
          <w:rFonts w:ascii="Times New Roman" w:hAnsi="Times New Roman" w:cs="Times New Roman"/>
          <w:sz w:val="24"/>
          <w:szCs w:val="24"/>
        </w:rPr>
      </w:pPr>
    </w:p>
    <w:p w14:paraId="17B0AF01" w14:textId="258D65E6" w:rsidR="002F5130" w:rsidRPr="002F5130" w:rsidRDefault="005E4E33" w:rsidP="003A1F8A">
      <w:pPr>
        <w:spacing w:before="100" w:beforeAutospacing="1" w:after="100" w:afterAutospacing="1" w:line="360" w:lineRule="auto"/>
        <w:ind w:left="630" w:hanging="360"/>
        <w:contextualSpacing/>
        <w:jc w:val="both"/>
        <w:outlineLvl w:val="0"/>
        <w:rPr>
          <w:rFonts w:ascii="Times New Roman" w:hAnsi="Times New Roman" w:cs="Times New Roman"/>
          <w:sz w:val="24"/>
          <w:szCs w:val="24"/>
        </w:rPr>
      </w:pPr>
      <w:r>
        <w:rPr>
          <w:rFonts w:ascii="Times New Roman" w:hAnsi="Times New Roman" w:cs="Times New Roman"/>
          <w:color w:val="222222"/>
          <w:sz w:val="24"/>
          <w:szCs w:val="24"/>
        </w:rPr>
        <w:t>45.</w:t>
      </w:r>
      <w:r w:rsidR="002F5130" w:rsidRPr="002F5130">
        <w:rPr>
          <w:rFonts w:ascii="Times New Roman" w:hAnsi="Times New Roman" w:cs="Times New Roman"/>
          <w:color w:val="222222"/>
          <w:sz w:val="24"/>
          <w:szCs w:val="24"/>
        </w:rPr>
        <w:t>Counsel submitted that the plaint did not define the nature of relationship between the people who carried out the alleged faulty installation and the Appellant. That since the plaint lumped together all the categories, this rendered it impossible for the Appellant to know which persons it is accused of being responsible for as employees, and which not (presumably as preposes)</w:t>
      </w:r>
    </w:p>
    <w:p w14:paraId="70366C29" w14:textId="77777777" w:rsidR="002F5130" w:rsidRPr="002F5130" w:rsidRDefault="002F5130" w:rsidP="003A1F8A">
      <w:pPr>
        <w:spacing w:before="100" w:beforeAutospacing="1" w:after="100" w:afterAutospacing="1" w:line="360" w:lineRule="auto"/>
        <w:ind w:left="630" w:hanging="360"/>
        <w:contextualSpacing/>
        <w:jc w:val="both"/>
        <w:outlineLvl w:val="0"/>
        <w:rPr>
          <w:rFonts w:ascii="Times New Roman" w:hAnsi="Times New Roman" w:cs="Times New Roman"/>
          <w:sz w:val="24"/>
          <w:szCs w:val="24"/>
        </w:rPr>
      </w:pPr>
    </w:p>
    <w:p w14:paraId="72E066F0" w14:textId="5497A872" w:rsidR="002F5130" w:rsidRPr="002F5130" w:rsidRDefault="005E4E33" w:rsidP="003A1F8A">
      <w:pPr>
        <w:spacing w:before="100" w:beforeAutospacing="1" w:after="100" w:afterAutospacing="1" w:line="360" w:lineRule="auto"/>
        <w:ind w:left="630" w:hanging="360"/>
        <w:contextualSpacing/>
        <w:jc w:val="both"/>
        <w:outlineLvl w:val="0"/>
        <w:rPr>
          <w:rFonts w:ascii="Times New Roman" w:hAnsi="Times New Roman" w:cs="Times New Roman"/>
          <w:sz w:val="24"/>
          <w:szCs w:val="24"/>
        </w:rPr>
      </w:pPr>
      <w:r>
        <w:rPr>
          <w:rFonts w:ascii="Times New Roman" w:hAnsi="Times New Roman" w:cs="Times New Roman"/>
          <w:color w:val="222222"/>
          <w:sz w:val="24"/>
          <w:szCs w:val="24"/>
        </w:rPr>
        <w:t>46.</w:t>
      </w:r>
      <w:r w:rsidR="002F5130" w:rsidRPr="002F5130">
        <w:rPr>
          <w:rFonts w:ascii="Times New Roman" w:hAnsi="Times New Roman" w:cs="Times New Roman"/>
          <w:color w:val="222222"/>
          <w:sz w:val="24"/>
          <w:szCs w:val="24"/>
        </w:rPr>
        <w:t>That it was nowhere clearly pleaded what the link is between the Appellant and the various persons for whom it is alleged to be responsible for. It is nowhere pleaded in what capacity the Defendant is responsible for each of the various persons in the execution of the contract.</w:t>
      </w:r>
    </w:p>
    <w:p w14:paraId="25DA03BE" w14:textId="77777777" w:rsidR="002F5130" w:rsidRPr="002F5130" w:rsidRDefault="002F5130" w:rsidP="003A1F8A">
      <w:pPr>
        <w:spacing w:before="100" w:beforeAutospacing="1" w:after="100" w:afterAutospacing="1" w:line="360" w:lineRule="auto"/>
        <w:ind w:left="630" w:hanging="360"/>
        <w:contextualSpacing/>
        <w:jc w:val="both"/>
        <w:outlineLvl w:val="0"/>
        <w:rPr>
          <w:rFonts w:ascii="Times New Roman" w:hAnsi="Times New Roman" w:cs="Times New Roman"/>
          <w:sz w:val="24"/>
          <w:szCs w:val="24"/>
        </w:rPr>
      </w:pPr>
    </w:p>
    <w:p w14:paraId="37CE61EC" w14:textId="3B1FDD21" w:rsidR="002F5130" w:rsidRPr="002F5130" w:rsidRDefault="005E4E33" w:rsidP="003A1F8A">
      <w:pPr>
        <w:spacing w:before="100" w:beforeAutospacing="1" w:after="100" w:afterAutospacing="1" w:line="360" w:lineRule="auto"/>
        <w:ind w:left="630" w:hanging="360"/>
        <w:contextualSpacing/>
        <w:jc w:val="both"/>
        <w:outlineLvl w:val="0"/>
        <w:rPr>
          <w:rFonts w:ascii="Times New Roman" w:hAnsi="Times New Roman" w:cs="Times New Roman"/>
          <w:sz w:val="24"/>
          <w:szCs w:val="24"/>
        </w:rPr>
      </w:pPr>
      <w:r>
        <w:rPr>
          <w:rFonts w:ascii="Times New Roman" w:hAnsi="Times New Roman" w:cs="Times New Roman"/>
          <w:color w:val="222222"/>
          <w:sz w:val="24"/>
          <w:szCs w:val="24"/>
        </w:rPr>
        <w:t>47.</w:t>
      </w:r>
      <w:r w:rsidR="002F5130" w:rsidRPr="002F5130">
        <w:rPr>
          <w:rFonts w:ascii="Times New Roman" w:hAnsi="Times New Roman" w:cs="Times New Roman"/>
          <w:color w:val="222222"/>
          <w:sz w:val="24"/>
          <w:szCs w:val="24"/>
        </w:rPr>
        <w:t xml:space="preserve">That whilst it is not absolutely necessary to identify a person for whom another is alleged to be vicariously liable, a pleading aimed in a scattershot manner at making a number of unidentified persons, each of whom may have had specific duties over a long contractual period, falls foul of the principle enunciated by this Court in </w:t>
      </w:r>
      <w:r w:rsidR="002F5130" w:rsidRPr="00514E0E">
        <w:rPr>
          <w:rFonts w:ascii="Times New Roman" w:hAnsi="Times New Roman" w:cs="Times New Roman"/>
          <w:b/>
          <w:color w:val="222222"/>
          <w:sz w:val="24"/>
          <w:szCs w:val="24"/>
        </w:rPr>
        <w:t>Confait v Mathurin,</w:t>
      </w:r>
      <w:r w:rsidR="002F5130" w:rsidRPr="002F5130">
        <w:rPr>
          <w:rFonts w:ascii="Times New Roman" w:hAnsi="Times New Roman" w:cs="Times New Roman"/>
          <w:color w:val="222222"/>
          <w:sz w:val="24"/>
          <w:szCs w:val="24"/>
        </w:rPr>
        <w:t xml:space="preserve"> that acts of a person in a vicarious liability case must be clearly and distinctly set out.</w:t>
      </w:r>
    </w:p>
    <w:p w14:paraId="038F62AB" w14:textId="77777777" w:rsidR="002F5130" w:rsidRPr="0093407D" w:rsidRDefault="002F5130" w:rsidP="003A1F8A">
      <w:pPr>
        <w:spacing w:line="360" w:lineRule="auto"/>
        <w:ind w:left="630" w:hanging="360"/>
        <w:jc w:val="both"/>
        <w:rPr>
          <w:rFonts w:ascii="Times New Roman" w:hAnsi="Times New Roman" w:cs="Times New Roman"/>
          <w:color w:val="222222"/>
          <w:sz w:val="16"/>
          <w:szCs w:val="16"/>
        </w:rPr>
      </w:pPr>
    </w:p>
    <w:p w14:paraId="2EC8FBFC" w14:textId="6094DFDE" w:rsidR="002F5130" w:rsidRPr="002F5130" w:rsidRDefault="005E4E33" w:rsidP="003A1F8A">
      <w:pPr>
        <w:spacing w:before="100" w:beforeAutospacing="1" w:after="100" w:afterAutospacing="1" w:line="360" w:lineRule="auto"/>
        <w:ind w:left="630" w:hanging="360"/>
        <w:contextualSpacing/>
        <w:jc w:val="both"/>
        <w:outlineLvl w:val="0"/>
        <w:rPr>
          <w:rFonts w:ascii="Times New Roman" w:hAnsi="Times New Roman" w:cs="Times New Roman"/>
          <w:sz w:val="24"/>
          <w:szCs w:val="24"/>
        </w:rPr>
      </w:pPr>
      <w:r>
        <w:rPr>
          <w:rFonts w:ascii="Times New Roman" w:hAnsi="Times New Roman" w:cs="Times New Roman"/>
          <w:color w:val="222222"/>
          <w:sz w:val="24"/>
          <w:szCs w:val="24"/>
        </w:rPr>
        <w:t>48.</w:t>
      </w:r>
      <w:r w:rsidR="002F5130" w:rsidRPr="002F5130">
        <w:rPr>
          <w:rFonts w:ascii="Times New Roman" w:hAnsi="Times New Roman" w:cs="Times New Roman"/>
          <w:color w:val="222222"/>
          <w:sz w:val="24"/>
          <w:szCs w:val="24"/>
        </w:rPr>
        <w:t xml:space="preserve">Furthermore, counsel submitted that proof of vicarious liability requires more than just a statement that unnamed employees, servants, agents and preposes of the Appellant carried out sub-standard work without specifying which particular employee, servant agent or préposé carried out which part of the work. This was a crucial element in order to establish the </w:t>
      </w:r>
      <w:r w:rsidR="002F5130" w:rsidRPr="00514E0E">
        <w:rPr>
          <w:rFonts w:ascii="Times New Roman" w:hAnsi="Times New Roman" w:cs="Times New Roman"/>
          <w:i/>
          <w:color w:val="222222"/>
          <w:sz w:val="24"/>
          <w:szCs w:val="24"/>
        </w:rPr>
        <w:t>lien de subordination</w:t>
      </w:r>
      <w:r w:rsidR="002F5130" w:rsidRPr="002F5130">
        <w:rPr>
          <w:rFonts w:ascii="Times New Roman" w:hAnsi="Times New Roman" w:cs="Times New Roman"/>
          <w:color w:val="222222"/>
          <w:sz w:val="24"/>
          <w:szCs w:val="24"/>
        </w:rPr>
        <w:t xml:space="preserve"> which is required to be established by a Respondent when vicarious liability is pleaded. Without proving what the link between the Appellant and the manufacturer or supplier of the system, it is not possible for the Respondent</w:t>
      </w:r>
      <w:r w:rsidR="002F5130" w:rsidRPr="002F5130">
        <w:rPr>
          <w:rFonts w:ascii="Times New Roman" w:hAnsi="Times New Roman" w:cs="Times New Roman"/>
          <w:sz w:val="24"/>
          <w:szCs w:val="24"/>
        </w:rPr>
        <w:t xml:space="preserve"> </w:t>
      </w:r>
      <w:r w:rsidR="002F5130" w:rsidRPr="002F5130">
        <w:rPr>
          <w:rFonts w:ascii="Times New Roman" w:hAnsi="Times New Roman" w:cs="Times New Roman"/>
          <w:color w:val="222222"/>
          <w:sz w:val="24"/>
          <w:szCs w:val="24"/>
        </w:rPr>
        <w:t xml:space="preserve">to rely on the fact that there was a link of subordination between the two. In support of this submission, </w:t>
      </w:r>
      <w:r w:rsidR="002F5130" w:rsidRPr="002F5130">
        <w:rPr>
          <w:rFonts w:ascii="Times New Roman" w:hAnsi="Times New Roman" w:cs="Times New Roman"/>
          <w:color w:val="222222"/>
          <w:sz w:val="24"/>
          <w:szCs w:val="24"/>
        </w:rPr>
        <w:lastRenderedPageBreak/>
        <w:t>counsel relied on this Court's decision in </w:t>
      </w:r>
      <w:r w:rsidR="002F5130" w:rsidRPr="002F5130">
        <w:rPr>
          <w:rFonts w:ascii="Times New Roman" w:hAnsi="Times New Roman" w:cs="Times New Roman"/>
          <w:b/>
          <w:bCs/>
          <w:color w:val="222222"/>
          <w:sz w:val="24"/>
          <w:szCs w:val="24"/>
        </w:rPr>
        <w:t>Public Utilities Corporation v Chelle</w:t>
      </w:r>
      <w:r w:rsidR="002F5130" w:rsidRPr="002F5130">
        <w:rPr>
          <w:rFonts w:ascii="Times New Roman" w:hAnsi="Times New Roman" w:cs="Times New Roman"/>
          <w:sz w:val="24"/>
          <w:szCs w:val="24"/>
        </w:rPr>
        <w:t xml:space="preserve"> </w:t>
      </w:r>
      <w:r w:rsidR="002F5130" w:rsidRPr="002F5130">
        <w:rPr>
          <w:rFonts w:ascii="Times New Roman" w:hAnsi="Times New Roman" w:cs="Times New Roman"/>
          <w:b/>
          <w:bCs/>
          <w:color w:val="222222"/>
          <w:sz w:val="24"/>
          <w:szCs w:val="24"/>
        </w:rPr>
        <w:t>Medical Limited &amp; Ors</w:t>
      </w:r>
      <w:r w:rsidR="002F5130" w:rsidRPr="002F5130">
        <w:rPr>
          <w:rFonts w:ascii="Times New Roman" w:hAnsi="Times New Roman" w:cs="Times New Roman"/>
          <w:b/>
          <w:bCs/>
          <w:color w:val="222222"/>
          <w:sz w:val="24"/>
          <w:szCs w:val="24"/>
          <w:vertAlign w:val="superscript"/>
        </w:rPr>
        <w:footnoteReference w:id="5"/>
      </w:r>
      <w:r w:rsidR="002F5130" w:rsidRPr="002F5130">
        <w:rPr>
          <w:rFonts w:ascii="Times New Roman" w:hAnsi="Times New Roman" w:cs="Times New Roman"/>
          <w:b/>
          <w:bCs/>
          <w:color w:val="222222"/>
          <w:sz w:val="24"/>
          <w:szCs w:val="24"/>
        </w:rPr>
        <w:t xml:space="preserve"> </w:t>
      </w:r>
      <w:r w:rsidR="002F5130" w:rsidRPr="002F5130">
        <w:rPr>
          <w:rFonts w:ascii="Times New Roman" w:hAnsi="Times New Roman" w:cs="Times New Roman"/>
          <w:color w:val="222222"/>
          <w:sz w:val="24"/>
          <w:szCs w:val="24"/>
        </w:rPr>
        <w:t>where the Court stated that:</w:t>
      </w:r>
    </w:p>
    <w:p w14:paraId="6F77BF6C" w14:textId="77777777" w:rsidR="002F5130" w:rsidRPr="002F5130" w:rsidRDefault="002F5130" w:rsidP="003A1F8A">
      <w:pPr>
        <w:spacing w:line="360" w:lineRule="auto"/>
        <w:ind w:left="630" w:hanging="360"/>
        <w:contextualSpacing/>
        <w:jc w:val="both"/>
        <w:rPr>
          <w:rFonts w:ascii="Times New Roman" w:hAnsi="Times New Roman" w:cs="Times New Roman"/>
          <w:color w:val="222222"/>
          <w:sz w:val="24"/>
          <w:szCs w:val="24"/>
        </w:rPr>
      </w:pPr>
    </w:p>
    <w:p w14:paraId="5FF77A02" w14:textId="77777777" w:rsidR="002F5130" w:rsidRPr="002F5130" w:rsidRDefault="002F5130" w:rsidP="003A1F8A">
      <w:pPr>
        <w:spacing w:before="100" w:beforeAutospacing="1" w:after="100" w:afterAutospacing="1" w:line="360" w:lineRule="auto"/>
        <w:ind w:left="630" w:hanging="360"/>
        <w:contextualSpacing/>
        <w:jc w:val="both"/>
        <w:outlineLvl w:val="0"/>
        <w:rPr>
          <w:rFonts w:ascii="Times New Roman" w:hAnsi="Times New Roman" w:cs="Times New Roman"/>
          <w:i/>
          <w:color w:val="222222"/>
          <w:sz w:val="24"/>
          <w:szCs w:val="24"/>
        </w:rPr>
      </w:pPr>
      <w:r w:rsidRPr="002F5130">
        <w:rPr>
          <w:rFonts w:ascii="Times New Roman" w:hAnsi="Times New Roman" w:cs="Times New Roman"/>
          <w:i/>
          <w:color w:val="222222"/>
          <w:sz w:val="24"/>
          <w:szCs w:val="24"/>
        </w:rPr>
        <w:t>“The Court is not asking that the dispositions of the law relating to delict be set out in the pleadings but rather that there is clarity whose acts caused the damage."</w:t>
      </w:r>
    </w:p>
    <w:p w14:paraId="34108E98" w14:textId="77777777" w:rsidR="002F5130" w:rsidRPr="002F5130" w:rsidRDefault="002F5130" w:rsidP="003A1F8A">
      <w:pPr>
        <w:spacing w:before="100" w:beforeAutospacing="1" w:after="100" w:afterAutospacing="1" w:line="360" w:lineRule="auto"/>
        <w:ind w:left="630" w:hanging="360"/>
        <w:contextualSpacing/>
        <w:jc w:val="both"/>
        <w:outlineLvl w:val="0"/>
        <w:rPr>
          <w:rFonts w:ascii="Times New Roman" w:hAnsi="Times New Roman" w:cs="Times New Roman"/>
          <w:i/>
          <w:color w:val="222222"/>
          <w:sz w:val="24"/>
          <w:szCs w:val="24"/>
        </w:rPr>
      </w:pPr>
    </w:p>
    <w:p w14:paraId="7A3B3E53" w14:textId="77777777" w:rsidR="002F5130" w:rsidRPr="002F5130" w:rsidRDefault="002F5130" w:rsidP="003A1F8A">
      <w:pPr>
        <w:spacing w:before="100" w:beforeAutospacing="1" w:after="100" w:afterAutospacing="1" w:line="360" w:lineRule="auto"/>
        <w:ind w:left="630" w:hanging="360"/>
        <w:contextualSpacing/>
        <w:jc w:val="both"/>
        <w:outlineLvl w:val="0"/>
        <w:rPr>
          <w:rFonts w:ascii="Times New Roman" w:hAnsi="Times New Roman" w:cs="Times New Roman"/>
          <w:i/>
          <w:sz w:val="24"/>
          <w:szCs w:val="24"/>
        </w:rPr>
      </w:pPr>
      <w:r w:rsidRPr="002F5130">
        <w:rPr>
          <w:rFonts w:ascii="Times New Roman" w:hAnsi="Times New Roman" w:cs="Times New Roman"/>
          <w:i/>
          <w:color w:val="222222"/>
          <w:sz w:val="24"/>
          <w:szCs w:val="24"/>
        </w:rPr>
        <w:t>Where the case of the plaintiff is that the defendant is sued for the act of a person for whom the defendant is responsible, the plaintiff must aver by his pleadings the relationship which gives rise to such liability unless such is admitted.”</w:t>
      </w:r>
    </w:p>
    <w:p w14:paraId="4DD2DF93" w14:textId="77777777" w:rsidR="002F5130" w:rsidRPr="005E4E33" w:rsidRDefault="002F5130" w:rsidP="0093407D">
      <w:pPr>
        <w:spacing w:line="360" w:lineRule="auto"/>
        <w:ind w:left="270"/>
        <w:jc w:val="both"/>
        <w:rPr>
          <w:rFonts w:ascii="Times New Roman" w:hAnsi="Times New Roman" w:cs="Times New Roman"/>
          <w:color w:val="222222"/>
          <w:sz w:val="8"/>
          <w:szCs w:val="8"/>
        </w:rPr>
      </w:pPr>
    </w:p>
    <w:p w14:paraId="2DD7FA1F" w14:textId="3CE67D8D" w:rsidR="002F5130" w:rsidRPr="002F5130" w:rsidRDefault="0093407D" w:rsidP="003A1F8A">
      <w:pPr>
        <w:spacing w:before="100" w:beforeAutospacing="1" w:after="100" w:afterAutospacing="1" w:line="360" w:lineRule="auto"/>
        <w:ind w:left="630" w:hanging="360"/>
        <w:contextualSpacing/>
        <w:jc w:val="both"/>
        <w:outlineLvl w:val="0"/>
        <w:rPr>
          <w:rFonts w:ascii="Times New Roman" w:hAnsi="Times New Roman" w:cs="Times New Roman"/>
          <w:sz w:val="24"/>
          <w:szCs w:val="24"/>
        </w:rPr>
      </w:pPr>
      <w:r>
        <w:rPr>
          <w:rFonts w:ascii="Times New Roman" w:hAnsi="Times New Roman" w:cs="Times New Roman"/>
          <w:sz w:val="24"/>
          <w:szCs w:val="24"/>
        </w:rPr>
        <w:t>49.</w:t>
      </w:r>
      <w:r w:rsidR="002F5130" w:rsidRPr="002F5130">
        <w:rPr>
          <w:rFonts w:ascii="Times New Roman" w:hAnsi="Times New Roman" w:cs="Times New Roman"/>
          <w:sz w:val="24"/>
          <w:szCs w:val="24"/>
        </w:rPr>
        <w:t>That it is not clear from the plaint as to whether it is a plaint couched against the Appellant purely in its vicarious capacity.</w:t>
      </w:r>
    </w:p>
    <w:p w14:paraId="51A34A6E" w14:textId="77777777" w:rsidR="002F5130" w:rsidRPr="002F5130" w:rsidRDefault="002F5130" w:rsidP="003A1F8A">
      <w:pPr>
        <w:spacing w:before="100" w:beforeAutospacing="1" w:after="100" w:afterAutospacing="1" w:line="360" w:lineRule="auto"/>
        <w:ind w:left="630" w:hanging="360"/>
        <w:contextualSpacing/>
        <w:jc w:val="both"/>
        <w:outlineLvl w:val="0"/>
        <w:rPr>
          <w:rFonts w:ascii="Times New Roman" w:hAnsi="Times New Roman" w:cs="Times New Roman"/>
          <w:sz w:val="24"/>
          <w:szCs w:val="24"/>
        </w:rPr>
      </w:pPr>
    </w:p>
    <w:p w14:paraId="006B4FA2" w14:textId="58B701D4" w:rsidR="002F5130" w:rsidRPr="002F5130" w:rsidRDefault="0093407D" w:rsidP="003A1F8A">
      <w:pPr>
        <w:spacing w:before="100" w:beforeAutospacing="1" w:after="100" w:afterAutospacing="1" w:line="360" w:lineRule="auto"/>
        <w:ind w:left="630" w:hanging="360"/>
        <w:contextualSpacing/>
        <w:jc w:val="both"/>
        <w:outlineLvl w:val="0"/>
        <w:rPr>
          <w:rFonts w:ascii="Times New Roman" w:hAnsi="Times New Roman" w:cs="Times New Roman"/>
          <w:sz w:val="24"/>
          <w:szCs w:val="24"/>
        </w:rPr>
      </w:pPr>
      <w:r>
        <w:rPr>
          <w:rFonts w:ascii="Times New Roman" w:hAnsi="Times New Roman" w:cs="Times New Roman"/>
          <w:color w:val="222222"/>
          <w:sz w:val="24"/>
          <w:szCs w:val="24"/>
        </w:rPr>
        <w:t>50.</w:t>
      </w:r>
      <w:r w:rsidR="002F5130" w:rsidRPr="002F5130">
        <w:rPr>
          <w:rFonts w:ascii="Times New Roman" w:hAnsi="Times New Roman" w:cs="Times New Roman"/>
          <w:color w:val="222222"/>
          <w:sz w:val="24"/>
          <w:szCs w:val="24"/>
        </w:rPr>
        <w:t>In conclusion, counsel prayed that the matter be remitted to the Supreme Court for rehearing.</w:t>
      </w:r>
    </w:p>
    <w:p w14:paraId="2FDA9C05" w14:textId="77777777" w:rsidR="002F5130" w:rsidRPr="002F5130" w:rsidRDefault="002F5130" w:rsidP="003A1F8A">
      <w:pPr>
        <w:spacing w:line="360" w:lineRule="auto"/>
        <w:ind w:left="270" w:hanging="360"/>
        <w:jc w:val="both"/>
        <w:rPr>
          <w:rFonts w:ascii="Times New Roman" w:hAnsi="Times New Roman" w:cs="Times New Roman"/>
          <w:sz w:val="24"/>
          <w:szCs w:val="24"/>
        </w:rPr>
      </w:pPr>
    </w:p>
    <w:p w14:paraId="70A03F0F" w14:textId="77777777" w:rsidR="002F5130" w:rsidRPr="002F5130" w:rsidRDefault="002F5130" w:rsidP="003A1F8A">
      <w:pPr>
        <w:spacing w:before="100" w:beforeAutospacing="1" w:after="100" w:afterAutospacing="1" w:line="360" w:lineRule="auto"/>
        <w:ind w:left="360" w:hanging="90"/>
        <w:contextualSpacing/>
        <w:jc w:val="both"/>
        <w:outlineLvl w:val="0"/>
        <w:rPr>
          <w:rFonts w:ascii="Times New Roman" w:hAnsi="Times New Roman" w:cs="Times New Roman"/>
          <w:b/>
          <w:sz w:val="24"/>
          <w:szCs w:val="24"/>
        </w:rPr>
      </w:pPr>
      <w:r w:rsidRPr="002F5130">
        <w:rPr>
          <w:rFonts w:ascii="Times New Roman" w:hAnsi="Times New Roman" w:cs="Times New Roman"/>
          <w:b/>
          <w:sz w:val="24"/>
          <w:szCs w:val="24"/>
        </w:rPr>
        <w:t>Respondent’s Submissions</w:t>
      </w:r>
    </w:p>
    <w:p w14:paraId="4EA02696" w14:textId="77777777" w:rsidR="002F5130" w:rsidRPr="002F5130" w:rsidRDefault="002F5130" w:rsidP="003A1F8A">
      <w:pPr>
        <w:spacing w:before="100" w:beforeAutospacing="1" w:after="100" w:afterAutospacing="1" w:line="360" w:lineRule="auto"/>
        <w:ind w:left="270" w:hanging="360"/>
        <w:contextualSpacing/>
        <w:jc w:val="both"/>
        <w:outlineLvl w:val="0"/>
        <w:rPr>
          <w:rFonts w:ascii="Times New Roman" w:hAnsi="Times New Roman" w:cs="Times New Roman"/>
          <w:b/>
          <w:sz w:val="24"/>
          <w:szCs w:val="24"/>
        </w:rPr>
      </w:pPr>
    </w:p>
    <w:p w14:paraId="70F51B96" w14:textId="7B613B7F" w:rsidR="002F5130" w:rsidRPr="002F5130" w:rsidRDefault="0093407D" w:rsidP="003A1F8A">
      <w:pPr>
        <w:spacing w:before="100" w:beforeAutospacing="1" w:after="100" w:afterAutospacing="1" w:line="360" w:lineRule="auto"/>
        <w:ind w:left="540" w:hanging="270"/>
        <w:contextualSpacing/>
        <w:jc w:val="both"/>
        <w:outlineLvl w:val="0"/>
        <w:rPr>
          <w:rFonts w:ascii="Times New Roman" w:hAnsi="Times New Roman" w:cs="Times New Roman"/>
          <w:sz w:val="24"/>
          <w:szCs w:val="24"/>
        </w:rPr>
      </w:pPr>
      <w:r>
        <w:rPr>
          <w:rFonts w:ascii="Times New Roman" w:hAnsi="Times New Roman" w:cs="Times New Roman"/>
          <w:sz w:val="24"/>
          <w:szCs w:val="24"/>
        </w:rPr>
        <w:t>51.</w:t>
      </w:r>
      <w:r w:rsidR="002F5130" w:rsidRPr="002F5130">
        <w:rPr>
          <w:rFonts w:ascii="Times New Roman" w:hAnsi="Times New Roman" w:cs="Times New Roman"/>
          <w:sz w:val="24"/>
          <w:szCs w:val="24"/>
        </w:rPr>
        <w:t>In reply to the submissions of Counsel for the Appellant, the Respondent raised a preliminary point – the Appellant was arguing a ground different from what had been raised in the Notice of Appeal. The Appellant was contravening Rule 18 (8) already articulated under Ground 1.</w:t>
      </w:r>
    </w:p>
    <w:p w14:paraId="06303432" w14:textId="77777777" w:rsidR="002F5130" w:rsidRPr="002F5130" w:rsidRDefault="002F5130" w:rsidP="003A1F8A">
      <w:pPr>
        <w:spacing w:before="100" w:beforeAutospacing="1" w:after="100" w:afterAutospacing="1" w:line="360" w:lineRule="auto"/>
        <w:ind w:left="630" w:hanging="360"/>
        <w:contextualSpacing/>
        <w:jc w:val="both"/>
        <w:outlineLvl w:val="0"/>
        <w:rPr>
          <w:rFonts w:ascii="Times New Roman" w:hAnsi="Times New Roman" w:cs="Times New Roman"/>
          <w:sz w:val="24"/>
          <w:szCs w:val="24"/>
        </w:rPr>
      </w:pPr>
    </w:p>
    <w:p w14:paraId="024F0875" w14:textId="170C2D7F" w:rsidR="002F5130" w:rsidRPr="002F5130" w:rsidRDefault="0093407D" w:rsidP="003A1F8A">
      <w:pPr>
        <w:spacing w:before="100" w:beforeAutospacing="1" w:after="100" w:afterAutospacing="1" w:line="360" w:lineRule="auto"/>
        <w:ind w:left="540" w:hanging="270"/>
        <w:contextualSpacing/>
        <w:jc w:val="both"/>
        <w:outlineLvl w:val="0"/>
        <w:rPr>
          <w:rFonts w:ascii="Times New Roman" w:hAnsi="Times New Roman" w:cs="Times New Roman"/>
          <w:sz w:val="24"/>
          <w:szCs w:val="24"/>
        </w:rPr>
      </w:pPr>
      <w:r>
        <w:rPr>
          <w:rFonts w:ascii="Times New Roman" w:hAnsi="Times New Roman" w:cs="Times New Roman"/>
          <w:sz w:val="24"/>
          <w:szCs w:val="24"/>
        </w:rPr>
        <w:t>52.</w:t>
      </w:r>
      <w:r w:rsidR="002F5130" w:rsidRPr="002F5130">
        <w:rPr>
          <w:rFonts w:ascii="Times New Roman" w:hAnsi="Times New Roman" w:cs="Times New Roman"/>
          <w:sz w:val="24"/>
          <w:szCs w:val="24"/>
        </w:rPr>
        <w:t>Counsel submitted that a reading of the ground shows that the Appellant was challenging the plaint for bringing claims against the Defendant, on the basis of both vicarious as well as direct liability. That the Respondent could not, in law, base its suit on both vicarious and direct responsibility for faute. That however, in his submissions, Counsel for the appellant was challenging the pleadings for not pleading the material facts relating to the issue of vicarious liability. And yet the ground did not raise any issue about the lack of pleadings.</w:t>
      </w:r>
    </w:p>
    <w:p w14:paraId="2D041D03" w14:textId="77777777" w:rsidR="002F5130" w:rsidRPr="002F5130" w:rsidRDefault="002F5130" w:rsidP="0093407D">
      <w:pPr>
        <w:spacing w:before="100" w:beforeAutospacing="1" w:after="100" w:afterAutospacing="1" w:line="360" w:lineRule="auto"/>
        <w:ind w:left="270"/>
        <w:contextualSpacing/>
        <w:jc w:val="both"/>
        <w:outlineLvl w:val="0"/>
        <w:rPr>
          <w:rFonts w:ascii="Times New Roman" w:hAnsi="Times New Roman" w:cs="Times New Roman"/>
          <w:sz w:val="24"/>
          <w:szCs w:val="24"/>
        </w:rPr>
      </w:pPr>
    </w:p>
    <w:p w14:paraId="11D9D1E3" w14:textId="77777777" w:rsidR="002F5130" w:rsidRPr="002F5130" w:rsidRDefault="002F5130" w:rsidP="003A1F8A">
      <w:pPr>
        <w:spacing w:before="100" w:beforeAutospacing="1" w:after="100" w:afterAutospacing="1" w:line="360" w:lineRule="auto"/>
        <w:ind w:left="540"/>
        <w:contextualSpacing/>
        <w:jc w:val="both"/>
        <w:outlineLvl w:val="0"/>
        <w:rPr>
          <w:rFonts w:ascii="Times New Roman" w:hAnsi="Times New Roman" w:cs="Times New Roman"/>
          <w:b/>
          <w:sz w:val="24"/>
          <w:szCs w:val="24"/>
        </w:rPr>
      </w:pPr>
      <w:r w:rsidRPr="002F5130">
        <w:rPr>
          <w:rFonts w:ascii="Times New Roman" w:hAnsi="Times New Roman" w:cs="Times New Roman"/>
          <w:b/>
          <w:sz w:val="24"/>
          <w:szCs w:val="24"/>
        </w:rPr>
        <w:t>Consideration by the Court.</w:t>
      </w:r>
    </w:p>
    <w:p w14:paraId="6C55BB1E" w14:textId="77777777" w:rsidR="002F5130" w:rsidRPr="002F5130" w:rsidRDefault="002F5130" w:rsidP="0093407D">
      <w:pPr>
        <w:spacing w:before="100" w:beforeAutospacing="1" w:after="100" w:afterAutospacing="1" w:line="360" w:lineRule="auto"/>
        <w:ind w:left="270"/>
        <w:contextualSpacing/>
        <w:jc w:val="both"/>
        <w:outlineLvl w:val="0"/>
        <w:rPr>
          <w:rFonts w:ascii="Times New Roman" w:hAnsi="Times New Roman" w:cs="Times New Roman"/>
          <w:b/>
          <w:sz w:val="24"/>
          <w:szCs w:val="24"/>
        </w:rPr>
      </w:pPr>
    </w:p>
    <w:p w14:paraId="2FF85CF2" w14:textId="7A389174" w:rsidR="002F5130" w:rsidRPr="002F5130" w:rsidRDefault="0093407D" w:rsidP="003A1F8A">
      <w:pPr>
        <w:tabs>
          <w:tab w:val="left" w:pos="810"/>
        </w:tabs>
        <w:spacing w:before="100" w:beforeAutospacing="1" w:after="100" w:afterAutospacing="1" w:line="360" w:lineRule="auto"/>
        <w:ind w:left="540" w:hanging="270"/>
        <w:contextualSpacing/>
        <w:jc w:val="both"/>
        <w:outlineLvl w:val="0"/>
        <w:rPr>
          <w:rFonts w:ascii="Times New Roman" w:hAnsi="Times New Roman" w:cs="Times New Roman"/>
          <w:color w:val="222222"/>
          <w:sz w:val="24"/>
          <w:szCs w:val="24"/>
        </w:rPr>
      </w:pPr>
      <w:r>
        <w:rPr>
          <w:rFonts w:ascii="Times New Roman" w:hAnsi="Times New Roman" w:cs="Times New Roman"/>
          <w:color w:val="222222"/>
          <w:sz w:val="24"/>
          <w:szCs w:val="24"/>
        </w:rPr>
        <w:t>53.</w:t>
      </w:r>
      <w:r w:rsidR="002F5130" w:rsidRPr="002F5130">
        <w:rPr>
          <w:rFonts w:ascii="Times New Roman" w:hAnsi="Times New Roman" w:cs="Times New Roman"/>
          <w:color w:val="222222"/>
          <w:sz w:val="24"/>
          <w:szCs w:val="24"/>
        </w:rPr>
        <w:t>A reading of Ground 2 shows that the Appellant faulted the trial Judge for finding in favour of the Respondent when it was clear from the Plaint that the Respondent brought its case in both personal and vicarious capacities. </w:t>
      </w:r>
      <w:r w:rsidR="002F5130" w:rsidRPr="002F5130" w:rsidDel="00E7231E">
        <w:rPr>
          <w:rFonts w:ascii="Times New Roman" w:hAnsi="Times New Roman" w:cs="Times New Roman"/>
          <w:color w:val="222222"/>
          <w:sz w:val="24"/>
          <w:szCs w:val="24"/>
        </w:rPr>
        <w:t xml:space="preserve"> </w:t>
      </w:r>
    </w:p>
    <w:p w14:paraId="66126AE1" w14:textId="77777777" w:rsidR="002F5130" w:rsidRPr="002F5130" w:rsidRDefault="002F5130" w:rsidP="003A1F8A">
      <w:pPr>
        <w:spacing w:before="100" w:beforeAutospacing="1" w:after="100" w:afterAutospacing="1" w:line="360" w:lineRule="auto"/>
        <w:ind w:left="540" w:hanging="270"/>
        <w:contextualSpacing/>
        <w:jc w:val="both"/>
        <w:outlineLvl w:val="0"/>
        <w:rPr>
          <w:rFonts w:ascii="Times New Roman" w:hAnsi="Times New Roman" w:cs="Times New Roman"/>
          <w:color w:val="222222"/>
          <w:sz w:val="24"/>
          <w:szCs w:val="24"/>
        </w:rPr>
      </w:pPr>
    </w:p>
    <w:p w14:paraId="6B9B3811" w14:textId="6B1C2062" w:rsidR="002F5130" w:rsidRPr="002F5130" w:rsidRDefault="0093407D" w:rsidP="003A1F8A">
      <w:pPr>
        <w:spacing w:before="100" w:beforeAutospacing="1" w:after="100" w:afterAutospacing="1" w:line="360" w:lineRule="auto"/>
        <w:ind w:left="540" w:hanging="270"/>
        <w:contextualSpacing/>
        <w:jc w:val="both"/>
        <w:outlineLvl w:val="0"/>
        <w:rPr>
          <w:rFonts w:ascii="Times New Roman" w:hAnsi="Times New Roman" w:cs="Times New Roman"/>
          <w:sz w:val="24"/>
          <w:szCs w:val="24"/>
        </w:rPr>
      </w:pPr>
      <w:r>
        <w:rPr>
          <w:rFonts w:ascii="Times New Roman" w:hAnsi="Times New Roman" w:cs="Times New Roman"/>
          <w:sz w:val="24"/>
          <w:szCs w:val="24"/>
        </w:rPr>
        <w:t>54.</w:t>
      </w:r>
      <w:r w:rsidR="002F5130" w:rsidRPr="002F5130">
        <w:rPr>
          <w:rFonts w:ascii="Times New Roman" w:hAnsi="Times New Roman" w:cs="Times New Roman"/>
          <w:sz w:val="24"/>
          <w:szCs w:val="24"/>
        </w:rPr>
        <w:t>However, the essence of the Appellant’s submissions is that the Respondent’s plaint did not plead the elements necessary for proof of a claim based on vicarious liability. This contravened Rule 18 (8) Supra in that the appellant was, without the leave of the Court relying on a ground not set forth in the Notice of Appeal.</w:t>
      </w:r>
    </w:p>
    <w:p w14:paraId="3CC2C775" w14:textId="77777777" w:rsidR="002F5130" w:rsidRPr="002F5130" w:rsidRDefault="002F5130" w:rsidP="003A1F8A">
      <w:pPr>
        <w:spacing w:before="100" w:beforeAutospacing="1" w:after="100" w:afterAutospacing="1" w:line="360" w:lineRule="auto"/>
        <w:ind w:left="540" w:hanging="270"/>
        <w:contextualSpacing/>
        <w:jc w:val="both"/>
        <w:outlineLvl w:val="0"/>
        <w:rPr>
          <w:rFonts w:ascii="Times New Roman" w:hAnsi="Times New Roman" w:cs="Times New Roman"/>
          <w:sz w:val="24"/>
          <w:szCs w:val="24"/>
        </w:rPr>
      </w:pPr>
    </w:p>
    <w:p w14:paraId="176AA0E8" w14:textId="2D0AC35F" w:rsidR="002F5130" w:rsidRPr="002F5130" w:rsidRDefault="0093407D" w:rsidP="003A1F8A">
      <w:pPr>
        <w:shd w:val="clear" w:color="auto" w:fill="FFFFFF"/>
        <w:spacing w:after="100" w:afterAutospacing="1" w:line="360" w:lineRule="auto"/>
        <w:ind w:left="540" w:hanging="270"/>
        <w:jc w:val="both"/>
        <w:rPr>
          <w:rFonts w:ascii="Times New Roman" w:hAnsi="Times New Roman" w:cs="Times New Roman"/>
          <w:sz w:val="24"/>
          <w:szCs w:val="24"/>
        </w:rPr>
      </w:pPr>
      <w:r>
        <w:rPr>
          <w:rFonts w:ascii="Times New Roman" w:hAnsi="Times New Roman" w:cs="Times New Roman"/>
          <w:sz w:val="24"/>
          <w:szCs w:val="24"/>
        </w:rPr>
        <w:t>55.</w:t>
      </w:r>
      <w:r w:rsidR="002F5130" w:rsidRPr="002F5130">
        <w:rPr>
          <w:rFonts w:ascii="Times New Roman" w:hAnsi="Times New Roman" w:cs="Times New Roman"/>
          <w:sz w:val="24"/>
          <w:szCs w:val="24"/>
        </w:rPr>
        <w:t>A second challenge with the submissions of Counsel, pointed out by the Respondent, is that the Appellant was arguing for the first time (on appeal), an issue which he did not raise at the lower court – that the plaint did not plead the requisite elements of vicarious liability.</w:t>
      </w:r>
    </w:p>
    <w:p w14:paraId="70ABB01B" w14:textId="47B626BF" w:rsidR="002F5130" w:rsidRPr="002F5130" w:rsidRDefault="0093407D" w:rsidP="003A1F8A">
      <w:pPr>
        <w:shd w:val="clear" w:color="auto" w:fill="FFFFFF"/>
        <w:spacing w:after="100" w:afterAutospacing="1" w:line="360" w:lineRule="auto"/>
        <w:ind w:left="540" w:hanging="270"/>
        <w:jc w:val="both"/>
        <w:rPr>
          <w:rFonts w:ascii="Times New Roman" w:hAnsi="Times New Roman" w:cs="Times New Roman"/>
          <w:color w:val="4A4A4A"/>
          <w:sz w:val="24"/>
          <w:szCs w:val="24"/>
        </w:rPr>
      </w:pPr>
      <w:r>
        <w:rPr>
          <w:rFonts w:ascii="Times New Roman" w:hAnsi="Times New Roman" w:cs="Times New Roman"/>
          <w:sz w:val="24"/>
          <w:szCs w:val="24"/>
        </w:rPr>
        <w:t>56.</w:t>
      </w:r>
      <w:r w:rsidR="002F5130" w:rsidRPr="002F5130">
        <w:rPr>
          <w:rFonts w:ascii="Times New Roman" w:hAnsi="Times New Roman" w:cs="Times New Roman"/>
          <w:sz w:val="24"/>
          <w:szCs w:val="24"/>
        </w:rPr>
        <w:t>It is trite that a</w:t>
      </w:r>
      <w:r w:rsidR="002F5130" w:rsidRPr="002F5130">
        <w:rPr>
          <w:rFonts w:ascii="Times New Roman" w:hAnsi="Times New Roman" w:cs="Times New Roman"/>
          <w:bCs/>
          <w:color w:val="4A4A4A"/>
          <w:sz w:val="24"/>
          <w:szCs w:val="24"/>
          <w:shd w:val="clear" w:color="auto" w:fill="FFFFFF"/>
        </w:rPr>
        <w:t>n appeal deals with allegations that a Trial Judge erred either in law or in fact or both. Consequently, on appeal, a party is prohibited from raising a ground based on a matter they did not raise in the court below and which necessarily was not adjudicated upon</w:t>
      </w:r>
      <w:r w:rsidR="002F5130" w:rsidRPr="002F5130">
        <w:rPr>
          <w:rFonts w:ascii="Times New Roman" w:hAnsi="Times New Roman" w:cs="Times New Roman"/>
          <w:color w:val="4A4A4A"/>
          <w:sz w:val="24"/>
          <w:szCs w:val="24"/>
          <w:shd w:val="clear" w:color="auto" w:fill="FFFFFF"/>
        </w:rPr>
        <w:t>.</w:t>
      </w:r>
    </w:p>
    <w:p w14:paraId="058FF51F" w14:textId="24B35ECE" w:rsidR="002F5130" w:rsidRPr="002F5130" w:rsidRDefault="0093407D" w:rsidP="003A1F8A">
      <w:pPr>
        <w:shd w:val="clear" w:color="auto" w:fill="FFFFFF"/>
        <w:spacing w:after="100" w:afterAutospacing="1" w:line="360" w:lineRule="auto"/>
        <w:ind w:left="540" w:hanging="270"/>
        <w:jc w:val="both"/>
        <w:rPr>
          <w:rFonts w:ascii="Times New Roman" w:hAnsi="Times New Roman" w:cs="Times New Roman"/>
          <w:color w:val="4A4A4A"/>
          <w:sz w:val="24"/>
          <w:szCs w:val="24"/>
        </w:rPr>
      </w:pPr>
      <w:r>
        <w:rPr>
          <w:rFonts w:ascii="Times New Roman" w:hAnsi="Times New Roman" w:cs="Times New Roman"/>
          <w:color w:val="4A4A4A"/>
          <w:sz w:val="24"/>
          <w:szCs w:val="24"/>
        </w:rPr>
        <w:t>57</w:t>
      </w:r>
      <w:r w:rsidRPr="00F652D4">
        <w:rPr>
          <w:rFonts w:ascii="Times New Roman" w:hAnsi="Times New Roman" w:cs="Times New Roman"/>
          <w:b/>
          <w:color w:val="4A4A4A"/>
          <w:sz w:val="24"/>
          <w:szCs w:val="24"/>
        </w:rPr>
        <w:t>.</w:t>
      </w:r>
      <w:r w:rsidR="002F5130" w:rsidRPr="00F652D4">
        <w:rPr>
          <w:rFonts w:ascii="Times New Roman" w:hAnsi="Times New Roman" w:cs="Times New Roman"/>
          <w:b/>
          <w:color w:val="4A4A4A"/>
          <w:sz w:val="24"/>
          <w:szCs w:val="24"/>
        </w:rPr>
        <w:t>Based on the above preliminary points, ground 2 is dismissed.</w:t>
      </w:r>
    </w:p>
    <w:p w14:paraId="7EBB5CBB" w14:textId="0043930A" w:rsidR="002F5130" w:rsidRPr="002F5130" w:rsidRDefault="00313EF9" w:rsidP="003A1F8A">
      <w:pPr>
        <w:spacing w:before="100" w:beforeAutospacing="1" w:after="100" w:afterAutospacing="1" w:line="360" w:lineRule="auto"/>
        <w:ind w:left="540" w:hanging="270"/>
        <w:contextualSpacing/>
        <w:jc w:val="both"/>
        <w:outlineLvl w:val="0"/>
        <w:rPr>
          <w:rFonts w:ascii="Times New Roman" w:hAnsi="Times New Roman" w:cs="Times New Roman"/>
          <w:b/>
          <w:sz w:val="24"/>
          <w:szCs w:val="24"/>
        </w:rPr>
      </w:pPr>
      <w:r>
        <w:rPr>
          <w:rFonts w:ascii="Times New Roman" w:hAnsi="Times New Roman" w:cs="Times New Roman"/>
          <w:b/>
          <w:sz w:val="24"/>
          <w:szCs w:val="24"/>
        </w:rPr>
        <w:t>Conclusion and O</w:t>
      </w:r>
      <w:r w:rsidR="002F5130" w:rsidRPr="002F5130">
        <w:rPr>
          <w:rFonts w:ascii="Times New Roman" w:hAnsi="Times New Roman" w:cs="Times New Roman"/>
          <w:b/>
          <w:sz w:val="24"/>
          <w:szCs w:val="24"/>
        </w:rPr>
        <w:t>rders</w:t>
      </w:r>
    </w:p>
    <w:p w14:paraId="74E17428" w14:textId="77777777" w:rsidR="002F5130" w:rsidRPr="002F5130" w:rsidRDefault="002F5130" w:rsidP="003A1F8A">
      <w:pPr>
        <w:spacing w:before="100" w:beforeAutospacing="1" w:after="100" w:afterAutospacing="1" w:line="360" w:lineRule="auto"/>
        <w:ind w:left="540" w:hanging="270"/>
        <w:contextualSpacing/>
        <w:jc w:val="both"/>
        <w:outlineLvl w:val="0"/>
        <w:rPr>
          <w:rFonts w:ascii="Times New Roman" w:hAnsi="Times New Roman" w:cs="Times New Roman"/>
          <w:b/>
          <w:sz w:val="24"/>
          <w:szCs w:val="24"/>
        </w:rPr>
      </w:pPr>
    </w:p>
    <w:p w14:paraId="0832170C" w14:textId="51652619" w:rsidR="002F5130" w:rsidRPr="002F5130" w:rsidRDefault="0093407D" w:rsidP="003A1F8A">
      <w:pPr>
        <w:spacing w:before="100" w:beforeAutospacing="1" w:after="100" w:afterAutospacing="1" w:line="360" w:lineRule="auto"/>
        <w:ind w:left="540" w:hanging="270"/>
        <w:contextualSpacing/>
        <w:jc w:val="both"/>
        <w:outlineLvl w:val="0"/>
        <w:rPr>
          <w:rFonts w:ascii="Times New Roman" w:hAnsi="Times New Roman" w:cs="Times New Roman"/>
          <w:sz w:val="24"/>
          <w:szCs w:val="24"/>
        </w:rPr>
      </w:pPr>
      <w:r>
        <w:rPr>
          <w:rFonts w:ascii="Times New Roman" w:hAnsi="Times New Roman" w:cs="Times New Roman"/>
          <w:sz w:val="24"/>
          <w:szCs w:val="24"/>
        </w:rPr>
        <w:t>58.</w:t>
      </w:r>
      <w:r w:rsidR="002F5130" w:rsidRPr="002F5130">
        <w:rPr>
          <w:rFonts w:ascii="Times New Roman" w:hAnsi="Times New Roman" w:cs="Times New Roman"/>
          <w:sz w:val="24"/>
          <w:szCs w:val="24"/>
        </w:rPr>
        <w:t xml:space="preserve">Having held that </w:t>
      </w:r>
      <w:r w:rsidR="00313EF9">
        <w:rPr>
          <w:rFonts w:ascii="Times New Roman" w:hAnsi="Times New Roman" w:cs="Times New Roman"/>
          <w:sz w:val="24"/>
          <w:szCs w:val="24"/>
        </w:rPr>
        <w:t xml:space="preserve">both </w:t>
      </w:r>
      <w:r w:rsidR="002F5130" w:rsidRPr="002F5130">
        <w:rPr>
          <w:rFonts w:ascii="Times New Roman" w:hAnsi="Times New Roman" w:cs="Times New Roman"/>
          <w:sz w:val="24"/>
          <w:szCs w:val="24"/>
        </w:rPr>
        <w:t xml:space="preserve">grounds of the appeal fail, </w:t>
      </w:r>
      <w:r w:rsidR="00313EF9">
        <w:rPr>
          <w:rFonts w:ascii="Times New Roman" w:hAnsi="Times New Roman" w:cs="Times New Roman"/>
          <w:sz w:val="24"/>
          <w:szCs w:val="24"/>
        </w:rPr>
        <w:t xml:space="preserve">the appeal </w:t>
      </w:r>
      <w:r w:rsidR="002F5130" w:rsidRPr="002F5130">
        <w:rPr>
          <w:rFonts w:ascii="Times New Roman" w:hAnsi="Times New Roman" w:cs="Times New Roman"/>
          <w:sz w:val="24"/>
          <w:szCs w:val="24"/>
        </w:rPr>
        <w:t xml:space="preserve">is hereby dismissed with costs to the Respondent </w:t>
      </w:r>
      <w:commentRangeStart w:id="3"/>
      <w:commentRangeStart w:id="4"/>
      <w:r w:rsidR="002F5130" w:rsidRPr="002F5130">
        <w:rPr>
          <w:rFonts w:ascii="Times New Roman" w:hAnsi="Times New Roman" w:cs="Times New Roman"/>
          <w:sz w:val="24"/>
          <w:szCs w:val="24"/>
        </w:rPr>
        <w:t>company</w:t>
      </w:r>
      <w:commentRangeEnd w:id="3"/>
      <w:r w:rsidR="00076998">
        <w:rPr>
          <w:rStyle w:val="CommentReference"/>
          <w:rFonts w:ascii="Times New Roman" w:eastAsia="Calibri" w:hAnsi="Times New Roman" w:cs="Times New Roman"/>
        </w:rPr>
        <w:commentReference w:id="3"/>
      </w:r>
      <w:commentRangeEnd w:id="4"/>
      <w:r w:rsidR="00A2110D">
        <w:rPr>
          <w:rStyle w:val="CommentReference"/>
          <w:rFonts w:ascii="Times New Roman" w:eastAsia="Calibri" w:hAnsi="Times New Roman" w:cs="Times New Roman"/>
        </w:rPr>
        <w:commentReference w:id="4"/>
      </w:r>
      <w:r w:rsidR="002F5130" w:rsidRPr="002F5130">
        <w:rPr>
          <w:rFonts w:ascii="Times New Roman" w:hAnsi="Times New Roman" w:cs="Times New Roman"/>
          <w:sz w:val="24"/>
          <w:szCs w:val="24"/>
        </w:rPr>
        <w:t>.</w:t>
      </w:r>
    </w:p>
    <w:p w14:paraId="54451524" w14:textId="77777777" w:rsidR="0093407D" w:rsidRPr="002F5130" w:rsidRDefault="0093407D" w:rsidP="003A1F8A">
      <w:pPr>
        <w:spacing w:before="100" w:beforeAutospacing="1" w:after="100" w:afterAutospacing="1" w:line="360" w:lineRule="auto"/>
        <w:ind w:left="540" w:hanging="270"/>
        <w:contextualSpacing/>
        <w:jc w:val="both"/>
        <w:outlineLvl w:val="0"/>
        <w:rPr>
          <w:rFonts w:ascii="Times New Roman" w:hAnsi="Times New Roman" w:cs="Times New Roman"/>
          <w:sz w:val="24"/>
          <w:szCs w:val="24"/>
        </w:rPr>
      </w:pPr>
    </w:p>
    <w:p w14:paraId="2C34F769" w14:textId="432D60D5" w:rsidR="002F5130" w:rsidRPr="002F5130" w:rsidRDefault="0093407D" w:rsidP="003A1F8A">
      <w:pPr>
        <w:spacing w:before="100" w:beforeAutospacing="1" w:after="100" w:afterAutospacing="1" w:line="360" w:lineRule="auto"/>
        <w:ind w:left="540" w:hanging="270"/>
        <w:contextualSpacing/>
        <w:jc w:val="both"/>
        <w:outlineLvl w:val="0"/>
        <w:rPr>
          <w:rFonts w:ascii="Times New Roman" w:hAnsi="Times New Roman" w:cs="Times New Roman"/>
          <w:sz w:val="24"/>
          <w:szCs w:val="24"/>
        </w:rPr>
      </w:pPr>
      <w:r>
        <w:rPr>
          <w:rFonts w:ascii="Times New Roman" w:hAnsi="Times New Roman" w:cs="Times New Roman"/>
          <w:sz w:val="24"/>
          <w:szCs w:val="24"/>
        </w:rPr>
        <w:t>59.</w:t>
      </w:r>
      <w:r w:rsidR="002F5130" w:rsidRPr="002F5130">
        <w:rPr>
          <w:rFonts w:ascii="Times New Roman" w:hAnsi="Times New Roman" w:cs="Times New Roman"/>
          <w:sz w:val="24"/>
          <w:szCs w:val="24"/>
        </w:rPr>
        <w:t>Consequently, the judgment and orders of the lower court are upheld.</w:t>
      </w:r>
    </w:p>
    <w:p w14:paraId="05603F05" w14:textId="3D0EB5B6" w:rsidR="002F5130" w:rsidRDefault="002F5130" w:rsidP="002F5130">
      <w:pPr>
        <w:spacing w:line="360" w:lineRule="auto"/>
        <w:jc w:val="both"/>
        <w:rPr>
          <w:rFonts w:ascii="Times New Roman" w:hAnsi="Times New Roman" w:cs="Times New Roman"/>
          <w:sz w:val="24"/>
          <w:szCs w:val="24"/>
        </w:rPr>
      </w:pPr>
    </w:p>
    <w:p w14:paraId="785DDE7B" w14:textId="77777777" w:rsidR="003A1F8A" w:rsidRDefault="003A1F8A" w:rsidP="002F5130">
      <w:pPr>
        <w:spacing w:line="360" w:lineRule="auto"/>
        <w:jc w:val="both"/>
        <w:rPr>
          <w:rFonts w:ascii="Times New Roman" w:hAnsi="Times New Roman" w:cs="Times New Roman"/>
          <w:sz w:val="24"/>
          <w:szCs w:val="24"/>
        </w:rPr>
      </w:pPr>
    </w:p>
    <w:p w14:paraId="1F16A367" w14:textId="461656C9" w:rsidR="0093407D" w:rsidRPr="00583AF3" w:rsidRDefault="0093407D" w:rsidP="003A1F8A">
      <w:pPr>
        <w:spacing w:line="480" w:lineRule="auto"/>
        <w:ind w:left="270" w:right="720"/>
        <w:contextualSpacing/>
        <w:rPr>
          <w:rFonts w:ascii="Times New Roman" w:eastAsia="Times New Roman" w:hAnsi="Times New Roman" w:cs="Times New Roman"/>
          <w:sz w:val="24"/>
          <w:szCs w:val="24"/>
          <w:lang w:val="en-US"/>
        </w:rPr>
      </w:pPr>
      <w:r w:rsidRPr="00583AF3">
        <w:rPr>
          <w:rFonts w:ascii="Times New Roman" w:eastAsia="Times New Roman" w:hAnsi="Times New Roman" w:cs="Times New Roman"/>
          <w:sz w:val="24"/>
          <w:szCs w:val="24"/>
          <w:lang w:val="en-US"/>
        </w:rPr>
        <w:t>_____________</w:t>
      </w:r>
      <w:r>
        <w:rPr>
          <w:rFonts w:ascii="Times New Roman" w:eastAsia="Times New Roman" w:hAnsi="Times New Roman" w:cs="Times New Roman"/>
          <w:sz w:val="24"/>
          <w:szCs w:val="24"/>
          <w:lang w:val="en-US"/>
        </w:rPr>
        <w:t>__________</w:t>
      </w:r>
      <w:r w:rsidRPr="00583AF3">
        <w:rPr>
          <w:rFonts w:ascii="Times New Roman" w:eastAsia="Times New Roman" w:hAnsi="Times New Roman" w:cs="Times New Roman"/>
          <w:sz w:val="24"/>
          <w:szCs w:val="24"/>
          <w:lang w:val="en-US"/>
        </w:rPr>
        <w:t>___</w:t>
      </w:r>
    </w:p>
    <w:p w14:paraId="364C6AFB" w14:textId="77777777" w:rsidR="002F5130" w:rsidRPr="002F5130" w:rsidRDefault="002F5130" w:rsidP="003A1F8A">
      <w:pPr>
        <w:spacing w:after="0" w:line="360" w:lineRule="auto"/>
        <w:ind w:left="270"/>
        <w:jc w:val="both"/>
        <w:rPr>
          <w:rFonts w:ascii="Times New Roman" w:hAnsi="Times New Roman" w:cs="Times New Roman"/>
          <w:b/>
          <w:sz w:val="24"/>
          <w:szCs w:val="24"/>
        </w:rPr>
      </w:pPr>
      <w:r w:rsidRPr="002F5130">
        <w:rPr>
          <w:rFonts w:ascii="Times New Roman" w:hAnsi="Times New Roman" w:cs="Times New Roman"/>
          <w:b/>
          <w:sz w:val="24"/>
          <w:szCs w:val="24"/>
        </w:rPr>
        <w:t>DR. LILLIAN TIBATEMWA-EKIRIKUBINZA, JA.</w:t>
      </w:r>
    </w:p>
    <w:p w14:paraId="2B7809FE" w14:textId="36344D13" w:rsidR="00583AF3" w:rsidRDefault="00583AF3" w:rsidP="003A1F8A">
      <w:pPr>
        <w:tabs>
          <w:tab w:val="left" w:pos="5220"/>
        </w:tabs>
        <w:spacing w:line="360" w:lineRule="auto"/>
        <w:ind w:left="270" w:right="720"/>
        <w:jc w:val="both"/>
        <w:rPr>
          <w:rFonts w:ascii="Times New Roman" w:hAnsi="Times New Roman" w:cs="Times New Roman"/>
          <w:color w:val="202124"/>
          <w:sz w:val="10"/>
          <w:szCs w:val="10"/>
          <w:shd w:val="clear" w:color="auto" w:fill="FFFFFF"/>
        </w:rPr>
      </w:pPr>
    </w:p>
    <w:p w14:paraId="0F7D956B" w14:textId="2B8510FF" w:rsidR="003A1F8A" w:rsidRDefault="003A1F8A" w:rsidP="003A1F8A">
      <w:pPr>
        <w:tabs>
          <w:tab w:val="left" w:pos="5220"/>
        </w:tabs>
        <w:spacing w:line="360" w:lineRule="auto"/>
        <w:ind w:left="270" w:right="720"/>
        <w:jc w:val="both"/>
        <w:rPr>
          <w:rFonts w:ascii="Times New Roman" w:hAnsi="Times New Roman" w:cs="Times New Roman"/>
          <w:color w:val="202124"/>
          <w:sz w:val="10"/>
          <w:szCs w:val="10"/>
          <w:shd w:val="clear" w:color="auto" w:fill="FFFFFF"/>
        </w:rPr>
      </w:pPr>
    </w:p>
    <w:p w14:paraId="2AE9D7DC" w14:textId="0E9D6573" w:rsidR="003A1F8A" w:rsidRDefault="003A1F8A" w:rsidP="003A1F8A">
      <w:pPr>
        <w:tabs>
          <w:tab w:val="left" w:pos="5220"/>
        </w:tabs>
        <w:spacing w:line="360" w:lineRule="auto"/>
        <w:ind w:left="270" w:right="720"/>
        <w:jc w:val="both"/>
        <w:rPr>
          <w:rFonts w:ascii="Times New Roman" w:hAnsi="Times New Roman" w:cs="Times New Roman"/>
          <w:color w:val="202124"/>
          <w:sz w:val="10"/>
          <w:szCs w:val="10"/>
          <w:shd w:val="clear" w:color="auto" w:fill="FFFFFF"/>
        </w:rPr>
      </w:pPr>
    </w:p>
    <w:p w14:paraId="4749990F" w14:textId="77777777" w:rsidR="003A1F8A" w:rsidRPr="00583AF3" w:rsidRDefault="003A1F8A" w:rsidP="003A1F8A">
      <w:pPr>
        <w:tabs>
          <w:tab w:val="left" w:pos="5220"/>
        </w:tabs>
        <w:spacing w:line="360" w:lineRule="auto"/>
        <w:ind w:left="270" w:right="720"/>
        <w:jc w:val="both"/>
        <w:rPr>
          <w:rFonts w:ascii="Times New Roman" w:hAnsi="Times New Roman" w:cs="Times New Roman"/>
          <w:color w:val="202124"/>
          <w:sz w:val="10"/>
          <w:szCs w:val="10"/>
          <w:shd w:val="clear" w:color="auto" w:fill="FFFFFF"/>
        </w:rPr>
      </w:pPr>
    </w:p>
    <w:p w14:paraId="37242333" w14:textId="77777777" w:rsidR="00583AF3" w:rsidRPr="00583AF3" w:rsidRDefault="00583AF3" w:rsidP="003A1F8A">
      <w:pPr>
        <w:shd w:val="clear" w:color="auto" w:fill="FFFFFF"/>
        <w:spacing w:line="240" w:lineRule="auto"/>
        <w:ind w:left="270"/>
        <w:jc w:val="both"/>
        <w:rPr>
          <w:rFonts w:ascii="Times New Roman" w:eastAsia="Times New Roman" w:hAnsi="Times New Roman" w:cs="Times New Roman"/>
          <w:color w:val="202124"/>
          <w:sz w:val="24"/>
          <w:szCs w:val="24"/>
        </w:rPr>
      </w:pPr>
      <w:r w:rsidRPr="00583AF3">
        <w:rPr>
          <w:rFonts w:ascii="Times New Roman" w:eastAsia="Times New Roman" w:hAnsi="Times New Roman" w:cs="Times New Roman"/>
          <w:color w:val="202124"/>
          <w:sz w:val="24"/>
          <w:szCs w:val="24"/>
        </w:rPr>
        <w:t>I concur</w:t>
      </w:r>
      <w:r w:rsidRPr="00583AF3">
        <w:rPr>
          <w:rFonts w:ascii="Times New Roman" w:eastAsia="Times New Roman" w:hAnsi="Times New Roman" w:cs="Times New Roman"/>
          <w:color w:val="202124"/>
          <w:sz w:val="24"/>
          <w:szCs w:val="24"/>
        </w:rPr>
        <w:tab/>
      </w:r>
      <w:r w:rsidRPr="00583AF3">
        <w:rPr>
          <w:rFonts w:ascii="Times New Roman" w:eastAsia="Times New Roman" w:hAnsi="Times New Roman" w:cs="Times New Roman"/>
          <w:color w:val="202124"/>
          <w:sz w:val="24"/>
          <w:szCs w:val="24"/>
        </w:rPr>
        <w:tab/>
      </w:r>
      <w:r w:rsidRPr="00583AF3">
        <w:rPr>
          <w:rFonts w:ascii="Times New Roman" w:eastAsia="Times New Roman" w:hAnsi="Times New Roman" w:cs="Times New Roman"/>
          <w:color w:val="202124"/>
          <w:sz w:val="24"/>
          <w:szCs w:val="24"/>
        </w:rPr>
        <w:tab/>
      </w:r>
      <w:r w:rsidRPr="00583AF3">
        <w:rPr>
          <w:rFonts w:ascii="Times New Roman" w:eastAsia="Times New Roman" w:hAnsi="Times New Roman" w:cs="Times New Roman"/>
          <w:color w:val="202124"/>
          <w:sz w:val="24"/>
          <w:szCs w:val="24"/>
        </w:rPr>
        <w:tab/>
      </w:r>
      <w:r w:rsidRPr="00583AF3">
        <w:rPr>
          <w:rFonts w:ascii="Times New Roman" w:eastAsia="Times New Roman" w:hAnsi="Times New Roman" w:cs="Times New Roman"/>
          <w:color w:val="202124"/>
          <w:sz w:val="24"/>
          <w:szCs w:val="24"/>
        </w:rPr>
        <w:tab/>
      </w:r>
      <w:r w:rsidRPr="00583AF3">
        <w:rPr>
          <w:rFonts w:ascii="Times New Roman" w:eastAsia="Times New Roman" w:hAnsi="Times New Roman" w:cs="Times New Roman"/>
          <w:color w:val="202124"/>
          <w:sz w:val="24"/>
          <w:szCs w:val="24"/>
        </w:rPr>
        <w:tab/>
        <w:t>_______________________</w:t>
      </w:r>
    </w:p>
    <w:p w14:paraId="006731C6" w14:textId="40947373" w:rsidR="00583AF3" w:rsidRDefault="00583AF3" w:rsidP="003A1F8A">
      <w:pPr>
        <w:spacing w:line="240" w:lineRule="auto"/>
        <w:ind w:left="270" w:right="720"/>
        <w:jc w:val="both"/>
        <w:rPr>
          <w:rFonts w:ascii="Times New Roman" w:hAnsi="Times New Roman" w:cs="Times New Roman"/>
          <w:color w:val="202124"/>
          <w:sz w:val="24"/>
          <w:szCs w:val="24"/>
          <w:shd w:val="clear" w:color="auto" w:fill="FFFFFF"/>
        </w:rPr>
      </w:pPr>
      <w:r w:rsidRPr="00583AF3">
        <w:rPr>
          <w:rFonts w:ascii="Times New Roman" w:hAnsi="Times New Roman" w:cs="Times New Roman"/>
          <w:color w:val="202124"/>
          <w:sz w:val="24"/>
          <w:szCs w:val="24"/>
          <w:shd w:val="clear" w:color="auto" w:fill="FFFFFF"/>
        </w:rPr>
        <w:tab/>
      </w:r>
      <w:r w:rsidRPr="00583AF3">
        <w:rPr>
          <w:rFonts w:ascii="Times New Roman" w:hAnsi="Times New Roman" w:cs="Times New Roman"/>
          <w:color w:val="202124"/>
          <w:sz w:val="24"/>
          <w:szCs w:val="24"/>
          <w:shd w:val="clear" w:color="auto" w:fill="FFFFFF"/>
        </w:rPr>
        <w:tab/>
      </w:r>
      <w:r w:rsidRPr="00583AF3">
        <w:rPr>
          <w:rFonts w:ascii="Times New Roman" w:hAnsi="Times New Roman" w:cs="Times New Roman"/>
          <w:color w:val="202124"/>
          <w:sz w:val="24"/>
          <w:szCs w:val="24"/>
          <w:shd w:val="clear" w:color="auto" w:fill="FFFFFF"/>
        </w:rPr>
        <w:tab/>
      </w:r>
      <w:r w:rsidRPr="00583AF3">
        <w:rPr>
          <w:rFonts w:ascii="Times New Roman" w:hAnsi="Times New Roman" w:cs="Times New Roman"/>
          <w:color w:val="202124"/>
          <w:sz w:val="24"/>
          <w:szCs w:val="24"/>
          <w:shd w:val="clear" w:color="auto" w:fill="FFFFFF"/>
        </w:rPr>
        <w:tab/>
      </w:r>
      <w:r w:rsidRPr="00583AF3">
        <w:rPr>
          <w:rFonts w:ascii="Times New Roman" w:hAnsi="Times New Roman" w:cs="Times New Roman"/>
          <w:color w:val="202124"/>
          <w:sz w:val="24"/>
          <w:szCs w:val="24"/>
          <w:shd w:val="clear" w:color="auto" w:fill="FFFFFF"/>
        </w:rPr>
        <w:tab/>
      </w:r>
      <w:r w:rsidRPr="00583AF3">
        <w:rPr>
          <w:rFonts w:ascii="Times New Roman" w:hAnsi="Times New Roman" w:cs="Times New Roman"/>
          <w:color w:val="202124"/>
          <w:sz w:val="24"/>
          <w:szCs w:val="24"/>
          <w:shd w:val="clear" w:color="auto" w:fill="FFFFFF"/>
        </w:rPr>
        <w:tab/>
      </w:r>
      <w:r w:rsidRPr="00583AF3">
        <w:rPr>
          <w:rFonts w:ascii="Times New Roman" w:hAnsi="Times New Roman" w:cs="Times New Roman"/>
          <w:color w:val="202124"/>
          <w:sz w:val="24"/>
          <w:szCs w:val="24"/>
          <w:shd w:val="clear" w:color="auto" w:fill="FFFFFF"/>
        </w:rPr>
        <w:tab/>
        <w:t>Dr. M. Twomey-Woods, JA</w:t>
      </w:r>
    </w:p>
    <w:p w14:paraId="1A1DD474" w14:textId="0A83E0A6" w:rsidR="003A1F8A" w:rsidRDefault="003A1F8A" w:rsidP="003A1F8A">
      <w:pPr>
        <w:spacing w:line="240" w:lineRule="auto"/>
        <w:ind w:left="270" w:right="720"/>
        <w:jc w:val="both"/>
        <w:rPr>
          <w:rFonts w:ascii="Times New Roman" w:hAnsi="Times New Roman" w:cs="Times New Roman"/>
          <w:color w:val="202124"/>
          <w:sz w:val="24"/>
          <w:szCs w:val="24"/>
          <w:shd w:val="clear" w:color="auto" w:fill="FFFFFF"/>
        </w:rPr>
      </w:pPr>
    </w:p>
    <w:p w14:paraId="004E04CB" w14:textId="41049F0A" w:rsidR="003A1F8A" w:rsidRDefault="003A1F8A" w:rsidP="003A1F8A">
      <w:pPr>
        <w:spacing w:line="240" w:lineRule="auto"/>
        <w:ind w:left="270" w:right="720"/>
        <w:jc w:val="both"/>
        <w:rPr>
          <w:rFonts w:ascii="Times New Roman" w:hAnsi="Times New Roman" w:cs="Times New Roman"/>
          <w:color w:val="202124"/>
          <w:sz w:val="24"/>
          <w:szCs w:val="24"/>
          <w:shd w:val="clear" w:color="auto" w:fill="FFFFFF"/>
        </w:rPr>
      </w:pPr>
    </w:p>
    <w:p w14:paraId="69561ABF" w14:textId="0BBEFC7C" w:rsidR="003A1F8A" w:rsidRPr="003A1F8A" w:rsidRDefault="003A1F8A" w:rsidP="003A1F8A">
      <w:pPr>
        <w:pStyle w:val="NoSpacing"/>
        <w:rPr>
          <w:rFonts w:ascii="Times New Roman" w:hAnsi="Times New Roman" w:cs="Times New Roman"/>
          <w:sz w:val="24"/>
          <w:szCs w:val="24"/>
          <w:shd w:val="clear" w:color="auto" w:fill="FFFFFF"/>
        </w:rPr>
      </w:pPr>
      <w:r w:rsidRPr="003A1F8A">
        <w:rPr>
          <w:rFonts w:ascii="Times New Roman" w:hAnsi="Times New Roman" w:cs="Times New Roman"/>
          <w:sz w:val="24"/>
          <w:szCs w:val="24"/>
          <w:shd w:val="clear" w:color="auto" w:fill="FFFFFF"/>
        </w:rPr>
        <w:t>I concur</w:t>
      </w:r>
      <w:r w:rsidRPr="003A1F8A">
        <w:rPr>
          <w:rFonts w:ascii="Times New Roman" w:hAnsi="Times New Roman" w:cs="Times New Roman"/>
          <w:sz w:val="24"/>
          <w:szCs w:val="24"/>
          <w:shd w:val="clear" w:color="auto" w:fill="FFFFFF"/>
        </w:rPr>
        <w:tab/>
      </w:r>
      <w:r w:rsidRPr="003A1F8A">
        <w:rPr>
          <w:rFonts w:ascii="Times New Roman" w:hAnsi="Times New Roman" w:cs="Times New Roman"/>
          <w:sz w:val="24"/>
          <w:szCs w:val="24"/>
          <w:shd w:val="clear" w:color="auto" w:fill="FFFFFF"/>
        </w:rPr>
        <w:tab/>
      </w:r>
      <w:r w:rsidRPr="003A1F8A">
        <w:rPr>
          <w:rFonts w:ascii="Times New Roman" w:hAnsi="Times New Roman" w:cs="Times New Roman"/>
          <w:sz w:val="24"/>
          <w:szCs w:val="24"/>
          <w:shd w:val="clear" w:color="auto" w:fill="FFFFFF"/>
        </w:rPr>
        <w:tab/>
      </w:r>
      <w:r w:rsidRPr="003A1F8A">
        <w:rPr>
          <w:rFonts w:ascii="Times New Roman" w:hAnsi="Times New Roman" w:cs="Times New Roman"/>
          <w:sz w:val="24"/>
          <w:szCs w:val="24"/>
          <w:shd w:val="clear" w:color="auto" w:fill="FFFFFF"/>
        </w:rPr>
        <w:tab/>
      </w:r>
      <w:r w:rsidRPr="003A1F8A">
        <w:rPr>
          <w:rFonts w:ascii="Times New Roman" w:hAnsi="Times New Roman" w:cs="Times New Roman"/>
          <w:sz w:val="24"/>
          <w:szCs w:val="24"/>
          <w:shd w:val="clear" w:color="auto" w:fill="FFFFFF"/>
        </w:rPr>
        <w:tab/>
      </w:r>
      <w:r w:rsidRPr="003A1F8A">
        <w:rPr>
          <w:rFonts w:ascii="Times New Roman" w:hAnsi="Times New Roman" w:cs="Times New Roman"/>
          <w:sz w:val="24"/>
          <w:szCs w:val="24"/>
          <w:shd w:val="clear" w:color="auto" w:fill="FFFFFF"/>
        </w:rPr>
        <w:tab/>
        <w:t>_______________________</w:t>
      </w:r>
      <w:r w:rsidRPr="003A1F8A">
        <w:rPr>
          <w:rFonts w:ascii="Times New Roman" w:hAnsi="Times New Roman" w:cs="Times New Roman"/>
          <w:sz w:val="24"/>
          <w:szCs w:val="24"/>
          <w:shd w:val="clear" w:color="auto" w:fill="FFFFFF"/>
        </w:rPr>
        <w:tab/>
      </w:r>
      <w:r w:rsidRPr="003A1F8A">
        <w:rPr>
          <w:rFonts w:ascii="Times New Roman" w:hAnsi="Times New Roman" w:cs="Times New Roman"/>
          <w:sz w:val="24"/>
          <w:szCs w:val="24"/>
          <w:shd w:val="clear" w:color="auto" w:fill="FFFFFF"/>
        </w:rPr>
        <w:tab/>
      </w:r>
    </w:p>
    <w:p w14:paraId="11ED2F08" w14:textId="77777777" w:rsidR="00583AF3" w:rsidRPr="003A1F8A" w:rsidRDefault="00583AF3" w:rsidP="003A1F8A">
      <w:pPr>
        <w:pStyle w:val="NoSpacing"/>
        <w:rPr>
          <w:rFonts w:ascii="Times New Roman" w:hAnsi="Times New Roman" w:cs="Times New Roman"/>
          <w:sz w:val="24"/>
          <w:szCs w:val="24"/>
          <w:shd w:val="clear" w:color="auto" w:fill="FFFFFF"/>
        </w:rPr>
      </w:pPr>
    </w:p>
    <w:p w14:paraId="5331FEED" w14:textId="0C0EC0CB" w:rsidR="00583AF3" w:rsidRPr="003A1F8A" w:rsidRDefault="003A1F8A" w:rsidP="003A1F8A">
      <w:pPr>
        <w:pStyle w:val="NoSpacing"/>
        <w:rPr>
          <w:rFonts w:ascii="Times New Roman" w:hAnsi="Times New Roman" w:cs="Times New Roman"/>
          <w:sz w:val="24"/>
          <w:szCs w:val="24"/>
          <w:shd w:val="clear" w:color="auto" w:fill="FFFFFF"/>
        </w:rPr>
      </w:pPr>
      <w:r w:rsidRPr="003A1F8A">
        <w:rPr>
          <w:rFonts w:ascii="Times New Roman" w:hAnsi="Times New Roman" w:cs="Times New Roman"/>
          <w:sz w:val="24"/>
          <w:szCs w:val="24"/>
          <w:shd w:val="clear" w:color="auto" w:fill="FFFFFF"/>
        </w:rPr>
        <w:tab/>
      </w:r>
      <w:r w:rsidRPr="003A1F8A">
        <w:rPr>
          <w:rFonts w:ascii="Times New Roman" w:hAnsi="Times New Roman" w:cs="Times New Roman"/>
          <w:sz w:val="24"/>
          <w:szCs w:val="24"/>
          <w:shd w:val="clear" w:color="auto" w:fill="FFFFFF"/>
        </w:rPr>
        <w:tab/>
      </w:r>
      <w:r w:rsidRPr="003A1F8A">
        <w:rPr>
          <w:rFonts w:ascii="Times New Roman" w:hAnsi="Times New Roman" w:cs="Times New Roman"/>
          <w:sz w:val="24"/>
          <w:szCs w:val="24"/>
          <w:shd w:val="clear" w:color="auto" w:fill="FFFFFF"/>
        </w:rPr>
        <w:tab/>
      </w:r>
      <w:r w:rsidRPr="003A1F8A">
        <w:rPr>
          <w:rFonts w:ascii="Times New Roman" w:hAnsi="Times New Roman" w:cs="Times New Roman"/>
          <w:sz w:val="24"/>
          <w:szCs w:val="24"/>
          <w:shd w:val="clear" w:color="auto" w:fill="FFFFFF"/>
        </w:rPr>
        <w:tab/>
      </w:r>
      <w:r w:rsidRPr="003A1F8A">
        <w:rPr>
          <w:rFonts w:ascii="Times New Roman" w:hAnsi="Times New Roman" w:cs="Times New Roman"/>
          <w:sz w:val="24"/>
          <w:szCs w:val="24"/>
          <w:shd w:val="clear" w:color="auto" w:fill="FFFFFF"/>
        </w:rPr>
        <w:tab/>
      </w:r>
      <w:r w:rsidRPr="003A1F8A">
        <w:rPr>
          <w:rFonts w:ascii="Times New Roman" w:hAnsi="Times New Roman" w:cs="Times New Roman"/>
          <w:sz w:val="24"/>
          <w:szCs w:val="24"/>
          <w:shd w:val="clear" w:color="auto" w:fill="FFFFFF"/>
        </w:rPr>
        <w:tab/>
      </w:r>
      <w:r w:rsidRPr="003A1F8A">
        <w:rPr>
          <w:rFonts w:ascii="Times New Roman" w:hAnsi="Times New Roman" w:cs="Times New Roman"/>
          <w:sz w:val="24"/>
          <w:szCs w:val="24"/>
          <w:shd w:val="clear" w:color="auto" w:fill="FFFFFF"/>
        </w:rPr>
        <w:tab/>
        <w:t>S. Andre, JA</w:t>
      </w:r>
    </w:p>
    <w:p w14:paraId="1BE28F5F" w14:textId="77777777" w:rsidR="003A1F8A" w:rsidRPr="00583AF3" w:rsidRDefault="003A1F8A" w:rsidP="003A1F8A">
      <w:pPr>
        <w:spacing w:line="240" w:lineRule="auto"/>
        <w:ind w:left="270" w:right="720"/>
        <w:jc w:val="both"/>
        <w:rPr>
          <w:rFonts w:ascii="Times New Roman" w:hAnsi="Times New Roman" w:cs="Times New Roman"/>
          <w:color w:val="202124"/>
          <w:sz w:val="24"/>
          <w:szCs w:val="24"/>
          <w:shd w:val="clear" w:color="auto" w:fill="FFFFFF"/>
        </w:rPr>
      </w:pPr>
    </w:p>
    <w:p w14:paraId="400DBB12" w14:textId="4D294C74" w:rsidR="00583AF3" w:rsidRPr="00583AF3" w:rsidRDefault="00583AF3" w:rsidP="003A1F8A">
      <w:pPr>
        <w:tabs>
          <w:tab w:val="left" w:pos="5040"/>
          <w:tab w:val="left" w:pos="5490"/>
        </w:tabs>
        <w:spacing w:line="480" w:lineRule="auto"/>
        <w:ind w:left="5040" w:right="720" w:hanging="9810"/>
        <w:jc w:val="both"/>
        <w:rPr>
          <w:rFonts w:ascii="Times New Roman" w:hAnsi="Times New Roman" w:cs="Times New Roman"/>
          <w:color w:val="202124"/>
          <w:sz w:val="24"/>
          <w:szCs w:val="24"/>
          <w:shd w:val="clear" w:color="auto" w:fill="FFFFFF"/>
        </w:rPr>
      </w:pPr>
      <w:r w:rsidRPr="00583AF3">
        <w:rPr>
          <w:rFonts w:ascii="Times New Roman" w:hAnsi="Times New Roman" w:cs="Times New Roman"/>
          <w:color w:val="202124"/>
          <w:sz w:val="24"/>
          <w:szCs w:val="24"/>
          <w:shd w:val="clear" w:color="auto" w:fill="FFFFFF"/>
        </w:rPr>
        <w:t>I concur</w:t>
      </w:r>
      <w:r w:rsidRPr="00583AF3">
        <w:rPr>
          <w:rFonts w:ascii="Times New Roman" w:hAnsi="Times New Roman" w:cs="Times New Roman"/>
          <w:color w:val="202124"/>
          <w:sz w:val="24"/>
          <w:szCs w:val="24"/>
          <w:shd w:val="clear" w:color="auto" w:fill="FFFFFF"/>
        </w:rPr>
        <w:tab/>
        <w:t xml:space="preserve"> </w:t>
      </w:r>
    </w:p>
    <w:p w14:paraId="36A986CE" w14:textId="13BA8285" w:rsidR="00583AF3" w:rsidRPr="00B41619" w:rsidRDefault="00583AF3" w:rsidP="00583AF3">
      <w:pPr>
        <w:pStyle w:val="judgmenttext0"/>
        <w:shd w:val="clear" w:color="auto" w:fill="FFFFFF"/>
        <w:spacing w:before="0" w:beforeAutospacing="0" w:after="0" w:afterAutospacing="0" w:line="360" w:lineRule="auto"/>
        <w:jc w:val="both"/>
        <w:textAlignment w:val="baseline"/>
        <w:rPr>
          <w:lang w:val="en-GB"/>
        </w:rPr>
      </w:pPr>
      <w:r w:rsidRPr="00B41619">
        <w:rPr>
          <w:lang w:val="en-GB"/>
        </w:rPr>
        <w:t>Signed, dated and delivered at Ile du Port on 2</w:t>
      </w:r>
      <w:r w:rsidR="00515BE9">
        <w:rPr>
          <w:lang w:val="en-GB"/>
        </w:rPr>
        <w:t>6 April 2023</w:t>
      </w:r>
    </w:p>
    <w:p w14:paraId="74BB79C5" w14:textId="77777777" w:rsidR="00B41619" w:rsidRPr="00B41619" w:rsidRDefault="00B41619" w:rsidP="00B41619">
      <w:pPr>
        <w:spacing w:line="360" w:lineRule="auto"/>
        <w:jc w:val="both"/>
        <w:rPr>
          <w:rFonts w:ascii="Times New Roman" w:hAnsi="Times New Roman" w:cs="Times New Roman"/>
          <w:sz w:val="24"/>
          <w:szCs w:val="24"/>
        </w:rPr>
      </w:pPr>
    </w:p>
    <w:p w14:paraId="573B6D81" w14:textId="0C1A13F6" w:rsidR="00B41619" w:rsidRDefault="00B41619" w:rsidP="00B41619">
      <w:pPr>
        <w:spacing w:line="360" w:lineRule="auto"/>
        <w:jc w:val="both"/>
        <w:rPr>
          <w:rFonts w:ascii="Times New Roman" w:hAnsi="Times New Roman" w:cs="Times New Roman"/>
          <w:sz w:val="24"/>
          <w:szCs w:val="24"/>
        </w:rPr>
      </w:pPr>
    </w:p>
    <w:p w14:paraId="5F7C89AD" w14:textId="2BB2F209" w:rsidR="00515BE9" w:rsidRDefault="00515BE9" w:rsidP="00B41619">
      <w:pPr>
        <w:spacing w:line="360" w:lineRule="auto"/>
        <w:jc w:val="both"/>
        <w:rPr>
          <w:rFonts w:ascii="Times New Roman" w:hAnsi="Times New Roman" w:cs="Times New Roman"/>
          <w:sz w:val="24"/>
          <w:szCs w:val="24"/>
        </w:rPr>
      </w:pPr>
    </w:p>
    <w:p w14:paraId="0AFC0DD4" w14:textId="6A318CF8" w:rsidR="00515BE9" w:rsidRDefault="00515BE9" w:rsidP="00B41619">
      <w:pPr>
        <w:spacing w:line="360" w:lineRule="auto"/>
        <w:jc w:val="both"/>
        <w:rPr>
          <w:rFonts w:ascii="Times New Roman" w:hAnsi="Times New Roman" w:cs="Times New Roman"/>
          <w:sz w:val="24"/>
          <w:szCs w:val="24"/>
        </w:rPr>
      </w:pPr>
    </w:p>
    <w:p w14:paraId="09FA01A7" w14:textId="3BF90263" w:rsidR="00515BE9" w:rsidRDefault="00515BE9" w:rsidP="00B41619">
      <w:pPr>
        <w:spacing w:line="360" w:lineRule="auto"/>
        <w:jc w:val="both"/>
        <w:rPr>
          <w:rFonts w:ascii="Times New Roman" w:hAnsi="Times New Roman" w:cs="Times New Roman"/>
          <w:sz w:val="24"/>
          <w:szCs w:val="24"/>
        </w:rPr>
      </w:pPr>
    </w:p>
    <w:sectPr w:rsidR="00515BE9">
      <w:footerReference w:type="default" r:id="rId2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amia Andre" w:date="2023-04-22T10:23:00Z" w:initials="SA">
    <w:p w14:paraId="72E3326F" w14:textId="22060C5B" w:rsidR="004A01F2" w:rsidRDefault="004A01F2">
      <w:pPr>
        <w:pStyle w:val="CommentText"/>
      </w:pPr>
      <w:r>
        <w:rPr>
          <w:rStyle w:val="CommentReference"/>
        </w:rPr>
        <w:annotationRef/>
      </w:r>
      <w:r>
        <w:t>Agreed fully.</w:t>
      </w:r>
    </w:p>
  </w:comment>
  <w:comment w:id="2" w:author="Samia Andre" w:date="2023-04-22T10:23:00Z" w:initials="SA">
    <w:p w14:paraId="326E7654" w14:textId="11EB32D7" w:rsidR="004A01F2" w:rsidRDefault="004A01F2">
      <w:pPr>
        <w:pStyle w:val="CommentText"/>
      </w:pPr>
      <w:r>
        <w:rPr>
          <w:rStyle w:val="CommentReference"/>
        </w:rPr>
        <w:annotationRef/>
      </w:r>
      <w:r>
        <w:t>Agreed fully caselaw settled on that point as indicated below.</w:t>
      </w:r>
    </w:p>
  </w:comment>
  <w:comment w:id="3" w:author="Samia Andre" w:date="2023-04-22T10:38:00Z" w:initials="SA">
    <w:p w14:paraId="5BF536B7" w14:textId="2414DF75" w:rsidR="00076998" w:rsidRDefault="00076998">
      <w:pPr>
        <w:pStyle w:val="CommentText"/>
      </w:pPr>
      <w:r>
        <w:rPr>
          <w:rStyle w:val="CommentReference"/>
        </w:rPr>
        <w:annotationRef/>
      </w:r>
      <w:r>
        <w:t>I note that the word Respondent and company added at different paragraphs. Perhaps you should stick to Respodnnet’s company throughout based on paragrapgh 2.</w:t>
      </w:r>
    </w:p>
  </w:comment>
  <w:comment w:id="4" w:author="USER" w:date="2023-04-24T12:03:00Z" w:initials="U">
    <w:p w14:paraId="1FFD0CB7" w14:textId="49DD8240" w:rsidR="00A2110D" w:rsidRDefault="00A2110D">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E3326F" w15:done="0"/>
  <w15:commentEx w15:paraId="326E7654" w15:done="0"/>
  <w15:commentEx w15:paraId="5BF536B7" w15:done="0"/>
  <w15:commentEx w15:paraId="1FFD0CB7" w15:paraIdParent="5BF536B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6A8BA" w14:textId="77777777" w:rsidR="00D1131B" w:rsidRDefault="00D1131B" w:rsidP="00235F2A">
      <w:pPr>
        <w:spacing w:after="0" w:line="240" w:lineRule="auto"/>
      </w:pPr>
      <w:r>
        <w:separator/>
      </w:r>
    </w:p>
  </w:endnote>
  <w:endnote w:type="continuationSeparator" w:id="0">
    <w:p w14:paraId="32B40A3A" w14:textId="77777777" w:rsidR="00D1131B" w:rsidRDefault="00D1131B" w:rsidP="0023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216660061"/>
      <w:docPartObj>
        <w:docPartGallery w:val="Page Numbers (Bottom of Page)"/>
        <w:docPartUnique/>
      </w:docPartObj>
    </w:sdtPr>
    <w:sdtEndPr>
      <w:rPr>
        <w:noProof/>
      </w:rPr>
    </w:sdtEndPr>
    <w:sdtContent>
      <w:p w14:paraId="322E965E" w14:textId="152CB2B6" w:rsidR="00726310" w:rsidRPr="00496FCD" w:rsidRDefault="00726310">
        <w:pPr>
          <w:pStyle w:val="Footer"/>
          <w:jc w:val="center"/>
          <w:rPr>
            <w:rFonts w:ascii="Times New Roman" w:hAnsi="Times New Roman" w:cs="Times New Roman"/>
            <w:sz w:val="20"/>
            <w:szCs w:val="20"/>
          </w:rPr>
        </w:pPr>
        <w:r w:rsidRPr="00496FCD">
          <w:rPr>
            <w:rFonts w:ascii="Times New Roman" w:hAnsi="Times New Roman" w:cs="Times New Roman"/>
            <w:sz w:val="20"/>
            <w:szCs w:val="20"/>
          </w:rPr>
          <w:fldChar w:fldCharType="begin"/>
        </w:r>
        <w:r w:rsidRPr="00496FCD">
          <w:rPr>
            <w:rFonts w:ascii="Times New Roman" w:hAnsi="Times New Roman" w:cs="Times New Roman"/>
            <w:sz w:val="20"/>
            <w:szCs w:val="20"/>
          </w:rPr>
          <w:instrText xml:space="preserve"> PAGE   \* MERGEFORMAT </w:instrText>
        </w:r>
        <w:r w:rsidRPr="00496FCD">
          <w:rPr>
            <w:rFonts w:ascii="Times New Roman" w:hAnsi="Times New Roman" w:cs="Times New Roman"/>
            <w:sz w:val="20"/>
            <w:szCs w:val="20"/>
          </w:rPr>
          <w:fldChar w:fldCharType="separate"/>
        </w:r>
        <w:r w:rsidR="00CB6105">
          <w:rPr>
            <w:rFonts w:ascii="Times New Roman" w:hAnsi="Times New Roman" w:cs="Times New Roman"/>
            <w:noProof/>
            <w:sz w:val="20"/>
            <w:szCs w:val="20"/>
          </w:rPr>
          <w:t>15</w:t>
        </w:r>
        <w:r w:rsidRPr="00496FCD">
          <w:rPr>
            <w:rFonts w:ascii="Times New Roman" w:hAnsi="Times New Roman" w:cs="Times New Roman"/>
            <w:noProof/>
            <w:sz w:val="20"/>
            <w:szCs w:val="20"/>
          </w:rPr>
          <w:fldChar w:fldCharType="end"/>
        </w:r>
      </w:p>
    </w:sdtContent>
  </w:sdt>
  <w:p w14:paraId="7F027764" w14:textId="77777777" w:rsidR="00726310" w:rsidRDefault="00726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1457B" w14:textId="77777777" w:rsidR="00D1131B" w:rsidRDefault="00D1131B" w:rsidP="00235F2A">
      <w:pPr>
        <w:spacing w:after="0" w:line="240" w:lineRule="auto"/>
      </w:pPr>
      <w:r>
        <w:separator/>
      </w:r>
    </w:p>
  </w:footnote>
  <w:footnote w:type="continuationSeparator" w:id="0">
    <w:p w14:paraId="0BA27B8F" w14:textId="77777777" w:rsidR="00D1131B" w:rsidRDefault="00D1131B" w:rsidP="00235F2A">
      <w:pPr>
        <w:spacing w:after="0" w:line="240" w:lineRule="auto"/>
      </w:pPr>
      <w:r>
        <w:continuationSeparator/>
      </w:r>
    </w:p>
  </w:footnote>
  <w:footnote w:id="1">
    <w:p w14:paraId="2CB0E11F" w14:textId="77777777" w:rsidR="002F5130" w:rsidRDefault="002F5130" w:rsidP="002F5130">
      <w:pPr>
        <w:pStyle w:val="FootnoteText"/>
      </w:pPr>
      <w:r w:rsidRPr="00C635DA">
        <w:rPr>
          <w:rStyle w:val="FootnoteReference"/>
        </w:rPr>
        <w:footnoteRef/>
      </w:r>
      <w:r w:rsidRPr="00C635DA">
        <w:t xml:space="preserve"> SCA 48/2017</w:t>
      </w:r>
    </w:p>
  </w:footnote>
  <w:footnote w:id="2">
    <w:p w14:paraId="18B9361C" w14:textId="77777777" w:rsidR="002F5130" w:rsidRDefault="002F5130" w:rsidP="002F5130">
      <w:pPr>
        <w:pStyle w:val="FootnoteText"/>
      </w:pPr>
      <w:r>
        <w:rPr>
          <w:rStyle w:val="FootnoteReference"/>
        </w:rPr>
        <w:footnoteRef/>
      </w:r>
      <w:r>
        <w:t xml:space="preserve"> SCA 45/2017</w:t>
      </w:r>
    </w:p>
  </w:footnote>
  <w:footnote w:id="3">
    <w:p w14:paraId="145D8D77" w14:textId="77777777" w:rsidR="002F5130" w:rsidRDefault="002F5130" w:rsidP="002F5130">
      <w:pPr>
        <w:pStyle w:val="FootnoteText"/>
      </w:pPr>
      <w:r>
        <w:rPr>
          <w:rStyle w:val="FootnoteReference"/>
        </w:rPr>
        <w:footnoteRef/>
      </w:r>
      <w:r>
        <w:t xml:space="preserve">E.g. Confait &amp; Anor v Port-Louis &amp; Anor (SCA 66/2018) [2021] SCCA 39; Re Ailee Development Corporation and the Companies Act 1972 (SCA 13/2008) [2010] SCCA 1; Sheryl vs Derreck Marimba SCA 51/2019.  </w:t>
      </w:r>
    </w:p>
  </w:footnote>
  <w:footnote w:id="4">
    <w:p w14:paraId="6408D808" w14:textId="77777777" w:rsidR="002F5130" w:rsidRDefault="002F5130" w:rsidP="002F5130">
      <w:pPr>
        <w:pStyle w:val="FootnoteText"/>
      </w:pPr>
      <w:r>
        <w:rPr>
          <w:rStyle w:val="FootnoteReference"/>
        </w:rPr>
        <w:footnoteRef/>
      </w:r>
      <w:r>
        <w:t xml:space="preserve"> </w:t>
      </w:r>
      <w:r w:rsidRPr="00F06887">
        <w:t>(1995) SCAR 203</w:t>
      </w:r>
      <w:r>
        <w:t>.</w:t>
      </w:r>
    </w:p>
  </w:footnote>
  <w:footnote w:id="5">
    <w:p w14:paraId="4254A7E3" w14:textId="77777777" w:rsidR="002F5130" w:rsidRDefault="002F5130" w:rsidP="002F5130">
      <w:pPr>
        <w:pStyle w:val="FootnoteText"/>
      </w:pPr>
      <w:r w:rsidRPr="00A14368">
        <w:rPr>
          <w:rStyle w:val="FootnoteReference"/>
        </w:rPr>
        <w:footnoteRef/>
      </w:r>
      <w:r w:rsidRPr="00A14368">
        <w:rPr>
          <w:bCs/>
        </w:rPr>
        <w:t>[2020] SCCA 78</w:t>
      </w:r>
      <w:r w:rsidRPr="00A1436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AFB"/>
    <w:multiLevelType w:val="hybridMultilevel"/>
    <w:tmpl w:val="6F9662F8"/>
    <w:lvl w:ilvl="0" w:tplc="4B02DDC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973AF"/>
    <w:multiLevelType w:val="hybridMultilevel"/>
    <w:tmpl w:val="0F06AABC"/>
    <w:lvl w:ilvl="0" w:tplc="10A4A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9578D5"/>
    <w:multiLevelType w:val="hybridMultilevel"/>
    <w:tmpl w:val="2A7ADBE2"/>
    <w:lvl w:ilvl="0" w:tplc="BFEC5F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9D2350"/>
    <w:multiLevelType w:val="hybridMultilevel"/>
    <w:tmpl w:val="AF222E72"/>
    <w:lvl w:ilvl="0" w:tplc="60724B7E">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CD2241"/>
    <w:multiLevelType w:val="hybridMultilevel"/>
    <w:tmpl w:val="A5F65956"/>
    <w:lvl w:ilvl="0" w:tplc="30D60D2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BA7D28"/>
    <w:multiLevelType w:val="hybridMultilevel"/>
    <w:tmpl w:val="5882DB2A"/>
    <w:lvl w:ilvl="0" w:tplc="4B02DDC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E69EE"/>
    <w:multiLevelType w:val="hybridMultilevel"/>
    <w:tmpl w:val="9ECCA122"/>
    <w:lvl w:ilvl="0" w:tplc="0560B3E4">
      <w:start w:val="1"/>
      <w:numFmt w:val="decimal"/>
      <w:lvlText w:val="%1."/>
      <w:lvlJc w:val="left"/>
      <w:pPr>
        <w:ind w:left="810" w:hanging="360"/>
      </w:pPr>
      <w:rPr>
        <w:rFonts w:ascii="Times New Roman" w:eastAsia="Times New Roman"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1F46D28"/>
    <w:multiLevelType w:val="hybridMultilevel"/>
    <w:tmpl w:val="ED9E7CAC"/>
    <w:lvl w:ilvl="0" w:tplc="BB147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975D20"/>
    <w:multiLevelType w:val="hybridMultilevel"/>
    <w:tmpl w:val="33AA4968"/>
    <w:lvl w:ilvl="0" w:tplc="4B02DDC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00227"/>
    <w:multiLevelType w:val="hybridMultilevel"/>
    <w:tmpl w:val="E5860A7C"/>
    <w:lvl w:ilvl="0" w:tplc="847601D0">
      <w:start w:val="1"/>
      <w:numFmt w:val="lowerRoman"/>
      <w:lvlText w:val="%1)"/>
      <w:lvlJc w:val="left"/>
      <w:pPr>
        <w:ind w:left="1230" w:hanging="7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0" w15:restartNumberingAfterBreak="0">
    <w:nsid w:val="27E654F5"/>
    <w:multiLevelType w:val="multilevel"/>
    <w:tmpl w:val="00FC42C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0C6B43"/>
    <w:multiLevelType w:val="hybridMultilevel"/>
    <w:tmpl w:val="3F54DD00"/>
    <w:lvl w:ilvl="0" w:tplc="B89E27F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003D9D"/>
    <w:multiLevelType w:val="hybridMultilevel"/>
    <w:tmpl w:val="D0CA5FB8"/>
    <w:lvl w:ilvl="0" w:tplc="98C2C020">
      <w:start w:val="1"/>
      <w:numFmt w:val="lowerRoman"/>
      <w:lvlText w:val="(%1)"/>
      <w:lvlJc w:val="left"/>
      <w:pPr>
        <w:ind w:left="1620" w:hanging="72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2C957E72"/>
    <w:multiLevelType w:val="hybridMultilevel"/>
    <w:tmpl w:val="4378AC3E"/>
    <w:lvl w:ilvl="0" w:tplc="E81E86B8">
      <w:start w:val="1"/>
      <w:numFmt w:val="decimal"/>
      <w:lvlText w:val="%1."/>
      <w:lvlJc w:val="left"/>
      <w:pPr>
        <w:ind w:left="720" w:hanging="360"/>
      </w:pPr>
      <w:rPr>
        <w:b w:val="0"/>
        <w:i w:val="0"/>
      </w:rPr>
    </w:lvl>
    <w:lvl w:ilvl="1" w:tplc="83E8C622">
      <w:start w:val="1"/>
      <w:numFmt w:val="lowerLetter"/>
      <w:lvlText w:val="(%2)"/>
      <w:lvlJc w:val="left"/>
      <w:pPr>
        <w:ind w:left="1455" w:hanging="375"/>
      </w:pPr>
      <w:rPr>
        <w:rFonts w:hint="default"/>
      </w:rPr>
    </w:lvl>
    <w:lvl w:ilvl="2" w:tplc="54DA8B9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7542D2"/>
    <w:multiLevelType w:val="multilevel"/>
    <w:tmpl w:val="1CC89892"/>
    <w:numStyleLink w:val="Judgments"/>
  </w:abstractNum>
  <w:abstractNum w:abstractNumId="15" w15:restartNumberingAfterBreak="0">
    <w:nsid w:val="30E627B1"/>
    <w:multiLevelType w:val="multilevel"/>
    <w:tmpl w:val="F9D2762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7" w15:restartNumberingAfterBreak="0">
    <w:nsid w:val="35523CD1"/>
    <w:multiLevelType w:val="hybridMultilevel"/>
    <w:tmpl w:val="805CC408"/>
    <w:lvl w:ilvl="0" w:tplc="E81E86B8">
      <w:start w:val="1"/>
      <w:numFmt w:val="decimal"/>
      <w:lvlText w:val="%1."/>
      <w:lvlJc w:val="left"/>
      <w:pPr>
        <w:ind w:left="502" w:hanging="360"/>
      </w:pPr>
      <w:rPr>
        <w:rFonts w:cs="Times New Roman"/>
        <w:b w:val="0"/>
        <w:i w:val="0"/>
      </w:rPr>
    </w:lvl>
    <w:lvl w:ilvl="1" w:tplc="83E8C622">
      <w:start w:val="1"/>
      <w:numFmt w:val="lowerLetter"/>
      <w:lvlText w:val="(%2)"/>
      <w:lvlJc w:val="left"/>
      <w:pPr>
        <w:ind w:left="1237" w:hanging="375"/>
      </w:pPr>
      <w:rPr>
        <w:rFonts w:cs="Times New Roman" w:hint="default"/>
      </w:rPr>
    </w:lvl>
    <w:lvl w:ilvl="2" w:tplc="54DA8B90">
      <w:start w:val="1"/>
      <w:numFmt w:val="lowerRoman"/>
      <w:lvlText w:val="%3."/>
      <w:lvlJc w:val="left"/>
      <w:pPr>
        <w:ind w:left="2482" w:hanging="720"/>
      </w:pPr>
      <w:rPr>
        <w:rFonts w:cs="Times New Roman" w:hint="default"/>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8" w15:restartNumberingAfterBreak="0">
    <w:nsid w:val="375D2E83"/>
    <w:multiLevelType w:val="hybridMultilevel"/>
    <w:tmpl w:val="4378AC3E"/>
    <w:lvl w:ilvl="0" w:tplc="E81E86B8">
      <w:start w:val="1"/>
      <w:numFmt w:val="decimal"/>
      <w:lvlText w:val="%1."/>
      <w:lvlJc w:val="left"/>
      <w:pPr>
        <w:ind w:left="720" w:hanging="360"/>
      </w:pPr>
      <w:rPr>
        <w:b w:val="0"/>
        <w:i w:val="0"/>
      </w:rPr>
    </w:lvl>
    <w:lvl w:ilvl="1" w:tplc="83E8C622">
      <w:start w:val="1"/>
      <w:numFmt w:val="lowerLetter"/>
      <w:lvlText w:val="(%2)"/>
      <w:lvlJc w:val="left"/>
      <w:pPr>
        <w:ind w:left="1455" w:hanging="375"/>
      </w:pPr>
      <w:rPr>
        <w:rFonts w:hint="default"/>
      </w:rPr>
    </w:lvl>
    <w:lvl w:ilvl="2" w:tplc="54DA8B9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5030D"/>
    <w:multiLevelType w:val="hybridMultilevel"/>
    <w:tmpl w:val="2D2EAC60"/>
    <w:lvl w:ilvl="0" w:tplc="46965F7A">
      <w:start w:val="1"/>
      <w:numFmt w:val="lowerRoman"/>
      <w:lvlText w:val="%1."/>
      <w:lvlJc w:val="left"/>
      <w:pPr>
        <w:ind w:left="1440" w:hanging="720"/>
      </w:pPr>
      <w:rPr>
        <w:rFonts w:eastAsia="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E87151"/>
    <w:multiLevelType w:val="hybridMultilevel"/>
    <w:tmpl w:val="B0123616"/>
    <w:lvl w:ilvl="0" w:tplc="5FA47720">
      <w:start w:val="1"/>
      <w:numFmt w:val="decimal"/>
      <w:lvlText w:val="%1."/>
      <w:lvlJc w:val="left"/>
      <w:pPr>
        <w:ind w:left="720" w:hanging="360"/>
      </w:pPr>
      <w:rPr>
        <w:b w:val="0"/>
        <w:i w:val="0"/>
        <w:color w:val="auto"/>
      </w:rPr>
    </w:lvl>
    <w:lvl w:ilvl="1" w:tplc="83E8C622">
      <w:start w:val="1"/>
      <w:numFmt w:val="lowerLetter"/>
      <w:lvlText w:val="(%2)"/>
      <w:lvlJc w:val="left"/>
      <w:pPr>
        <w:ind w:left="1455" w:hanging="375"/>
      </w:pPr>
      <w:rPr>
        <w:rFonts w:hint="default"/>
      </w:rPr>
    </w:lvl>
    <w:lvl w:ilvl="2" w:tplc="54DA8B9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0F4B86"/>
    <w:multiLevelType w:val="hybridMultilevel"/>
    <w:tmpl w:val="75ACB33C"/>
    <w:lvl w:ilvl="0" w:tplc="BB14633C">
      <w:start w:val="1"/>
      <w:numFmt w:val="decimal"/>
      <w:lvlText w:val="%1)"/>
      <w:lvlJc w:val="left"/>
      <w:pPr>
        <w:ind w:left="2160" w:hanging="360"/>
      </w:pPr>
      <w:rPr>
        <w:rFonts w:hint="default"/>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4B231F7"/>
    <w:multiLevelType w:val="hybridMultilevel"/>
    <w:tmpl w:val="805CC408"/>
    <w:lvl w:ilvl="0" w:tplc="E81E86B8">
      <w:start w:val="1"/>
      <w:numFmt w:val="decimal"/>
      <w:lvlText w:val="%1."/>
      <w:lvlJc w:val="left"/>
      <w:pPr>
        <w:ind w:left="502" w:hanging="360"/>
      </w:pPr>
      <w:rPr>
        <w:rFonts w:cs="Times New Roman"/>
        <w:b w:val="0"/>
        <w:i w:val="0"/>
      </w:rPr>
    </w:lvl>
    <w:lvl w:ilvl="1" w:tplc="83E8C622">
      <w:start w:val="1"/>
      <w:numFmt w:val="lowerLetter"/>
      <w:lvlText w:val="(%2)"/>
      <w:lvlJc w:val="left"/>
      <w:pPr>
        <w:ind w:left="1237" w:hanging="375"/>
      </w:pPr>
      <w:rPr>
        <w:rFonts w:cs="Times New Roman" w:hint="default"/>
      </w:rPr>
    </w:lvl>
    <w:lvl w:ilvl="2" w:tplc="54DA8B90">
      <w:start w:val="1"/>
      <w:numFmt w:val="lowerRoman"/>
      <w:lvlText w:val="%3."/>
      <w:lvlJc w:val="left"/>
      <w:pPr>
        <w:ind w:left="2482" w:hanging="720"/>
      </w:pPr>
      <w:rPr>
        <w:rFonts w:cs="Times New Roman" w:hint="default"/>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23" w15:restartNumberingAfterBreak="0">
    <w:nsid w:val="48094133"/>
    <w:multiLevelType w:val="hybridMultilevel"/>
    <w:tmpl w:val="10C2387E"/>
    <w:lvl w:ilvl="0" w:tplc="ECEEFE58">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C55B6D"/>
    <w:multiLevelType w:val="hybridMultilevel"/>
    <w:tmpl w:val="3E12BC9C"/>
    <w:lvl w:ilvl="0" w:tplc="67D23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D669F2"/>
    <w:multiLevelType w:val="hybridMultilevel"/>
    <w:tmpl w:val="1C86C45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BD09C3"/>
    <w:multiLevelType w:val="multilevel"/>
    <w:tmpl w:val="37CC0E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145BF5"/>
    <w:multiLevelType w:val="hybridMultilevel"/>
    <w:tmpl w:val="91BC72A2"/>
    <w:lvl w:ilvl="0" w:tplc="4AF62390">
      <w:start w:val="1"/>
      <w:numFmt w:val="decimal"/>
      <w:lvlText w:val="%1."/>
      <w:lvlJc w:val="left"/>
      <w:pPr>
        <w:ind w:left="1440" w:hanging="360"/>
      </w:pPr>
      <w:rPr>
        <w:b w:val="0"/>
        <w:i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F330105"/>
    <w:multiLevelType w:val="multilevel"/>
    <w:tmpl w:val="AF3079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BE4ED8"/>
    <w:multiLevelType w:val="hybridMultilevel"/>
    <w:tmpl w:val="CB42236C"/>
    <w:lvl w:ilvl="0" w:tplc="39C2387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ED481F"/>
    <w:multiLevelType w:val="multilevel"/>
    <w:tmpl w:val="225690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5E3235"/>
    <w:multiLevelType w:val="multilevel"/>
    <w:tmpl w:val="AD96D5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014A78"/>
    <w:multiLevelType w:val="multilevel"/>
    <w:tmpl w:val="3CF01B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1F0627"/>
    <w:multiLevelType w:val="multilevel"/>
    <w:tmpl w:val="876E2CE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894076"/>
    <w:multiLevelType w:val="multilevel"/>
    <w:tmpl w:val="3DDEB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2E00AF"/>
    <w:multiLevelType w:val="hybridMultilevel"/>
    <w:tmpl w:val="149AAA52"/>
    <w:lvl w:ilvl="0" w:tplc="9E662B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BBD03BC"/>
    <w:multiLevelType w:val="multilevel"/>
    <w:tmpl w:val="DD243B8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A931A3"/>
    <w:multiLevelType w:val="hybridMultilevel"/>
    <w:tmpl w:val="22C67E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1C6319"/>
    <w:multiLevelType w:val="hybridMultilevel"/>
    <w:tmpl w:val="FEFEF990"/>
    <w:lvl w:ilvl="0" w:tplc="C3C01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526FE9"/>
    <w:multiLevelType w:val="hybridMultilevel"/>
    <w:tmpl w:val="777A0FB6"/>
    <w:lvl w:ilvl="0" w:tplc="FE466AD8">
      <w:start w:val="1"/>
      <w:numFmt w:val="decimal"/>
      <w:lvlText w:val="[%1]"/>
      <w:lvlJc w:val="right"/>
      <w:pPr>
        <w:ind w:left="540" w:hanging="360"/>
      </w:pPr>
      <w:rPr>
        <w:rFonts w:hint="default"/>
        <w:b w:val="0"/>
        <w:i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7C8A1839"/>
    <w:multiLevelType w:val="multilevel"/>
    <w:tmpl w:val="D1BA68D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22209A"/>
    <w:multiLevelType w:val="multilevel"/>
    <w:tmpl w:val="B78ADFC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6"/>
  </w:num>
  <w:num w:numId="3">
    <w:abstractNumId w:val="14"/>
  </w:num>
  <w:num w:numId="4">
    <w:abstractNumId w:val="40"/>
  </w:num>
  <w:num w:numId="5">
    <w:abstractNumId w:val="21"/>
  </w:num>
  <w:num w:numId="6">
    <w:abstractNumId w:val="38"/>
  </w:num>
  <w:num w:numId="7">
    <w:abstractNumId w:val="29"/>
  </w:num>
  <w:num w:numId="8">
    <w:abstractNumId w:val="24"/>
  </w:num>
  <w:num w:numId="9">
    <w:abstractNumId w:val="11"/>
  </w:num>
  <w:num w:numId="10">
    <w:abstractNumId w:val="39"/>
  </w:num>
  <w:num w:numId="11">
    <w:abstractNumId w:val="1"/>
  </w:num>
  <w:num w:numId="12">
    <w:abstractNumId w:val="3"/>
  </w:num>
  <w:num w:numId="13">
    <w:abstractNumId w:val="35"/>
  </w:num>
  <w:num w:numId="14">
    <w:abstractNumId w:val="27"/>
  </w:num>
  <w:num w:numId="15">
    <w:abstractNumId w:val="31"/>
  </w:num>
  <w:num w:numId="16">
    <w:abstractNumId w:val="33"/>
  </w:num>
  <w:num w:numId="17">
    <w:abstractNumId w:val="37"/>
  </w:num>
  <w:num w:numId="18">
    <w:abstractNumId w:val="32"/>
  </w:num>
  <w:num w:numId="19">
    <w:abstractNumId w:val="34"/>
  </w:num>
  <w:num w:numId="20">
    <w:abstractNumId w:val="30"/>
  </w:num>
  <w:num w:numId="21">
    <w:abstractNumId w:val="28"/>
  </w:num>
  <w:num w:numId="22">
    <w:abstractNumId w:val="26"/>
  </w:num>
  <w:num w:numId="23">
    <w:abstractNumId w:val="7"/>
  </w:num>
  <w:num w:numId="24">
    <w:abstractNumId w:val="36"/>
  </w:num>
  <w:num w:numId="25">
    <w:abstractNumId w:val="12"/>
  </w:num>
  <w:num w:numId="26">
    <w:abstractNumId w:val="42"/>
  </w:num>
  <w:num w:numId="27">
    <w:abstractNumId w:val="10"/>
  </w:num>
  <w:num w:numId="28">
    <w:abstractNumId w:val="41"/>
  </w:num>
  <w:num w:numId="29">
    <w:abstractNumId w:val="5"/>
  </w:num>
  <w:num w:numId="30">
    <w:abstractNumId w:val="15"/>
  </w:num>
  <w:num w:numId="31">
    <w:abstractNumId w:val="0"/>
  </w:num>
  <w:num w:numId="32">
    <w:abstractNumId w:val="20"/>
  </w:num>
  <w:num w:numId="33">
    <w:abstractNumId w:val="19"/>
  </w:num>
  <w:num w:numId="34">
    <w:abstractNumId w:val="2"/>
  </w:num>
  <w:num w:numId="35">
    <w:abstractNumId w:val="18"/>
  </w:num>
  <w:num w:numId="36">
    <w:abstractNumId w:val="13"/>
  </w:num>
  <w:num w:numId="37">
    <w:abstractNumId w:val="25"/>
  </w:num>
  <w:num w:numId="38">
    <w:abstractNumId w:val="4"/>
  </w:num>
  <w:num w:numId="39">
    <w:abstractNumId w:val="9"/>
  </w:num>
  <w:num w:numId="40">
    <w:abstractNumId w:val="6"/>
  </w:num>
  <w:num w:numId="41">
    <w:abstractNumId w:val="22"/>
  </w:num>
  <w:num w:numId="42">
    <w:abstractNumId w:val="17"/>
  </w:num>
  <w:num w:numId="4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ia Andre">
    <w15:presenceInfo w15:providerId="AD" w15:userId="S-1-5-21-2691491769-3071597301-3163585597-3185"/>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ctiveWritingStyle w:appName="MSWord" w:lang="en-GB" w:vendorID="64" w:dllVersion="131078" w:nlCheck="1" w:checkStyle="0"/>
  <w:activeWritingStyle w:appName="MSWord" w:lang="fr-BE"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MwMzUwMjc3MDMzNrZU0lEKTi0uzszPAymwqAUAKh5OgSwAAAA="/>
  </w:docVars>
  <w:rsids>
    <w:rsidRoot w:val="00B85059"/>
    <w:rsid w:val="0003247A"/>
    <w:rsid w:val="000363E2"/>
    <w:rsid w:val="0004133F"/>
    <w:rsid w:val="00041F7A"/>
    <w:rsid w:val="00054ACE"/>
    <w:rsid w:val="00055846"/>
    <w:rsid w:val="0005790E"/>
    <w:rsid w:val="000674C6"/>
    <w:rsid w:val="00073BEF"/>
    <w:rsid w:val="00076998"/>
    <w:rsid w:val="0008507B"/>
    <w:rsid w:val="000859AB"/>
    <w:rsid w:val="000863B8"/>
    <w:rsid w:val="00090B08"/>
    <w:rsid w:val="000A1366"/>
    <w:rsid w:val="000A2292"/>
    <w:rsid w:val="000A78FC"/>
    <w:rsid w:val="000D02A4"/>
    <w:rsid w:val="000D4950"/>
    <w:rsid w:val="000D4F9F"/>
    <w:rsid w:val="000D59F2"/>
    <w:rsid w:val="000D5BE7"/>
    <w:rsid w:val="000D68F0"/>
    <w:rsid w:val="000E2BB9"/>
    <w:rsid w:val="001006C2"/>
    <w:rsid w:val="0010459E"/>
    <w:rsid w:val="00117308"/>
    <w:rsid w:val="0012228F"/>
    <w:rsid w:val="001558BC"/>
    <w:rsid w:val="001563FB"/>
    <w:rsid w:val="00156EE2"/>
    <w:rsid w:val="00165B8F"/>
    <w:rsid w:val="001764FC"/>
    <w:rsid w:val="00180571"/>
    <w:rsid w:val="00181439"/>
    <w:rsid w:val="001963AB"/>
    <w:rsid w:val="00197E0D"/>
    <w:rsid w:val="001A0074"/>
    <w:rsid w:val="001A6ABE"/>
    <w:rsid w:val="001C0802"/>
    <w:rsid w:val="001C33A1"/>
    <w:rsid w:val="001C3AFC"/>
    <w:rsid w:val="001D2928"/>
    <w:rsid w:val="001D57A5"/>
    <w:rsid w:val="001D7962"/>
    <w:rsid w:val="001E758F"/>
    <w:rsid w:val="00207DA6"/>
    <w:rsid w:val="002118DA"/>
    <w:rsid w:val="0021411C"/>
    <w:rsid w:val="00225BE2"/>
    <w:rsid w:val="00235C09"/>
    <w:rsid w:val="00235F2A"/>
    <w:rsid w:val="002406F6"/>
    <w:rsid w:val="00250DD2"/>
    <w:rsid w:val="002709D1"/>
    <w:rsid w:val="00272CD1"/>
    <w:rsid w:val="0027581E"/>
    <w:rsid w:val="00281C58"/>
    <w:rsid w:val="00285870"/>
    <w:rsid w:val="00286572"/>
    <w:rsid w:val="002966D2"/>
    <w:rsid w:val="002A6412"/>
    <w:rsid w:val="002B1A94"/>
    <w:rsid w:val="002B3000"/>
    <w:rsid w:val="002B6694"/>
    <w:rsid w:val="002B77BE"/>
    <w:rsid w:val="002C1408"/>
    <w:rsid w:val="002E649D"/>
    <w:rsid w:val="002E6E8B"/>
    <w:rsid w:val="002F5130"/>
    <w:rsid w:val="00304F0A"/>
    <w:rsid w:val="003138BB"/>
    <w:rsid w:val="00313E7C"/>
    <w:rsid w:val="00313EF9"/>
    <w:rsid w:val="00315886"/>
    <w:rsid w:val="00321736"/>
    <w:rsid w:val="00344285"/>
    <w:rsid w:val="0034491F"/>
    <w:rsid w:val="0035368A"/>
    <w:rsid w:val="00353D21"/>
    <w:rsid w:val="003559D7"/>
    <w:rsid w:val="00375FA2"/>
    <w:rsid w:val="003814F3"/>
    <w:rsid w:val="00383575"/>
    <w:rsid w:val="00394E30"/>
    <w:rsid w:val="00396272"/>
    <w:rsid w:val="003A1F8A"/>
    <w:rsid w:val="003C0D1C"/>
    <w:rsid w:val="003E0502"/>
    <w:rsid w:val="003E1A1D"/>
    <w:rsid w:val="0040200D"/>
    <w:rsid w:val="00405C3C"/>
    <w:rsid w:val="004173E0"/>
    <w:rsid w:val="00423D59"/>
    <w:rsid w:val="00426E4F"/>
    <w:rsid w:val="00434DDC"/>
    <w:rsid w:val="00440458"/>
    <w:rsid w:val="00465E86"/>
    <w:rsid w:val="004674D8"/>
    <w:rsid w:val="00483D13"/>
    <w:rsid w:val="004926A2"/>
    <w:rsid w:val="00496FCD"/>
    <w:rsid w:val="004A01F2"/>
    <w:rsid w:val="004B0193"/>
    <w:rsid w:val="004B1404"/>
    <w:rsid w:val="004D04EA"/>
    <w:rsid w:val="004D6F76"/>
    <w:rsid w:val="004F0F52"/>
    <w:rsid w:val="004F4AB5"/>
    <w:rsid w:val="00503F39"/>
    <w:rsid w:val="00504989"/>
    <w:rsid w:val="00514E0E"/>
    <w:rsid w:val="00515BE9"/>
    <w:rsid w:val="005364A9"/>
    <w:rsid w:val="00542F62"/>
    <w:rsid w:val="00563B51"/>
    <w:rsid w:val="0057541A"/>
    <w:rsid w:val="00583AF3"/>
    <w:rsid w:val="005A439F"/>
    <w:rsid w:val="005C10B7"/>
    <w:rsid w:val="005C1971"/>
    <w:rsid w:val="005C3722"/>
    <w:rsid w:val="005E4E33"/>
    <w:rsid w:val="005E771D"/>
    <w:rsid w:val="005E7A57"/>
    <w:rsid w:val="005F0DE2"/>
    <w:rsid w:val="005F0DED"/>
    <w:rsid w:val="005F1A09"/>
    <w:rsid w:val="005F44F4"/>
    <w:rsid w:val="00602E5A"/>
    <w:rsid w:val="00620441"/>
    <w:rsid w:val="00621C96"/>
    <w:rsid w:val="00625076"/>
    <w:rsid w:val="0062576D"/>
    <w:rsid w:val="006257EE"/>
    <w:rsid w:val="00625862"/>
    <w:rsid w:val="006275E6"/>
    <w:rsid w:val="00634656"/>
    <w:rsid w:val="006517B3"/>
    <w:rsid w:val="006574E3"/>
    <w:rsid w:val="00661FD8"/>
    <w:rsid w:val="006626B5"/>
    <w:rsid w:val="00667F48"/>
    <w:rsid w:val="00671EE5"/>
    <w:rsid w:val="00675AFD"/>
    <w:rsid w:val="006762B3"/>
    <w:rsid w:val="006825F6"/>
    <w:rsid w:val="00686747"/>
    <w:rsid w:val="006937C3"/>
    <w:rsid w:val="006952A1"/>
    <w:rsid w:val="006A3633"/>
    <w:rsid w:val="006A5D1B"/>
    <w:rsid w:val="006B20E3"/>
    <w:rsid w:val="006D47CE"/>
    <w:rsid w:val="006D54D0"/>
    <w:rsid w:val="006D7433"/>
    <w:rsid w:val="006E6B42"/>
    <w:rsid w:val="006E71A4"/>
    <w:rsid w:val="006F5B81"/>
    <w:rsid w:val="0071291F"/>
    <w:rsid w:val="007212D1"/>
    <w:rsid w:val="00726310"/>
    <w:rsid w:val="00734BF1"/>
    <w:rsid w:val="00750751"/>
    <w:rsid w:val="00754C9D"/>
    <w:rsid w:val="00765251"/>
    <w:rsid w:val="00770BE5"/>
    <w:rsid w:val="007716BC"/>
    <w:rsid w:val="0078799F"/>
    <w:rsid w:val="007935D2"/>
    <w:rsid w:val="007A5604"/>
    <w:rsid w:val="007A616F"/>
    <w:rsid w:val="007A7417"/>
    <w:rsid w:val="007B3E90"/>
    <w:rsid w:val="007B4516"/>
    <w:rsid w:val="007B689A"/>
    <w:rsid w:val="007C0A0A"/>
    <w:rsid w:val="007C715C"/>
    <w:rsid w:val="007D08C1"/>
    <w:rsid w:val="007D60B8"/>
    <w:rsid w:val="007D6C3D"/>
    <w:rsid w:val="007E1A14"/>
    <w:rsid w:val="007E364B"/>
    <w:rsid w:val="007E52B4"/>
    <w:rsid w:val="0080354E"/>
    <w:rsid w:val="008065BE"/>
    <w:rsid w:val="00820FF8"/>
    <w:rsid w:val="00832C50"/>
    <w:rsid w:val="00836571"/>
    <w:rsid w:val="008369FF"/>
    <w:rsid w:val="00856FE0"/>
    <w:rsid w:val="00871541"/>
    <w:rsid w:val="008818AC"/>
    <w:rsid w:val="00884195"/>
    <w:rsid w:val="008A24FB"/>
    <w:rsid w:val="008A3283"/>
    <w:rsid w:val="008A6C8A"/>
    <w:rsid w:val="008B0C8C"/>
    <w:rsid w:val="008B10E1"/>
    <w:rsid w:val="008C3811"/>
    <w:rsid w:val="008D4ABE"/>
    <w:rsid w:val="008D4E9A"/>
    <w:rsid w:val="008D5D76"/>
    <w:rsid w:val="008E1EF8"/>
    <w:rsid w:val="008E3354"/>
    <w:rsid w:val="008E4270"/>
    <w:rsid w:val="008E5E9F"/>
    <w:rsid w:val="00902F77"/>
    <w:rsid w:val="00905413"/>
    <w:rsid w:val="009120F2"/>
    <w:rsid w:val="0092790E"/>
    <w:rsid w:val="0093407D"/>
    <w:rsid w:val="00940561"/>
    <w:rsid w:val="00942A20"/>
    <w:rsid w:val="00946D8A"/>
    <w:rsid w:val="00951AA0"/>
    <w:rsid w:val="00951D84"/>
    <w:rsid w:val="009600F3"/>
    <w:rsid w:val="009809B3"/>
    <w:rsid w:val="00981B30"/>
    <w:rsid w:val="0099188E"/>
    <w:rsid w:val="00993136"/>
    <w:rsid w:val="009A3D12"/>
    <w:rsid w:val="009A6EE8"/>
    <w:rsid w:val="009B5159"/>
    <w:rsid w:val="009C6CAD"/>
    <w:rsid w:val="009F6CB2"/>
    <w:rsid w:val="00A2110D"/>
    <w:rsid w:val="00A23E3C"/>
    <w:rsid w:val="00A43F3A"/>
    <w:rsid w:val="00A56677"/>
    <w:rsid w:val="00A6083E"/>
    <w:rsid w:val="00A6234F"/>
    <w:rsid w:val="00A84596"/>
    <w:rsid w:val="00A90F28"/>
    <w:rsid w:val="00A9228E"/>
    <w:rsid w:val="00A95528"/>
    <w:rsid w:val="00AB3E4E"/>
    <w:rsid w:val="00AC6634"/>
    <w:rsid w:val="00AD4C84"/>
    <w:rsid w:val="00AF014D"/>
    <w:rsid w:val="00AF30FE"/>
    <w:rsid w:val="00AF4B33"/>
    <w:rsid w:val="00B01A25"/>
    <w:rsid w:val="00B02211"/>
    <w:rsid w:val="00B02D6F"/>
    <w:rsid w:val="00B323DC"/>
    <w:rsid w:val="00B35960"/>
    <w:rsid w:val="00B41619"/>
    <w:rsid w:val="00B47B99"/>
    <w:rsid w:val="00B61E9E"/>
    <w:rsid w:val="00B73A99"/>
    <w:rsid w:val="00B811E7"/>
    <w:rsid w:val="00B841D3"/>
    <w:rsid w:val="00B85059"/>
    <w:rsid w:val="00B859C1"/>
    <w:rsid w:val="00B95D3B"/>
    <w:rsid w:val="00B964B9"/>
    <w:rsid w:val="00BA1CB8"/>
    <w:rsid w:val="00BA625A"/>
    <w:rsid w:val="00BA76E8"/>
    <w:rsid w:val="00BA7AD2"/>
    <w:rsid w:val="00BB3213"/>
    <w:rsid w:val="00BC100A"/>
    <w:rsid w:val="00BC39CB"/>
    <w:rsid w:val="00BC41BC"/>
    <w:rsid w:val="00BD16F7"/>
    <w:rsid w:val="00BD6378"/>
    <w:rsid w:val="00BD6EB2"/>
    <w:rsid w:val="00BD76B5"/>
    <w:rsid w:val="00BE6808"/>
    <w:rsid w:val="00BF4FFB"/>
    <w:rsid w:val="00C047EE"/>
    <w:rsid w:val="00C06951"/>
    <w:rsid w:val="00C17C96"/>
    <w:rsid w:val="00C2191A"/>
    <w:rsid w:val="00C24286"/>
    <w:rsid w:val="00C24D09"/>
    <w:rsid w:val="00C417E2"/>
    <w:rsid w:val="00C61A30"/>
    <w:rsid w:val="00C61A43"/>
    <w:rsid w:val="00C75387"/>
    <w:rsid w:val="00C7777F"/>
    <w:rsid w:val="00C8027C"/>
    <w:rsid w:val="00C805F9"/>
    <w:rsid w:val="00C82353"/>
    <w:rsid w:val="00C83960"/>
    <w:rsid w:val="00C86B4E"/>
    <w:rsid w:val="00C920B0"/>
    <w:rsid w:val="00C95869"/>
    <w:rsid w:val="00C97625"/>
    <w:rsid w:val="00CA01F4"/>
    <w:rsid w:val="00CA4DF3"/>
    <w:rsid w:val="00CB0F40"/>
    <w:rsid w:val="00CB6105"/>
    <w:rsid w:val="00CB75FB"/>
    <w:rsid w:val="00CC3FE3"/>
    <w:rsid w:val="00CD263D"/>
    <w:rsid w:val="00CD61AA"/>
    <w:rsid w:val="00CD7C00"/>
    <w:rsid w:val="00CE3397"/>
    <w:rsid w:val="00CE45E7"/>
    <w:rsid w:val="00CF3A24"/>
    <w:rsid w:val="00CF45CB"/>
    <w:rsid w:val="00D048C0"/>
    <w:rsid w:val="00D1131B"/>
    <w:rsid w:val="00D252A5"/>
    <w:rsid w:val="00D42162"/>
    <w:rsid w:val="00D700D6"/>
    <w:rsid w:val="00D8465F"/>
    <w:rsid w:val="00DA5738"/>
    <w:rsid w:val="00DA7EBD"/>
    <w:rsid w:val="00DB1E9E"/>
    <w:rsid w:val="00DD45A4"/>
    <w:rsid w:val="00DD5027"/>
    <w:rsid w:val="00DD6728"/>
    <w:rsid w:val="00DE1C71"/>
    <w:rsid w:val="00DF2207"/>
    <w:rsid w:val="00DF23F3"/>
    <w:rsid w:val="00E11041"/>
    <w:rsid w:val="00E14314"/>
    <w:rsid w:val="00E2078F"/>
    <w:rsid w:val="00E2097E"/>
    <w:rsid w:val="00E43989"/>
    <w:rsid w:val="00E50467"/>
    <w:rsid w:val="00E52AC5"/>
    <w:rsid w:val="00E53F6C"/>
    <w:rsid w:val="00E56E13"/>
    <w:rsid w:val="00E633BB"/>
    <w:rsid w:val="00E6423C"/>
    <w:rsid w:val="00E72069"/>
    <w:rsid w:val="00E86168"/>
    <w:rsid w:val="00E92246"/>
    <w:rsid w:val="00E92BBA"/>
    <w:rsid w:val="00EA4B3E"/>
    <w:rsid w:val="00EB4919"/>
    <w:rsid w:val="00EC050D"/>
    <w:rsid w:val="00EC2C20"/>
    <w:rsid w:val="00EC500D"/>
    <w:rsid w:val="00ED2733"/>
    <w:rsid w:val="00ED7908"/>
    <w:rsid w:val="00F0698C"/>
    <w:rsid w:val="00F25974"/>
    <w:rsid w:val="00F25D10"/>
    <w:rsid w:val="00F34D98"/>
    <w:rsid w:val="00F42186"/>
    <w:rsid w:val="00F652D4"/>
    <w:rsid w:val="00F75B45"/>
    <w:rsid w:val="00F86BB0"/>
    <w:rsid w:val="00F968B4"/>
    <w:rsid w:val="00FA3457"/>
    <w:rsid w:val="00FA5DCE"/>
    <w:rsid w:val="00FC3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0B80E"/>
  <w15:chartTrackingRefBased/>
  <w15:docId w15:val="{3F8BBA53-9C69-4D73-8479-B56991EC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059"/>
    <w:pPr>
      <w:spacing w:line="256" w:lineRule="auto"/>
    </w:pPr>
    <w:rPr>
      <w:lang w:val="en-GB"/>
    </w:rPr>
  </w:style>
  <w:style w:type="paragraph" w:styleId="Heading1">
    <w:name w:val="heading 1"/>
    <w:basedOn w:val="Normal"/>
    <w:link w:val="Heading1Char"/>
    <w:uiPriority w:val="9"/>
    <w:qFormat/>
    <w:rsid w:val="001D292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960"/>
    <w:rPr>
      <w:rFonts w:ascii="Segoe UI" w:hAnsi="Segoe UI" w:cs="Segoe UI"/>
      <w:sz w:val="18"/>
      <w:szCs w:val="18"/>
      <w:lang w:val="en-GB"/>
    </w:rPr>
  </w:style>
  <w:style w:type="paragraph" w:styleId="ListParagraph">
    <w:name w:val="List Paragraph"/>
    <w:basedOn w:val="Normal"/>
    <w:uiPriority w:val="34"/>
    <w:qFormat/>
    <w:rsid w:val="00235F2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numbering" w:customStyle="1" w:styleId="Judgments">
    <w:name w:val="Judgments"/>
    <w:uiPriority w:val="99"/>
    <w:rsid w:val="00235F2A"/>
    <w:pPr>
      <w:numPr>
        <w:numId w:val="2"/>
      </w:numPr>
    </w:pPr>
  </w:style>
  <w:style w:type="paragraph" w:customStyle="1" w:styleId="JudgmentText">
    <w:name w:val="Judgment Text"/>
    <w:basedOn w:val="ListParagraph"/>
    <w:qFormat/>
    <w:rsid w:val="00235F2A"/>
    <w:pPr>
      <w:widowControl/>
      <w:numPr>
        <w:numId w:val="3"/>
      </w:numPr>
      <w:autoSpaceDE/>
      <w:autoSpaceDN/>
      <w:adjustRightInd/>
      <w:spacing w:after="240" w:line="360" w:lineRule="auto"/>
      <w:contextualSpacing w:val="0"/>
      <w:jc w:val="both"/>
    </w:pPr>
    <w:rPr>
      <w:sz w:val="24"/>
      <w:szCs w:val="24"/>
    </w:rPr>
  </w:style>
  <w:style w:type="character" w:customStyle="1" w:styleId="st">
    <w:name w:val="st"/>
    <w:basedOn w:val="DefaultParagraphFont"/>
    <w:rsid w:val="00235F2A"/>
  </w:style>
  <w:style w:type="character" w:styleId="Emphasis">
    <w:name w:val="Emphasis"/>
    <w:basedOn w:val="DefaultParagraphFont"/>
    <w:uiPriority w:val="20"/>
    <w:qFormat/>
    <w:rsid w:val="00235F2A"/>
    <w:rPr>
      <w:i/>
      <w:iCs/>
    </w:rPr>
  </w:style>
  <w:style w:type="paragraph" w:styleId="FootnoteText">
    <w:name w:val="footnote text"/>
    <w:basedOn w:val="Normal"/>
    <w:link w:val="FootnoteTextChar"/>
    <w:uiPriority w:val="99"/>
    <w:semiHidden/>
    <w:unhideWhenUsed/>
    <w:rsid w:val="00235F2A"/>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235F2A"/>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235F2A"/>
    <w:rPr>
      <w:vertAlign w:val="superscript"/>
    </w:rPr>
  </w:style>
  <w:style w:type="paragraph" w:customStyle="1" w:styleId="western">
    <w:name w:val="western"/>
    <w:basedOn w:val="Normal"/>
    <w:rsid w:val="004173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8D4ABE"/>
    <w:rPr>
      <w:sz w:val="16"/>
      <w:szCs w:val="16"/>
    </w:rPr>
  </w:style>
  <w:style w:type="paragraph" w:styleId="CommentText">
    <w:name w:val="annotation text"/>
    <w:basedOn w:val="Normal"/>
    <w:link w:val="CommentTextChar"/>
    <w:uiPriority w:val="99"/>
    <w:unhideWhenUsed/>
    <w:rsid w:val="008D4ABE"/>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8D4ABE"/>
    <w:rPr>
      <w:rFonts w:ascii="Times New Roman" w:eastAsia="Calibri" w:hAnsi="Times New Roman" w:cs="Times New Roman"/>
      <w:sz w:val="20"/>
      <w:szCs w:val="20"/>
      <w:lang w:val="en-GB"/>
    </w:rPr>
  </w:style>
  <w:style w:type="paragraph" w:styleId="Header">
    <w:name w:val="header"/>
    <w:basedOn w:val="Normal"/>
    <w:link w:val="HeaderChar"/>
    <w:uiPriority w:val="99"/>
    <w:unhideWhenUsed/>
    <w:rsid w:val="009F6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CB2"/>
    <w:rPr>
      <w:lang w:val="en-GB"/>
    </w:rPr>
  </w:style>
  <w:style w:type="paragraph" w:styleId="Footer">
    <w:name w:val="footer"/>
    <w:basedOn w:val="Normal"/>
    <w:link w:val="FooterChar"/>
    <w:uiPriority w:val="99"/>
    <w:unhideWhenUsed/>
    <w:rsid w:val="009F6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CB2"/>
    <w:rPr>
      <w:lang w:val="en-GB"/>
    </w:rPr>
  </w:style>
  <w:style w:type="character" w:customStyle="1" w:styleId="Heading1Char">
    <w:name w:val="Heading 1 Char"/>
    <w:basedOn w:val="DefaultParagraphFont"/>
    <w:link w:val="Heading1"/>
    <w:uiPriority w:val="9"/>
    <w:rsid w:val="001D2928"/>
    <w:rPr>
      <w:rFonts w:ascii="Times New Roman" w:eastAsia="Times New Roman" w:hAnsi="Times New Roman" w:cs="Times New Roman"/>
      <w:b/>
      <w:bCs/>
      <w:kern w:val="36"/>
      <w:sz w:val="48"/>
      <w:szCs w:val="48"/>
    </w:rPr>
  </w:style>
  <w:style w:type="paragraph" w:customStyle="1" w:styleId="judgmenttext0">
    <w:name w:val="judgmenttext"/>
    <w:basedOn w:val="Normal"/>
    <w:rsid w:val="001C08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E633BB"/>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633BB"/>
    <w:rPr>
      <w:rFonts w:ascii="Times New Roman" w:eastAsia="Calibri" w:hAnsi="Times New Roman" w:cs="Times New Roman"/>
      <w:b/>
      <w:bCs/>
      <w:sz w:val="20"/>
      <w:szCs w:val="20"/>
      <w:lang w:val="en-GB"/>
    </w:rPr>
  </w:style>
  <w:style w:type="character" w:styleId="Strong">
    <w:name w:val="Strong"/>
    <w:basedOn w:val="DefaultParagraphFont"/>
    <w:uiPriority w:val="22"/>
    <w:qFormat/>
    <w:rsid w:val="007E1A14"/>
    <w:rPr>
      <w:b/>
      <w:bCs/>
    </w:rPr>
  </w:style>
  <w:style w:type="paragraph" w:customStyle="1" w:styleId="rtejustify">
    <w:name w:val="rtejustify"/>
    <w:basedOn w:val="Normal"/>
    <w:rsid w:val="002B66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0363E2"/>
    <w:pPr>
      <w:spacing w:after="0" w:line="240" w:lineRule="auto"/>
    </w:pPr>
    <w:rPr>
      <w:lang w:val="en-GB"/>
    </w:rPr>
  </w:style>
  <w:style w:type="paragraph" w:styleId="NormalWeb">
    <w:name w:val="Normal (Web)"/>
    <w:basedOn w:val="Normal"/>
    <w:uiPriority w:val="99"/>
    <w:unhideWhenUsed/>
    <w:rsid w:val="00B41619"/>
    <w:pPr>
      <w:spacing w:line="259"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8015">
      <w:bodyDiv w:val="1"/>
      <w:marLeft w:val="0"/>
      <w:marRight w:val="0"/>
      <w:marTop w:val="0"/>
      <w:marBottom w:val="0"/>
      <w:divBdr>
        <w:top w:val="none" w:sz="0" w:space="0" w:color="auto"/>
        <w:left w:val="none" w:sz="0" w:space="0" w:color="auto"/>
        <w:bottom w:val="none" w:sz="0" w:space="0" w:color="auto"/>
        <w:right w:val="none" w:sz="0" w:space="0" w:color="auto"/>
      </w:divBdr>
    </w:div>
    <w:div w:id="323706210">
      <w:bodyDiv w:val="1"/>
      <w:marLeft w:val="0"/>
      <w:marRight w:val="0"/>
      <w:marTop w:val="0"/>
      <w:marBottom w:val="0"/>
      <w:divBdr>
        <w:top w:val="none" w:sz="0" w:space="0" w:color="auto"/>
        <w:left w:val="none" w:sz="0" w:space="0" w:color="auto"/>
        <w:bottom w:val="none" w:sz="0" w:space="0" w:color="auto"/>
        <w:right w:val="none" w:sz="0" w:space="0" w:color="auto"/>
      </w:divBdr>
    </w:div>
    <w:div w:id="644159803">
      <w:bodyDiv w:val="1"/>
      <w:marLeft w:val="0"/>
      <w:marRight w:val="0"/>
      <w:marTop w:val="0"/>
      <w:marBottom w:val="0"/>
      <w:divBdr>
        <w:top w:val="none" w:sz="0" w:space="0" w:color="auto"/>
        <w:left w:val="none" w:sz="0" w:space="0" w:color="auto"/>
        <w:bottom w:val="none" w:sz="0" w:space="0" w:color="auto"/>
        <w:right w:val="none" w:sz="0" w:space="0" w:color="auto"/>
      </w:divBdr>
    </w:div>
    <w:div w:id="874006485">
      <w:bodyDiv w:val="1"/>
      <w:marLeft w:val="0"/>
      <w:marRight w:val="0"/>
      <w:marTop w:val="0"/>
      <w:marBottom w:val="0"/>
      <w:divBdr>
        <w:top w:val="none" w:sz="0" w:space="0" w:color="auto"/>
        <w:left w:val="none" w:sz="0" w:space="0" w:color="auto"/>
        <w:bottom w:val="none" w:sz="0" w:space="0" w:color="auto"/>
        <w:right w:val="none" w:sz="0" w:space="0" w:color="auto"/>
      </w:divBdr>
    </w:div>
    <w:div w:id="1136722638">
      <w:bodyDiv w:val="1"/>
      <w:marLeft w:val="0"/>
      <w:marRight w:val="0"/>
      <w:marTop w:val="0"/>
      <w:marBottom w:val="0"/>
      <w:divBdr>
        <w:top w:val="none" w:sz="0" w:space="0" w:color="auto"/>
        <w:left w:val="none" w:sz="0" w:space="0" w:color="auto"/>
        <w:bottom w:val="none" w:sz="0" w:space="0" w:color="auto"/>
        <w:right w:val="none" w:sz="0" w:space="0" w:color="auto"/>
      </w:divBdr>
    </w:div>
    <w:div w:id="1386560784">
      <w:bodyDiv w:val="1"/>
      <w:marLeft w:val="0"/>
      <w:marRight w:val="0"/>
      <w:marTop w:val="0"/>
      <w:marBottom w:val="0"/>
      <w:divBdr>
        <w:top w:val="none" w:sz="0" w:space="0" w:color="auto"/>
        <w:left w:val="none" w:sz="0" w:space="0" w:color="auto"/>
        <w:bottom w:val="none" w:sz="0" w:space="0" w:color="auto"/>
        <w:right w:val="none" w:sz="0" w:space="0" w:color="auto"/>
      </w:divBdr>
    </w:div>
    <w:div w:id="1395739708">
      <w:bodyDiv w:val="1"/>
      <w:marLeft w:val="0"/>
      <w:marRight w:val="0"/>
      <w:marTop w:val="0"/>
      <w:marBottom w:val="0"/>
      <w:divBdr>
        <w:top w:val="none" w:sz="0" w:space="0" w:color="auto"/>
        <w:left w:val="none" w:sz="0" w:space="0" w:color="auto"/>
        <w:bottom w:val="none" w:sz="0" w:space="0" w:color="auto"/>
        <w:right w:val="none" w:sz="0" w:space="0" w:color="auto"/>
      </w:divBdr>
    </w:div>
    <w:div w:id="1417094585">
      <w:bodyDiv w:val="1"/>
      <w:marLeft w:val="0"/>
      <w:marRight w:val="0"/>
      <w:marTop w:val="0"/>
      <w:marBottom w:val="0"/>
      <w:divBdr>
        <w:top w:val="none" w:sz="0" w:space="0" w:color="auto"/>
        <w:left w:val="none" w:sz="0" w:space="0" w:color="auto"/>
        <w:bottom w:val="none" w:sz="0" w:space="0" w:color="auto"/>
        <w:right w:val="none" w:sz="0" w:space="0" w:color="auto"/>
      </w:divBdr>
    </w:div>
    <w:div w:id="1616013703">
      <w:bodyDiv w:val="1"/>
      <w:marLeft w:val="0"/>
      <w:marRight w:val="0"/>
      <w:marTop w:val="0"/>
      <w:marBottom w:val="0"/>
      <w:divBdr>
        <w:top w:val="none" w:sz="0" w:space="0" w:color="auto"/>
        <w:left w:val="none" w:sz="0" w:space="0" w:color="auto"/>
        <w:bottom w:val="none" w:sz="0" w:space="0" w:color="auto"/>
        <w:right w:val="none" w:sz="0" w:space="0" w:color="auto"/>
      </w:divBdr>
    </w:div>
    <w:div w:id="1860316000">
      <w:bodyDiv w:val="1"/>
      <w:marLeft w:val="0"/>
      <w:marRight w:val="0"/>
      <w:marTop w:val="0"/>
      <w:marBottom w:val="0"/>
      <w:divBdr>
        <w:top w:val="none" w:sz="0" w:space="0" w:color="auto"/>
        <w:left w:val="none" w:sz="0" w:space="0" w:color="auto"/>
        <w:bottom w:val="none" w:sz="0" w:space="0" w:color="auto"/>
        <w:right w:val="none" w:sz="0" w:space="0" w:color="auto"/>
      </w:divBdr>
    </w:div>
    <w:div w:id="1957252966">
      <w:bodyDiv w:val="1"/>
      <w:marLeft w:val="0"/>
      <w:marRight w:val="0"/>
      <w:marTop w:val="0"/>
      <w:marBottom w:val="0"/>
      <w:divBdr>
        <w:top w:val="none" w:sz="0" w:space="0" w:color="auto"/>
        <w:left w:val="none" w:sz="0" w:space="0" w:color="auto"/>
        <w:bottom w:val="none" w:sz="0" w:space="0" w:color="auto"/>
        <w:right w:val="none" w:sz="0" w:space="0" w:color="auto"/>
      </w:divBdr>
    </w:div>
    <w:div w:id="2000227498">
      <w:bodyDiv w:val="1"/>
      <w:marLeft w:val="0"/>
      <w:marRight w:val="0"/>
      <w:marTop w:val="0"/>
      <w:marBottom w:val="0"/>
      <w:divBdr>
        <w:top w:val="none" w:sz="0" w:space="0" w:color="auto"/>
        <w:left w:val="none" w:sz="0" w:space="0" w:color="auto"/>
        <w:bottom w:val="none" w:sz="0" w:space="0" w:color="auto"/>
        <w:right w:val="none" w:sz="0" w:space="0" w:color="auto"/>
      </w:divBdr>
    </w:div>
    <w:div w:id="203406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seylii.org/akn/sc/act/si/2005/13/eng%402020-11-27" TargetMode="External"/><Relationship Id="rId18" Type="http://schemas.openxmlformats.org/officeDocument/2006/relationships/hyperlink" Target="https://seylii.org/akn/sc/act/si/2005/13/eng%402020-11-27" TargetMode="External"/><Relationship Id="rId26" Type="http://schemas.openxmlformats.org/officeDocument/2006/relationships/hyperlink" Target="https://seylii.org/akn/sc/act/si/2005/13/eng%402020-11-27" TargetMode="External"/><Relationship Id="rId3" Type="http://schemas.openxmlformats.org/officeDocument/2006/relationships/styles" Target="styles.xml"/><Relationship Id="rId21" Type="http://schemas.openxmlformats.org/officeDocument/2006/relationships/hyperlink" Target="https://seylii.org/akn/sc/act/si/2005/13/eng%402020-11-27" TargetMode="External"/><Relationship Id="rId7" Type="http://schemas.openxmlformats.org/officeDocument/2006/relationships/endnotes" Target="endnotes.xml"/><Relationship Id="rId12" Type="http://schemas.openxmlformats.org/officeDocument/2006/relationships/hyperlink" Target="https://seylii.org/akn/sc/act/si/2005/13/eng%402020-11-27" TargetMode="External"/><Relationship Id="rId17" Type="http://schemas.openxmlformats.org/officeDocument/2006/relationships/hyperlink" Target="https://seylii.org/akn/sc/act/si/2005/13/eng%402020-11-27" TargetMode="External"/><Relationship Id="rId25" Type="http://schemas.openxmlformats.org/officeDocument/2006/relationships/hyperlink" Target="https://seylii.org/akn/sc/act/si/2005/13/eng%402020-11-27" TargetMode="External"/><Relationship Id="rId2" Type="http://schemas.openxmlformats.org/officeDocument/2006/relationships/numbering" Target="numbering.xml"/><Relationship Id="rId16" Type="http://schemas.openxmlformats.org/officeDocument/2006/relationships/hyperlink" Target="https://seylii.org/akn/sc/act/si/2005/13/eng%402020-11-27" TargetMode="External"/><Relationship Id="rId20" Type="http://schemas.openxmlformats.org/officeDocument/2006/relationships/hyperlink" Target="https://seylii.org/akn/sc/act/si/2005/13/eng%402020-11-27"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ylii.org/akn/sc/act/si/2005/13/eng%402020-11-27" TargetMode="External"/><Relationship Id="rId24" Type="http://schemas.openxmlformats.org/officeDocument/2006/relationships/hyperlink" Target="https://seylii.org/akn/sc/act/si/2005/13/eng%402020-11-27" TargetMode="External"/><Relationship Id="rId5" Type="http://schemas.openxmlformats.org/officeDocument/2006/relationships/webSettings" Target="webSettings.xml"/><Relationship Id="rId15" Type="http://schemas.openxmlformats.org/officeDocument/2006/relationships/hyperlink" Target="https://seylii.org/akn/sc/act/si/2005/13/eng%402020-11-27" TargetMode="External"/><Relationship Id="rId23" Type="http://schemas.openxmlformats.org/officeDocument/2006/relationships/hyperlink" Target="https://seylii.org/akn/sc/act/si/2005/13/eng%402020-11-27" TargetMode="External"/><Relationship Id="rId28" Type="http://schemas.openxmlformats.org/officeDocument/2006/relationships/fontTable" Target="fontTable.xml"/><Relationship Id="rId10" Type="http://schemas.openxmlformats.org/officeDocument/2006/relationships/hyperlink" Target="https://seylii.org/akn/sc/act/si/2005/13/eng%402020-11-27" TargetMode="External"/><Relationship Id="rId19" Type="http://schemas.openxmlformats.org/officeDocument/2006/relationships/hyperlink" Target="https://seylii.org/akn/sc/act/si/2005/13/eng%402020-11-27"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seylii.org/akn/sc/act/si/2005/13/eng%402020-11-27" TargetMode="External"/><Relationship Id="rId22" Type="http://schemas.openxmlformats.org/officeDocument/2006/relationships/hyperlink" Target="https://seylii.org/akn/sc/act/si/2005/13/eng%402020-11-27"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6BB31-F120-4E00-872A-F937DB7B6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4108</Words>
  <Characters>23421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Marie-Claire Julie</cp:lastModifiedBy>
  <cp:revision>6</cp:revision>
  <cp:lastPrinted>2023-04-28T05:44:00Z</cp:lastPrinted>
  <dcterms:created xsi:type="dcterms:W3CDTF">2023-04-25T11:06:00Z</dcterms:created>
  <dcterms:modified xsi:type="dcterms:W3CDTF">2023-04-28T05:45:00Z</dcterms:modified>
</cp:coreProperties>
</file>