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54D2" w14:textId="77777777" w:rsidR="00B85059" w:rsidRDefault="00B85059" w:rsidP="00951D84">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11353445"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B07831">
        <w:rPr>
          <w:rFonts w:ascii="Times New Roman" w:eastAsia="Calibri" w:hAnsi="Times New Roman" w:cs="Times New Roman"/>
          <w:sz w:val="24"/>
          <w:szCs w:val="24"/>
        </w:rPr>
        <w:t>3</w:t>
      </w:r>
      <w:r w:rsidR="00B85059">
        <w:rPr>
          <w:rFonts w:ascii="Times New Roman" w:eastAsia="Calibri" w:hAnsi="Times New Roman" w:cs="Times New Roman"/>
          <w:sz w:val="24"/>
          <w:szCs w:val="24"/>
        </w:rPr>
        <w:t>] SCCA</w:t>
      </w:r>
      <w:r w:rsidR="00180EF2">
        <w:rPr>
          <w:rFonts w:ascii="Times New Roman" w:eastAsia="Calibri" w:hAnsi="Times New Roman" w:cs="Times New Roman"/>
          <w:sz w:val="24"/>
          <w:szCs w:val="24"/>
        </w:rPr>
        <w:t xml:space="preserve"> 5</w:t>
      </w:r>
      <w:r w:rsidR="00B07831">
        <w:rPr>
          <w:rFonts w:ascii="Times New Roman" w:eastAsia="Calibri" w:hAnsi="Times New Roman" w:cs="Times New Roman"/>
          <w:sz w:val="24"/>
          <w:szCs w:val="24"/>
        </w:rPr>
        <w:t xml:space="preserve"> </w:t>
      </w:r>
      <w:r w:rsidR="001D3B78">
        <w:rPr>
          <w:rFonts w:ascii="Times New Roman" w:eastAsia="Calibri" w:hAnsi="Times New Roman" w:cs="Times New Roman"/>
          <w:sz w:val="24"/>
          <w:szCs w:val="24"/>
        </w:rPr>
        <w:t>(13</w:t>
      </w:r>
      <w:r w:rsidR="00B07831">
        <w:rPr>
          <w:rFonts w:ascii="Times New Roman" w:eastAsia="Calibri" w:hAnsi="Times New Roman" w:cs="Times New Roman"/>
          <w:sz w:val="24"/>
          <w:szCs w:val="24"/>
        </w:rPr>
        <w:t xml:space="preserve"> April</w:t>
      </w:r>
      <w:r w:rsidR="007A616F">
        <w:rPr>
          <w:rFonts w:ascii="Times New Roman" w:eastAsia="Calibri" w:hAnsi="Times New Roman" w:cs="Times New Roman"/>
          <w:sz w:val="24"/>
          <w:szCs w:val="24"/>
        </w:rPr>
        <w:t xml:space="preserve"> 202</w:t>
      </w:r>
      <w:r w:rsidR="00B07831">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p>
    <w:p w14:paraId="64D50439" w14:textId="68C7E453" w:rsidR="007A616F" w:rsidRDefault="00180EF2"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1D3B78">
        <w:rPr>
          <w:rFonts w:ascii="Times New Roman" w:eastAsia="Calibri" w:hAnsi="Times New Roman" w:cs="Times New Roman"/>
          <w:sz w:val="24"/>
          <w:szCs w:val="24"/>
        </w:rPr>
        <w:t>MA</w:t>
      </w:r>
      <w:r w:rsidR="00D23124">
        <w:rPr>
          <w:rFonts w:ascii="Times New Roman" w:eastAsia="Calibri" w:hAnsi="Times New Roman" w:cs="Times New Roman"/>
          <w:sz w:val="24"/>
          <w:szCs w:val="24"/>
        </w:rPr>
        <w:t xml:space="preserve"> </w:t>
      </w:r>
      <w:bookmarkStart w:id="0" w:name="_GoBack"/>
      <w:bookmarkEnd w:id="0"/>
      <w:r w:rsidR="001D3B78">
        <w:rPr>
          <w:rFonts w:ascii="Times New Roman" w:eastAsia="Calibri" w:hAnsi="Times New Roman" w:cs="Times New Roman"/>
          <w:sz w:val="24"/>
          <w:szCs w:val="24"/>
        </w:rPr>
        <w:t>03</w:t>
      </w:r>
      <w:r w:rsidR="00A14011">
        <w:rPr>
          <w:rFonts w:ascii="Times New Roman" w:eastAsia="Calibri" w:hAnsi="Times New Roman" w:cs="Times New Roman"/>
          <w:sz w:val="24"/>
          <w:szCs w:val="24"/>
        </w:rPr>
        <w:t>/2023</w:t>
      </w:r>
    </w:p>
    <w:p w14:paraId="6512DF2F" w14:textId="2B24C392"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1D3B78">
        <w:rPr>
          <w:rFonts w:ascii="Times New Roman" w:eastAsia="Calibri" w:hAnsi="Times New Roman" w:cs="Times New Roman"/>
          <w:sz w:val="24"/>
          <w:szCs w:val="24"/>
        </w:rPr>
        <w:t>SCA 22</w:t>
      </w:r>
      <w:r w:rsidR="00A14011">
        <w:rPr>
          <w:rFonts w:ascii="Times New Roman" w:eastAsia="Calibri" w:hAnsi="Times New Roman" w:cs="Times New Roman"/>
          <w:sz w:val="24"/>
          <w:szCs w:val="24"/>
        </w:rPr>
        <w:t>/2021</w:t>
      </w:r>
      <w:r w:rsidR="00DF2207">
        <w:rPr>
          <w:rFonts w:ascii="Times New Roman" w:eastAsia="Calibri" w:hAnsi="Times New Roman" w:cs="Times New Roman"/>
          <w:sz w:val="24"/>
          <w:szCs w:val="24"/>
        </w:rPr>
        <w:t>)</w:t>
      </w:r>
    </w:p>
    <w:p w14:paraId="20090896" w14:textId="77777777" w:rsidR="00B85059" w:rsidRDefault="00B85059" w:rsidP="00B85059">
      <w:pPr>
        <w:spacing w:after="0" w:line="240" w:lineRule="auto"/>
        <w:ind w:left="5580"/>
        <w:rPr>
          <w:rFonts w:ascii="Times New Roman" w:eastAsia="Calibri" w:hAnsi="Times New Roman" w:cs="Times New Roman"/>
          <w:sz w:val="24"/>
          <w:szCs w:val="24"/>
        </w:rPr>
      </w:pPr>
    </w:p>
    <w:p w14:paraId="159B154C" w14:textId="77777777"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between </w:t>
      </w:r>
    </w:p>
    <w:p w14:paraId="798CBDED" w14:textId="405AC317" w:rsidR="00B85059" w:rsidRDefault="00646C51" w:rsidP="00B85059">
      <w:pPr>
        <w:tabs>
          <w:tab w:val="left" w:pos="540"/>
          <w:tab w:val="left" w:pos="5580"/>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Stefan </w:t>
      </w:r>
      <w:r w:rsidR="00DA7C6C">
        <w:rPr>
          <w:rFonts w:ascii="Times New Roman" w:eastAsia="Calibri" w:hAnsi="Times New Roman" w:cs="Times New Roman"/>
          <w:b/>
          <w:sz w:val="24"/>
          <w:szCs w:val="24"/>
        </w:rPr>
        <w:t>Renato Petrescu</w:t>
      </w:r>
      <w:r w:rsidR="00B07831">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w:t>
      </w:r>
      <w:r w:rsidR="00180EF2">
        <w:rPr>
          <w:rFonts w:ascii="Times New Roman" w:eastAsia="Calibri" w:hAnsi="Times New Roman" w:cs="Times New Roman"/>
          <w:sz w:val="24"/>
          <w:szCs w:val="24"/>
        </w:rPr>
        <w:t>licant</w:t>
      </w:r>
      <w:r w:rsidR="00B85059" w:rsidRPr="008F525B">
        <w:rPr>
          <w:rFonts w:ascii="Times New Roman" w:eastAsia="Calibri" w:hAnsi="Times New Roman" w:cs="Times New Roman"/>
          <w:sz w:val="24"/>
          <w:szCs w:val="24"/>
        </w:rPr>
        <w:tab/>
      </w:r>
    </w:p>
    <w:p w14:paraId="275F2B94" w14:textId="3E9AC12A" w:rsidR="00B85059" w:rsidRDefault="004674D8"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CB75FB" w:rsidRPr="00CB75FB">
        <w:rPr>
          <w:rFonts w:ascii="Times New Roman" w:eastAsia="Calibri" w:hAnsi="Times New Roman" w:cs="Times New Roman"/>
          <w:i/>
          <w:sz w:val="24"/>
          <w:szCs w:val="24"/>
        </w:rPr>
        <w:t xml:space="preserve"> </w:t>
      </w:r>
      <w:r w:rsidR="00CB75FB">
        <w:rPr>
          <w:rFonts w:ascii="Times New Roman" w:eastAsia="Calibri" w:hAnsi="Times New Roman" w:cs="Times New Roman"/>
          <w:i/>
          <w:sz w:val="24"/>
          <w:szCs w:val="24"/>
        </w:rPr>
        <w:t xml:space="preserve">Mr </w:t>
      </w:r>
      <w:r w:rsidR="00DA7C6C">
        <w:rPr>
          <w:rFonts w:ascii="Times New Roman" w:eastAsia="Calibri" w:hAnsi="Times New Roman" w:cs="Times New Roman"/>
          <w:i/>
          <w:sz w:val="24"/>
          <w:szCs w:val="24"/>
        </w:rPr>
        <w:t>Serge Rouillon</w:t>
      </w:r>
      <w:r w:rsidR="00662B5F">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w:t>
      </w:r>
    </w:p>
    <w:p w14:paraId="7FEEEC12" w14:textId="5173FB61" w:rsidR="00B85059" w:rsidRDefault="00DB3BF8" w:rsidP="00B85059">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Stefan </w:t>
      </w:r>
      <w:r w:rsidR="00646C51">
        <w:rPr>
          <w:rFonts w:ascii="Times New Roman" w:eastAsia="Calibri" w:hAnsi="Times New Roman" w:cs="Times New Roman"/>
          <w:b/>
          <w:sz w:val="24"/>
          <w:szCs w:val="24"/>
        </w:rPr>
        <w:t>Adrian ll</w:t>
      </w:r>
      <w:r w:rsidR="00DA7C6C">
        <w:rPr>
          <w:rFonts w:ascii="Times New Roman" w:eastAsia="Calibri" w:hAnsi="Times New Roman" w:cs="Times New Roman"/>
          <w:b/>
          <w:sz w:val="24"/>
          <w:szCs w:val="24"/>
        </w:rPr>
        <w:t>iescu</w:t>
      </w:r>
      <w:r w:rsidR="00951D84">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2F10C14A" w14:textId="6EA98EDC" w:rsidR="00B85059"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DF23F3">
        <w:rPr>
          <w:rFonts w:ascii="Times New Roman" w:eastAsia="Calibri" w:hAnsi="Times New Roman" w:cs="Times New Roman"/>
          <w:i/>
          <w:sz w:val="24"/>
          <w:szCs w:val="24"/>
        </w:rPr>
        <w:t xml:space="preserve"> </w:t>
      </w:r>
      <w:r w:rsidR="00754C9D">
        <w:rPr>
          <w:rFonts w:ascii="Times New Roman" w:eastAsia="Calibri" w:hAnsi="Times New Roman" w:cs="Times New Roman"/>
          <w:i/>
          <w:sz w:val="24"/>
          <w:szCs w:val="24"/>
        </w:rPr>
        <w:t xml:space="preserve">Mr </w:t>
      </w:r>
      <w:r w:rsidR="00DA7C6C">
        <w:rPr>
          <w:rFonts w:ascii="Times New Roman" w:eastAsia="Calibri" w:hAnsi="Times New Roman" w:cs="Times New Roman"/>
          <w:i/>
          <w:sz w:val="24"/>
          <w:szCs w:val="24"/>
        </w:rPr>
        <w:t>Frank Elizabeth</w:t>
      </w:r>
      <w:r w:rsidR="00B85059">
        <w:rPr>
          <w:rFonts w:ascii="Times New Roman" w:eastAsia="Calibri"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6191C8B" w14:textId="0270069C"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DA7C6C">
        <w:rPr>
          <w:rFonts w:ascii="Times New Roman" w:eastAsia="Calibri" w:hAnsi="Times New Roman" w:cs="Times New Roman"/>
          <w:i/>
          <w:sz w:val="24"/>
          <w:szCs w:val="24"/>
        </w:rPr>
        <w:t xml:space="preserve">Petrescu v Iliescu </w:t>
      </w:r>
      <w:r w:rsidR="00754C9D" w:rsidRPr="007A616F">
        <w:rPr>
          <w:rFonts w:ascii="Times New Roman" w:eastAsia="Calibri" w:hAnsi="Times New Roman" w:cs="Times New Roman"/>
          <w:sz w:val="24"/>
          <w:szCs w:val="24"/>
        </w:rPr>
        <w:t>(</w:t>
      </w:r>
      <w:r w:rsidR="00A546C7">
        <w:rPr>
          <w:rFonts w:ascii="Times New Roman" w:eastAsia="Calibri" w:hAnsi="Times New Roman" w:cs="Times New Roman"/>
          <w:sz w:val="24"/>
          <w:szCs w:val="24"/>
        </w:rPr>
        <w:t xml:space="preserve">SCA </w:t>
      </w:r>
      <w:r w:rsidR="001D3B78">
        <w:rPr>
          <w:rFonts w:ascii="Times New Roman" w:eastAsia="Calibri" w:hAnsi="Times New Roman" w:cs="Times New Roman"/>
          <w:sz w:val="24"/>
          <w:szCs w:val="24"/>
        </w:rPr>
        <w:t>MA</w:t>
      </w:r>
      <w:r w:rsidR="007A616F" w:rsidRPr="007A616F">
        <w:rPr>
          <w:rFonts w:ascii="Times New Roman" w:eastAsia="Calibri" w:hAnsi="Times New Roman" w:cs="Times New Roman"/>
          <w:sz w:val="24"/>
          <w:szCs w:val="24"/>
        </w:rPr>
        <w:t xml:space="preserve"> </w:t>
      </w:r>
      <w:r w:rsidR="001D3B78">
        <w:rPr>
          <w:rFonts w:ascii="Times New Roman" w:eastAsia="Calibri" w:hAnsi="Times New Roman" w:cs="Times New Roman"/>
          <w:sz w:val="24"/>
          <w:szCs w:val="24"/>
        </w:rPr>
        <w:t>03/2023</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662B5F">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SCCA</w:t>
      </w:r>
      <w:r w:rsidR="00180EF2">
        <w:rPr>
          <w:rFonts w:ascii="Times New Roman" w:eastAsia="Calibri" w:hAnsi="Times New Roman" w:cs="Times New Roman"/>
          <w:sz w:val="24"/>
          <w:szCs w:val="24"/>
        </w:rPr>
        <w:t xml:space="preserve"> 5</w:t>
      </w:r>
      <w:r w:rsidR="0065077B">
        <w:rPr>
          <w:rFonts w:ascii="Times New Roman" w:eastAsia="Calibri" w:hAnsi="Times New Roman" w:cs="Times New Roman"/>
          <w:sz w:val="24"/>
          <w:szCs w:val="24"/>
        </w:rPr>
        <w:t xml:space="preserve"> (Arising in </w:t>
      </w:r>
      <w:r w:rsidR="001D3B78">
        <w:rPr>
          <w:rFonts w:ascii="Times New Roman" w:eastAsia="Calibri" w:hAnsi="Times New Roman" w:cs="Times New Roman"/>
          <w:sz w:val="24"/>
          <w:szCs w:val="24"/>
        </w:rPr>
        <w:t>SCA 22/2021</w:t>
      </w:r>
      <w:r w:rsidR="00662B5F">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w:t>
      </w:r>
      <w:r w:rsidR="00180EF2">
        <w:rPr>
          <w:rFonts w:ascii="Times New Roman" w:eastAsia="Calibri" w:hAnsi="Times New Roman" w:cs="Times New Roman"/>
          <w:sz w:val="24"/>
          <w:szCs w:val="24"/>
        </w:rPr>
        <w:t>13</w:t>
      </w:r>
      <w:r w:rsidR="00662B5F">
        <w:rPr>
          <w:rFonts w:ascii="Times New Roman" w:eastAsia="Calibri" w:hAnsi="Times New Roman" w:cs="Times New Roman"/>
          <w:sz w:val="24"/>
          <w:szCs w:val="24"/>
        </w:rPr>
        <w:t xml:space="preserve"> April</w:t>
      </w:r>
      <w:r w:rsidR="00DF2207"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202</w:t>
      </w:r>
      <w:r w:rsidR="0065077B">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p>
    <w:p w14:paraId="4726D26E" w14:textId="60086E13" w:rsidR="00662B5F" w:rsidRDefault="00B85059" w:rsidP="00662B5F">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Pr="00B85059">
        <w:rPr>
          <w:rFonts w:ascii="Times New Roman" w:eastAsia="Calibri" w:hAnsi="Times New Roman" w:cs="Times New Roman"/>
          <w:sz w:val="24"/>
          <w:szCs w:val="24"/>
        </w:rPr>
        <w:t>Robinson</w:t>
      </w:r>
      <w:r w:rsidR="00AB3E4E">
        <w:rPr>
          <w:rFonts w:ascii="Times New Roman" w:eastAsia="Calibri" w:hAnsi="Times New Roman" w:cs="Times New Roman"/>
          <w:b/>
          <w:sz w:val="24"/>
          <w:szCs w:val="24"/>
        </w:rPr>
        <w:t xml:space="preserve">, </w:t>
      </w:r>
      <w:r w:rsidR="00DA7C6C">
        <w:rPr>
          <w:rFonts w:ascii="Times New Roman" w:eastAsia="Calibri" w:hAnsi="Times New Roman" w:cs="Times New Roman"/>
          <w:sz w:val="24"/>
          <w:szCs w:val="24"/>
        </w:rPr>
        <w:t xml:space="preserve">Tibatemwa-Ekirikubinza, </w:t>
      </w:r>
      <w:r w:rsidR="00662B5F">
        <w:rPr>
          <w:rFonts w:ascii="Times New Roman" w:eastAsia="Calibri" w:hAnsi="Times New Roman" w:cs="Times New Roman"/>
          <w:sz w:val="24"/>
          <w:szCs w:val="24"/>
        </w:rPr>
        <w:t>Andre, JJA</w:t>
      </w:r>
    </w:p>
    <w:p w14:paraId="28D581D6" w14:textId="0931537E" w:rsidR="00027EDE" w:rsidRDefault="00027EDE" w:rsidP="00662B5F">
      <w:pPr>
        <w:spacing w:after="0" w:line="240" w:lineRule="auto"/>
        <w:ind w:left="1890" w:hanging="1890"/>
        <w:rPr>
          <w:rFonts w:ascii="Times New Roman" w:eastAsia="Calibri" w:hAnsi="Times New Roman" w:cs="Times New Roman"/>
          <w:sz w:val="24"/>
          <w:szCs w:val="24"/>
        </w:rPr>
      </w:pPr>
      <w:r>
        <w:rPr>
          <w:rFonts w:ascii="Times New Roman" w:eastAsia="Calibri" w:hAnsi="Times New Roman" w:cs="Times New Roman"/>
          <w:b/>
          <w:sz w:val="24"/>
          <w:szCs w:val="24"/>
        </w:rPr>
        <w:t>Heard:</w:t>
      </w:r>
      <w:r>
        <w:rPr>
          <w:rFonts w:ascii="Times New Roman" w:eastAsia="Calibri" w:hAnsi="Times New Roman" w:cs="Times New Roman"/>
          <w:sz w:val="24"/>
          <w:szCs w:val="24"/>
        </w:rPr>
        <w:tab/>
        <w:t>11 April 2023</w:t>
      </w:r>
    </w:p>
    <w:p w14:paraId="18B884F4" w14:textId="75680698" w:rsidR="00662B5F" w:rsidRPr="00E10361" w:rsidRDefault="00B85059" w:rsidP="009071AD">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Summary: </w:t>
      </w:r>
      <w:r w:rsidR="005C381C">
        <w:rPr>
          <w:rFonts w:ascii="Times New Roman" w:eastAsia="Calibri" w:hAnsi="Times New Roman" w:cs="Times New Roman"/>
          <w:b/>
          <w:sz w:val="24"/>
          <w:szCs w:val="24"/>
        </w:rPr>
        <w:tab/>
      </w:r>
      <w:r w:rsidR="005C381C" w:rsidRPr="005C381C">
        <w:rPr>
          <w:rFonts w:ascii="Times New Roman" w:eastAsia="Calibri" w:hAnsi="Times New Roman" w:cs="Times New Roman"/>
          <w:sz w:val="24"/>
          <w:szCs w:val="24"/>
        </w:rPr>
        <w:t>Rule 31</w:t>
      </w:r>
      <w:r w:rsidR="001D5C7B">
        <w:rPr>
          <w:rFonts w:ascii="Times New Roman" w:eastAsia="Calibri" w:hAnsi="Times New Roman" w:cs="Times New Roman"/>
          <w:sz w:val="24"/>
          <w:szCs w:val="24"/>
        </w:rPr>
        <w:t xml:space="preserve"> </w:t>
      </w:r>
      <w:r w:rsidR="005C381C" w:rsidRPr="005C381C">
        <w:rPr>
          <w:rFonts w:ascii="Times New Roman" w:eastAsia="Calibri" w:hAnsi="Times New Roman" w:cs="Times New Roman"/>
          <w:sz w:val="24"/>
          <w:szCs w:val="24"/>
        </w:rPr>
        <w:t>(1) of the Seychelles Court of Appeal Rules, 2005</w:t>
      </w:r>
      <w:r w:rsidR="00CE0CFC">
        <w:rPr>
          <w:rFonts w:ascii="Times New Roman" w:eastAsia="Calibri" w:hAnsi="Times New Roman" w:cs="Times New Roman"/>
          <w:sz w:val="24"/>
          <w:szCs w:val="24"/>
        </w:rPr>
        <w:t>,</w:t>
      </w:r>
      <w:r w:rsidR="005C381C" w:rsidRPr="005C381C">
        <w:rPr>
          <w:rFonts w:ascii="Times New Roman" w:eastAsia="Calibri" w:hAnsi="Times New Roman" w:cs="Times New Roman"/>
          <w:sz w:val="24"/>
          <w:szCs w:val="24"/>
        </w:rPr>
        <w:t xml:space="preserve"> as amended</w:t>
      </w:r>
      <w:r w:rsidR="005C381C">
        <w:rPr>
          <w:rFonts w:ascii="Times New Roman" w:eastAsia="Calibri" w:hAnsi="Times New Roman" w:cs="Times New Roman"/>
          <w:sz w:val="24"/>
          <w:szCs w:val="24"/>
        </w:rPr>
        <w:t xml:space="preserve"> ― Discretionary power of the Court of Appeal to receive further evidence</w:t>
      </w:r>
      <w:r w:rsidR="005217CC">
        <w:rPr>
          <w:rFonts w:ascii="Times New Roman" w:eastAsia="Calibri" w:hAnsi="Times New Roman" w:cs="Times New Roman"/>
          <w:sz w:val="24"/>
          <w:szCs w:val="24"/>
        </w:rPr>
        <w:t xml:space="preserve"> </w:t>
      </w:r>
      <w:r w:rsidR="005C381C">
        <w:rPr>
          <w:rFonts w:ascii="Times New Roman" w:eastAsia="Calibri" w:hAnsi="Times New Roman" w:cs="Times New Roman"/>
          <w:sz w:val="24"/>
          <w:szCs w:val="24"/>
        </w:rPr>
        <w:t xml:space="preserve">― </w:t>
      </w:r>
      <w:r w:rsidR="001D5C7B">
        <w:rPr>
          <w:rFonts w:ascii="Times New Roman" w:eastAsia="Calibri" w:hAnsi="Times New Roman" w:cs="Times New Roman"/>
          <w:sz w:val="24"/>
          <w:szCs w:val="24"/>
        </w:rPr>
        <w:t>t</w:t>
      </w:r>
      <w:r w:rsidR="0087620D">
        <w:rPr>
          <w:rFonts w:ascii="Times New Roman" w:eastAsia="Calibri" w:hAnsi="Times New Roman" w:cs="Times New Roman"/>
          <w:sz w:val="24"/>
          <w:szCs w:val="24"/>
        </w:rPr>
        <w:t xml:space="preserve">he form of foreign affidavit ― </w:t>
      </w:r>
      <w:r w:rsidR="009071AD">
        <w:rPr>
          <w:rFonts w:ascii="Times New Roman" w:eastAsia="Calibri" w:hAnsi="Times New Roman" w:cs="Times New Roman"/>
          <w:sz w:val="24"/>
          <w:szCs w:val="24"/>
        </w:rPr>
        <w:t xml:space="preserve">defective application </w:t>
      </w:r>
      <w:r w:rsidR="0087620D">
        <w:rPr>
          <w:rFonts w:ascii="Times New Roman" w:eastAsia="Calibri" w:hAnsi="Times New Roman" w:cs="Times New Roman"/>
          <w:sz w:val="24"/>
          <w:szCs w:val="24"/>
        </w:rPr>
        <w:t xml:space="preserve">― </w:t>
      </w:r>
      <w:r w:rsidR="00CE0CFC">
        <w:rPr>
          <w:rFonts w:ascii="Times New Roman" w:eastAsia="Calibri" w:hAnsi="Times New Roman" w:cs="Times New Roman"/>
          <w:sz w:val="24"/>
          <w:szCs w:val="24"/>
        </w:rPr>
        <w:t xml:space="preserve">the </w:t>
      </w:r>
      <w:r w:rsidR="0087620D" w:rsidRPr="001D5C7B">
        <w:rPr>
          <w:rFonts w:ascii="Times New Roman" w:eastAsia="Calibri" w:hAnsi="Times New Roman" w:cs="Times New Roman"/>
          <w:sz w:val="24"/>
          <w:szCs w:val="24"/>
        </w:rPr>
        <w:t>defect is fatal</w:t>
      </w:r>
      <w:r w:rsidR="0087620D">
        <w:rPr>
          <w:rFonts w:ascii="Times New Roman" w:eastAsia="Calibri" w:hAnsi="Times New Roman" w:cs="Times New Roman"/>
          <w:sz w:val="24"/>
          <w:szCs w:val="24"/>
        </w:rPr>
        <w:t xml:space="preserve"> </w:t>
      </w:r>
      <w:r w:rsidR="009071AD">
        <w:rPr>
          <w:rFonts w:ascii="Times New Roman" w:eastAsia="Calibri" w:hAnsi="Times New Roman" w:cs="Times New Roman"/>
          <w:sz w:val="24"/>
          <w:szCs w:val="24"/>
        </w:rPr>
        <w:t>― application</w:t>
      </w:r>
      <w:r w:rsidR="0087620D">
        <w:rPr>
          <w:rFonts w:ascii="Times New Roman" w:eastAsia="Calibri" w:hAnsi="Times New Roman" w:cs="Times New Roman"/>
          <w:sz w:val="24"/>
          <w:szCs w:val="24"/>
        </w:rPr>
        <w:t xml:space="preserve"> is dismissed with costs</w:t>
      </w:r>
      <w:r w:rsidR="009071AD">
        <w:rPr>
          <w:rFonts w:ascii="Times New Roman" w:eastAsia="Calibri" w:hAnsi="Times New Roman" w:cs="Times New Roman"/>
          <w:sz w:val="24"/>
          <w:szCs w:val="24"/>
        </w:rPr>
        <w:t xml:space="preserve"> </w:t>
      </w:r>
    </w:p>
    <w:p w14:paraId="392DCFB9" w14:textId="4806E548" w:rsidR="00B85059" w:rsidRPr="00E10361" w:rsidRDefault="00B85059" w:rsidP="009120F2">
      <w:pPr>
        <w:tabs>
          <w:tab w:val="left" w:pos="1890"/>
        </w:tabs>
        <w:rPr>
          <w:rFonts w:ascii="Times New Roman" w:eastAsia="Calibri" w:hAnsi="Times New Roman" w:cs="Times New Roman"/>
          <w:sz w:val="24"/>
          <w:szCs w:val="24"/>
        </w:rPr>
      </w:pPr>
      <w:r w:rsidRPr="00E10361">
        <w:rPr>
          <w:rFonts w:ascii="Times New Roman" w:eastAsia="Calibri" w:hAnsi="Times New Roman" w:cs="Times New Roman"/>
          <w:sz w:val="24"/>
          <w:szCs w:val="24"/>
        </w:rPr>
        <w:t xml:space="preserve">Delivered: </w:t>
      </w:r>
      <w:r w:rsidR="009120F2" w:rsidRPr="00E10361">
        <w:rPr>
          <w:rFonts w:ascii="Times New Roman" w:eastAsia="Calibri" w:hAnsi="Times New Roman" w:cs="Times New Roman"/>
          <w:sz w:val="24"/>
          <w:szCs w:val="24"/>
        </w:rPr>
        <w:tab/>
      </w:r>
      <w:r w:rsidR="001D3B78" w:rsidRPr="00E10361">
        <w:rPr>
          <w:rFonts w:ascii="Times New Roman" w:eastAsia="Calibri" w:hAnsi="Times New Roman" w:cs="Times New Roman"/>
          <w:sz w:val="24"/>
          <w:szCs w:val="24"/>
        </w:rPr>
        <w:t>13</w:t>
      </w:r>
      <w:r w:rsidR="00662B5F" w:rsidRPr="00E10361">
        <w:rPr>
          <w:rFonts w:ascii="Times New Roman" w:eastAsia="Calibri" w:hAnsi="Times New Roman" w:cs="Times New Roman"/>
          <w:sz w:val="24"/>
          <w:szCs w:val="24"/>
        </w:rPr>
        <w:t xml:space="preserve"> April 2023</w:t>
      </w:r>
    </w:p>
    <w:p w14:paraId="2D86CB38" w14:textId="4A76D96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w:t>
      </w:r>
    </w:p>
    <w:p w14:paraId="272EE31C" w14:textId="77777777" w:rsidR="00B85059" w:rsidRDefault="00B85059" w:rsidP="00B850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1A1DAB5E" w14:textId="1A29533B" w:rsidR="00D932D1" w:rsidRDefault="0087620D" w:rsidP="00D932D1">
      <w:pPr>
        <w:pStyle w:val="ListParagraph"/>
        <w:numPr>
          <w:ilvl w:val="0"/>
          <w:numId w:val="38"/>
        </w:numPr>
        <w:ind w:right="1424"/>
        <w:jc w:val="both"/>
        <w:rPr>
          <w:rFonts w:eastAsia="Calibri"/>
          <w:sz w:val="24"/>
          <w:szCs w:val="24"/>
        </w:rPr>
      </w:pPr>
      <w:r>
        <w:rPr>
          <w:rFonts w:eastAsia="Calibri"/>
          <w:sz w:val="24"/>
          <w:szCs w:val="24"/>
        </w:rPr>
        <w:t>The application is dismissed with costs</w:t>
      </w:r>
    </w:p>
    <w:p w14:paraId="6FA9C0F8" w14:textId="77777777" w:rsidR="00D932D1" w:rsidRDefault="00D932D1" w:rsidP="00D932D1">
      <w:pPr>
        <w:pStyle w:val="ListParagraph"/>
        <w:ind w:left="355" w:right="1424"/>
        <w:jc w:val="both"/>
        <w:rPr>
          <w:rFonts w:eastAsia="Calibri"/>
          <w:sz w:val="24"/>
          <w:szCs w:val="24"/>
        </w:rPr>
      </w:pPr>
    </w:p>
    <w:p w14:paraId="4CCB72C0" w14:textId="6DB6B6BC" w:rsidR="00B85059" w:rsidRDefault="00D932D1" w:rsidP="00D932D1">
      <w:pPr>
        <w:pStyle w:val="ListParagraph"/>
        <w:numPr>
          <w:ilvl w:val="0"/>
          <w:numId w:val="38"/>
        </w:numPr>
        <w:ind w:right="1424"/>
        <w:jc w:val="both"/>
        <w:rPr>
          <w:rFonts w:eastAsia="Calibri"/>
          <w:sz w:val="24"/>
          <w:szCs w:val="24"/>
        </w:rPr>
      </w:pPr>
      <w:r w:rsidRPr="00D932D1">
        <w:rPr>
          <w:rFonts w:eastAsia="Calibri"/>
          <w:sz w:val="24"/>
          <w:szCs w:val="24"/>
        </w:rPr>
        <w:t>The appeal sta</w:t>
      </w:r>
      <w:r w:rsidR="00C65156">
        <w:rPr>
          <w:rFonts w:eastAsia="Calibri"/>
          <w:sz w:val="24"/>
          <w:szCs w:val="24"/>
        </w:rPr>
        <w:t>nds listed for hearing on the 14</w:t>
      </w:r>
      <w:r w:rsidRPr="00D932D1">
        <w:rPr>
          <w:rFonts w:eastAsia="Calibri"/>
          <w:sz w:val="24"/>
          <w:szCs w:val="24"/>
        </w:rPr>
        <w:t xml:space="preserve"> April 2023.</w:t>
      </w:r>
    </w:p>
    <w:p w14:paraId="5E5CE19A" w14:textId="77777777" w:rsidR="00D932D1" w:rsidRPr="00D932D1" w:rsidRDefault="00D932D1" w:rsidP="00D932D1">
      <w:pPr>
        <w:ind w:right="1424"/>
        <w:jc w:val="both"/>
        <w:rPr>
          <w:rFonts w:eastAsia="Calibri"/>
          <w:sz w:val="24"/>
          <w:szCs w:val="24"/>
        </w:rPr>
      </w:pP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5E4DEF5" w14:textId="37D9679E" w:rsidR="00B85059" w:rsidRDefault="001D3B78"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RULING ON NOTICE OF MOTION</w:t>
      </w:r>
    </w:p>
    <w:p w14:paraId="284A26A9"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5A55BC15" w14:textId="63CD5953" w:rsidR="00B85059" w:rsidRPr="00B85059" w:rsidRDefault="00B85059" w:rsidP="00B85059">
      <w:pPr>
        <w:spacing w:after="240" w:line="480" w:lineRule="auto"/>
        <w:ind w:left="720" w:hanging="720"/>
        <w:jc w:val="both"/>
        <w:rPr>
          <w:rFonts w:ascii="Times New Roman" w:eastAsia="Times New Roman" w:hAnsi="Times New Roman" w:cs="Times New Roman"/>
          <w:b/>
          <w:sz w:val="24"/>
          <w:szCs w:val="24"/>
        </w:rPr>
      </w:pPr>
      <w:r w:rsidRPr="00B85059">
        <w:rPr>
          <w:rFonts w:ascii="Times New Roman" w:eastAsia="Times New Roman" w:hAnsi="Times New Roman" w:cs="Times New Roman"/>
          <w:b/>
          <w:sz w:val="24"/>
          <w:szCs w:val="24"/>
        </w:rPr>
        <w:t>ROBINSON J</w:t>
      </w:r>
      <w:r w:rsidR="00DF23F3">
        <w:rPr>
          <w:rFonts w:ascii="Times New Roman" w:eastAsia="Times New Roman" w:hAnsi="Times New Roman" w:cs="Times New Roman"/>
          <w:b/>
          <w:sz w:val="24"/>
          <w:szCs w:val="24"/>
        </w:rPr>
        <w:t>A</w:t>
      </w:r>
    </w:p>
    <w:p w14:paraId="245DE35F" w14:textId="461B1B0A" w:rsidR="00951D84" w:rsidRPr="00A14011" w:rsidRDefault="00A14011" w:rsidP="00662B5F">
      <w:pPr>
        <w:pStyle w:val="JudgmentText"/>
        <w:numPr>
          <w:ilvl w:val="0"/>
          <w:numId w:val="32"/>
        </w:numPr>
        <w:ind w:hanging="720"/>
      </w:pPr>
      <w:r w:rsidRPr="00A14011">
        <w:t>The Applicant</w:t>
      </w:r>
      <w:r w:rsidR="00E77E2E" w:rsidRPr="00A14011">
        <w:t xml:space="preserve"> </w:t>
      </w:r>
      <w:r w:rsidRPr="00A14011">
        <w:t xml:space="preserve">is </w:t>
      </w:r>
      <w:r w:rsidRPr="00A14011">
        <w:rPr>
          <w:rFonts w:eastAsia="Calibri"/>
        </w:rPr>
        <w:t xml:space="preserve">Stefan Renato Petrescu hereinafter referred to as </w:t>
      </w:r>
      <w:r w:rsidRPr="00A14011">
        <w:rPr>
          <w:rFonts w:eastAsia="Calibri"/>
          <w:i/>
        </w:rPr>
        <w:t>″Renato″</w:t>
      </w:r>
      <w:r w:rsidRPr="00A14011">
        <w:rPr>
          <w:rFonts w:eastAsia="Calibri"/>
        </w:rPr>
        <w:t xml:space="preserve"> and the Respondent </w:t>
      </w:r>
      <w:r w:rsidR="00E77E2E" w:rsidRPr="00A14011">
        <w:t xml:space="preserve">is </w:t>
      </w:r>
      <w:r w:rsidR="00E77E2E" w:rsidRPr="00A14011">
        <w:rPr>
          <w:rFonts w:eastAsia="Calibri"/>
        </w:rPr>
        <w:t xml:space="preserve">Stefan Adrian Iliescu, hereinafter referred to as </w:t>
      </w:r>
      <w:r w:rsidR="00E77E2E" w:rsidRPr="00A14011">
        <w:rPr>
          <w:rFonts w:eastAsia="Calibri"/>
          <w:i/>
        </w:rPr>
        <w:t>″Adrian″.</w:t>
      </w:r>
      <w:r w:rsidR="00E77E2E" w:rsidRPr="00A14011">
        <w:rPr>
          <w:rFonts w:eastAsia="Calibri"/>
          <w:b/>
        </w:rPr>
        <w:t xml:space="preserve"> </w:t>
      </w:r>
    </w:p>
    <w:p w14:paraId="2A68DF0F" w14:textId="065403FA" w:rsidR="001D3B78" w:rsidRDefault="00966A7F" w:rsidP="00FF4535">
      <w:pPr>
        <w:pStyle w:val="JudgmentText"/>
        <w:numPr>
          <w:ilvl w:val="0"/>
          <w:numId w:val="32"/>
        </w:numPr>
        <w:ind w:hanging="720"/>
      </w:pPr>
      <w:r>
        <w:lastRenderedPageBreak/>
        <w:t>This ruling deals with an application that f</w:t>
      </w:r>
      <w:r w:rsidR="00690E4D">
        <w:t xml:space="preserve">urther </w:t>
      </w:r>
      <w:r>
        <w:t>evidence be allowed to be produced in connection with the hearing of the a</w:t>
      </w:r>
      <w:r w:rsidR="00D932D1">
        <w:t>ppeal in case reference SCA 22/20</w:t>
      </w:r>
      <w:r w:rsidR="001A08D7">
        <w:t>21</w:t>
      </w:r>
      <w:r>
        <w:t>.</w:t>
      </w:r>
      <w:r w:rsidR="00D932D1">
        <w:t xml:space="preserve"> </w:t>
      </w:r>
      <w:r w:rsidR="00690E4D">
        <w:t>The app</w:t>
      </w:r>
      <w:r w:rsidR="00854BB7">
        <w:t>eal listed to be heard on the 14</w:t>
      </w:r>
      <w:r w:rsidR="00690E4D">
        <w:t xml:space="preserve"> April 2023 is against </w:t>
      </w:r>
      <w:r w:rsidR="00EE5DE4">
        <w:t>the</w:t>
      </w:r>
      <w:r w:rsidR="00690E4D">
        <w:t xml:space="preserve"> judgment of a learned Judge of the Supreme Court entering </w:t>
      </w:r>
      <w:r w:rsidR="00FF4535">
        <w:t>judgment in favour of Adrian</w:t>
      </w:r>
      <w:r w:rsidR="00690E4D">
        <w:t xml:space="preserve"> together with costs. Renato</w:t>
      </w:r>
      <w:r w:rsidR="00943752">
        <w:t>,</w:t>
      </w:r>
      <w:r w:rsidR="00690E4D">
        <w:t xml:space="preserve"> by Counsel</w:t>
      </w:r>
      <w:r w:rsidR="00FD4F7E">
        <w:t>, has</w:t>
      </w:r>
      <w:r w:rsidR="00690E4D">
        <w:t xml:space="preserve"> filed an amended notice of ap</w:t>
      </w:r>
      <w:r w:rsidR="001A08D7">
        <w:t xml:space="preserve">peal on the 1 March 2023, after </w:t>
      </w:r>
      <w:r w:rsidR="00690E4D">
        <w:t xml:space="preserve">having been granted leave by the Court of Appeal to file an amended notice of appeal. </w:t>
      </w:r>
    </w:p>
    <w:p w14:paraId="766BC3D6" w14:textId="473D876B" w:rsidR="008C3CDC" w:rsidRDefault="007F5B93" w:rsidP="00966A7F">
      <w:pPr>
        <w:pStyle w:val="JudgmentText"/>
        <w:numPr>
          <w:ilvl w:val="0"/>
          <w:numId w:val="32"/>
        </w:numPr>
        <w:ind w:hanging="720"/>
      </w:pPr>
      <w:r>
        <w:t>Adrian</w:t>
      </w:r>
      <w:r w:rsidR="00690E4D">
        <w:t xml:space="preserve"> resisted the application asking the Court of Appeal to exercise its discretion to receive further evidence. </w:t>
      </w:r>
      <w:r>
        <w:t>Adrian</w:t>
      </w:r>
      <w:r w:rsidR="00FF4535">
        <w:t xml:space="preserve">, </w:t>
      </w:r>
      <w:r>
        <w:t>by Counsel</w:t>
      </w:r>
      <w:r w:rsidR="00FF4535">
        <w:t>,</w:t>
      </w:r>
      <w:r w:rsidR="009071AD">
        <w:t xml:space="preserve"> </w:t>
      </w:r>
      <w:r w:rsidR="008C3CDC">
        <w:t xml:space="preserve">filed pleas </w:t>
      </w:r>
      <w:r w:rsidR="008C3CDC" w:rsidRPr="00102A89">
        <w:t>in</w:t>
      </w:r>
      <w:r w:rsidR="008C3CDC" w:rsidRPr="008C3CDC">
        <w:rPr>
          <w:i/>
        </w:rPr>
        <w:t xml:space="preserve"> limine litis</w:t>
      </w:r>
      <w:r w:rsidR="008C3CDC">
        <w:t xml:space="preserve"> </w:t>
      </w:r>
      <w:r w:rsidR="00102A89">
        <w:t>on the basis of which he urged the Court of Appeal to dismiss the application</w:t>
      </w:r>
      <w:r w:rsidR="00690E4D">
        <w:t xml:space="preserve"> </w:t>
      </w:r>
      <w:r w:rsidR="00690E4D" w:rsidRPr="00690E4D">
        <w:rPr>
          <w:i/>
        </w:rPr>
        <w:t>inter alia</w:t>
      </w:r>
      <w:r w:rsidR="00102A89">
        <w:t xml:space="preserve"> on</w:t>
      </w:r>
      <w:r w:rsidR="00943752">
        <w:t xml:space="preserve"> the ground that the affidavit was </w:t>
      </w:r>
      <w:r w:rsidR="00102A89">
        <w:t>defective.</w:t>
      </w:r>
    </w:p>
    <w:p w14:paraId="1E80EE03" w14:textId="25B27596" w:rsidR="00943752" w:rsidRDefault="002252F5" w:rsidP="00966A7F">
      <w:pPr>
        <w:pStyle w:val="JudgmentText"/>
        <w:numPr>
          <w:ilvl w:val="0"/>
          <w:numId w:val="32"/>
        </w:numPr>
        <w:ind w:hanging="720"/>
      </w:pPr>
      <w:r>
        <w:t>At the hearing of the application</w:t>
      </w:r>
      <w:r w:rsidR="008C3CDC">
        <w:t>, both C</w:t>
      </w:r>
      <w:r w:rsidR="00FF4535">
        <w:t xml:space="preserve">ounsel </w:t>
      </w:r>
      <w:r w:rsidR="008C3CDC">
        <w:t xml:space="preserve">informed the Court of Appeal that they would not be making </w:t>
      </w:r>
      <w:r w:rsidR="007615C7">
        <w:t xml:space="preserve">any </w:t>
      </w:r>
      <w:r w:rsidR="008C3CDC" w:rsidRPr="007615C7">
        <w:rPr>
          <w:i/>
        </w:rPr>
        <w:t>viva voce</w:t>
      </w:r>
      <w:r w:rsidR="007615C7">
        <w:t xml:space="preserve"> submissions and </w:t>
      </w:r>
      <w:r w:rsidR="00EE5DE4">
        <w:t xml:space="preserve">would </w:t>
      </w:r>
      <w:r w:rsidR="007615C7">
        <w:t>rely</w:t>
      </w:r>
      <w:r w:rsidR="008C3CDC">
        <w:t xml:space="preserve"> on their written submissions. </w:t>
      </w:r>
    </w:p>
    <w:p w14:paraId="5705376C" w14:textId="4B7D2D4B" w:rsidR="00D932D1" w:rsidRDefault="00D932D1" w:rsidP="0018799B">
      <w:pPr>
        <w:pStyle w:val="JudgmentText"/>
        <w:numPr>
          <w:ilvl w:val="0"/>
          <w:numId w:val="32"/>
        </w:numPr>
        <w:ind w:hanging="720"/>
      </w:pPr>
      <w:r>
        <w:t>This application is</w:t>
      </w:r>
      <w:r w:rsidR="009071AD">
        <w:t xml:space="preserve"> made under r</w:t>
      </w:r>
      <w:r>
        <w:t>ule 31</w:t>
      </w:r>
      <w:r w:rsidR="0049274C">
        <w:t xml:space="preserve"> (1)</w:t>
      </w:r>
      <w:r>
        <w:t xml:space="preserve"> of the Seychelles Court of Appeal Rules,</w:t>
      </w:r>
      <w:r w:rsidR="0049274C">
        <w:t xml:space="preserve"> 2005, as amended, whi</w:t>
      </w:r>
      <w:r>
        <w:t>ch stipulates ―</w:t>
      </w:r>
    </w:p>
    <w:p w14:paraId="4E9460BB" w14:textId="7A133782" w:rsidR="00D932D1" w:rsidRPr="0097277E" w:rsidRDefault="0049274C" w:rsidP="00BB0035">
      <w:pPr>
        <w:pStyle w:val="JudgmentText"/>
        <w:numPr>
          <w:ilvl w:val="0"/>
          <w:numId w:val="0"/>
        </w:numPr>
        <w:ind w:left="2160" w:hanging="662"/>
        <w:rPr>
          <w:rStyle w:val="akn-num"/>
          <w:i/>
        </w:rPr>
      </w:pPr>
      <w:r w:rsidRPr="0097277E">
        <w:rPr>
          <w:rStyle w:val="akn-num"/>
          <w:i/>
        </w:rPr>
        <w:t>″(1)</w:t>
      </w:r>
      <w:r w:rsidRPr="0097277E">
        <w:rPr>
          <w:rStyle w:val="akn-num"/>
          <w:i/>
        </w:rPr>
        <w:tab/>
      </w:r>
      <w:r w:rsidRPr="00BB0035">
        <w:rPr>
          <w:rStyle w:val="akn-num"/>
          <w:i/>
        </w:rPr>
        <w:t>Appeals to the </w:t>
      </w:r>
      <w:hyperlink r:id="rId8" w:anchor="defn-term-Court" w:history="1">
        <w:r w:rsidRPr="00BB0035">
          <w:rPr>
            <w:rStyle w:val="akn-num"/>
            <w:i/>
          </w:rPr>
          <w:t>Court</w:t>
        </w:r>
      </w:hyperlink>
      <w:r w:rsidRPr="00BB0035">
        <w:rPr>
          <w:rStyle w:val="akn-num"/>
          <w:i/>
        </w:rPr>
        <w:t> shall be by way of re-hearing and the </w:t>
      </w:r>
      <w:hyperlink r:id="rId9" w:anchor="defn-term-Court" w:history="1">
        <w:r w:rsidRPr="00BB0035">
          <w:rPr>
            <w:rStyle w:val="akn-num"/>
            <w:i/>
          </w:rPr>
          <w:t>Court</w:t>
        </w:r>
      </w:hyperlink>
      <w:r w:rsidRPr="00BB0035">
        <w:rPr>
          <w:rStyle w:val="akn-num"/>
          <w:i/>
        </w:rPr>
        <w:t> shall have all the powers of the </w:t>
      </w:r>
      <w:hyperlink r:id="rId10" w:anchor="defn-term-Supreme_Court" w:history="1">
        <w:r w:rsidRPr="00BB0035">
          <w:rPr>
            <w:rStyle w:val="akn-num"/>
            <w:i/>
          </w:rPr>
          <w:t>Supreme Court</w:t>
        </w:r>
      </w:hyperlink>
      <w:r w:rsidRPr="00BB0035">
        <w:rPr>
          <w:rStyle w:val="akn-num"/>
          <w:i/>
        </w:rPr>
        <w:t> together with full discretionary power to receive further evidence by oral examination in </w:t>
      </w:r>
      <w:hyperlink r:id="rId11" w:anchor="defn-term-Court" w:history="1">
        <w:r w:rsidRPr="00BB0035">
          <w:rPr>
            <w:rStyle w:val="akn-num"/>
            <w:i/>
          </w:rPr>
          <w:t>Court</w:t>
        </w:r>
      </w:hyperlink>
      <w:r w:rsidRPr="00BB0035">
        <w:rPr>
          <w:rStyle w:val="akn-num"/>
          <w:i/>
        </w:rPr>
        <w:t>, by affidavit or by deposition taken before an examiner or commissioner.″</w:t>
      </w:r>
    </w:p>
    <w:p w14:paraId="6ACABFA1" w14:textId="32D1E131" w:rsidR="00C12C86" w:rsidRDefault="0067593B" w:rsidP="004D43B6">
      <w:pPr>
        <w:pStyle w:val="JudgmentText"/>
        <w:numPr>
          <w:ilvl w:val="0"/>
          <w:numId w:val="32"/>
        </w:numPr>
        <w:ind w:hanging="720"/>
      </w:pPr>
      <w:r>
        <w:t>Rule 31 (1) of the Seychelles Court of Appeal Rules, 2005</w:t>
      </w:r>
      <w:r w:rsidR="003131F6">
        <w:t>,</w:t>
      </w:r>
      <w:r>
        <w:t xml:space="preserve"> as amended</w:t>
      </w:r>
      <w:r w:rsidR="003131F6">
        <w:t>,</w:t>
      </w:r>
      <w:r>
        <w:t xml:space="preserve"> dealing with the discretionary power of the Court of Appeal to receive further evidence</w:t>
      </w:r>
      <w:r w:rsidR="003131F6">
        <w:t>,</w:t>
      </w:r>
      <w:r>
        <w:t xml:space="preserve"> </w:t>
      </w:r>
      <w:r w:rsidR="00274BEC">
        <w:t>bears a close resemblance</w:t>
      </w:r>
      <w:r>
        <w:t xml:space="preserve"> to </w:t>
      </w:r>
      <w:r w:rsidRPr="003C68AC">
        <w:t>O. 59. r. 10 subr. (2)</w:t>
      </w:r>
      <w:r w:rsidR="00C12C86" w:rsidRPr="003C68AC">
        <w:t xml:space="preserve"> o</w:t>
      </w:r>
      <w:r w:rsidR="00274BEC" w:rsidRPr="003C68AC">
        <w:t>f</w:t>
      </w:r>
      <w:r w:rsidR="00C12C86" w:rsidRPr="003C68AC">
        <w:t xml:space="preserve"> the Supreme Court Practice 1970</w:t>
      </w:r>
      <w:r w:rsidR="00CE0CFC">
        <w:t>,</w:t>
      </w:r>
      <w:r w:rsidR="00C12C86" w:rsidRPr="003C68AC">
        <w:t xml:space="preserve"> Vo</w:t>
      </w:r>
      <w:r w:rsidR="00274BEC" w:rsidRPr="003C68AC">
        <w:t>l</w:t>
      </w:r>
      <w:r w:rsidR="00C12C86" w:rsidRPr="003C68AC">
        <w:t>ume 1</w:t>
      </w:r>
      <w:r w:rsidRPr="003C68AC">
        <w:t>,</w:t>
      </w:r>
      <w:r>
        <w:t xml:space="preserve"> which reads as follows― </w:t>
      </w:r>
    </w:p>
    <w:p w14:paraId="6CE5798A" w14:textId="3C92F483" w:rsidR="005225CD" w:rsidRDefault="00C12C86" w:rsidP="00DB3BF8">
      <w:pPr>
        <w:pStyle w:val="JudgmentText"/>
        <w:numPr>
          <w:ilvl w:val="0"/>
          <w:numId w:val="0"/>
        </w:numPr>
        <w:ind w:left="1440"/>
      </w:pPr>
      <w:r>
        <w:rPr>
          <w:i/>
        </w:rPr>
        <w:t>″</w:t>
      </w:r>
      <w:r w:rsidR="0067593B" w:rsidRPr="003131F6">
        <w:rPr>
          <w:i/>
        </w:rPr>
        <w:t xml:space="preserve">59/10.― (2) The Court of Appeal shall have power to receive further evidence </w:t>
      </w:r>
      <w:r w:rsidR="00F04DC7" w:rsidRPr="003131F6">
        <w:rPr>
          <w:i/>
        </w:rPr>
        <w:t>on questions of facts, either by oral examination in court, by affidavit, or from a judgment after trial or hearing of any cause or matter on the merits</w:t>
      </w:r>
      <w:r w:rsidR="003131F6" w:rsidRPr="003131F6">
        <w:rPr>
          <w:i/>
        </w:rPr>
        <w:t>, no such further evidence (other than evidence as to matters which have occurred after the date of the tria</w:t>
      </w:r>
      <w:r w:rsidR="00274BEC">
        <w:rPr>
          <w:i/>
        </w:rPr>
        <w:t>l</w:t>
      </w:r>
      <w:r w:rsidR="003131F6" w:rsidRPr="003131F6">
        <w:rPr>
          <w:i/>
        </w:rPr>
        <w:t xml:space="preserve"> or hearing) shall be admitted except on special grounds.″</w:t>
      </w:r>
    </w:p>
    <w:p w14:paraId="7131C567" w14:textId="568F47BC" w:rsidR="004D43B6" w:rsidRDefault="003131F6" w:rsidP="004D43B6">
      <w:pPr>
        <w:pStyle w:val="JudgmentText"/>
        <w:numPr>
          <w:ilvl w:val="0"/>
          <w:numId w:val="32"/>
        </w:numPr>
        <w:ind w:hanging="720"/>
      </w:pPr>
      <w:r>
        <w:lastRenderedPageBreak/>
        <w:t xml:space="preserve">Lord </w:t>
      </w:r>
      <w:r w:rsidRPr="003131F6">
        <w:rPr>
          <w:rFonts w:eastAsia="Arial"/>
        </w:rPr>
        <w:t>Denning L.J.</w:t>
      </w:r>
      <w:r>
        <w:rPr>
          <w:rFonts w:eastAsia="Arial"/>
        </w:rPr>
        <w:t xml:space="preserve"> in</w:t>
      </w:r>
      <w:r>
        <w:rPr>
          <w:rFonts w:eastAsia="Arial"/>
          <w:i/>
        </w:rPr>
        <w:t xml:space="preserve"> </w:t>
      </w:r>
      <w:r w:rsidR="004D43B6" w:rsidRPr="004D43B6">
        <w:rPr>
          <w:rFonts w:eastAsia="Arial"/>
          <w:i/>
        </w:rPr>
        <w:t>Ladd v Marshall [1954</w:t>
      </w:r>
      <w:r w:rsidR="004D43B6">
        <w:rPr>
          <w:rFonts w:eastAsia="Arial"/>
          <w:i/>
        </w:rPr>
        <w:t xml:space="preserve">] 1 WLR 1489, </w:t>
      </w:r>
      <w:r>
        <w:rPr>
          <w:rFonts w:eastAsia="Arial"/>
        </w:rPr>
        <w:t xml:space="preserve">laid </w:t>
      </w:r>
      <w:r w:rsidRPr="003131F6">
        <w:t xml:space="preserve">down three conditions </w:t>
      </w:r>
      <w:r>
        <w:t xml:space="preserve">to be satisfied </w:t>
      </w:r>
      <w:r w:rsidRPr="003131F6">
        <w:t>before further evidence can be received</w:t>
      </w:r>
      <w:r w:rsidR="004D43B6" w:rsidRPr="003131F6">
        <w:t xml:space="preserve"> in the following terms</w:t>
      </w:r>
      <w:r w:rsidR="004D43B6" w:rsidRPr="004D43B6">
        <w:t xml:space="preserve"> </w:t>
      </w:r>
      <w:r w:rsidR="004D43B6">
        <w:t>―</w:t>
      </w:r>
    </w:p>
    <w:p w14:paraId="45B9EE0B" w14:textId="620EA47E" w:rsidR="004D43B6" w:rsidRPr="004D43B6" w:rsidRDefault="004D43B6" w:rsidP="00DB3BF8">
      <w:pPr>
        <w:spacing w:after="240" w:line="360" w:lineRule="auto"/>
        <w:ind w:left="1440"/>
        <w:jc w:val="both"/>
        <w:rPr>
          <w:rFonts w:ascii="Times New Roman" w:eastAsia="Arial" w:hAnsi="Times New Roman" w:cs="Times New Roman"/>
          <w:i/>
          <w:sz w:val="24"/>
          <w:szCs w:val="24"/>
        </w:rPr>
      </w:pPr>
      <w:r>
        <w:rPr>
          <w:rFonts w:ascii="Times New Roman" w:eastAsia="Arial" w:hAnsi="Times New Roman" w:cs="Times New Roman"/>
          <w:i/>
          <w:sz w:val="24"/>
          <w:szCs w:val="24"/>
        </w:rPr>
        <w:t>″</w:t>
      </w:r>
      <w:r w:rsidRPr="004D43B6">
        <w:rPr>
          <w:rFonts w:ascii="Times New Roman" w:eastAsia="Arial" w:hAnsi="Times New Roman" w:cs="Times New Roman"/>
          <w:i/>
          <w:sz w:val="24"/>
          <w:szCs w:val="24"/>
        </w:rPr>
        <w:t xml:space="preserve">When a litigant has obtained a </w:t>
      </w:r>
      <w:r>
        <w:rPr>
          <w:rFonts w:ascii="Times New Roman" w:eastAsia="Arial" w:hAnsi="Times New Roman" w:cs="Times New Roman"/>
          <w:i/>
          <w:sz w:val="24"/>
          <w:szCs w:val="24"/>
        </w:rPr>
        <w:t xml:space="preserve">judgment in a Court of Justice </w:t>
      </w:r>
      <w:r w:rsidRPr="004D43B6">
        <w:rPr>
          <w:rFonts w:ascii="Times New Roman" w:eastAsia="Arial" w:hAnsi="Times New Roman" w:cs="Times New Roman"/>
          <w:sz w:val="24"/>
          <w:szCs w:val="24"/>
        </w:rPr>
        <w:t>[…]</w:t>
      </w:r>
      <w:r w:rsidRPr="004D43B6">
        <w:rPr>
          <w:rFonts w:ascii="Times New Roman" w:eastAsia="Arial" w:hAnsi="Times New Roman" w:cs="Times New Roman"/>
          <w:i/>
          <w:sz w:val="24"/>
          <w:szCs w:val="24"/>
        </w:rPr>
        <w:t xml:space="preserve"> he is by law entitled not to be deprived of that judgme</w:t>
      </w:r>
      <w:r>
        <w:rPr>
          <w:rFonts w:ascii="Times New Roman" w:eastAsia="Arial" w:hAnsi="Times New Roman" w:cs="Times New Roman"/>
          <w:i/>
          <w:sz w:val="24"/>
          <w:szCs w:val="24"/>
        </w:rPr>
        <w:t>nt without very solid grounds “</w:t>
      </w:r>
      <w:r w:rsidRPr="004D43B6">
        <w:rPr>
          <w:rFonts w:ascii="Times New Roman" w:eastAsia="Arial" w:hAnsi="Times New Roman" w:cs="Times New Roman"/>
          <w:i/>
          <w:sz w:val="24"/>
          <w:szCs w:val="24"/>
        </w:rPr>
        <w:t>(Brown v Dean [1910] A.C. 373, p. 374, per Lord Loreburn L.C. who adds that the maxim “interest reipublicae ut finis sit litium” is applicable). If it is sought to deprive him of his judgment by further evidence, three conditions must be satisfied before it can be received: “first, it must be shown that the evidence could not have been obtained with reasonable diligence for use at the trial; secondly, the evidence must be such that, if given, it would probably have an important influence on the result of the case, though it need not be decisive, thirdly, the evidence must be such as is presumably to be believed, or, in other words, it must be apparently credible though it need not be incontrovertible</w:t>
      </w:r>
      <w:r>
        <w:rPr>
          <w:rFonts w:ascii="Times New Roman" w:eastAsia="Arial" w:hAnsi="Times New Roman" w:cs="Times New Roman"/>
          <w:i/>
          <w:sz w:val="24"/>
          <w:szCs w:val="24"/>
        </w:rPr>
        <w:t>.″</w:t>
      </w:r>
      <w:r w:rsidRPr="004D43B6">
        <w:rPr>
          <w:rFonts w:ascii="Times New Roman" w:eastAsia="Arial" w:hAnsi="Times New Roman" w:cs="Times New Roman"/>
          <w:i/>
          <w:sz w:val="24"/>
          <w:szCs w:val="24"/>
        </w:rPr>
        <w:t xml:space="preserve"> </w:t>
      </w:r>
    </w:p>
    <w:p w14:paraId="3DA84C8E" w14:textId="3920FD18" w:rsidR="003131F6" w:rsidRPr="003131F6" w:rsidRDefault="003131F6" w:rsidP="004D43B6">
      <w:pPr>
        <w:pStyle w:val="JudgmentText"/>
        <w:numPr>
          <w:ilvl w:val="0"/>
          <w:numId w:val="32"/>
        </w:numPr>
        <w:ind w:hanging="720"/>
        <w:rPr>
          <w:i/>
        </w:rPr>
      </w:pPr>
      <w:r>
        <w:t xml:space="preserve">The Court of Appeal in </w:t>
      </w:r>
      <w:r w:rsidRPr="003131F6">
        <w:rPr>
          <w:i/>
        </w:rPr>
        <w:t>Parcou v Laporte SCA63/2019 [2022] SCCA 13 [29 April 2022</w:t>
      </w:r>
      <w:r>
        <w:t>] ref</w:t>
      </w:r>
      <w:r w:rsidR="00027EDE">
        <w:t>erred</w:t>
      </w:r>
      <w:r>
        <w:t xml:space="preserve"> to </w:t>
      </w:r>
      <w:r w:rsidRPr="003131F6">
        <w:rPr>
          <w:i/>
        </w:rPr>
        <w:t xml:space="preserve">General Insurance </w:t>
      </w:r>
      <w:r w:rsidR="003C68AC">
        <w:rPr>
          <w:i/>
        </w:rPr>
        <w:t xml:space="preserve">Company of Seychelles </w:t>
      </w:r>
      <w:r w:rsidRPr="003131F6">
        <w:rPr>
          <w:i/>
        </w:rPr>
        <w:t>v Bonte SCA</w:t>
      </w:r>
      <w:r w:rsidR="003C68AC">
        <w:rPr>
          <w:i/>
        </w:rPr>
        <w:t xml:space="preserve"> 6/1994 </w:t>
      </w:r>
      <w:r w:rsidR="00CE0CFC">
        <w:rPr>
          <w:i/>
        </w:rPr>
        <w:t>(</w:t>
      </w:r>
      <w:r w:rsidRPr="003131F6">
        <w:rPr>
          <w:i/>
        </w:rPr>
        <w:t>12 August 1994</w:t>
      </w:r>
      <w:r w:rsidR="00CE0CFC">
        <w:rPr>
          <w:i/>
        </w:rPr>
        <w:t>)</w:t>
      </w:r>
      <w:r w:rsidRPr="003131F6">
        <w:t xml:space="preserve"> and </w:t>
      </w:r>
      <w:r w:rsidR="00CE0CFC">
        <w:rPr>
          <w:i/>
        </w:rPr>
        <w:t>Charles V Charles Civil Appeal 1/2003</w:t>
      </w:r>
      <w:r w:rsidRPr="003131F6">
        <w:rPr>
          <w:i/>
        </w:rPr>
        <w:t xml:space="preserve"> </w:t>
      </w:r>
      <w:r w:rsidR="00CE0CFC">
        <w:rPr>
          <w:i/>
        </w:rPr>
        <w:t>(</w:t>
      </w:r>
      <w:r w:rsidRPr="003131F6">
        <w:rPr>
          <w:i/>
        </w:rPr>
        <w:t>3 December 2004</w:t>
      </w:r>
      <w:r w:rsidR="00CE0CFC">
        <w:rPr>
          <w:i/>
        </w:rPr>
        <w:t>)</w:t>
      </w:r>
      <w:r>
        <w:rPr>
          <w:i/>
        </w:rPr>
        <w:t xml:space="preserve"> </w:t>
      </w:r>
      <w:r w:rsidRPr="00C64645">
        <w:t>in which the Court of Appeal</w:t>
      </w:r>
      <w:r w:rsidRPr="003131F6">
        <w:rPr>
          <w:i/>
        </w:rPr>
        <w:t xml:space="preserve"> </w:t>
      </w:r>
      <w:r w:rsidR="00C64645">
        <w:t>reiterated the</w:t>
      </w:r>
      <w:r w:rsidRPr="003131F6">
        <w:t xml:space="preserve"> conditions to be fulfilled before further evidence c</w:t>
      </w:r>
      <w:r w:rsidR="00C64645">
        <w:t>ould</w:t>
      </w:r>
      <w:r w:rsidRPr="003131F6">
        <w:t xml:space="preserve"> be recei</w:t>
      </w:r>
      <w:r w:rsidR="00027EDE">
        <w:t>ved</w:t>
      </w:r>
      <w:r w:rsidR="002252F5">
        <w:t xml:space="preserve"> in the exercise of its discretionary</w:t>
      </w:r>
      <w:r w:rsidR="001930C5">
        <w:t xml:space="preserve"> power</w:t>
      </w:r>
      <w:r w:rsidR="002252F5">
        <w:t xml:space="preserve"> </w:t>
      </w:r>
      <w:r>
        <w:t xml:space="preserve"> (at paragraph 39</w:t>
      </w:r>
      <w:r w:rsidR="00C64645">
        <w:t xml:space="preserve"> of </w:t>
      </w:r>
      <w:r w:rsidR="00C64645" w:rsidRPr="00C64645">
        <w:rPr>
          <w:b/>
        </w:rPr>
        <w:t>Parcou</w:t>
      </w:r>
      <w:r>
        <w:t xml:space="preserve">) </w:t>
      </w:r>
      <w:r w:rsidRPr="003131F6">
        <w:t xml:space="preserve"> ― </w:t>
      </w:r>
    </w:p>
    <w:p w14:paraId="575F2DF2" w14:textId="6F515A99" w:rsidR="003131F6" w:rsidRPr="003131F6" w:rsidRDefault="003131F6" w:rsidP="00DB3BF8">
      <w:pPr>
        <w:shd w:val="clear" w:color="auto" w:fill="FFFFFF"/>
        <w:spacing w:after="240" w:line="360" w:lineRule="auto"/>
        <w:ind w:left="1526" w:hanging="86"/>
        <w:rPr>
          <w:rFonts w:ascii="Times New Roman" w:eastAsia="Times New Roman" w:hAnsi="Times New Roman" w:cs="Times New Roman"/>
          <w:i/>
          <w:sz w:val="24"/>
          <w:szCs w:val="24"/>
        </w:rPr>
      </w:pPr>
      <w:r w:rsidRPr="003131F6">
        <w:rPr>
          <w:rFonts w:ascii="Times New Roman" w:eastAsia="Times New Roman" w:hAnsi="Times New Roman" w:cs="Times New Roman"/>
          <w:i/>
          <w:sz w:val="24"/>
          <w:szCs w:val="24"/>
        </w:rPr>
        <w:t>″The evidence must not have been obtainable at trial despite reasonable diligence;</w:t>
      </w:r>
      <w:r w:rsidRPr="003131F6">
        <w:rPr>
          <w:rFonts w:ascii="Times New Roman" w:eastAsia="Times New Roman" w:hAnsi="Times New Roman" w:cs="Times New Roman"/>
          <w:i/>
          <w:sz w:val="24"/>
          <w:szCs w:val="24"/>
        </w:rPr>
        <w:br/>
        <w:t>The evidence must have an important influence on the result of the case.</w:t>
      </w:r>
      <w:r w:rsidRPr="003131F6">
        <w:rPr>
          <w:rFonts w:ascii="Times New Roman" w:eastAsia="Times New Roman" w:hAnsi="Times New Roman" w:cs="Times New Roman"/>
          <w:i/>
          <w:sz w:val="24"/>
          <w:szCs w:val="24"/>
        </w:rPr>
        <w:br/>
        <w:t>The evidence must be prima facie credible.</w:t>
      </w:r>
      <w:r w:rsidRPr="003131F6">
        <w:rPr>
          <w:rFonts w:ascii="Times New Roman" w:eastAsia="Times New Roman" w:hAnsi="Times New Roman" w:cs="Times New Roman"/>
          <w:i/>
          <w:sz w:val="24"/>
          <w:szCs w:val="24"/>
        </w:rPr>
        <w:br/>
        <w:t>Whether or not the new evidence will be prejudicial to the other party.″</w:t>
      </w:r>
    </w:p>
    <w:p w14:paraId="64C58EF9" w14:textId="47F63937" w:rsidR="003131F6" w:rsidRDefault="0097277E" w:rsidP="004D43B6">
      <w:pPr>
        <w:pStyle w:val="JudgmentText"/>
        <w:numPr>
          <w:ilvl w:val="0"/>
          <w:numId w:val="32"/>
        </w:numPr>
        <w:ind w:hanging="720"/>
      </w:pPr>
      <w:r>
        <w:t xml:space="preserve">Having set out the principles </w:t>
      </w:r>
      <w:r w:rsidR="00EE5DE4">
        <w:t>by</w:t>
      </w:r>
      <w:r w:rsidR="009071AD">
        <w:t xml:space="preserve"> which </w:t>
      </w:r>
      <w:r>
        <w:t>further evidence</w:t>
      </w:r>
      <w:r w:rsidR="009071AD">
        <w:t xml:space="preserve"> can be received by the Court of Appeal in </w:t>
      </w:r>
      <w:r w:rsidR="001D5C7B">
        <w:t>the exercise of its discretionary power</w:t>
      </w:r>
      <w:r w:rsidR="009071AD">
        <w:t>,</w:t>
      </w:r>
      <w:r>
        <w:t xml:space="preserve"> we now consider </w:t>
      </w:r>
      <w:r w:rsidR="00B62CB6">
        <w:t>the application.</w:t>
      </w:r>
      <w:r w:rsidR="00027EDE">
        <w:t xml:space="preserve"> </w:t>
      </w:r>
    </w:p>
    <w:p w14:paraId="703F1DD0" w14:textId="590661B4" w:rsidR="00D43FA5" w:rsidRDefault="00D43FA5" w:rsidP="00D43FA5">
      <w:pPr>
        <w:pStyle w:val="JudgmentText"/>
        <w:numPr>
          <w:ilvl w:val="0"/>
          <w:numId w:val="32"/>
        </w:numPr>
        <w:ind w:hanging="720"/>
      </w:pPr>
      <w:r>
        <w:t>Counsel for Renato, in his written submissions,</w:t>
      </w:r>
      <w:r w:rsidR="00B62CB6">
        <w:t xml:space="preserve"> is asking the Court of Appeal</w:t>
      </w:r>
      <w:r w:rsidR="004515D4">
        <w:t>,</w:t>
      </w:r>
      <w:r w:rsidR="00892F68">
        <w:t xml:space="preserve"> in the e</w:t>
      </w:r>
      <w:r w:rsidR="004515D4">
        <w:t>xercise</w:t>
      </w:r>
      <w:r w:rsidR="00892F68">
        <w:t xml:space="preserve"> of its discretionary power</w:t>
      </w:r>
      <w:r w:rsidR="00405C2B">
        <w:t>,</w:t>
      </w:r>
      <w:r w:rsidR="00CE0CFC">
        <w:t xml:space="preserve"> </w:t>
      </w:r>
      <w:r w:rsidR="00102A89">
        <w:t xml:space="preserve">to receive </w:t>
      </w:r>
      <w:r w:rsidR="00892F68">
        <w:t xml:space="preserve">two items of evidence, namely </w:t>
      </w:r>
      <w:r w:rsidRPr="00D43FA5">
        <w:rPr>
          <w:i/>
        </w:rPr>
        <w:t>″a. a formal ruling from a Romania Prosecutors Tribunal dated 20</w:t>
      </w:r>
      <w:r w:rsidRPr="00D43FA5">
        <w:rPr>
          <w:i/>
          <w:vertAlign w:val="superscript"/>
        </w:rPr>
        <w:t>th</w:t>
      </w:r>
      <w:r w:rsidRPr="00D43FA5">
        <w:rPr>
          <w:i/>
        </w:rPr>
        <w:t xml:space="preserve"> April 2021 in case 122/P/2019 </w:t>
      </w:r>
      <w:r w:rsidR="004C73DA" w:rsidRPr="004C73DA">
        <w:lastRenderedPageBreak/>
        <w:t>[…]</w:t>
      </w:r>
      <w:r w:rsidRPr="00D43FA5">
        <w:rPr>
          <w:i/>
        </w:rPr>
        <w:t>; and b. a final ruling of the Romania Bucharest Appeal Court in case SC GBC CRIAD SRL v Petrescu Stephan Renato dated 16</w:t>
      </w:r>
      <w:r w:rsidRPr="00D43FA5">
        <w:rPr>
          <w:i/>
          <w:vertAlign w:val="superscript"/>
        </w:rPr>
        <w:t>th</w:t>
      </w:r>
      <w:r w:rsidRPr="00D43FA5">
        <w:rPr>
          <w:i/>
        </w:rPr>
        <w:t xml:space="preserve"> May 2022 file. number 3953/2/2019 […].″</w:t>
      </w:r>
      <w:r w:rsidR="004C73DA">
        <w:t xml:space="preserve"> (</w:t>
      </w:r>
      <w:r>
        <w:t>at paragraph 2 of the written submissions</w:t>
      </w:r>
      <w:r w:rsidR="004C73DA">
        <w:t>)</w:t>
      </w:r>
      <w:r>
        <w:t xml:space="preserve">. </w:t>
      </w:r>
      <w:r w:rsidR="004C73DA">
        <w:t>We mention that the</w:t>
      </w:r>
      <w:r>
        <w:t xml:space="preserve"> two items of evidence </w:t>
      </w:r>
      <w:r w:rsidR="007E40CE">
        <w:t>have been annexed to Renato’s application.</w:t>
      </w:r>
      <w:r>
        <w:t xml:space="preserve"> </w:t>
      </w:r>
      <w:r w:rsidR="004C73DA">
        <w:t xml:space="preserve">Counsel for Renato contended, in essence, that the application meets the test laid down in </w:t>
      </w:r>
      <w:r w:rsidR="00102A89" w:rsidRPr="007E40CE">
        <w:rPr>
          <w:b/>
        </w:rPr>
        <w:t xml:space="preserve">General </w:t>
      </w:r>
      <w:r w:rsidR="00102A89" w:rsidRPr="00CE0CFC">
        <w:rPr>
          <w:b/>
        </w:rPr>
        <w:t>Insurance</w:t>
      </w:r>
      <w:r w:rsidR="00CE0CFC" w:rsidRPr="00CE0CFC">
        <w:rPr>
          <w:b/>
        </w:rPr>
        <w:t xml:space="preserve"> Company of Seychelles</w:t>
      </w:r>
      <w:r w:rsidR="00CE0CFC">
        <w:rPr>
          <w:b/>
        </w:rPr>
        <w:t xml:space="preserve">  </w:t>
      </w:r>
      <w:r w:rsidR="007E40CE" w:rsidRPr="00301943">
        <w:t>[supra]</w:t>
      </w:r>
      <w:r w:rsidR="00102A89" w:rsidRPr="003131F6">
        <w:t xml:space="preserve"> and </w:t>
      </w:r>
      <w:r w:rsidR="007E40CE" w:rsidRPr="007E40CE">
        <w:rPr>
          <w:b/>
        </w:rPr>
        <w:t>Charles v Charles</w:t>
      </w:r>
      <w:r w:rsidR="007E40CE">
        <w:rPr>
          <w:i/>
        </w:rPr>
        <w:t xml:space="preserve"> </w:t>
      </w:r>
      <w:r w:rsidR="007E40CE" w:rsidRPr="007E40CE">
        <w:t>[supra]</w:t>
      </w:r>
      <w:r w:rsidR="007E40CE">
        <w:rPr>
          <w:i/>
        </w:rPr>
        <w:t>.</w:t>
      </w:r>
    </w:p>
    <w:p w14:paraId="78612C61" w14:textId="28B8421C" w:rsidR="007E40CE" w:rsidRDefault="00102A89" w:rsidP="00943752">
      <w:pPr>
        <w:pStyle w:val="JudgmentText"/>
        <w:numPr>
          <w:ilvl w:val="0"/>
          <w:numId w:val="32"/>
        </w:numPr>
        <w:ind w:hanging="720"/>
      </w:pPr>
      <w:r>
        <w:t xml:space="preserve">In raising the plea in </w:t>
      </w:r>
      <w:r w:rsidRPr="00102A89">
        <w:rPr>
          <w:i/>
        </w:rPr>
        <w:t>limine litis</w:t>
      </w:r>
      <w:r>
        <w:t xml:space="preserve"> that the affidavit is defective</w:t>
      </w:r>
      <w:r w:rsidR="007E40CE">
        <w:t xml:space="preserve"> and should be struck out</w:t>
      </w:r>
      <w:r w:rsidR="002252F5">
        <w:t>, Counsel for Adrian</w:t>
      </w:r>
      <w:r>
        <w:t xml:space="preserve"> contended</w:t>
      </w:r>
      <w:r w:rsidR="001930C5">
        <w:t xml:space="preserve"> essentially</w:t>
      </w:r>
      <w:r>
        <w:t xml:space="preserve"> in his written submissions that </w:t>
      </w:r>
      <w:r w:rsidR="00943752">
        <w:t xml:space="preserve">the </w:t>
      </w:r>
      <w:r w:rsidR="00943752" w:rsidRPr="00943752">
        <w:rPr>
          <w:i/>
        </w:rPr>
        <w:t>ʺapplication is bad in law and liable to be dismissed as it seeks to rely entirely on a foreign judgment delivered in Romania and the judgment has not been recognised in the Seychelles court in order to render it admissible under Seychelles lawʺ</w:t>
      </w:r>
      <w:r w:rsidR="00943752">
        <w:t xml:space="preserve">. Having considered </w:t>
      </w:r>
      <w:r w:rsidR="00EE5DE4">
        <w:t xml:space="preserve">with care </w:t>
      </w:r>
      <w:r w:rsidR="00943752">
        <w:t>Renato’s application, the plea</w:t>
      </w:r>
      <w:r w:rsidR="00943752">
        <w:rPr>
          <w:i/>
        </w:rPr>
        <w:t xml:space="preserve">s </w:t>
      </w:r>
      <w:r w:rsidR="00943752" w:rsidRPr="00943752">
        <w:rPr>
          <w:i/>
        </w:rPr>
        <w:t>in limine litis</w:t>
      </w:r>
      <w:r w:rsidR="00943752">
        <w:t xml:space="preserve"> and the written submissions of both Counsel, we opine</w:t>
      </w:r>
      <w:r w:rsidR="002252F5">
        <w:t xml:space="preserve"> that</w:t>
      </w:r>
      <w:r w:rsidR="00943752">
        <w:t xml:space="preserve"> there is only one point for consideration, and that is the form of the affidavit filed in support of the matter. </w:t>
      </w:r>
    </w:p>
    <w:p w14:paraId="6F50F0D4" w14:textId="667F5031" w:rsidR="00102A89" w:rsidRDefault="00943752" w:rsidP="000628AD">
      <w:pPr>
        <w:pStyle w:val="JudgmentText"/>
        <w:numPr>
          <w:ilvl w:val="0"/>
          <w:numId w:val="32"/>
        </w:numPr>
        <w:ind w:hanging="720"/>
      </w:pPr>
      <w:r>
        <w:t>In this re</w:t>
      </w:r>
      <w:r w:rsidR="00EE5DE4">
        <w:t>gard</w:t>
      </w:r>
      <w:r>
        <w:t xml:space="preserve">, we consider whether or not the way the affidavit </w:t>
      </w:r>
      <w:r w:rsidR="00EE5DE4">
        <w:t>was</w:t>
      </w:r>
      <w:r>
        <w:t xml:space="preserve"> sworn</w:t>
      </w:r>
      <w:r w:rsidR="001930C5">
        <w:t xml:space="preserve"> </w:t>
      </w:r>
      <w:r w:rsidR="00B95323">
        <w:t>was regular</w:t>
      </w:r>
      <w:r w:rsidR="001930C5">
        <w:t xml:space="preserve">. </w:t>
      </w:r>
      <w:r w:rsidR="007E40CE">
        <w:t>Renato’s application is supported by a document in a foreign language. An affidavit in the English language entitled</w:t>
      </w:r>
      <w:r w:rsidR="00CF5D33">
        <w:t>,</w:t>
      </w:r>
      <w:r w:rsidR="007E40CE">
        <w:t xml:space="preserve"> </w:t>
      </w:r>
      <w:r w:rsidR="007E40CE" w:rsidRPr="007E40CE">
        <w:rPr>
          <w:i/>
        </w:rPr>
        <w:t>ʺAFFIDAVIT IN SUPPORT OF APPLICATION AND MOTIONʺ</w:t>
      </w:r>
      <w:r w:rsidR="007E40CE">
        <w:t xml:space="preserve"> supports his application. </w:t>
      </w:r>
      <w:r w:rsidR="00C12C86" w:rsidRPr="00C12C86">
        <w:t>We o</w:t>
      </w:r>
      <w:r w:rsidR="002252F5">
        <w:t xml:space="preserve">bserve that the affidavit </w:t>
      </w:r>
      <w:r w:rsidR="002446C1">
        <w:t xml:space="preserve">written </w:t>
      </w:r>
      <w:r w:rsidR="002252F5">
        <w:t>in</w:t>
      </w:r>
      <w:r w:rsidR="00C12C86" w:rsidRPr="00C12C86">
        <w:t xml:space="preserve"> English </w:t>
      </w:r>
      <w:r w:rsidR="002446C1">
        <w:t xml:space="preserve">immediately </w:t>
      </w:r>
      <w:r w:rsidR="00C12C86" w:rsidRPr="00C12C86">
        <w:t>follows</w:t>
      </w:r>
      <w:r w:rsidR="002446C1">
        <w:t xml:space="preserve"> </w:t>
      </w:r>
      <w:r w:rsidR="007F574D">
        <w:t>the document</w:t>
      </w:r>
      <w:r w:rsidR="00EE5DE4">
        <w:t xml:space="preserve"> written</w:t>
      </w:r>
      <w:r w:rsidR="00C12C86">
        <w:t xml:space="preserve"> in a foreign language.</w:t>
      </w:r>
      <w:r w:rsidR="00C12C86" w:rsidRPr="00C12C86">
        <w:t xml:space="preserve"> </w:t>
      </w:r>
      <w:r w:rsidR="00A94041">
        <w:t>Various documents have been annexed to the</w:t>
      </w:r>
      <w:r w:rsidR="00CF5D33">
        <w:t xml:space="preserve"> document in a foreign language</w:t>
      </w:r>
      <w:r w:rsidR="00A94041">
        <w:t xml:space="preserve"> and the </w:t>
      </w:r>
      <w:r w:rsidR="00A94041" w:rsidRPr="00C12C86">
        <w:rPr>
          <w:i/>
        </w:rPr>
        <w:t xml:space="preserve">ʺAFFIDAVIT IN SUPPORT OF APPLICATION AND MOTIONʺ. </w:t>
      </w:r>
      <w:r w:rsidR="00C12C86">
        <w:t xml:space="preserve">We also mention that there is a certificate </w:t>
      </w:r>
      <w:r w:rsidR="00C12C86" w:rsidRPr="00A94041">
        <w:rPr>
          <w:i/>
        </w:rPr>
        <w:t xml:space="preserve">(apostille) </w:t>
      </w:r>
      <w:r w:rsidR="00C12C86" w:rsidRPr="00C12C86">
        <w:t>titled</w:t>
      </w:r>
      <w:r w:rsidR="00C12C86" w:rsidRPr="00A94041">
        <w:rPr>
          <w:i/>
        </w:rPr>
        <w:t xml:space="preserve"> ʺApostille (Convention de la Haye du 5 Octobre 1961ʺ. </w:t>
      </w:r>
      <w:r w:rsidR="00C12C86" w:rsidRPr="00C12C86">
        <w:t xml:space="preserve">The certificate, when </w:t>
      </w:r>
      <w:r w:rsidR="00A94041">
        <w:t>correct</w:t>
      </w:r>
      <w:r w:rsidR="00C12C86" w:rsidRPr="00C12C86">
        <w:t xml:space="preserve">ly filled in, will certify the authenticity of the signature, the capacity in which the person signing the document has acted and, where appropriate, the identity of the seal or stamp </w:t>
      </w:r>
      <w:r w:rsidR="00EE5DE4">
        <w:t>that</w:t>
      </w:r>
      <w:r w:rsidR="00C12C86" w:rsidRPr="00C12C86">
        <w:t xml:space="preserve"> the document bears. </w:t>
      </w:r>
      <w:r w:rsidR="00A94041">
        <w:t xml:space="preserve">See </w:t>
      </w:r>
      <w:r w:rsidR="00A94041" w:rsidRPr="00A94041">
        <w:rPr>
          <w:i/>
        </w:rPr>
        <w:t xml:space="preserve">Onezime </w:t>
      </w:r>
      <w:r w:rsidR="00A94041">
        <w:rPr>
          <w:i/>
        </w:rPr>
        <w:t>v</w:t>
      </w:r>
      <w:r w:rsidR="00A94041" w:rsidRPr="00A94041">
        <w:rPr>
          <w:i/>
        </w:rPr>
        <w:t xml:space="preserve"> The Attorney General and Another </w:t>
      </w:r>
      <w:r w:rsidR="00A94041">
        <w:rPr>
          <w:i/>
        </w:rPr>
        <w:t>(</w:t>
      </w:r>
      <w:r w:rsidR="00A94041" w:rsidRPr="00A94041">
        <w:rPr>
          <w:i/>
        </w:rPr>
        <w:t>SCA CL03/2021</w:t>
      </w:r>
      <w:r w:rsidR="00A94041">
        <w:rPr>
          <w:i/>
        </w:rPr>
        <w:t xml:space="preserve">) </w:t>
      </w:r>
      <w:r w:rsidR="00A94041" w:rsidRPr="00A94041">
        <w:rPr>
          <w:i/>
        </w:rPr>
        <w:t>[2022] SCCA 20 (29 April 2022</w:t>
      </w:r>
      <w:r w:rsidR="00A94041">
        <w:t>.</w:t>
      </w:r>
      <w:r w:rsidR="00C12C86">
        <w:t xml:space="preserve"> </w:t>
      </w:r>
      <w:r w:rsidR="00C12C86" w:rsidRPr="00C12C86">
        <w:t>We observe that the certificate</w:t>
      </w:r>
      <w:r w:rsidR="00A94041">
        <w:t>,</w:t>
      </w:r>
      <w:r w:rsidR="002446C1">
        <w:t xml:space="preserve"> other than </w:t>
      </w:r>
      <w:r w:rsidR="00C12C86" w:rsidRPr="00C12C86">
        <w:t xml:space="preserve">the title in </w:t>
      </w:r>
      <w:r w:rsidR="00A94041">
        <w:t>French</w:t>
      </w:r>
      <w:r w:rsidR="00C12C86" w:rsidRPr="00C12C86">
        <w:t xml:space="preserve">, </w:t>
      </w:r>
      <w:r w:rsidR="00C12C86">
        <w:t xml:space="preserve">is in a foreign language. </w:t>
      </w:r>
    </w:p>
    <w:p w14:paraId="4D40E3F6" w14:textId="5736393B" w:rsidR="00102A89" w:rsidRDefault="00885254" w:rsidP="00D932D1">
      <w:pPr>
        <w:pStyle w:val="JudgmentText"/>
        <w:numPr>
          <w:ilvl w:val="0"/>
          <w:numId w:val="32"/>
        </w:numPr>
        <w:ind w:hanging="720"/>
      </w:pPr>
      <w:r>
        <w:t>T</w:t>
      </w:r>
      <w:r w:rsidR="007E40CE">
        <w:t>he issue for consideration</w:t>
      </w:r>
      <w:r w:rsidR="00C12C86">
        <w:t>,</w:t>
      </w:r>
      <w:r w:rsidR="007E40CE">
        <w:t xml:space="preserve"> as mentioned above</w:t>
      </w:r>
      <w:r w:rsidR="00C12C86">
        <w:t>,</w:t>
      </w:r>
      <w:r w:rsidR="007E40CE">
        <w:t xml:space="preserve"> is whether or not </w:t>
      </w:r>
      <w:r w:rsidR="00B95323">
        <w:t>the way the affidavit was sworn was regular</w:t>
      </w:r>
      <w:r w:rsidR="00854BB7">
        <w:t xml:space="preserve">. </w:t>
      </w:r>
      <w:r w:rsidR="007E40CE">
        <w:t xml:space="preserve">We have to turn to English law on the matter in the absence of any </w:t>
      </w:r>
      <w:r w:rsidR="007E40CE">
        <w:lastRenderedPageBreak/>
        <w:t xml:space="preserve">local provision governing this aspect of our law of evidence. </w:t>
      </w:r>
      <w:r w:rsidR="00C12C86">
        <w:t xml:space="preserve">We read from </w:t>
      </w:r>
      <w:r w:rsidR="00C12C86" w:rsidRPr="00C12C86">
        <w:rPr>
          <w:b/>
        </w:rPr>
        <w:t>Halsbury’s Laws of England Fourth Edition</w:t>
      </w:r>
      <w:r w:rsidR="007D195C">
        <w:t>,</w:t>
      </w:r>
      <w:r w:rsidR="00701E54">
        <w:t xml:space="preserve"> </w:t>
      </w:r>
      <w:r w:rsidR="007D195C">
        <w:t>paragraph 321,</w:t>
      </w:r>
      <w:r w:rsidR="00701E54">
        <w:t xml:space="preserve"> </w:t>
      </w:r>
      <w:r w:rsidR="00C12C86">
        <w:t xml:space="preserve">page 223 on the filing of affidavits </w:t>
      </w:r>
      <w:r w:rsidR="00C12C86" w:rsidRPr="003131F6">
        <w:t>―</w:t>
      </w:r>
    </w:p>
    <w:p w14:paraId="0A50E0A8" w14:textId="1D8860E6" w:rsidR="00C12C86" w:rsidRPr="00854BB7" w:rsidRDefault="00C12C86" w:rsidP="00DB3BF8">
      <w:pPr>
        <w:pStyle w:val="JudgmentText"/>
        <w:numPr>
          <w:ilvl w:val="0"/>
          <w:numId w:val="0"/>
        </w:numPr>
        <w:ind w:left="1440"/>
        <w:rPr>
          <w:i/>
        </w:rPr>
      </w:pPr>
      <w:r w:rsidRPr="00854BB7">
        <w:rPr>
          <w:i/>
        </w:rPr>
        <w:t>ʺ(8) FILING AND OFFICE COPIES OF AFFIDAVITS</w:t>
      </w:r>
    </w:p>
    <w:p w14:paraId="5F3A679B" w14:textId="1171410B" w:rsidR="00C12C86" w:rsidRPr="00C12C86" w:rsidRDefault="00C12C86" w:rsidP="00DB3BF8">
      <w:pPr>
        <w:pStyle w:val="JudgmentText"/>
        <w:numPr>
          <w:ilvl w:val="0"/>
          <w:numId w:val="0"/>
        </w:numPr>
        <w:ind w:left="1440"/>
        <w:rPr>
          <w:i/>
        </w:rPr>
      </w:pPr>
      <w:r w:rsidRPr="00C12C86">
        <w:rPr>
          <w:i/>
        </w:rPr>
        <w:t xml:space="preserve">321. Filing affidavits. </w:t>
      </w:r>
      <w:r w:rsidRPr="000628AD">
        <w:t>[…]</w:t>
      </w:r>
      <w:r w:rsidRPr="00C12C86">
        <w:rPr>
          <w:i/>
        </w:rPr>
        <w:t>.</w:t>
      </w:r>
      <w:r w:rsidR="00701E54">
        <w:rPr>
          <w:i/>
        </w:rPr>
        <w:t xml:space="preserve"> </w:t>
      </w:r>
      <w:r w:rsidRPr="00C12C86">
        <w:rPr>
          <w:i/>
        </w:rPr>
        <w:t xml:space="preserve">In the case of an affidavit in a foreign language, there must be filed with it a translation and an affidavit from the translator verifying the translation and annexing both the original affidavit and the translation. </w:t>
      </w:r>
      <w:r w:rsidRPr="000628AD">
        <w:t>[…]</w:t>
      </w:r>
      <w:r w:rsidR="008F78AE">
        <w:t xml:space="preserve">, see </w:t>
      </w:r>
      <w:r w:rsidR="008F78AE">
        <w:rPr>
          <w:i/>
        </w:rPr>
        <w:t>Re Sarazin’s patent (1947) 64 R. P. 51</w:t>
      </w:r>
      <w:r w:rsidRPr="00C12C86">
        <w:rPr>
          <w:i/>
        </w:rPr>
        <w:t>.ʺ</w:t>
      </w:r>
    </w:p>
    <w:p w14:paraId="3FD0B24C" w14:textId="40D8FEB7" w:rsidR="00C12C86" w:rsidRDefault="00C12C86" w:rsidP="00D932D1">
      <w:pPr>
        <w:pStyle w:val="JudgmentText"/>
        <w:numPr>
          <w:ilvl w:val="0"/>
          <w:numId w:val="32"/>
        </w:numPr>
        <w:ind w:hanging="720"/>
      </w:pPr>
      <w:r>
        <w:t xml:space="preserve">We also read from </w:t>
      </w:r>
      <w:r w:rsidR="00701E54">
        <w:t xml:space="preserve">the </w:t>
      </w:r>
      <w:r>
        <w:t>Supreme Court P</w:t>
      </w:r>
      <w:r w:rsidR="00A94041">
        <w:t>ra</w:t>
      </w:r>
      <w:r>
        <w:t xml:space="preserve">ctice 1976, para 41/12/5, which stipulates </w:t>
      </w:r>
      <w:r w:rsidRPr="003131F6">
        <w:t>―</w:t>
      </w:r>
    </w:p>
    <w:p w14:paraId="41E9B951" w14:textId="77777777" w:rsidR="00A94041" w:rsidRDefault="00C12C86" w:rsidP="00DB3BF8">
      <w:pPr>
        <w:pStyle w:val="JudgmentText"/>
        <w:numPr>
          <w:ilvl w:val="0"/>
          <w:numId w:val="0"/>
        </w:numPr>
        <w:ind w:left="1440"/>
        <w:rPr>
          <w:i/>
        </w:rPr>
      </w:pPr>
      <w:r w:rsidRPr="00C12C86">
        <w:rPr>
          <w:i/>
        </w:rPr>
        <w:t xml:space="preserve">ʺFiling Affidavit in Foreign Language. ― </w:t>
      </w:r>
      <w:r w:rsidRPr="00A94041">
        <w:rPr>
          <w:b/>
          <w:i/>
        </w:rPr>
        <w:t>ʺWhen it is desired to file an affidavit in a foreign language the usual course is to obtain a translation of such affidavit by a qualified translator, and to annex the foreign affidavit and the translation as exhibits to an affidavit by the translator verifying the translation</w:t>
      </w:r>
      <w:r w:rsidRPr="00C12C86">
        <w:rPr>
          <w:i/>
        </w:rPr>
        <w:t xml:space="preserve">. The three documents are filed together, filing fees being paid for two affidavits.ʺ </w:t>
      </w:r>
      <w:r>
        <w:rPr>
          <w:i/>
        </w:rPr>
        <w:t>See Re Sarazin’s patent (1947) 64 R. P. 51.ʺ</w:t>
      </w:r>
      <w:r w:rsidR="00A94041">
        <w:rPr>
          <w:i/>
        </w:rPr>
        <w:t xml:space="preserve"> </w:t>
      </w:r>
    </w:p>
    <w:p w14:paraId="2FD7DFAC" w14:textId="3E773D0E" w:rsidR="00C12C86" w:rsidRDefault="00A94041" w:rsidP="00A94041">
      <w:pPr>
        <w:pStyle w:val="JudgmentText"/>
        <w:numPr>
          <w:ilvl w:val="0"/>
          <w:numId w:val="0"/>
        </w:numPr>
        <w:spacing w:line="240" w:lineRule="auto"/>
        <w:ind w:left="1440"/>
        <w:rPr>
          <w:i/>
        </w:rPr>
      </w:pPr>
      <w:r w:rsidRPr="00A94041">
        <w:t>[Emphasis supplied]</w:t>
      </w:r>
    </w:p>
    <w:p w14:paraId="6A39D528" w14:textId="77777777" w:rsidR="00854BB7" w:rsidRDefault="00A94041" w:rsidP="00274BEC">
      <w:pPr>
        <w:pStyle w:val="JudgmentText"/>
        <w:numPr>
          <w:ilvl w:val="0"/>
          <w:numId w:val="32"/>
        </w:numPr>
        <w:ind w:hanging="720"/>
      </w:pPr>
      <w:r w:rsidRPr="00A94041">
        <w:t xml:space="preserve">This procedure has not been adopted in the present case. </w:t>
      </w:r>
    </w:p>
    <w:p w14:paraId="36218D56" w14:textId="47B34CA0" w:rsidR="00885254" w:rsidRDefault="00885254" w:rsidP="00274BEC">
      <w:pPr>
        <w:pStyle w:val="JudgmentText"/>
        <w:numPr>
          <w:ilvl w:val="0"/>
          <w:numId w:val="32"/>
        </w:numPr>
        <w:ind w:hanging="720"/>
      </w:pPr>
      <w:r>
        <w:t xml:space="preserve">For the reasons stated above, we </w:t>
      </w:r>
      <w:r w:rsidR="00A94041" w:rsidRPr="00A94041">
        <w:t>cannot receive the evidence of Renato</w:t>
      </w:r>
      <w:r>
        <w:t xml:space="preserve"> in the form of </w:t>
      </w:r>
      <w:r w:rsidR="0002461A">
        <w:t xml:space="preserve">an </w:t>
      </w:r>
      <w:r>
        <w:t>affidavit</w:t>
      </w:r>
      <w:r w:rsidR="00A94041">
        <w:t xml:space="preserve"> for the purpose of being used in this matter</w:t>
      </w:r>
      <w:r w:rsidR="00A94041" w:rsidRPr="00A94041">
        <w:t xml:space="preserve">. </w:t>
      </w:r>
    </w:p>
    <w:p w14:paraId="152B6A18" w14:textId="30939417" w:rsidR="00A94041" w:rsidRPr="00885254" w:rsidRDefault="00A94041" w:rsidP="00A94041">
      <w:pPr>
        <w:pStyle w:val="JudgmentText"/>
        <w:numPr>
          <w:ilvl w:val="0"/>
          <w:numId w:val="32"/>
        </w:numPr>
        <w:ind w:hanging="720"/>
        <w:rPr>
          <w:i/>
        </w:rPr>
      </w:pPr>
      <w:r w:rsidRPr="00A94041">
        <w:t xml:space="preserve">In </w:t>
      </w:r>
      <w:r w:rsidRPr="00885254">
        <w:rPr>
          <w:i/>
        </w:rPr>
        <w:t>Savoy Development Limited v Salum SCA MA16/2021</w:t>
      </w:r>
      <w:r w:rsidRPr="00A94041">
        <w:t>, arising in SCA10/2021, Twomey JA stated at paragraphs [13] and [14] ― </w:t>
      </w:r>
      <w:r w:rsidRPr="00885254">
        <w:rPr>
          <w:i/>
        </w:rPr>
        <w:t>″[13] The Court of Appeal in Lablache de Charmoy (supra) held that the parties cannot waive irregular affidavits</w:t>
      </w:r>
      <w:r w:rsidR="00885254" w:rsidRPr="00885254">
        <w:rPr>
          <w:i/>
        </w:rPr>
        <w:t>.</w:t>
      </w:r>
      <w:r w:rsidRPr="00885254">
        <w:rPr>
          <w:i/>
        </w:rPr>
        <w:t xml:space="preserve"> Affidavits are sworn evidence and evidential rules for their admission cannot be waived by the Court either. ʺ </w:t>
      </w:r>
      <w:r w:rsidR="0002461A" w:rsidRPr="0002461A">
        <w:t>In</w:t>
      </w:r>
      <w:r w:rsidR="0002461A">
        <w:rPr>
          <w:i/>
        </w:rPr>
        <w:t xml:space="preserve"> </w:t>
      </w:r>
      <w:r w:rsidR="0002461A" w:rsidRPr="0002461A">
        <w:rPr>
          <w:b/>
        </w:rPr>
        <w:t>Savo</w:t>
      </w:r>
      <w:r w:rsidR="0002461A">
        <w:rPr>
          <w:b/>
        </w:rPr>
        <w:t>y</w:t>
      </w:r>
      <w:r w:rsidR="00854BB7">
        <w:rPr>
          <w:b/>
        </w:rPr>
        <w:t xml:space="preserve"> Development Limited</w:t>
      </w:r>
      <w:r w:rsidR="0002461A" w:rsidRPr="0002461A">
        <w:t xml:space="preserve">, Counsel for the respondent relied on defect in the </w:t>
      </w:r>
      <w:r w:rsidR="0002461A" w:rsidRPr="0002461A">
        <w:rPr>
          <w:i/>
        </w:rPr>
        <w:t>jurat</w:t>
      </w:r>
      <w:r w:rsidR="0002461A" w:rsidRPr="0002461A">
        <w:t xml:space="preserve">. </w:t>
      </w:r>
      <w:r w:rsidR="0002461A">
        <w:t>Twomey JA considered the defect in the affidavit to be fatal. She dismissed the application with costs.</w:t>
      </w:r>
    </w:p>
    <w:p w14:paraId="4C78F95B" w14:textId="5883FA5E" w:rsidR="00DB3BF8" w:rsidRDefault="00A94041" w:rsidP="0066044D">
      <w:pPr>
        <w:pStyle w:val="JudgmentText"/>
        <w:numPr>
          <w:ilvl w:val="0"/>
          <w:numId w:val="32"/>
        </w:numPr>
        <w:ind w:hanging="720"/>
      </w:pPr>
      <w:r>
        <w:lastRenderedPageBreak/>
        <w:t xml:space="preserve">In the present case, the defect is fatal. In the circumstances, as </w:t>
      </w:r>
      <w:r w:rsidR="00885254">
        <w:t>Renato’s</w:t>
      </w:r>
      <w:r>
        <w:t xml:space="preserve"> a</w:t>
      </w:r>
      <w:r w:rsidRPr="00A94041">
        <w:t>pplication is improperly suppor</w:t>
      </w:r>
      <w:r w:rsidR="00885254">
        <w:t xml:space="preserve">ted, </w:t>
      </w:r>
      <w:r w:rsidR="00D5725E">
        <w:t>the case</w:t>
      </w:r>
      <w:r w:rsidR="00885254">
        <w:t xml:space="preserve"> is dismissed with costs</w:t>
      </w:r>
      <w:r w:rsidRPr="00A94041">
        <w:t>. </w:t>
      </w:r>
    </w:p>
    <w:p w14:paraId="315AEABB" w14:textId="24FE10D5" w:rsidR="007E0E2B" w:rsidRPr="00A94041" w:rsidRDefault="00A94041" w:rsidP="00A94041">
      <w:pPr>
        <w:pStyle w:val="JudgmentText"/>
        <w:numPr>
          <w:ilvl w:val="0"/>
          <w:numId w:val="32"/>
        </w:numPr>
        <w:ind w:hanging="720"/>
      </w:pPr>
      <w:r>
        <w:t xml:space="preserve">The appeal stands listed to be heard on the 14 April 2023. </w:t>
      </w:r>
      <w:r w:rsidR="007E0E2B">
        <w:t xml:space="preserve"> </w:t>
      </w:r>
    </w:p>
    <w:p w14:paraId="37D99EEE" w14:textId="784FCFD0" w:rsidR="00662B5F" w:rsidRDefault="00662B5F" w:rsidP="00DB3BF8">
      <w:pPr>
        <w:pStyle w:val="JudgmentText"/>
        <w:numPr>
          <w:ilvl w:val="0"/>
          <w:numId w:val="0"/>
        </w:numPr>
      </w:pPr>
    </w:p>
    <w:p w14:paraId="56829082" w14:textId="650D1D86" w:rsidR="001C0802" w:rsidRPr="00E53F6C"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___________________ </w:t>
      </w:r>
    </w:p>
    <w:p w14:paraId="78BB1BE8" w14:textId="2C0B942B" w:rsidR="001C0802"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F. </w:t>
      </w:r>
      <w:r w:rsidR="001C0802" w:rsidRPr="00041F7A">
        <w:rPr>
          <w:lang w:val="en-GB"/>
        </w:rPr>
        <w:t>Robinson J</w:t>
      </w:r>
      <w:r>
        <w:rPr>
          <w:lang w:val="en-GB"/>
        </w:rPr>
        <w:t>A</w:t>
      </w:r>
    </w:p>
    <w:p w14:paraId="2446F942" w14:textId="0D1253AE"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1320E67F" w14:textId="4F379702"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Dr. </w:t>
      </w:r>
      <w:r w:rsidR="009B0C4A">
        <w:rPr>
          <w:lang w:val="en-GB"/>
        </w:rPr>
        <w:t>L. Tibatemwa-Ekirikubinza</w:t>
      </w:r>
      <w:r>
        <w:rPr>
          <w:lang w:val="en-GB"/>
        </w:rPr>
        <w:t xml:space="preserve"> JA</w:t>
      </w:r>
    </w:p>
    <w:p w14:paraId="4327C7DE" w14:textId="50E3ABA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3C9209" w14:textId="11BCF26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05EE254B" w14:textId="0CC11960"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S. Andre JA  </w:t>
      </w:r>
    </w:p>
    <w:p w14:paraId="66F725CE" w14:textId="17A1D853"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36F4B87A" w14:textId="4A01ABCF"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61262D" w14:textId="4A5B620C" w:rsidR="00662B5F" w:rsidRPr="00041F7A" w:rsidRDefault="00662B5F" w:rsidP="00662B5F">
      <w:pPr>
        <w:pStyle w:val="judgmenttext0"/>
        <w:shd w:val="clear" w:color="auto" w:fill="FFFFFF"/>
        <w:spacing w:before="0" w:beforeAutospacing="0" w:after="0" w:afterAutospacing="0"/>
        <w:jc w:val="both"/>
        <w:textAlignment w:val="baseline"/>
        <w:rPr>
          <w:lang w:val="en-GB"/>
        </w:rPr>
      </w:pPr>
      <w:r w:rsidRPr="00041F7A">
        <w:rPr>
          <w:lang w:val="en-GB"/>
        </w:rPr>
        <w:t>Signed, dated an</w:t>
      </w:r>
      <w:r>
        <w:rPr>
          <w:lang w:val="en-GB"/>
        </w:rPr>
        <w:t>d</w:t>
      </w:r>
      <w:r w:rsidR="0066044D">
        <w:rPr>
          <w:lang w:val="en-GB"/>
        </w:rPr>
        <w:t xml:space="preserve"> delivered at Ile du Port on 13 </w:t>
      </w:r>
      <w:r>
        <w:rPr>
          <w:lang w:val="en-GB"/>
        </w:rPr>
        <w:t>April 2023.</w:t>
      </w:r>
    </w:p>
    <w:p w14:paraId="3D290934" w14:textId="77777777"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sectPr w:rsidR="00662B5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C6BB" w14:textId="77777777" w:rsidR="00DB0216" w:rsidRDefault="00DB0216" w:rsidP="00235F2A">
      <w:pPr>
        <w:spacing w:after="0" w:line="240" w:lineRule="auto"/>
      </w:pPr>
      <w:r>
        <w:separator/>
      </w:r>
    </w:p>
  </w:endnote>
  <w:endnote w:type="continuationSeparator" w:id="0">
    <w:p w14:paraId="22AC4A94" w14:textId="77777777" w:rsidR="00DB0216" w:rsidRDefault="00DB0216"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4A2B6D03" w:rsidR="00A974A8" w:rsidRPr="00496FCD" w:rsidRDefault="00A974A8">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D23124">
          <w:rPr>
            <w:rFonts w:ascii="Times New Roman" w:hAnsi="Times New Roman" w:cs="Times New Roman"/>
            <w:noProof/>
            <w:sz w:val="20"/>
            <w:szCs w:val="20"/>
          </w:rPr>
          <w:t>1</w:t>
        </w:r>
        <w:r w:rsidRPr="00496FCD">
          <w:rPr>
            <w:rFonts w:ascii="Times New Roman" w:hAnsi="Times New Roman" w:cs="Times New Roman"/>
            <w:noProof/>
            <w:sz w:val="20"/>
            <w:szCs w:val="20"/>
          </w:rPr>
          <w:fldChar w:fldCharType="end"/>
        </w:r>
      </w:p>
    </w:sdtContent>
  </w:sdt>
  <w:p w14:paraId="7F027764" w14:textId="77777777" w:rsidR="00A974A8" w:rsidRDefault="00A9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3F25" w14:textId="77777777" w:rsidR="00DB0216" w:rsidRDefault="00DB0216" w:rsidP="00235F2A">
      <w:pPr>
        <w:spacing w:after="0" w:line="240" w:lineRule="auto"/>
      </w:pPr>
      <w:r>
        <w:separator/>
      </w:r>
    </w:p>
  </w:footnote>
  <w:footnote w:type="continuationSeparator" w:id="0">
    <w:p w14:paraId="765C561E" w14:textId="77777777" w:rsidR="00DB0216" w:rsidRDefault="00DB0216" w:rsidP="0023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5D20"/>
    <w:multiLevelType w:val="hybridMultilevel"/>
    <w:tmpl w:val="33AA496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263CD"/>
    <w:multiLevelType w:val="hybridMultilevel"/>
    <w:tmpl w:val="05585F70"/>
    <w:lvl w:ilvl="0" w:tplc="4F667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E76DA"/>
    <w:multiLevelType w:val="hybridMultilevel"/>
    <w:tmpl w:val="11A06A3E"/>
    <w:lvl w:ilvl="0" w:tplc="61489C32">
      <w:start w:val="1"/>
      <w:numFmt w:val="lowerRoman"/>
      <w:lvlText w:val="(%1)"/>
      <w:lvlJc w:val="left"/>
      <w:pPr>
        <w:ind w:left="1440" w:hanging="720"/>
      </w:pPr>
      <w:rPr>
        <w:rFonts w:eastAsia="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B176B"/>
    <w:multiLevelType w:val="hybridMultilevel"/>
    <w:tmpl w:val="1F347AFC"/>
    <w:lvl w:ilvl="0" w:tplc="8DBC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06C5C"/>
    <w:multiLevelType w:val="hybridMultilevel"/>
    <w:tmpl w:val="E6C6D620"/>
    <w:lvl w:ilvl="0" w:tplc="BD68A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EA7A4A"/>
    <w:multiLevelType w:val="hybridMultilevel"/>
    <w:tmpl w:val="529CAEA4"/>
    <w:lvl w:ilvl="0" w:tplc="8474D35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32B0D9E"/>
    <w:multiLevelType w:val="multilevel"/>
    <w:tmpl w:val="35E02D2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F5167"/>
    <w:multiLevelType w:val="hybridMultilevel"/>
    <w:tmpl w:val="CA7C9F12"/>
    <w:lvl w:ilvl="0" w:tplc="A85A2D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4"/>
  </w:num>
  <w:num w:numId="4">
    <w:abstractNumId w:val="35"/>
  </w:num>
  <w:num w:numId="5">
    <w:abstractNumId w:val="17"/>
  </w:num>
  <w:num w:numId="6">
    <w:abstractNumId w:val="33"/>
  </w:num>
  <w:num w:numId="7">
    <w:abstractNumId w:val="24"/>
  </w:num>
  <w:num w:numId="8">
    <w:abstractNumId w:val="19"/>
  </w:num>
  <w:num w:numId="9">
    <w:abstractNumId w:val="11"/>
  </w:num>
  <w:num w:numId="10">
    <w:abstractNumId w:val="34"/>
  </w:num>
  <w:num w:numId="11">
    <w:abstractNumId w:val="1"/>
  </w:num>
  <w:num w:numId="12">
    <w:abstractNumId w:val="2"/>
  </w:num>
  <w:num w:numId="13">
    <w:abstractNumId w:val="30"/>
  </w:num>
  <w:num w:numId="14">
    <w:abstractNumId w:val="22"/>
  </w:num>
  <w:num w:numId="15">
    <w:abstractNumId w:val="26"/>
  </w:num>
  <w:num w:numId="16">
    <w:abstractNumId w:val="28"/>
  </w:num>
  <w:num w:numId="17">
    <w:abstractNumId w:val="32"/>
  </w:num>
  <w:num w:numId="18">
    <w:abstractNumId w:val="27"/>
  </w:num>
  <w:num w:numId="19">
    <w:abstractNumId w:val="29"/>
  </w:num>
  <w:num w:numId="20">
    <w:abstractNumId w:val="25"/>
  </w:num>
  <w:num w:numId="21">
    <w:abstractNumId w:val="23"/>
  </w:num>
  <w:num w:numId="22">
    <w:abstractNumId w:val="21"/>
  </w:num>
  <w:num w:numId="23">
    <w:abstractNumId w:val="4"/>
  </w:num>
  <w:num w:numId="24">
    <w:abstractNumId w:val="31"/>
  </w:num>
  <w:num w:numId="25">
    <w:abstractNumId w:val="13"/>
  </w:num>
  <w:num w:numId="26">
    <w:abstractNumId w:val="37"/>
  </w:num>
  <w:num w:numId="27">
    <w:abstractNumId w:val="10"/>
  </w:num>
  <w:num w:numId="28">
    <w:abstractNumId w:val="36"/>
  </w:num>
  <w:num w:numId="29">
    <w:abstractNumId w:val="3"/>
  </w:num>
  <w:num w:numId="30">
    <w:abstractNumId w:val="15"/>
  </w:num>
  <w:num w:numId="31">
    <w:abstractNumId w:val="0"/>
  </w:num>
  <w:num w:numId="32">
    <w:abstractNumId w:val="20"/>
  </w:num>
  <w:num w:numId="33">
    <w:abstractNumId w:val="7"/>
  </w:num>
  <w:num w:numId="34">
    <w:abstractNumId w:val="8"/>
  </w:num>
  <w:num w:numId="35">
    <w:abstractNumId w:val="6"/>
  </w:num>
  <w:num w:numId="36">
    <w:abstractNumId w:val="18"/>
  </w:num>
  <w:num w:numId="37">
    <w:abstractNumId w:val="9"/>
  </w:num>
  <w:num w:numId="38">
    <w:abstractNumId w:val="12"/>
  </w:num>
  <w:num w:numId="39">
    <w:abstractNumId w:val="1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qwFABvg13YtAAAA"/>
  </w:docVars>
  <w:rsids>
    <w:rsidRoot w:val="00B85059"/>
    <w:rsid w:val="00001129"/>
    <w:rsid w:val="000023C4"/>
    <w:rsid w:val="00015DBB"/>
    <w:rsid w:val="0002461A"/>
    <w:rsid w:val="00027EDE"/>
    <w:rsid w:val="0004133F"/>
    <w:rsid w:val="00041F7A"/>
    <w:rsid w:val="000507E1"/>
    <w:rsid w:val="00054ACE"/>
    <w:rsid w:val="00055846"/>
    <w:rsid w:val="000573A4"/>
    <w:rsid w:val="000573CB"/>
    <w:rsid w:val="0005790E"/>
    <w:rsid w:val="00062497"/>
    <w:rsid w:val="000628AD"/>
    <w:rsid w:val="000674C6"/>
    <w:rsid w:val="00073BEF"/>
    <w:rsid w:val="0008507B"/>
    <w:rsid w:val="000859AB"/>
    <w:rsid w:val="000863B8"/>
    <w:rsid w:val="00090B08"/>
    <w:rsid w:val="00092C1D"/>
    <w:rsid w:val="000A1366"/>
    <w:rsid w:val="000A2292"/>
    <w:rsid w:val="000C1610"/>
    <w:rsid w:val="000D02A4"/>
    <w:rsid w:val="000D4F9F"/>
    <w:rsid w:val="000D59F2"/>
    <w:rsid w:val="000D5BE7"/>
    <w:rsid w:val="000D68F0"/>
    <w:rsid w:val="000E2BB9"/>
    <w:rsid w:val="00102A89"/>
    <w:rsid w:val="0010459E"/>
    <w:rsid w:val="00117308"/>
    <w:rsid w:val="0012228F"/>
    <w:rsid w:val="001305B8"/>
    <w:rsid w:val="001558BC"/>
    <w:rsid w:val="001563FB"/>
    <w:rsid w:val="00156EE2"/>
    <w:rsid w:val="00165B8F"/>
    <w:rsid w:val="001764FC"/>
    <w:rsid w:val="001776A6"/>
    <w:rsid w:val="00180571"/>
    <w:rsid w:val="00180EF2"/>
    <w:rsid w:val="00181439"/>
    <w:rsid w:val="0018799B"/>
    <w:rsid w:val="001930C5"/>
    <w:rsid w:val="001933EE"/>
    <w:rsid w:val="001963AB"/>
    <w:rsid w:val="00197E0D"/>
    <w:rsid w:val="001A08D7"/>
    <w:rsid w:val="001A6ABE"/>
    <w:rsid w:val="001C0802"/>
    <w:rsid w:val="001C33A1"/>
    <w:rsid w:val="001D2928"/>
    <w:rsid w:val="001D3B78"/>
    <w:rsid w:val="001D57A5"/>
    <w:rsid w:val="001D5C7B"/>
    <w:rsid w:val="001D7962"/>
    <w:rsid w:val="001E54C6"/>
    <w:rsid w:val="001E758F"/>
    <w:rsid w:val="00207DA6"/>
    <w:rsid w:val="002118DA"/>
    <w:rsid w:val="0021411C"/>
    <w:rsid w:val="002252F5"/>
    <w:rsid w:val="00225BE2"/>
    <w:rsid w:val="00235C09"/>
    <w:rsid w:val="00235F2A"/>
    <w:rsid w:val="002446C1"/>
    <w:rsid w:val="00257930"/>
    <w:rsid w:val="002678F4"/>
    <w:rsid w:val="002709D1"/>
    <w:rsid w:val="00272CD1"/>
    <w:rsid w:val="00274BEC"/>
    <w:rsid w:val="0027581E"/>
    <w:rsid w:val="00281C58"/>
    <w:rsid w:val="00285870"/>
    <w:rsid w:val="00286572"/>
    <w:rsid w:val="002966D2"/>
    <w:rsid w:val="002A6412"/>
    <w:rsid w:val="002B1A94"/>
    <w:rsid w:val="002B3000"/>
    <w:rsid w:val="002B6694"/>
    <w:rsid w:val="002B77BE"/>
    <w:rsid w:val="002C1408"/>
    <w:rsid w:val="002E2D49"/>
    <w:rsid w:val="002E649D"/>
    <w:rsid w:val="002E6E8B"/>
    <w:rsid w:val="002F2057"/>
    <w:rsid w:val="00301943"/>
    <w:rsid w:val="00304F0A"/>
    <w:rsid w:val="003131F6"/>
    <w:rsid w:val="00313E7C"/>
    <w:rsid w:val="00321736"/>
    <w:rsid w:val="00324501"/>
    <w:rsid w:val="00344285"/>
    <w:rsid w:val="0034491F"/>
    <w:rsid w:val="0035187B"/>
    <w:rsid w:val="0035368A"/>
    <w:rsid w:val="00353D21"/>
    <w:rsid w:val="003559D7"/>
    <w:rsid w:val="0037499F"/>
    <w:rsid w:val="003814F3"/>
    <w:rsid w:val="00383575"/>
    <w:rsid w:val="00385F21"/>
    <w:rsid w:val="00393E87"/>
    <w:rsid w:val="00394E30"/>
    <w:rsid w:val="00396272"/>
    <w:rsid w:val="003C0D1C"/>
    <w:rsid w:val="003C68AC"/>
    <w:rsid w:val="003C795A"/>
    <w:rsid w:val="003E0502"/>
    <w:rsid w:val="003E1A1D"/>
    <w:rsid w:val="003E457A"/>
    <w:rsid w:val="003F40DD"/>
    <w:rsid w:val="0040200D"/>
    <w:rsid w:val="00405C2B"/>
    <w:rsid w:val="00405C3C"/>
    <w:rsid w:val="004173E0"/>
    <w:rsid w:val="00423D59"/>
    <w:rsid w:val="00434DDC"/>
    <w:rsid w:val="00440458"/>
    <w:rsid w:val="004515D4"/>
    <w:rsid w:val="004674D8"/>
    <w:rsid w:val="00483D13"/>
    <w:rsid w:val="004926A2"/>
    <w:rsid w:val="0049274C"/>
    <w:rsid w:val="00496FCD"/>
    <w:rsid w:val="004B1404"/>
    <w:rsid w:val="004C1865"/>
    <w:rsid w:val="004C71F2"/>
    <w:rsid w:val="004C73DA"/>
    <w:rsid w:val="004D04EA"/>
    <w:rsid w:val="004D43B6"/>
    <w:rsid w:val="004D4E2F"/>
    <w:rsid w:val="004D6F76"/>
    <w:rsid w:val="004E73C8"/>
    <w:rsid w:val="004F0F52"/>
    <w:rsid w:val="004F4AB5"/>
    <w:rsid w:val="00503F39"/>
    <w:rsid w:val="00504989"/>
    <w:rsid w:val="005050F1"/>
    <w:rsid w:val="005102B7"/>
    <w:rsid w:val="005217CC"/>
    <w:rsid w:val="005225CD"/>
    <w:rsid w:val="00532EAB"/>
    <w:rsid w:val="005364A9"/>
    <w:rsid w:val="00542F62"/>
    <w:rsid w:val="005462B9"/>
    <w:rsid w:val="00551CDD"/>
    <w:rsid w:val="00563B51"/>
    <w:rsid w:val="0057541A"/>
    <w:rsid w:val="005A439F"/>
    <w:rsid w:val="005B7845"/>
    <w:rsid w:val="005C10B7"/>
    <w:rsid w:val="005C1971"/>
    <w:rsid w:val="005C3722"/>
    <w:rsid w:val="005C381C"/>
    <w:rsid w:val="005D7145"/>
    <w:rsid w:val="005E771D"/>
    <w:rsid w:val="005E7A57"/>
    <w:rsid w:val="005F0DE2"/>
    <w:rsid w:val="005F0DED"/>
    <w:rsid w:val="005F1A09"/>
    <w:rsid w:val="005F38F1"/>
    <w:rsid w:val="005F44F4"/>
    <w:rsid w:val="00602E5A"/>
    <w:rsid w:val="00616E2B"/>
    <w:rsid w:val="00620441"/>
    <w:rsid w:val="00621C96"/>
    <w:rsid w:val="00625076"/>
    <w:rsid w:val="0062576D"/>
    <w:rsid w:val="006257EE"/>
    <w:rsid w:val="00625862"/>
    <w:rsid w:val="00625ECC"/>
    <w:rsid w:val="00626387"/>
    <w:rsid w:val="006275E6"/>
    <w:rsid w:val="00634656"/>
    <w:rsid w:val="00646C51"/>
    <w:rsid w:val="0065077B"/>
    <w:rsid w:val="006517B3"/>
    <w:rsid w:val="006574E3"/>
    <w:rsid w:val="0066044D"/>
    <w:rsid w:val="00661FD8"/>
    <w:rsid w:val="006626B5"/>
    <w:rsid w:val="00662B5F"/>
    <w:rsid w:val="00667F48"/>
    <w:rsid w:val="00670062"/>
    <w:rsid w:val="00671EE5"/>
    <w:rsid w:val="00672901"/>
    <w:rsid w:val="0067593B"/>
    <w:rsid w:val="00675F58"/>
    <w:rsid w:val="006762B3"/>
    <w:rsid w:val="006825F6"/>
    <w:rsid w:val="00686747"/>
    <w:rsid w:val="00690E4D"/>
    <w:rsid w:val="006937C3"/>
    <w:rsid w:val="006952A1"/>
    <w:rsid w:val="006A3633"/>
    <w:rsid w:val="006A5D1B"/>
    <w:rsid w:val="006B20E3"/>
    <w:rsid w:val="006D47CE"/>
    <w:rsid w:val="006D54D0"/>
    <w:rsid w:val="006D7433"/>
    <w:rsid w:val="006E6B42"/>
    <w:rsid w:val="006E71A4"/>
    <w:rsid w:val="006F5B81"/>
    <w:rsid w:val="00701E54"/>
    <w:rsid w:val="0071291F"/>
    <w:rsid w:val="007212D1"/>
    <w:rsid w:val="00726310"/>
    <w:rsid w:val="00734BF1"/>
    <w:rsid w:val="00750751"/>
    <w:rsid w:val="00754C9D"/>
    <w:rsid w:val="007565A4"/>
    <w:rsid w:val="007615C7"/>
    <w:rsid w:val="00770BE5"/>
    <w:rsid w:val="007716BC"/>
    <w:rsid w:val="0078799F"/>
    <w:rsid w:val="007935D2"/>
    <w:rsid w:val="007A5604"/>
    <w:rsid w:val="007A616F"/>
    <w:rsid w:val="007A7CB9"/>
    <w:rsid w:val="007B3E90"/>
    <w:rsid w:val="007B4516"/>
    <w:rsid w:val="007B689A"/>
    <w:rsid w:val="007C0A0A"/>
    <w:rsid w:val="007C715C"/>
    <w:rsid w:val="007D08C1"/>
    <w:rsid w:val="007D195C"/>
    <w:rsid w:val="007D60B8"/>
    <w:rsid w:val="007D6C3D"/>
    <w:rsid w:val="007E0E2B"/>
    <w:rsid w:val="007E1A14"/>
    <w:rsid w:val="007E364B"/>
    <w:rsid w:val="007E40CE"/>
    <w:rsid w:val="007E52B4"/>
    <w:rsid w:val="007F574D"/>
    <w:rsid w:val="007F5B93"/>
    <w:rsid w:val="0080354E"/>
    <w:rsid w:val="008260AE"/>
    <w:rsid w:val="00832C50"/>
    <w:rsid w:val="00836571"/>
    <w:rsid w:val="008369FF"/>
    <w:rsid w:val="00840914"/>
    <w:rsid w:val="008415EC"/>
    <w:rsid w:val="00854BB7"/>
    <w:rsid w:val="00856FE0"/>
    <w:rsid w:val="00871541"/>
    <w:rsid w:val="0087620D"/>
    <w:rsid w:val="008818AC"/>
    <w:rsid w:val="0088346A"/>
    <w:rsid w:val="00885254"/>
    <w:rsid w:val="00892F68"/>
    <w:rsid w:val="008A24FB"/>
    <w:rsid w:val="008A3283"/>
    <w:rsid w:val="008A6C8A"/>
    <w:rsid w:val="008B0C8C"/>
    <w:rsid w:val="008B10E1"/>
    <w:rsid w:val="008C3811"/>
    <w:rsid w:val="008C3CDC"/>
    <w:rsid w:val="008D4ABE"/>
    <w:rsid w:val="008D4E9A"/>
    <w:rsid w:val="008D5D76"/>
    <w:rsid w:val="008E1EF8"/>
    <w:rsid w:val="008E3354"/>
    <w:rsid w:val="008E5986"/>
    <w:rsid w:val="008E5E9F"/>
    <w:rsid w:val="008F78AE"/>
    <w:rsid w:val="00902F77"/>
    <w:rsid w:val="00905413"/>
    <w:rsid w:val="009071AD"/>
    <w:rsid w:val="009120F2"/>
    <w:rsid w:val="00915BCD"/>
    <w:rsid w:val="00940561"/>
    <w:rsid w:val="00943752"/>
    <w:rsid w:val="00946D8A"/>
    <w:rsid w:val="00951AA0"/>
    <w:rsid w:val="00951D84"/>
    <w:rsid w:val="00966A7F"/>
    <w:rsid w:val="0097277E"/>
    <w:rsid w:val="00974B33"/>
    <w:rsid w:val="009809B3"/>
    <w:rsid w:val="00981B30"/>
    <w:rsid w:val="0099188E"/>
    <w:rsid w:val="00993136"/>
    <w:rsid w:val="009A206C"/>
    <w:rsid w:val="009A3D12"/>
    <w:rsid w:val="009B0C4A"/>
    <w:rsid w:val="009B5159"/>
    <w:rsid w:val="009C52B8"/>
    <w:rsid w:val="009C6CAD"/>
    <w:rsid w:val="009D7125"/>
    <w:rsid w:val="009F6CB2"/>
    <w:rsid w:val="00A14011"/>
    <w:rsid w:val="00A17114"/>
    <w:rsid w:val="00A23E3C"/>
    <w:rsid w:val="00A43F3A"/>
    <w:rsid w:val="00A46B0D"/>
    <w:rsid w:val="00A546C7"/>
    <w:rsid w:val="00A6083E"/>
    <w:rsid w:val="00A6234F"/>
    <w:rsid w:val="00A84596"/>
    <w:rsid w:val="00A90F28"/>
    <w:rsid w:val="00A9228E"/>
    <w:rsid w:val="00A94041"/>
    <w:rsid w:val="00A974A8"/>
    <w:rsid w:val="00AA03D8"/>
    <w:rsid w:val="00AB112B"/>
    <w:rsid w:val="00AB3E4E"/>
    <w:rsid w:val="00AB616B"/>
    <w:rsid w:val="00AC6634"/>
    <w:rsid w:val="00AD4C84"/>
    <w:rsid w:val="00AE388E"/>
    <w:rsid w:val="00AF014D"/>
    <w:rsid w:val="00AF30FE"/>
    <w:rsid w:val="00B01A25"/>
    <w:rsid w:val="00B02D6F"/>
    <w:rsid w:val="00B07831"/>
    <w:rsid w:val="00B126E0"/>
    <w:rsid w:val="00B12DC5"/>
    <w:rsid w:val="00B323DC"/>
    <w:rsid w:val="00B35960"/>
    <w:rsid w:val="00B47B99"/>
    <w:rsid w:val="00B61E9E"/>
    <w:rsid w:val="00B62CB6"/>
    <w:rsid w:val="00B73A99"/>
    <w:rsid w:val="00B811E7"/>
    <w:rsid w:val="00B841D3"/>
    <w:rsid w:val="00B85059"/>
    <w:rsid w:val="00B859C1"/>
    <w:rsid w:val="00B90473"/>
    <w:rsid w:val="00B95323"/>
    <w:rsid w:val="00B95D3B"/>
    <w:rsid w:val="00B964B9"/>
    <w:rsid w:val="00BA1CB8"/>
    <w:rsid w:val="00BA625A"/>
    <w:rsid w:val="00BA76E8"/>
    <w:rsid w:val="00BB0035"/>
    <w:rsid w:val="00BB3213"/>
    <w:rsid w:val="00BC100A"/>
    <w:rsid w:val="00BC1468"/>
    <w:rsid w:val="00BC39CB"/>
    <w:rsid w:val="00BC41BC"/>
    <w:rsid w:val="00BD16F7"/>
    <w:rsid w:val="00BD6378"/>
    <w:rsid w:val="00BD6EB2"/>
    <w:rsid w:val="00BE6808"/>
    <w:rsid w:val="00BF4FFB"/>
    <w:rsid w:val="00C047EE"/>
    <w:rsid w:val="00C06951"/>
    <w:rsid w:val="00C12C86"/>
    <w:rsid w:val="00C17C96"/>
    <w:rsid w:val="00C2191A"/>
    <w:rsid w:val="00C224A7"/>
    <w:rsid w:val="00C24286"/>
    <w:rsid w:val="00C24D09"/>
    <w:rsid w:val="00C417E2"/>
    <w:rsid w:val="00C61A30"/>
    <w:rsid w:val="00C61A43"/>
    <w:rsid w:val="00C64645"/>
    <w:rsid w:val="00C65156"/>
    <w:rsid w:val="00C67495"/>
    <w:rsid w:val="00C7777F"/>
    <w:rsid w:val="00C8027C"/>
    <w:rsid w:val="00C82353"/>
    <w:rsid w:val="00C83960"/>
    <w:rsid w:val="00C86B4E"/>
    <w:rsid w:val="00C90DAC"/>
    <w:rsid w:val="00C920B0"/>
    <w:rsid w:val="00C938E8"/>
    <w:rsid w:val="00C95869"/>
    <w:rsid w:val="00C97625"/>
    <w:rsid w:val="00CA01F4"/>
    <w:rsid w:val="00CA4DF3"/>
    <w:rsid w:val="00CB0F40"/>
    <w:rsid w:val="00CB75FB"/>
    <w:rsid w:val="00CC3FE3"/>
    <w:rsid w:val="00CD263D"/>
    <w:rsid w:val="00CD61AA"/>
    <w:rsid w:val="00CD7C00"/>
    <w:rsid w:val="00CE0CFC"/>
    <w:rsid w:val="00CE3397"/>
    <w:rsid w:val="00CE45E7"/>
    <w:rsid w:val="00CE7963"/>
    <w:rsid w:val="00CF3A24"/>
    <w:rsid w:val="00CF45CB"/>
    <w:rsid w:val="00CF5D33"/>
    <w:rsid w:val="00D026E3"/>
    <w:rsid w:val="00D048C0"/>
    <w:rsid w:val="00D05592"/>
    <w:rsid w:val="00D23124"/>
    <w:rsid w:val="00D252A5"/>
    <w:rsid w:val="00D42162"/>
    <w:rsid w:val="00D43FA5"/>
    <w:rsid w:val="00D5725E"/>
    <w:rsid w:val="00D700D6"/>
    <w:rsid w:val="00D8465F"/>
    <w:rsid w:val="00D932D1"/>
    <w:rsid w:val="00DA5738"/>
    <w:rsid w:val="00DA7C6C"/>
    <w:rsid w:val="00DA7EBD"/>
    <w:rsid w:val="00DB0216"/>
    <w:rsid w:val="00DB3BF8"/>
    <w:rsid w:val="00DD0746"/>
    <w:rsid w:val="00DD45A4"/>
    <w:rsid w:val="00DE1C71"/>
    <w:rsid w:val="00DF2207"/>
    <w:rsid w:val="00DF23F3"/>
    <w:rsid w:val="00E10361"/>
    <w:rsid w:val="00E11041"/>
    <w:rsid w:val="00E151C9"/>
    <w:rsid w:val="00E2078F"/>
    <w:rsid w:val="00E2097E"/>
    <w:rsid w:val="00E43989"/>
    <w:rsid w:val="00E50467"/>
    <w:rsid w:val="00E52AC5"/>
    <w:rsid w:val="00E53F6C"/>
    <w:rsid w:val="00E56E13"/>
    <w:rsid w:val="00E633BB"/>
    <w:rsid w:val="00E726EC"/>
    <w:rsid w:val="00E77E2E"/>
    <w:rsid w:val="00E86168"/>
    <w:rsid w:val="00E92246"/>
    <w:rsid w:val="00EA4B3E"/>
    <w:rsid w:val="00EA6880"/>
    <w:rsid w:val="00EB4919"/>
    <w:rsid w:val="00EB50E5"/>
    <w:rsid w:val="00EC050D"/>
    <w:rsid w:val="00EC2703"/>
    <w:rsid w:val="00EC2C20"/>
    <w:rsid w:val="00EC500D"/>
    <w:rsid w:val="00ED2733"/>
    <w:rsid w:val="00ED7908"/>
    <w:rsid w:val="00EE5DE4"/>
    <w:rsid w:val="00EF0F17"/>
    <w:rsid w:val="00EF6237"/>
    <w:rsid w:val="00F04DC7"/>
    <w:rsid w:val="00F0698C"/>
    <w:rsid w:val="00F25974"/>
    <w:rsid w:val="00F25D10"/>
    <w:rsid w:val="00F27814"/>
    <w:rsid w:val="00F27E97"/>
    <w:rsid w:val="00F42186"/>
    <w:rsid w:val="00F75B45"/>
    <w:rsid w:val="00F86BB0"/>
    <w:rsid w:val="00F968B4"/>
    <w:rsid w:val="00F97DCC"/>
    <w:rsid w:val="00FA0ED3"/>
    <w:rsid w:val="00FA3457"/>
    <w:rsid w:val="00FA5DCE"/>
    <w:rsid w:val="00FC3525"/>
    <w:rsid w:val="00FD4F7E"/>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49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74B33"/>
    <w:rPr>
      <w:color w:val="0563C1" w:themeColor="hyperlink"/>
      <w:u w:val="single"/>
    </w:rPr>
  </w:style>
  <w:style w:type="character" w:customStyle="1" w:styleId="Heading3Char">
    <w:name w:val="Heading 3 Char"/>
    <w:basedOn w:val="DefaultParagraphFont"/>
    <w:link w:val="Heading3"/>
    <w:uiPriority w:val="9"/>
    <w:semiHidden/>
    <w:rsid w:val="0049274C"/>
    <w:rPr>
      <w:rFonts w:asciiTheme="majorHAnsi" w:eastAsiaTheme="majorEastAsia" w:hAnsiTheme="majorHAnsi" w:cstheme="majorBidi"/>
      <w:color w:val="1F4D78" w:themeColor="accent1" w:themeShade="7F"/>
      <w:sz w:val="24"/>
      <w:szCs w:val="24"/>
      <w:lang w:val="en-GB"/>
    </w:rPr>
  </w:style>
  <w:style w:type="character" w:customStyle="1" w:styleId="akn-num">
    <w:name w:val="akn-num"/>
    <w:basedOn w:val="DefaultParagraphFont"/>
    <w:rsid w:val="0049274C"/>
  </w:style>
  <w:style w:type="character" w:customStyle="1" w:styleId="akn-p">
    <w:name w:val="akn-p"/>
    <w:basedOn w:val="DefaultParagraphFont"/>
    <w:rsid w:val="0049274C"/>
  </w:style>
  <w:style w:type="paragraph" w:styleId="NormalWeb">
    <w:name w:val="Normal (Web)"/>
    <w:basedOn w:val="Normal"/>
    <w:uiPriority w:val="99"/>
    <w:semiHidden/>
    <w:unhideWhenUsed/>
    <w:rsid w:val="00187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E40CE"/>
    <w:rPr>
      <w:color w:val="808080"/>
    </w:rPr>
  </w:style>
  <w:style w:type="paragraph" w:styleId="Revision">
    <w:name w:val="Revision"/>
    <w:hidden/>
    <w:uiPriority w:val="99"/>
    <w:semiHidden/>
    <w:rsid w:val="00EE5DE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316227153">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456146584">
      <w:bodyDiv w:val="1"/>
      <w:marLeft w:val="0"/>
      <w:marRight w:val="0"/>
      <w:marTop w:val="0"/>
      <w:marBottom w:val="0"/>
      <w:divBdr>
        <w:top w:val="none" w:sz="0" w:space="0" w:color="auto"/>
        <w:left w:val="none" w:sz="0" w:space="0" w:color="auto"/>
        <w:bottom w:val="none" w:sz="0" w:space="0" w:color="auto"/>
        <w:right w:val="none" w:sz="0" w:space="0" w:color="auto"/>
      </w:divBdr>
    </w:div>
    <w:div w:id="515314726">
      <w:bodyDiv w:val="1"/>
      <w:marLeft w:val="0"/>
      <w:marRight w:val="0"/>
      <w:marTop w:val="0"/>
      <w:marBottom w:val="0"/>
      <w:divBdr>
        <w:top w:val="none" w:sz="0" w:space="0" w:color="auto"/>
        <w:left w:val="none" w:sz="0" w:space="0" w:color="auto"/>
        <w:bottom w:val="none" w:sz="0" w:space="0" w:color="auto"/>
        <w:right w:val="none" w:sz="0" w:space="0" w:color="auto"/>
      </w:divBdr>
    </w:div>
    <w:div w:id="547422514">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998969580">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 w:id="20889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si/2005/13/eng%402020-11-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si/2005/13/eng%402020-11-27" TargetMode="External"/><Relationship Id="rId5" Type="http://schemas.openxmlformats.org/officeDocument/2006/relationships/webSettings" Target="webSettings.xml"/><Relationship Id="rId10" Type="http://schemas.openxmlformats.org/officeDocument/2006/relationships/hyperlink" Target="https://seylii.org/akn/sc/act/si/2005/13/eng%402020-11-27" TargetMode="External"/><Relationship Id="rId4" Type="http://schemas.openxmlformats.org/officeDocument/2006/relationships/settings" Target="settings.xml"/><Relationship Id="rId9" Type="http://schemas.openxmlformats.org/officeDocument/2006/relationships/hyperlink" Target="https://seylii.org/akn/sc/act/si/2005/13/eng%402020-11-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767A-6028-4181-AEE8-996A313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2023-04-19T04:08:00Z</cp:lastPrinted>
  <dcterms:created xsi:type="dcterms:W3CDTF">2023-04-19T04:14:00Z</dcterms:created>
  <dcterms:modified xsi:type="dcterms:W3CDTF">2023-04-19T04:14:00Z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687a79a2af95c33c1347d139bb51c28b8ea8f3494cc1e3522e52e11375674b2f</vt:lpwstr>
  </property>
</Properties>
</file>