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9A270B" w:rsidRDefault="00957494"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 COURT OF SEYCHELLES</w:t>
      </w:r>
    </w:p>
    <w:p w:rsidR="009539C2" w:rsidRPr="009A270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9A270B" w:rsidRDefault="00ED0BFC" w:rsidP="00214DB4">
      <w:pPr>
        <w:spacing w:after="0" w:line="240" w:lineRule="auto"/>
        <w:ind w:left="5580"/>
        <w:rPr>
          <w:rFonts w:ascii="Times New Roman" w:hAnsi="Times New Roman" w:cs="Times New Roman"/>
          <w:b/>
          <w:sz w:val="24"/>
          <w:szCs w:val="24"/>
          <w:u w:val="single"/>
        </w:rPr>
      </w:pPr>
      <w:r w:rsidRPr="009A270B">
        <w:rPr>
          <w:rFonts w:ascii="Times New Roman" w:hAnsi="Times New Roman" w:cs="Times New Roman"/>
          <w:b/>
          <w:sz w:val="24"/>
          <w:szCs w:val="24"/>
          <w:u w:val="single"/>
        </w:rPr>
        <w:t>Not Reportable</w:t>
      </w:r>
      <w:r w:rsidR="00C11597" w:rsidRPr="009A270B">
        <w:rPr>
          <w:rFonts w:ascii="Times New Roman" w:hAnsi="Times New Roman" w:cs="Times New Roman"/>
          <w:b/>
          <w:sz w:val="24"/>
          <w:szCs w:val="24"/>
          <w:u w:val="single"/>
        </w:rPr>
        <w:t xml:space="preserve"> </w:t>
      </w:r>
    </w:p>
    <w:p w:rsidR="002E2AE3" w:rsidRPr="009A270B" w:rsidRDefault="009E286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C11597" w:rsidRPr="009A270B">
        <w:rPr>
          <w:rFonts w:ascii="Times New Roman" w:hAnsi="Times New Roman" w:cs="Times New Roman"/>
          <w:sz w:val="24"/>
          <w:szCs w:val="24"/>
        </w:rPr>
        <w:t xml:space="preserve">] </w:t>
      </w:r>
      <w:r w:rsidR="00C31CA8">
        <w:rPr>
          <w:rFonts w:ascii="Times New Roman" w:hAnsi="Times New Roman" w:cs="Times New Roman"/>
          <w:sz w:val="24"/>
          <w:szCs w:val="24"/>
        </w:rPr>
        <w:t>SCCC 553</w:t>
      </w:r>
    </w:p>
    <w:p w:rsidR="002E2AE3" w:rsidRPr="009A270B" w:rsidRDefault="00BB09D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w:t>
      </w:r>
      <w:r w:rsidR="00C31CA8">
        <w:rPr>
          <w:rFonts w:ascii="Times New Roman" w:hAnsi="Times New Roman" w:cs="Times New Roman"/>
          <w:sz w:val="24"/>
          <w:szCs w:val="24"/>
        </w:rPr>
        <w:t xml:space="preserve"> </w:t>
      </w:r>
      <w:r>
        <w:rPr>
          <w:rFonts w:ascii="Times New Roman" w:hAnsi="Times New Roman" w:cs="Times New Roman"/>
          <w:sz w:val="24"/>
          <w:szCs w:val="24"/>
        </w:rPr>
        <w:t>05/2020</w:t>
      </w:r>
    </w:p>
    <w:p w:rsidR="002E2AE3" w:rsidRPr="009A270B" w:rsidRDefault="002E2AE3" w:rsidP="00C11597">
      <w:pPr>
        <w:spacing w:after="0" w:line="240" w:lineRule="auto"/>
        <w:rPr>
          <w:rFonts w:ascii="Times New Roman" w:hAnsi="Times New Roman" w:cs="Times New Roman"/>
          <w:sz w:val="24"/>
          <w:szCs w:val="24"/>
        </w:rPr>
      </w:pPr>
    </w:p>
    <w:p w:rsidR="006A68E2" w:rsidRPr="009A270B" w:rsidRDefault="006A68E2" w:rsidP="00214DB4">
      <w:pPr>
        <w:spacing w:after="0" w:line="240" w:lineRule="auto"/>
        <w:ind w:left="5580"/>
        <w:rPr>
          <w:rFonts w:ascii="Times New Roman" w:hAnsi="Times New Roman" w:cs="Times New Roman"/>
          <w:sz w:val="24"/>
          <w:szCs w:val="24"/>
        </w:rPr>
      </w:pPr>
    </w:p>
    <w:p w:rsidR="002D4EB8" w:rsidRPr="009A270B" w:rsidRDefault="002D4EB8" w:rsidP="00214DB4">
      <w:pPr>
        <w:tabs>
          <w:tab w:val="left" w:pos="540"/>
          <w:tab w:val="left" w:pos="4092"/>
        </w:tabs>
        <w:spacing w:after="0" w:line="240" w:lineRule="auto"/>
        <w:rPr>
          <w:rFonts w:ascii="Times New Roman" w:hAnsi="Times New Roman" w:cs="Times New Roman"/>
          <w:sz w:val="24"/>
          <w:szCs w:val="24"/>
        </w:rPr>
      </w:pPr>
      <w:r w:rsidRPr="009A270B">
        <w:rPr>
          <w:rFonts w:ascii="Times New Roman" w:hAnsi="Times New Roman" w:cs="Times New Roman"/>
          <w:sz w:val="24"/>
          <w:szCs w:val="24"/>
        </w:rPr>
        <w:t>In the matter between</w:t>
      </w:r>
      <w:r w:rsidR="00C11597" w:rsidRPr="009A270B">
        <w:rPr>
          <w:rFonts w:ascii="Times New Roman" w:hAnsi="Times New Roman" w:cs="Times New Roman"/>
          <w:sz w:val="24"/>
          <w:szCs w:val="24"/>
        </w:rPr>
        <w:t xml:space="preserve"> </w:t>
      </w:r>
    </w:p>
    <w:p w:rsidR="002E2AE3" w:rsidRPr="009A270B" w:rsidRDefault="00822E1E" w:rsidP="00214DB4">
      <w:pPr>
        <w:pStyle w:val="Partynames"/>
      </w:pPr>
      <w:r>
        <w:t>BARBARA POIRET</w:t>
      </w:r>
      <w:r w:rsidR="00C11597" w:rsidRPr="009A270B">
        <w:tab/>
      </w:r>
      <w:r w:rsidR="006733F5">
        <w:tab/>
      </w:r>
      <w:r>
        <w:t>1</w:t>
      </w:r>
      <w:r>
        <w:rPr>
          <w:vertAlign w:val="superscript"/>
        </w:rPr>
        <w:t>st</w:t>
      </w:r>
      <w:r>
        <w:t xml:space="preserve"> Petitioner</w:t>
      </w:r>
    </w:p>
    <w:p w:rsidR="002E2AE3" w:rsidRDefault="00822E1E" w:rsidP="00214DB4">
      <w:pPr>
        <w:pStyle w:val="Attorneysnames"/>
      </w:pPr>
      <w:r>
        <w:t>(Represented by Mr. Serge Rouillon</w:t>
      </w:r>
      <w:r w:rsidR="00BC73B1" w:rsidRPr="009A270B">
        <w:t>)</w:t>
      </w:r>
    </w:p>
    <w:p w:rsidR="00822E1E" w:rsidRDefault="00822E1E" w:rsidP="00214DB4">
      <w:pPr>
        <w:pStyle w:val="Attorneysnames"/>
      </w:pPr>
    </w:p>
    <w:p w:rsidR="00822E1E" w:rsidRDefault="00822E1E" w:rsidP="00214DB4">
      <w:pPr>
        <w:pStyle w:val="Attorneysnames"/>
        <w:rPr>
          <w:b/>
          <w:i w:val="0"/>
        </w:rPr>
      </w:pPr>
      <w:r w:rsidRPr="00822E1E">
        <w:rPr>
          <w:b/>
          <w:i w:val="0"/>
        </w:rPr>
        <w:t>SYLVIA POIRET</w:t>
      </w:r>
      <w:r>
        <w:rPr>
          <w:i w:val="0"/>
        </w:rPr>
        <w:tab/>
      </w:r>
      <w:r>
        <w:rPr>
          <w:i w:val="0"/>
        </w:rPr>
        <w:tab/>
      </w:r>
      <w:r w:rsidR="006733F5">
        <w:rPr>
          <w:i w:val="0"/>
        </w:rPr>
        <w:tab/>
      </w:r>
      <w:r w:rsidRPr="00822E1E">
        <w:rPr>
          <w:b/>
          <w:i w:val="0"/>
        </w:rPr>
        <w:t>2</w:t>
      </w:r>
      <w:r>
        <w:rPr>
          <w:b/>
          <w:i w:val="0"/>
          <w:vertAlign w:val="superscript"/>
        </w:rPr>
        <w:t>st</w:t>
      </w:r>
      <w:r w:rsidRPr="00822E1E">
        <w:rPr>
          <w:b/>
          <w:i w:val="0"/>
          <w:vertAlign w:val="superscript"/>
        </w:rPr>
        <w:t xml:space="preserve"> </w:t>
      </w:r>
      <w:r w:rsidRPr="00822E1E">
        <w:rPr>
          <w:b/>
          <w:i w:val="0"/>
        </w:rPr>
        <w:t>Petitioner</w:t>
      </w:r>
    </w:p>
    <w:p w:rsidR="00822E1E" w:rsidRPr="00822E1E" w:rsidRDefault="00822E1E" w:rsidP="00214DB4">
      <w:pPr>
        <w:pStyle w:val="Attorneysnames"/>
        <w:rPr>
          <w:i w:val="0"/>
        </w:rPr>
      </w:pPr>
      <w:r w:rsidRPr="00822E1E">
        <w:t>(Represented by Mr.</w:t>
      </w:r>
      <w:r>
        <w:t xml:space="preserve"> Serge</w:t>
      </w:r>
      <w:r w:rsidRPr="00822E1E">
        <w:t xml:space="preserve"> Rouillon</w:t>
      </w:r>
      <w:r w:rsidRPr="00822E1E">
        <w:rPr>
          <w:i w:val="0"/>
        </w:rPr>
        <w:t>)</w:t>
      </w:r>
    </w:p>
    <w:p w:rsidR="00380619" w:rsidRPr="009A270B"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9A270B"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9A270B">
        <w:rPr>
          <w:rFonts w:ascii="Times New Roman" w:hAnsi="Times New Roman" w:cs="Times New Roman"/>
          <w:sz w:val="24"/>
          <w:szCs w:val="24"/>
        </w:rPr>
        <w:t>and</w:t>
      </w:r>
    </w:p>
    <w:p w:rsidR="00F33B83" w:rsidRPr="009A270B"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9A270B" w:rsidRDefault="00822E1E" w:rsidP="00214DB4">
      <w:pPr>
        <w:pStyle w:val="Partynames"/>
      </w:pPr>
      <w:r>
        <w:t>THE SEYCHELLES PENSION FUND</w:t>
      </w:r>
      <w:r w:rsidR="00C11597" w:rsidRPr="009A270B">
        <w:tab/>
      </w:r>
      <w:r w:rsidR="006733F5">
        <w:tab/>
      </w:r>
      <w:r>
        <w:t>1</w:t>
      </w:r>
      <w:r w:rsidRPr="00822E1E">
        <w:rPr>
          <w:vertAlign w:val="superscript"/>
        </w:rPr>
        <w:t>st</w:t>
      </w:r>
      <w:r>
        <w:t xml:space="preserve"> Respondent</w:t>
      </w:r>
    </w:p>
    <w:p w:rsidR="002E2AE3" w:rsidRDefault="00190206"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822E1E">
        <w:rPr>
          <w:rFonts w:ascii="Times New Roman" w:hAnsi="Times New Roman" w:cs="Times New Roman"/>
          <w:i/>
          <w:sz w:val="24"/>
          <w:szCs w:val="24"/>
        </w:rPr>
        <w:t xml:space="preserve">Represented by Mr. Oliver Chang </w:t>
      </w:r>
      <w:proofErr w:type="spellStart"/>
      <w:r w:rsidR="00822E1E">
        <w:rPr>
          <w:rFonts w:ascii="Times New Roman" w:hAnsi="Times New Roman" w:cs="Times New Roman"/>
          <w:i/>
          <w:sz w:val="24"/>
          <w:szCs w:val="24"/>
        </w:rPr>
        <w:t>Leng</w:t>
      </w:r>
      <w:proofErr w:type="spellEnd"/>
      <w:r w:rsidR="002E2AE3" w:rsidRPr="009A270B">
        <w:rPr>
          <w:rFonts w:ascii="Times New Roman" w:hAnsi="Times New Roman" w:cs="Times New Roman"/>
          <w:i/>
          <w:sz w:val="24"/>
          <w:szCs w:val="24"/>
        </w:rPr>
        <w:t>)</w:t>
      </w:r>
    </w:p>
    <w:p w:rsidR="00822E1E" w:rsidRDefault="00822E1E" w:rsidP="00214DB4">
      <w:pPr>
        <w:tabs>
          <w:tab w:val="left" w:pos="540"/>
          <w:tab w:val="left" w:pos="4092"/>
        </w:tabs>
        <w:spacing w:after="0" w:line="240" w:lineRule="auto"/>
        <w:rPr>
          <w:rFonts w:ascii="Times New Roman" w:hAnsi="Times New Roman" w:cs="Times New Roman"/>
          <w:i/>
          <w:sz w:val="24"/>
          <w:szCs w:val="24"/>
        </w:rPr>
      </w:pPr>
    </w:p>
    <w:p w:rsidR="00822E1E" w:rsidRDefault="006733F5" w:rsidP="00214DB4">
      <w:pPr>
        <w:tabs>
          <w:tab w:val="left" w:pos="540"/>
          <w:tab w:val="left" w:pos="4092"/>
        </w:tabs>
        <w:spacing w:after="0" w:line="240" w:lineRule="auto"/>
        <w:rPr>
          <w:rFonts w:ascii="Times New Roman" w:hAnsi="Times New Roman" w:cs="Times New Roman"/>
          <w:b/>
          <w:sz w:val="24"/>
          <w:szCs w:val="24"/>
        </w:rPr>
      </w:pPr>
      <w:r w:rsidRPr="006733F5">
        <w:rPr>
          <w:rFonts w:ascii="Times New Roman" w:hAnsi="Times New Roman" w:cs="Times New Roman"/>
          <w:b/>
          <w:sz w:val="24"/>
          <w:szCs w:val="24"/>
        </w:rPr>
        <w:t>MARIE ANGE WAYE-HIVE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6733F5" w:rsidRDefault="006733F5"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6733F5">
        <w:rPr>
          <w:rFonts w:ascii="Times New Roman" w:hAnsi="Times New Roman" w:cs="Times New Roman"/>
          <w:i/>
          <w:sz w:val="24"/>
          <w:szCs w:val="24"/>
        </w:rPr>
        <w:t>Represented by Mr. Oliver Chang</w:t>
      </w:r>
      <w:r>
        <w:rPr>
          <w:rFonts w:ascii="Times New Roman" w:hAnsi="Times New Roman" w:cs="Times New Roman"/>
          <w:i/>
          <w:sz w:val="24"/>
          <w:szCs w:val="24"/>
        </w:rPr>
        <w:t xml:space="preserve"> </w:t>
      </w:r>
      <w:proofErr w:type="spellStart"/>
      <w:r w:rsidRPr="006733F5">
        <w:rPr>
          <w:rFonts w:ascii="Times New Roman" w:hAnsi="Times New Roman" w:cs="Times New Roman"/>
          <w:i/>
          <w:sz w:val="24"/>
          <w:szCs w:val="24"/>
        </w:rPr>
        <w:t>leng</w:t>
      </w:r>
      <w:proofErr w:type="spellEnd"/>
      <w:r>
        <w:rPr>
          <w:rFonts w:ascii="Times New Roman" w:hAnsi="Times New Roman" w:cs="Times New Roman"/>
          <w:b/>
          <w:sz w:val="24"/>
          <w:szCs w:val="24"/>
        </w:rPr>
        <w:t>)</w:t>
      </w:r>
    </w:p>
    <w:p w:rsidR="006733F5" w:rsidRDefault="006733F5" w:rsidP="00214DB4">
      <w:pPr>
        <w:tabs>
          <w:tab w:val="left" w:pos="540"/>
          <w:tab w:val="left" w:pos="4092"/>
        </w:tabs>
        <w:spacing w:after="0" w:line="240" w:lineRule="auto"/>
        <w:rPr>
          <w:rFonts w:ascii="Times New Roman" w:hAnsi="Times New Roman" w:cs="Times New Roman"/>
          <w:b/>
          <w:sz w:val="24"/>
          <w:szCs w:val="24"/>
        </w:rPr>
      </w:pPr>
    </w:p>
    <w:p w:rsidR="006733F5" w:rsidRDefault="006733F5"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6733F5">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rsidR="006733F5" w:rsidRPr="006733F5" w:rsidRDefault="006733F5" w:rsidP="00214DB4">
      <w:pPr>
        <w:tabs>
          <w:tab w:val="left" w:pos="540"/>
          <w:tab w:val="left" w:pos="4092"/>
        </w:tabs>
        <w:spacing w:after="0" w:line="240" w:lineRule="auto"/>
        <w:rPr>
          <w:rFonts w:ascii="Times New Roman" w:hAnsi="Times New Roman" w:cs="Times New Roman"/>
          <w:b/>
          <w:sz w:val="24"/>
          <w:szCs w:val="24"/>
        </w:rPr>
      </w:pPr>
      <w:r w:rsidRPr="006733F5">
        <w:rPr>
          <w:rFonts w:ascii="Times New Roman" w:hAnsi="Times New Roman" w:cs="Times New Roman"/>
          <w:i/>
          <w:sz w:val="24"/>
          <w:szCs w:val="24"/>
        </w:rPr>
        <w:t xml:space="preserve">(Represented by Ms. Eveline </w:t>
      </w:r>
      <w:proofErr w:type="spellStart"/>
      <w:r w:rsidRPr="006733F5">
        <w:rPr>
          <w:rFonts w:ascii="Times New Roman" w:hAnsi="Times New Roman" w:cs="Times New Roman"/>
          <w:i/>
          <w:sz w:val="24"/>
          <w:szCs w:val="24"/>
        </w:rPr>
        <w:t>Ameida</w:t>
      </w:r>
      <w:proofErr w:type="spellEnd"/>
      <w:r w:rsidRPr="006733F5">
        <w:rPr>
          <w:rFonts w:ascii="Times New Roman" w:hAnsi="Times New Roman" w:cs="Times New Roman"/>
          <w:i/>
          <w:sz w:val="24"/>
          <w:szCs w:val="24"/>
        </w:rPr>
        <w:t xml:space="preserve"> and Stefan knights)</w:t>
      </w:r>
      <w:r>
        <w:rPr>
          <w:rFonts w:ascii="Times New Roman" w:hAnsi="Times New Roman" w:cs="Times New Roman"/>
          <w:i/>
          <w:sz w:val="24"/>
          <w:szCs w:val="24"/>
        </w:rPr>
        <w:tab/>
      </w:r>
    </w:p>
    <w:p w:rsidR="00BB1A3E" w:rsidRPr="009A270B"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9A270B">
        <w:rPr>
          <w:rFonts w:ascii="Times New Roman" w:hAnsi="Times New Roman" w:cs="Times New Roman"/>
          <w:b/>
          <w:sz w:val="24"/>
          <w:szCs w:val="24"/>
        </w:rPr>
        <w:t>Neutral Citation:</w:t>
      </w:r>
      <w:r w:rsidR="004A2599" w:rsidRPr="009A270B">
        <w:rPr>
          <w:rFonts w:ascii="Times New Roman" w:hAnsi="Times New Roman" w:cs="Times New Roman"/>
          <w:sz w:val="24"/>
          <w:szCs w:val="24"/>
        </w:rPr>
        <w:t xml:space="preserve"> </w:t>
      </w:r>
      <w:r w:rsidR="004A2599" w:rsidRPr="009A270B">
        <w:rPr>
          <w:rFonts w:ascii="Times New Roman" w:hAnsi="Times New Roman" w:cs="Times New Roman"/>
          <w:sz w:val="24"/>
          <w:szCs w:val="24"/>
        </w:rPr>
        <w:tab/>
      </w:r>
      <w:proofErr w:type="spellStart"/>
      <w:r w:rsidR="006733F5">
        <w:rPr>
          <w:rFonts w:ascii="Times New Roman" w:hAnsi="Times New Roman" w:cs="Times New Roman"/>
          <w:i/>
          <w:sz w:val="24"/>
          <w:szCs w:val="24"/>
        </w:rPr>
        <w:t>Poiret</w:t>
      </w:r>
      <w:proofErr w:type="spellEnd"/>
      <w:r w:rsidR="006733F5">
        <w:rPr>
          <w:rFonts w:ascii="Times New Roman" w:hAnsi="Times New Roman" w:cs="Times New Roman"/>
          <w:i/>
          <w:sz w:val="24"/>
          <w:szCs w:val="24"/>
        </w:rPr>
        <w:t xml:space="preserve"> &amp;</w:t>
      </w:r>
      <w:r w:rsidR="00C31CA8">
        <w:rPr>
          <w:rFonts w:ascii="Times New Roman" w:hAnsi="Times New Roman" w:cs="Times New Roman"/>
          <w:i/>
          <w:sz w:val="24"/>
          <w:szCs w:val="24"/>
        </w:rPr>
        <w:t xml:space="preserve"> </w:t>
      </w:r>
      <w:r w:rsidR="006733F5">
        <w:rPr>
          <w:rFonts w:ascii="Times New Roman" w:hAnsi="Times New Roman" w:cs="Times New Roman"/>
          <w:i/>
          <w:sz w:val="24"/>
          <w:szCs w:val="24"/>
        </w:rPr>
        <w:t xml:space="preserve">Or </w:t>
      </w:r>
      <w:r w:rsidR="00D31F1B" w:rsidRPr="009A270B">
        <w:rPr>
          <w:rFonts w:ascii="Times New Roman" w:hAnsi="Times New Roman" w:cs="Times New Roman"/>
          <w:i/>
          <w:sz w:val="24"/>
          <w:szCs w:val="24"/>
        </w:rPr>
        <w:t xml:space="preserve">v </w:t>
      </w:r>
      <w:r w:rsidR="006733F5">
        <w:rPr>
          <w:rFonts w:ascii="Times New Roman" w:hAnsi="Times New Roman" w:cs="Times New Roman"/>
          <w:i/>
          <w:sz w:val="24"/>
          <w:szCs w:val="24"/>
        </w:rPr>
        <w:t xml:space="preserve">The Seychelles Pension Fund &amp; </w:t>
      </w:r>
      <w:proofErr w:type="gramStart"/>
      <w:r w:rsidR="006733F5">
        <w:rPr>
          <w:rFonts w:ascii="Times New Roman" w:hAnsi="Times New Roman" w:cs="Times New Roman"/>
          <w:i/>
          <w:sz w:val="24"/>
          <w:szCs w:val="24"/>
        </w:rPr>
        <w:t>Or</w:t>
      </w:r>
      <w:proofErr w:type="gramEnd"/>
      <w:r w:rsidR="00662CEA" w:rsidRPr="009A270B">
        <w:rPr>
          <w:rFonts w:ascii="Times New Roman" w:hAnsi="Times New Roman" w:cs="Times New Roman"/>
          <w:i/>
          <w:sz w:val="24"/>
          <w:szCs w:val="24"/>
        </w:rPr>
        <w:t xml:space="preserve"> </w:t>
      </w:r>
      <w:r w:rsidR="006733F5">
        <w:rPr>
          <w:rFonts w:ascii="Times New Roman" w:hAnsi="Times New Roman" w:cs="Times New Roman"/>
          <w:sz w:val="24"/>
          <w:szCs w:val="24"/>
        </w:rPr>
        <w:t>(CP</w:t>
      </w:r>
      <w:r w:rsidR="00D31F1B" w:rsidRPr="009A270B">
        <w:rPr>
          <w:rFonts w:ascii="Times New Roman" w:hAnsi="Times New Roman" w:cs="Times New Roman"/>
          <w:sz w:val="24"/>
          <w:szCs w:val="24"/>
        </w:rPr>
        <w:t xml:space="preserve"> </w:t>
      </w:r>
      <w:r w:rsidR="006733F5">
        <w:rPr>
          <w:rFonts w:ascii="Times New Roman" w:hAnsi="Times New Roman" w:cs="Times New Roman"/>
          <w:sz w:val="24"/>
          <w:szCs w:val="24"/>
        </w:rPr>
        <w:t>05/2020) [2020</w:t>
      </w:r>
      <w:r w:rsidR="00D31F1B" w:rsidRPr="009A270B">
        <w:rPr>
          <w:rFonts w:ascii="Times New Roman" w:hAnsi="Times New Roman" w:cs="Times New Roman"/>
          <w:sz w:val="24"/>
          <w:szCs w:val="24"/>
        </w:rPr>
        <w:t xml:space="preserve">] </w:t>
      </w:r>
      <w:r w:rsidR="00C31CA8">
        <w:rPr>
          <w:rFonts w:ascii="Times New Roman" w:hAnsi="Times New Roman" w:cs="Times New Roman"/>
          <w:sz w:val="24"/>
          <w:szCs w:val="24"/>
        </w:rPr>
        <w:t>SCCC</w:t>
      </w:r>
      <w:bookmarkStart w:id="0" w:name="_GoBack"/>
      <w:bookmarkEnd w:id="0"/>
      <w:r w:rsidR="00C31CA8">
        <w:rPr>
          <w:rFonts w:ascii="Times New Roman" w:hAnsi="Times New Roman" w:cs="Times New Roman"/>
          <w:sz w:val="24"/>
          <w:szCs w:val="24"/>
        </w:rPr>
        <w:t xml:space="preserve"> 553 </w:t>
      </w:r>
      <w:r w:rsidR="006733F5">
        <w:rPr>
          <w:rFonts w:ascii="Times New Roman" w:hAnsi="Times New Roman" w:cs="Times New Roman"/>
          <w:sz w:val="24"/>
          <w:szCs w:val="24"/>
        </w:rPr>
        <w:t>(21</w:t>
      </w:r>
      <w:r w:rsidR="00662CEA" w:rsidRPr="009A270B">
        <w:rPr>
          <w:rFonts w:ascii="Times New Roman" w:hAnsi="Times New Roman" w:cs="Times New Roman"/>
          <w:sz w:val="24"/>
          <w:szCs w:val="24"/>
        </w:rPr>
        <w:t xml:space="preserve"> </w:t>
      </w:r>
      <w:r w:rsidR="006733F5">
        <w:rPr>
          <w:rFonts w:ascii="Times New Roman" w:hAnsi="Times New Roman" w:cs="Times New Roman"/>
          <w:sz w:val="24"/>
          <w:szCs w:val="24"/>
        </w:rPr>
        <w:t>July</w:t>
      </w:r>
      <w:r w:rsidR="00662CEA" w:rsidRPr="009A270B">
        <w:rPr>
          <w:rFonts w:ascii="Times New Roman" w:hAnsi="Times New Roman" w:cs="Times New Roman"/>
          <w:sz w:val="24"/>
          <w:szCs w:val="24"/>
        </w:rPr>
        <w:t xml:space="preserve"> </w:t>
      </w:r>
      <w:r w:rsidR="006733F5">
        <w:rPr>
          <w:rFonts w:ascii="Times New Roman" w:hAnsi="Times New Roman" w:cs="Times New Roman"/>
          <w:sz w:val="24"/>
          <w:szCs w:val="24"/>
        </w:rPr>
        <w:t>2020</w:t>
      </w:r>
      <w:r w:rsidR="00D31F1B" w:rsidRPr="009A270B">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733F5">
        <w:rPr>
          <w:rFonts w:ascii="Times New Roman" w:hAnsi="Times New Roman" w:cs="Times New Roman"/>
          <w:sz w:val="24"/>
          <w:szCs w:val="24"/>
        </w:rPr>
        <w:t>Vidot</w:t>
      </w:r>
      <w:r w:rsidR="00A16843">
        <w:rPr>
          <w:rFonts w:ascii="Times New Roman" w:hAnsi="Times New Roman" w:cs="Times New Roman"/>
          <w:sz w:val="24"/>
          <w:szCs w:val="24"/>
        </w:rPr>
        <w:t xml:space="preserve"> </w:t>
      </w:r>
      <w:r w:rsidR="006733F5">
        <w:rPr>
          <w:rFonts w:ascii="Times New Roman" w:hAnsi="Times New Roman" w:cs="Times New Roman"/>
          <w:sz w:val="24"/>
          <w:szCs w:val="24"/>
        </w:rPr>
        <w:t>Presiding Judge</w:t>
      </w:r>
      <w:r w:rsidR="00B2151E">
        <w:rPr>
          <w:rFonts w:ascii="Times New Roman" w:hAnsi="Times New Roman" w:cs="Times New Roman"/>
          <w:sz w:val="24"/>
          <w:szCs w:val="24"/>
        </w:rPr>
        <w:t>, L. Pillay J, E. Carolus J</w:t>
      </w:r>
      <w:r w:rsidR="006733F5">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2151E">
        <w:rPr>
          <w:rFonts w:ascii="Times New Roman" w:hAnsi="Times New Roman" w:cs="Times New Roman"/>
          <w:sz w:val="24"/>
          <w:szCs w:val="24"/>
        </w:rPr>
        <w:t>21 July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2151E">
        <w:rPr>
          <w:rFonts w:ascii="Times New Roman" w:hAnsi="Times New Roman" w:cs="Times New Roman"/>
          <w:sz w:val="24"/>
          <w:szCs w:val="24"/>
        </w:rPr>
        <w:t>21 July 2020</w:t>
      </w:r>
    </w:p>
    <w:p w:rsidR="00A16843" w:rsidRPr="00F33B83" w:rsidRDefault="00A16843" w:rsidP="00214DB4">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2151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REMARKS </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2151E" w:rsidP="005B12AA">
      <w:pPr>
        <w:pStyle w:val="JudgmentText"/>
        <w:numPr>
          <w:ilvl w:val="0"/>
          <w:numId w:val="0"/>
        </w:numPr>
        <w:spacing w:line="480" w:lineRule="auto"/>
        <w:ind w:left="720" w:hanging="720"/>
        <w:rPr>
          <w:b/>
        </w:rPr>
      </w:pPr>
      <w:r>
        <w:rPr>
          <w:b/>
        </w:rPr>
        <w:t>Vidot</w:t>
      </w:r>
      <w:r w:rsidR="00A16843">
        <w:rPr>
          <w:b/>
        </w:rPr>
        <w:t xml:space="preserve"> </w:t>
      </w:r>
      <w:r>
        <w:rPr>
          <w:b/>
        </w:rPr>
        <w:t>J, Pillay J, Carolus J</w:t>
      </w:r>
    </w:p>
    <w:p w:rsidR="000829A4" w:rsidRPr="00883226" w:rsidRDefault="00B2151E" w:rsidP="00883226">
      <w:pPr>
        <w:pStyle w:val="JudgmentText"/>
        <w:rPr>
          <w:rFonts w:eastAsia="Calibri"/>
        </w:rPr>
      </w:pPr>
      <w:r>
        <w:rPr>
          <w:rFonts w:eastAsia="Calibri"/>
        </w:rPr>
        <w:t>We have some</w:t>
      </w:r>
      <w:r w:rsidRPr="00B2151E">
        <w:rPr>
          <w:rFonts w:eastAsia="Calibri"/>
        </w:rPr>
        <w:t xml:space="preserve"> remarks </w:t>
      </w:r>
      <w:r>
        <w:rPr>
          <w:rFonts w:eastAsia="Calibri"/>
        </w:rPr>
        <w:t xml:space="preserve">which we wish to address to counsels in </w:t>
      </w:r>
      <w:r w:rsidRPr="00B2151E">
        <w:rPr>
          <w:rFonts w:eastAsia="Calibri"/>
        </w:rPr>
        <w:t xml:space="preserve">regards to </w:t>
      </w:r>
      <w:r>
        <w:rPr>
          <w:rFonts w:eastAsia="Calibri"/>
        </w:rPr>
        <w:t xml:space="preserve">their role and duty </w:t>
      </w:r>
      <w:proofErr w:type="gramStart"/>
      <w:r w:rsidRPr="00B2151E">
        <w:rPr>
          <w:rFonts w:eastAsia="Calibri"/>
          <w:i/>
        </w:rPr>
        <w:t>vis</w:t>
      </w:r>
      <w:proofErr w:type="gramEnd"/>
      <w:r w:rsidRPr="00B2151E">
        <w:rPr>
          <w:rFonts w:eastAsia="Calibri"/>
          <w:i/>
        </w:rPr>
        <w:t xml:space="preserve"> a vis </w:t>
      </w:r>
      <w:r w:rsidRPr="000829A4">
        <w:rPr>
          <w:rFonts w:eastAsia="Calibri"/>
        </w:rPr>
        <w:t>the Court an</w:t>
      </w:r>
      <w:r w:rsidR="000829A4" w:rsidRPr="000829A4">
        <w:rPr>
          <w:rFonts w:eastAsia="Calibri"/>
        </w:rPr>
        <w:t xml:space="preserve">d the Administration of Justice and as officers of the Court. We </w:t>
      </w:r>
      <w:r w:rsidR="000829A4" w:rsidRPr="000829A4">
        <w:rPr>
          <w:rFonts w:eastAsia="Calibri"/>
        </w:rPr>
        <w:lastRenderedPageBreak/>
        <w:t>further would like</w:t>
      </w:r>
      <w:r w:rsidR="000829A4">
        <w:rPr>
          <w:rFonts w:eastAsia="Calibri"/>
        </w:rPr>
        <w:t xml:space="preserve"> remind</w:t>
      </w:r>
      <w:r w:rsidR="000829A4">
        <w:rPr>
          <w:rFonts w:eastAsia="Calibri"/>
          <w:i/>
        </w:rPr>
        <w:t xml:space="preserve"> </w:t>
      </w:r>
      <w:r w:rsidRPr="00B2151E">
        <w:rPr>
          <w:rFonts w:eastAsia="Calibri"/>
        </w:rPr>
        <w:t xml:space="preserve">counsels </w:t>
      </w:r>
      <w:r w:rsidR="000829A4">
        <w:rPr>
          <w:rFonts w:eastAsia="Calibri"/>
        </w:rPr>
        <w:t>of the Legal Practitioners Act and Rules of conduct which regulate their profession.</w:t>
      </w:r>
    </w:p>
    <w:p w:rsidR="001664A9" w:rsidRPr="00883226" w:rsidRDefault="000829A4" w:rsidP="00883226">
      <w:pPr>
        <w:pStyle w:val="JudgmentText"/>
        <w:rPr>
          <w:rFonts w:eastAsia="Calibri"/>
        </w:rPr>
      </w:pPr>
      <w:r>
        <w:rPr>
          <w:rFonts w:eastAsia="Calibri"/>
        </w:rPr>
        <w:t>A litigant who is diss</w:t>
      </w:r>
      <w:r w:rsidR="00B2151E" w:rsidRPr="00B2151E">
        <w:rPr>
          <w:rFonts w:eastAsia="Calibri"/>
        </w:rPr>
        <w:t xml:space="preserve">atisfied by a judgment </w:t>
      </w:r>
      <w:r>
        <w:rPr>
          <w:rFonts w:eastAsia="Calibri"/>
        </w:rPr>
        <w:t>h</w:t>
      </w:r>
      <w:r w:rsidR="00B2151E" w:rsidRPr="00B2151E">
        <w:rPr>
          <w:rFonts w:eastAsia="Calibri"/>
        </w:rPr>
        <w:t>as clear avenues to follow</w:t>
      </w:r>
      <w:r>
        <w:rPr>
          <w:rFonts w:eastAsia="Calibri"/>
        </w:rPr>
        <w:t>,</w:t>
      </w:r>
      <w:r w:rsidR="00B2151E" w:rsidRPr="00B2151E">
        <w:rPr>
          <w:rFonts w:eastAsia="Calibri"/>
        </w:rPr>
        <w:t xml:space="preserve"> including lodging an appeal against the said judgment. Section 120</w:t>
      </w:r>
      <w:r>
        <w:rPr>
          <w:rFonts w:eastAsia="Calibri"/>
        </w:rPr>
        <w:t xml:space="preserve"> (2)</w:t>
      </w:r>
      <w:r w:rsidR="00B2151E" w:rsidRPr="00B2151E">
        <w:rPr>
          <w:rFonts w:eastAsia="Calibri"/>
        </w:rPr>
        <w:t xml:space="preserve"> of the Constitution </w:t>
      </w:r>
      <w:r>
        <w:rPr>
          <w:rFonts w:eastAsia="Calibri"/>
        </w:rPr>
        <w:t>entrenches</w:t>
      </w:r>
      <w:r w:rsidR="00B2151E" w:rsidRPr="00B2151E">
        <w:rPr>
          <w:rFonts w:eastAsia="Calibri"/>
        </w:rPr>
        <w:t xml:space="preserve"> the right of appeal</w:t>
      </w:r>
      <w:r>
        <w:rPr>
          <w:rFonts w:eastAsia="Calibri"/>
        </w:rPr>
        <w:t xml:space="preserve"> to the Court of Appeal from a j</w:t>
      </w:r>
      <w:r w:rsidR="00B2151E" w:rsidRPr="00B2151E">
        <w:rPr>
          <w:rFonts w:eastAsia="Calibri"/>
        </w:rPr>
        <w:t>udgment, direction, decision, declaration, decree</w:t>
      </w:r>
      <w:r w:rsidR="007844FD">
        <w:rPr>
          <w:rFonts w:eastAsia="Calibri"/>
        </w:rPr>
        <w:t>, writ or o</w:t>
      </w:r>
      <w:r w:rsidR="00B2151E" w:rsidRPr="00B2151E">
        <w:rPr>
          <w:rFonts w:eastAsia="Calibri"/>
        </w:rPr>
        <w:t>rder of the Supreme Court</w:t>
      </w:r>
      <w:r w:rsidR="007844FD">
        <w:rPr>
          <w:rFonts w:eastAsia="Calibri"/>
        </w:rPr>
        <w:t>,</w:t>
      </w:r>
      <w:r w:rsidR="00B2151E" w:rsidRPr="00B2151E">
        <w:rPr>
          <w:rFonts w:eastAsia="Calibri"/>
        </w:rPr>
        <w:t xml:space="preserve"> </w:t>
      </w:r>
      <w:r w:rsidR="007844FD">
        <w:rPr>
          <w:rFonts w:eastAsia="Calibri"/>
        </w:rPr>
        <w:t>subject to any other applicable legislation</w:t>
      </w:r>
      <w:r w:rsidR="00B2151E" w:rsidRPr="00B2151E">
        <w:rPr>
          <w:rFonts w:eastAsia="Calibri"/>
        </w:rPr>
        <w:t>. This means that Petitioners have an avenue to app</w:t>
      </w:r>
      <w:r w:rsidR="007844FD">
        <w:rPr>
          <w:rFonts w:eastAsia="Calibri"/>
        </w:rPr>
        <w:t>eal against j</w:t>
      </w:r>
      <w:r w:rsidR="00B2151E" w:rsidRPr="00B2151E">
        <w:rPr>
          <w:rFonts w:eastAsia="Calibri"/>
        </w:rPr>
        <w:t>udgments without attacking the integrity</w:t>
      </w:r>
      <w:r w:rsidR="007844FD">
        <w:rPr>
          <w:rFonts w:eastAsia="Calibri"/>
        </w:rPr>
        <w:t xml:space="preserve"> of the j</w:t>
      </w:r>
      <w:r w:rsidR="00B2151E" w:rsidRPr="00B2151E">
        <w:rPr>
          <w:rFonts w:eastAsia="Calibri"/>
        </w:rPr>
        <w:t>udge</w:t>
      </w:r>
      <w:r w:rsidR="007844FD">
        <w:rPr>
          <w:rFonts w:eastAsia="Calibri"/>
        </w:rPr>
        <w:t>.</w:t>
      </w:r>
      <w:r w:rsidR="00B2151E" w:rsidRPr="00B2151E">
        <w:rPr>
          <w:rFonts w:eastAsia="Calibri"/>
        </w:rPr>
        <w:t xml:space="preserve"> </w:t>
      </w:r>
      <w:r w:rsidR="007844FD">
        <w:rPr>
          <w:rFonts w:eastAsia="Calibri"/>
        </w:rPr>
        <w:t>R</w:t>
      </w:r>
      <w:r w:rsidR="00B2151E" w:rsidRPr="00B2151E">
        <w:rPr>
          <w:rFonts w:eastAsia="Calibri"/>
        </w:rPr>
        <w:t xml:space="preserve">aising issue of </w:t>
      </w:r>
      <w:r w:rsidR="007844FD" w:rsidRPr="007844FD">
        <w:rPr>
          <w:rFonts w:eastAsia="Calibri"/>
        </w:rPr>
        <w:t>bias</w:t>
      </w:r>
      <w:r w:rsidR="00B2151E" w:rsidRPr="00B2151E">
        <w:rPr>
          <w:rFonts w:eastAsia="Calibri"/>
        </w:rPr>
        <w:t xml:space="preserve"> and misdirection </w:t>
      </w:r>
      <w:r w:rsidR="007844FD">
        <w:rPr>
          <w:rFonts w:eastAsia="Calibri"/>
        </w:rPr>
        <w:t>by the trial j</w:t>
      </w:r>
      <w:r w:rsidR="00B2151E" w:rsidRPr="00B2151E">
        <w:rPr>
          <w:rFonts w:eastAsia="Calibri"/>
        </w:rPr>
        <w:t>udge before the Constitutional Court is clearly misplaced</w:t>
      </w:r>
      <w:r w:rsidR="007844FD">
        <w:rPr>
          <w:rFonts w:eastAsia="Calibri"/>
        </w:rPr>
        <w:t>. An</w:t>
      </w:r>
      <w:r w:rsidR="00B2151E" w:rsidRPr="00B2151E">
        <w:rPr>
          <w:rFonts w:eastAsia="Calibri"/>
        </w:rPr>
        <w:t xml:space="preserve"> allegation that a trial Court misdirected itself on the application of the law is a clear ground of appeal</w:t>
      </w:r>
      <w:r w:rsidR="007844FD">
        <w:rPr>
          <w:rFonts w:eastAsia="Calibri"/>
        </w:rPr>
        <w:t>. W</w:t>
      </w:r>
      <w:r w:rsidR="00B2151E" w:rsidRPr="00B2151E">
        <w:rPr>
          <w:rFonts w:eastAsia="Calibri"/>
        </w:rPr>
        <w:t xml:space="preserve">here the allegations of </w:t>
      </w:r>
      <w:r w:rsidR="007844FD" w:rsidRPr="007844FD">
        <w:rPr>
          <w:rFonts w:eastAsia="Calibri"/>
        </w:rPr>
        <w:t>bias</w:t>
      </w:r>
      <w:r w:rsidR="00B2151E" w:rsidRPr="00B2151E">
        <w:rPr>
          <w:rFonts w:eastAsia="Calibri"/>
        </w:rPr>
        <w:t xml:space="preserve"> are unfounded</w:t>
      </w:r>
      <w:r w:rsidR="007844FD">
        <w:rPr>
          <w:rFonts w:eastAsia="Calibri"/>
        </w:rPr>
        <w:t>,</w:t>
      </w:r>
      <w:r w:rsidR="00B2151E" w:rsidRPr="00B2151E">
        <w:rPr>
          <w:rFonts w:eastAsia="Calibri"/>
        </w:rPr>
        <w:t xml:space="preserve"> it must be noted that the attacks have the effect of </w:t>
      </w:r>
      <w:r w:rsidR="007844FD" w:rsidRPr="007844FD">
        <w:rPr>
          <w:rFonts w:eastAsia="Calibri"/>
        </w:rPr>
        <w:t>undermining</w:t>
      </w:r>
      <w:r w:rsidR="00B2151E" w:rsidRPr="00B2151E">
        <w:rPr>
          <w:rFonts w:eastAsia="Calibri"/>
        </w:rPr>
        <w:t xml:space="preserve"> </w:t>
      </w:r>
      <w:r w:rsidR="001664A9">
        <w:rPr>
          <w:rFonts w:eastAsia="Calibri"/>
        </w:rPr>
        <w:t xml:space="preserve">the </w:t>
      </w:r>
      <w:r w:rsidR="00B2151E" w:rsidRPr="00B2151E">
        <w:rPr>
          <w:rFonts w:eastAsia="Calibri"/>
        </w:rPr>
        <w:t xml:space="preserve">authority of the Court and </w:t>
      </w:r>
      <w:r w:rsidR="001664A9" w:rsidRPr="001664A9">
        <w:rPr>
          <w:rFonts w:eastAsia="Calibri"/>
        </w:rPr>
        <w:t>can create a</w:t>
      </w:r>
      <w:r w:rsidR="00B2151E" w:rsidRPr="00B2151E">
        <w:rPr>
          <w:rFonts w:eastAsia="Calibri"/>
        </w:rPr>
        <w:t xml:space="preserve"> distrust in the capacity </w:t>
      </w:r>
      <w:r w:rsidR="001664A9">
        <w:rPr>
          <w:rFonts w:eastAsia="Calibri"/>
        </w:rPr>
        <w:t>of all j</w:t>
      </w:r>
      <w:r w:rsidR="00B2151E" w:rsidRPr="00B2151E">
        <w:rPr>
          <w:rFonts w:eastAsia="Calibri"/>
        </w:rPr>
        <w:t>udges in the administration of justice.</w:t>
      </w:r>
    </w:p>
    <w:p w:rsidR="00EC6DF4" w:rsidRPr="00771124" w:rsidRDefault="00B2151E" w:rsidP="00EC6DF4">
      <w:pPr>
        <w:pStyle w:val="JudgmentText"/>
        <w:rPr>
          <w:rFonts w:eastAsia="Calibri"/>
          <w:b/>
          <w:i/>
        </w:rPr>
      </w:pPr>
      <w:r w:rsidRPr="00B2151E">
        <w:rPr>
          <w:rFonts w:eastAsia="Calibri"/>
        </w:rPr>
        <w:t xml:space="preserve"> The Legal Practitioners Act and the </w:t>
      </w:r>
      <w:r w:rsidR="001664A9">
        <w:rPr>
          <w:rFonts w:eastAsia="Calibri"/>
        </w:rPr>
        <w:t>Rules of Conduct under the A</w:t>
      </w:r>
      <w:r w:rsidRPr="00B2151E">
        <w:rPr>
          <w:rFonts w:eastAsia="Calibri"/>
        </w:rPr>
        <w:t xml:space="preserve">ct regulate the conduct of legal practitioners as officers of the Court. A legal practitioner has an overriding duty </w:t>
      </w:r>
      <w:r w:rsidR="001664A9">
        <w:rPr>
          <w:rFonts w:eastAsia="Calibri"/>
        </w:rPr>
        <w:t xml:space="preserve">as an officer of the Court, </w:t>
      </w:r>
      <w:r w:rsidRPr="00B2151E">
        <w:rPr>
          <w:rFonts w:eastAsia="Calibri"/>
        </w:rPr>
        <w:t>to uphold the rule of law and to facilitate the adm</w:t>
      </w:r>
      <w:r w:rsidR="001664A9">
        <w:rPr>
          <w:rFonts w:eastAsia="Calibri"/>
        </w:rPr>
        <w:t>inistration</w:t>
      </w:r>
      <w:r w:rsidR="00E20A60">
        <w:rPr>
          <w:rFonts w:eastAsia="Calibri"/>
        </w:rPr>
        <w:t xml:space="preserve"> of justice</w:t>
      </w:r>
      <w:r w:rsidR="001664A9">
        <w:rPr>
          <w:rFonts w:eastAsia="Calibri"/>
        </w:rPr>
        <w:t>.</w:t>
      </w:r>
      <w:r w:rsidR="00771124">
        <w:rPr>
          <w:rFonts w:eastAsia="Calibri"/>
          <w:vertAlign w:val="superscript"/>
        </w:rPr>
        <w:t>1</w:t>
      </w:r>
      <w:r w:rsidR="00771124">
        <w:rPr>
          <w:rFonts w:eastAsia="Calibri"/>
        </w:rPr>
        <w:t xml:space="preserve"> </w:t>
      </w:r>
      <w:r w:rsidR="005B3B5E">
        <w:rPr>
          <w:rFonts w:eastAsia="Calibri"/>
        </w:rPr>
        <w:t>In addition, the legal</w:t>
      </w:r>
      <w:r w:rsidR="004D4FC7">
        <w:rPr>
          <w:rFonts w:eastAsia="Calibri"/>
        </w:rPr>
        <w:t xml:space="preserve"> practitioner</w:t>
      </w:r>
      <w:r w:rsidRPr="00B2151E">
        <w:rPr>
          <w:rFonts w:eastAsia="Calibri"/>
        </w:rPr>
        <w:t xml:space="preserve"> must not engage in any conduct that is </w:t>
      </w:r>
      <w:r w:rsidR="0087280E" w:rsidRPr="0087280E">
        <w:rPr>
          <w:rFonts w:eastAsia="Calibri"/>
        </w:rPr>
        <w:t>prejudicial</w:t>
      </w:r>
      <w:r w:rsidRPr="00B2151E">
        <w:rPr>
          <w:rFonts w:eastAsia="Calibri"/>
        </w:rPr>
        <w:t xml:space="preserve"> to the admi</w:t>
      </w:r>
      <w:r w:rsidR="0087280E">
        <w:rPr>
          <w:rFonts w:eastAsia="Calibri"/>
        </w:rPr>
        <w:t>nistration of j</w:t>
      </w:r>
      <w:r w:rsidRPr="00B2151E">
        <w:rPr>
          <w:rFonts w:eastAsia="Calibri"/>
        </w:rPr>
        <w:t>ustice.</w:t>
      </w:r>
      <w:r w:rsidR="00771124">
        <w:rPr>
          <w:rFonts w:eastAsia="Calibri"/>
          <w:vertAlign w:val="superscript"/>
        </w:rPr>
        <w:t>2</w:t>
      </w:r>
      <w:r w:rsidR="0087280E">
        <w:rPr>
          <w:rFonts w:eastAsia="Calibri"/>
        </w:rPr>
        <w:t xml:space="preserve"> </w:t>
      </w:r>
      <w:r w:rsidRPr="00B2151E">
        <w:rPr>
          <w:rFonts w:eastAsia="Calibri"/>
        </w:rPr>
        <w:t>A legal practitioner is further prohibited from making any allegation against a person</w:t>
      </w:r>
      <w:r w:rsidR="0087280E">
        <w:rPr>
          <w:rFonts w:eastAsia="Calibri"/>
        </w:rPr>
        <w:t>’s</w:t>
      </w:r>
      <w:r w:rsidRPr="00B2151E">
        <w:rPr>
          <w:rFonts w:eastAsia="Calibri"/>
        </w:rPr>
        <w:t xml:space="preserve"> reputation or allow</w:t>
      </w:r>
      <w:r w:rsidR="004D4FC7">
        <w:rPr>
          <w:rFonts w:eastAsia="Calibri"/>
        </w:rPr>
        <w:t>ing</w:t>
      </w:r>
      <w:r w:rsidRPr="00B2151E">
        <w:rPr>
          <w:rFonts w:eastAsia="Calibri"/>
        </w:rPr>
        <w:t xml:space="preserve"> any documents to be lodge</w:t>
      </w:r>
      <w:r w:rsidR="0087280E">
        <w:rPr>
          <w:rFonts w:eastAsia="Calibri"/>
        </w:rPr>
        <w:t>d</w:t>
      </w:r>
      <w:r w:rsidRPr="00B2151E">
        <w:rPr>
          <w:rFonts w:eastAsia="Calibri"/>
        </w:rPr>
        <w:t xml:space="preserve"> which </w:t>
      </w:r>
      <w:r w:rsidR="0087280E">
        <w:rPr>
          <w:rFonts w:eastAsia="Calibri"/>
        </w:rPr>
        <w:t>alleges</w:t>
      </w:r>
      <w:r w:rsidRPr="00B2151E">
        <w:rPr>
          <w:rFonts w:eastAsia="Calibri"/>
        </w:rPr>
        <w:t xml:space="preserve"> </w:t>
      </w:r>
      <w:r w:rsidR="0087280E">
        <w:rPr>
          <w:rFonts w:eastAsia="Calibri"/>
        </w:rPr>
        <w:t>criminality</w:t>
      </w:r>
      <w:r w:rsidRPr="00B2151E">
        <w:rPr>
          <w:rFonts w:eastAsia="Calibri"/>
        </w:rPr>
        <w:t>, fraud</w:t>
      </w:r>
      <w:r w:rsidR="0087280E">
        <w:rPr>
          <w:rFonts w:eastAsia="Calibri"/>
        </w:rPr>
        <w:t xml:space="preserve"> or</w:t>
      </w:r>
      <w:r w:rsidRPr="00B2151E">
        <w:rPr>
          <w:rFonts w:eastAsia="Calibri"/>
        </w:rPr>
        <w:t xml:space="preserve"> other misconduct</w:t>
      </w:r>
      <w:r w:rsidR="004D4FC7">
        <w:rPr>
          <w:rFonts w:eastAsia="Calibri"/>
        </w:rPr>
        <w:t>, unless</w:t>
      </w:r>
      <w:r w:rsidR="0087280E">
        <w:rPr>
          <w:rFonts w:eastAsia="Calibri"/>
        </w:rPr>
        <w:t xml:space="preserve"> he/</w:t>
      </w:r>
      <w:r w:rsidR="004D4FC7">
        <w:rPr>
          <w:rFonts w:eastAsia="Calibri"/>
        </w:rPr>
        <w:t>she has reasonable grounds to believe</w:t>
      </w:r>
      <w:r w:rsidRPr="00B2151E">
        <w:rPr>
          <w:rFonts w:eastAsia="Calibri"/>
        </w:rPr>
        <w:t xml:space="preserve"> the fact</w:t>
      </w:r>
      <w:r w:rsidR="0087280E">
        <w:rPr>
          <w:rFonts w:eastAsia="Calibri"/>
        </w:rPr>
        <w:t xml:space="preserve">ual </w:t>
      </w:r>
      <w:r w:rsidRPr="00B2151E">
        <w:rPr>
          <w:rFonts w:eastAsia="Calibri"/>
        </w:rPr>
        <w:t xml:space="preserve">material available to the practitioner provides a </w:t>
      </w:r>
      <w:r w:rsidR="003148DE" w:rsidRPr="003148DE">
        <w:rPr>
          <w:rFonts w:eastAsia="Calibri"/>
          <w:i/>
        </w:rPr>
        <w:t>prima facie</w:t>
      </w:r>
      <w:r w:rsidRPr="00B2151E">
        <w:rPr>
          <w:rFonts w:eastAsia="Calibri"/>
        </w:rPr>
        <w:t xml:space="preserve"> case for the allegation</w:t>
      </w:r>
      <w:r w:rsidR="003148DE">
        <w:rPr>
          <w:rFonts w:eastAsia="Calibri"/>
        </w:rPr>
        <w:t>.</w:t>
      </w:r>
      <w:r w:rsidR="00771124">
        <w:rPr>
          <w:rFonts w:eastAsia="Calibri"/>
          <w:vertAlign w:val="superscript"/>
        </w:rPr>
        <w:t>3</w:t>
      </w:r>
    </w:p>
    <w:p w:rsidR="00771124" w:rsidRDefault="00771124" w:rsidP="00771124">
      <w:pPr>
        <w:pStyle w:val="JudgmentText"/>
        <w:numPr>
          <w:ilvl w:val="0"/>
          <w:numId w:val="0"/>
        </w:numPr>
        <w:rPr>
          <w:rFonts w:eastAsia="Calibri"/>
          <w:u w:val="thick"/>
          <w:vertAlign w:val="superscript"/>
        </w:rPr>
      </w:pPr>
    </w:p>
    <w:p w:rsidR="005B3B5E" w:rsidRDefault="005B3B5E" w:rsidP="00771124">
      <w:pPr>
        <w:pStyle w:val="JudgmentText"/>
        <w:numPr>
          <w:ilvl w:val="0"/>
          <w:numId w:val="0"/>
        </w:numPr>
        <w:rPr>
          <w:rFonts w:eastAsia="Calibri"/>
          <w:u w:val="thick"/>
          <w:vertAlign w:val="superscript"/>
        </w:rPr>
      </w:pPr>
    </w:p>
    <w:p w:rsidR="00771124" w:rsidRPr="00771124" w:rsidRDefault="00771124" w:rsidP="00771124">
      <w:pPr>
        <w:pStyle w:val="JudgmentText"/>
        <w:numPr>
          <w:ilvl w:val="0"/>
          <w:numId w:val="0"/>
        </w:numPr>
        <w:rPr>
          <w:rFonts w:eastAsia="Calibri"/>
          <w:u w:val="single"/>
        </w:rPr>
      </w:pPr>
      <w:r w:rsidRPr="00771124">
        <w:rPr>
          <w:rFonts w:eastAsia="Calibri"/>
          <w:b/>
          <w:i/>
          <w:u w:val="single"/>
        </w:rPr>
        <w:t xml:space="preserve"> </w:t>
      </w:r>
      <w:r w:rsidRPr="00771124">
        <w:rPr>
          <w:rFonts w:eastAsia="Calibri"/>
          <w:u w:val="single"/>
        </w:rPr>
        <w:tab/>
      </w:r>
      <w:r w:rsidRPr="00771124">
        <w:rPr>
          <w:rFonts w:eastAsia="Calibri"/>
          <w:u w:val="single"/>
        </w:rPr>
        <w:tab/>
      </w:r>
      <w:r w:rsidRPr="00771124">
        <w:rPr>
          <w:rFonts w:eastAsia="Calibri"/>
          <w:u w:val="single"/>
        </w:rPr>
        <w:tab/>
      </w:r>
      <w:r w:rsidRPr="00771124">
        <w:rPr>
          <w:rFonts w:eastAsia="Calibri"/>
          <w:u w:val="single"/>
        </w:rPr>
        <w:tab/>
      </w:r>
    </w:p>
    <w:p w:rsidR="00EC6DF4" w:rsidRPr="00A85C1F" w:rsidRDefault="00EC6DF4" w:rsidP="00771124">
      <w:pPr>
        <w:pStyle w:val="JudgmentText"/>
        <w:numPr>
          <w:ilvl w:val="0"/>
          <w:numId w:val="0"/>
        </w:numPr>
        <w:spacing w:after="0" w:line="240" w:lineRule="auto"/>
        <w:ind w:left="720" w:hanging="720"/>
        <w:rPr>
          <w:rFonts w:eastAsia="Calibri"/>
          <w:sz w:val="20"/>
          <w:szCs w:val="20"/>
        </w:rPr>
      </w:pPr>
      <w:r w:rsidRPr="00A85C1F">
        <w:rPr>
          <w:rFonts w:eastAsia="Calibri"/>
          <w:sz w:val="20"/>
          <w:szCs w:val="20"/>
        </w:rPr>
        <w:t>1.</w:t>
      </w:r>
      <w:r w:rsidR="00771124" w:rsidRPr="00A85C1F">
        <w:rPr>
          <w:rFonts w:eastAsia="Calibri"/>
          <w:sz w:val="20"/>
          <w:szCs w:val="20"/>
        </w:rPr>
        <w:t xml:space="preserve"> </w:t>
      </w:r>
      <w:r w:rsidRPr="00A85C1F">
        <w:rPr>
          <w:rFonts w:eastAsia="Calibri"/>
          <w:sz w:val="20"/>
          <w:szCs w:val="20"/>
        </w:rPr>
        <w:t>Legal Practitioners Act (Professional Conduct Rules 2013), Rule 4(1), read with Rule 14(1).</w:t>
      </w:r>
    </w:p>
    <w:p w:rsidR="00EC6DF4" w:rsidRPr="00A85C1F" w:rsidRDefault="00771124" w:rsidP="00771124">
      <w:pPr>
        <w:pStyle w:val="JudgmentText"/>
        <w:numPr>
          <w:ilvl w:val="0"/>
          <w:numId w:val="0"/>
        </w:numPr>
        <w:spacing w:after="0" w:line="240" w:lineRule="auto"/>
        <w:ind w:left="720" w:hanging="720"/>
        <w:rPr>
          <w:rFonts w:eastAsia="Calibri"/>
          <w:sz w:val="20"/>
          <w:szCs w:val="20"/>
        </w:rPr>
      </w:pPr>
      <w:r w:rsidRPr="00A85C1F">
        <w:rPr>
          <w:rFonts w:eastAsia="Calibri"/>
          <w:sz w:val="20"/>
          <w:szCs w:val="20"/>
        </w:rPr>
        <w:t>2.</w:t>
      </w:r>
      <w:r w:rsidRPr="00A85C1F">
        <w:rPr>
          <w:rFonts w:eastAsia="Calibri"/>
          <w:i/>
          <w:sz w:val="20"/>
          <w:szCs w:val="20"/>
        </w:rPr>
        <w:t xml:space="preserve"> </w:t>
      </w:r>
      <w:r w:rsidRPr="00A85C1F">
        <w:rPr>
          <w:rFonts w:eastAsia="Calibri"/>
          <w:sz w:val="20"/>
          <w:szCs w:val="20"/>
        </w:rPr>
        <w:t>Legal Practitioners Act (Professional Conduct Rules 2013), Rule 4 (3) (d).</w:t>
      </w:r>
    </w:p>
    <w:p w:rsidR="00771124" w:rsidRPr="00A85C1F" w:rsidRDefault="00771124" w:rsidP="00771124">
      <w:pPr>
        <w:pStyle w:val="JudgmentText"/>
        <w:numPr>
          <w:ilvl w:val="0"/>
          <w:numId w:val="0"/>
        </w:numPr>
        <w:spacing w:after="0" w:line="240" w:lineRule="auto"/>
        <w:ind w:left="720" w:hanging="720"/>
        <w:rPr>
          <w:rFonts w:eastAsia="Calibri"/>
          <w:sz w:val="20"/>
          <w:szCs w:val="20"/>
        </w:rPr>
      </w:pPr>
      <w:r w:rsidRPr="00A85C1F">
        <w:rPr>
          <w:rFonts w:eastAsia="Calibri"/>
          <w:sz w:val="20"/>
          <w:szCs w:val="20"/>
        </w:rPr>
        <w:t>3.</w:t>
      </w:r>
      <w:r w:rsidRPr="00A85C1F">
        <w:rPr>
          <w:sz w:val="20"/>
          <w:szCs w:val="20"/>
        </w:rPr>
        <w:t xml:space="preserve"> </w:t>
      </w:r>
      <w:r w:rsidRPr="00A85C1F">
        <w:rPr>
          <w:rFonts w:eastAsia="Calibri"/>
          <w:sz w:val="20"/>
          <w:szCs w:val="20"/>
        </w:rPr>
        <w:t>Legal Practitioners Act (Professional Conduct Rules 2013), Rule 17 (3).</w:t>
      </w:r>
    </w:p>
    <w:p w:rsidR="00771124" w:rsidRDefault="00771124" w:rsidP="00771124">
      <w:pPr>
        <w:pStyle w:val="JudgmentText"/>
        <w:numPr>
          <w:ilvl w:val="0"/>
          <w:numId w:val="0"/>
        </w:numPr>
        <w:spacing w:after="0" w:line="240" w:lineRule="auto"/>
        <w:ind w:left="720" w:hanging="720"/>
        <w:rPr>
          <w:rFonts w:eastAsia="Calibri"/>
        </w:rPr>
      </w:pPr>
    </w:p>
    <w:p w:rsidR="00771124" w:rsidRDefault="00771124" w:rsidP="00771124">
      <w:pPr>
        <w:pStyle w:val="JudgmentText"/>
        <w:numPr>
          <w:ilvl w:val="0"/>
          <w:numId w:val="0"/>
        </w:numPr>
        <w:spacing w:after="0" w:line="240" w:lineRule="auto"/>
        <w:ind w:left="720" w:hanging="720"/>
        <w:rPr>
          <w:rFonts w:eastAsia="Calibri"/>
        </w:rPr>
      </w:pPr>
    </w:p>
    <w:p w:rsidR="00771124" w:rsidRDefault="00771124" w:rsidP="00771124">
      <w:pPr>
        <w:pStyle w:val="JudgmentText"/>
        <w:numPr>
          <w:ilvl w:val="0"/>
          <w:numId w:val="0"/>
        </w:numPr>
        <w:spacing w:after="0" w:line="240" w:lineRule="auto"/>
        <w:ind w:left="720" w:hanging="720"/>
        <w:rPr>
          <w:rFonts w:eastAsia="Calibri"/>
        </w:rPr>
      </w:pPr>
    </w:p>
    <w:p w:rsidR="00771124" w:rsidRDefault="00771124" w:rsidP="00771124">
      <w:pPr>
        <w:pStyle w:val="JudgmentText"/>
        <w:numPr>
          <w:ilvl w:val="0"/>
          <w:numId w:val="0"/>
        </w:numPr>
        <w:spacing w:after="0" w:line="240" w:lineRule="auto"/>
        <w:ind w:left="720" w:hanging="720"/>
        <w:rPr>
          <w:rFonts w:eastAsia="Calibri"/>
        </w:rPr>
      </w:pPr>
    </w:p>
    <w:p w:rsidR="00771124" w:rsidRDefault="00771124" w:rsidP="00771124">
      <w:pPr>
        <w:pStyle w:val="JudgmentText"/>
        <w:numPr>
          <w:ilvl w:val="0"/>
          <w:numId w:val="0"/>
        </w:numPr>
        <w:spacing w:after="0" w:line="240" w:lineRule="auto"/>
        <w:ind w:left="720" w:hanging="720"/>
        <w:rPr>
          <w:rFonts w:eastAsia="Calibri"/>
        </w:rPr>
      </w:pPr>
    </w:p>
    <w:p w:rsidR="00771124" w:rsidRPr="00771124" w:rsidRDefault="00771124" w:rsidP="00771124">
      <w:pPr>
        <w:pStyle w:val="JudgmentText"/>
        <w:numPr>
          <w:ilvl w:val="0"/>
          <w:numId w:val="0"/>
        </w:numPr>
        <w:spacing w:after="0" w:line="240" w:lineRule="auto"/>
        <w:ind w:left="720" w:hanging="720"/>
        <w:rPr>
          <w:rFonts w:eastAsia="Calibri"/>
        </w:rPr>
      </w:pPr>
    </w:p>
    <w:p w:rsidR="004832BB" w:rsidRPr="00883226" w:rsidRDefault="00571033" w:rsidP="00883226">
      <w:pPr>
        <w:pStyle w:val="JudgmentText"/>
        <w:rPr>
          <w:rFonts w:eastAsia="Calibri"/>
        </w:rPr>
      </w:pPr>
      <w:r>
        <w:rPr>
          <w:rFonts w:eastAsia="Calibri"/>
        </w:rPr>
        <w:t>A</w:t>
      </w:r>
      <w:r w:rsidR="00B2151E" w:rsidRPr="00B2151E">
        <w:rPr>
          <w:rFonts w:eastAsia="Calibri"/>
        </w:rPr>
        <w:t xml:space="preserve">n officer of the Court who fails to uphold </w:t>
      </w:r>
      <w:r w:rsidR="004D4FC7">
        <w:rPr>
          <w:rFonts w:eastAsia="Calibri"/>
        </w:rPr>
        <w:t>t</w:t>
      </w:r>
      <w:r w:rsidR="00B2151E" w:rsidRPr="00B2151E">
        <w:rPr>
          <w:rFonts w:eastAsia="Calibri"/>
        </w:rPr>
        <w:t>his standard may be charge</w:t>
      </w:r>
      <w:r>
        <w:rPr>
          <w:rFonts w:eastAsia="Calibri"/>
        </w:rPr>
        <w:t>d with contempt</w:t>
      </w:r>
      <w:r w:rsidR="00B2151E" w:rsidRPr="00B2151E">
        <w:rPr>
          <w:rFonts w:eastAsia="Calibri"/>
        </w:rPr>
        <w:t xml:space="preserve"> of Court</w:t>
      </w:r>
      <w:r>
        <w:rPr>
          <w:rFonts w:eastAsia="Calibri"/>
        </w:rPr>
        <w:t>. A</w:t>
      </w:r>
      <w:r w:rsidR="00B2151E" w:rsidRPr="00B2151E">
        <w:rPr>
          <w:rFonts w:eastAsia="Calibri"/>
        </w:rPr>
        <w:t>t its core</w:t>
      </w:r>
      <w:r>
        <w:rPr>
          <w:rFonts w:eastAsia="Calibri"/>
        </w:rPr>
        <w:t>, the crime of contempt</w:t>
      </w:r>
      <w:r w:rsidR="00B2151E" w:rsidRPr="00B2151E">
        <w:rPr>
          <w:rFonts w:eastAsia="Calibri"/>
        </w:rPr>
        <w:t xml:space="preserve"> of Court entails </w:t>
      </w:r>
      <w:r w:rsidRPr="00571033">
        <w:rPr>
          <w:rFonts w:eastAsia="Calibri"/>
        </w:rPr>
        <w:t>violating</w:t>
      </w:r>
      <w:r w:rsidR="00B2151E" w:rsidRPr="00B2151E">
        <w:rPr>
          <w:rFonts w:eastAsia="Calibri"/>
        </w:rPr>
        <w:t xml:space="preserve"> the dignity, repute or </w:t>
      </w:r>
      <w:r>
        <w:rPr>
          <w:rFonts w:eastAsia="Calibri"/>
        </w:rPr>
        <w:t>undermin</w:t>
      </w:r>
      <w:r w:rsidR="00B2151E" w:rsidRPr="00B2151E">
        <w:rPr>
          <w:rFonts w:eastAsia="Calibri"/>
        </w:rPr>
        <w:t>ing the authority of the Court.</w:t>
      </w:r>
      <w:r w:rsidR="00393042">
        <w:rPr>
          <w:rFonts w:eastAsia="Calibri"/>
          <w:vertAlign w:val="superscript"/>
        </w:rPr>
        <w:t>4</w:t>
      </w:r>
      <w:r w:rsidR="00B2151E" w:rsidRPr="00B2151E">
        <w:rPr>
          <w:rFonts w:eastAsia="Calibri"/>
        </w:rPr>
        <w:t xml:space="preserve"> </w:t>
      </w:r>
      <w:proofErr w:type="gramStart"/>
      <w:r w:rsidR="00B2151E" w:rsidRPr="00B2151E">
        <w:rPr>
          <w:rFonts w:eastAsia="Calibri"/>
        </w:rPr>
        <w:t>In</w:t>
      </w:r>
      <w:proofErr w:type="gramEnd"/>
      <w:r w:rsidR="00B2151E" w:rsidRPr="00B2151E">
        <w:rPr>
          <w:rFonts w:eastAsia="Calibri"/>
        </w:rPr>
        <w:t xml:space="preserve"> </w:t>
      </w:r>
      <w:proofErr w:type="spellStart"/>
      <w:r w:rsidR="00B2151E" w:rsidRPr="00B2151E">
        <w:rPr>
          <w:rFonts w:eastAsia="Calibri"/>
          <w:b/>
          <w:i/>
        </w:rPr>
        <w:t>Mancienne</w:t>
      </w:r>
      <w:proofErr w:type="spellEnd"/>
      <w:r w:rsidR="00B2151E" w:rsidRPr="00B2151E">
        <w:rPr>
          <w:rFonts w:eastAsia="Calibri"/>
          <w:b/>
          <w:i/>
        </w:rPr>
        <w:t xml:space="preserve"> vs Government of Seychelles</w:t>
      </w:r>
      <w:r w:rsidR="00B2151E" w:rsidRPr="00B2151E">
        <w:rPr>
          <w:rFonts w:eastAsia="Calibri"/>
        </w:rPr>
        <w:t xml:space="preserve"> </w:t>
      </w:r>
      <w:r>
        <w:rPr>
          <w:rFonts w:eastAsia="Calibri"/>
        </w:rPr>
        <w:t>it was held that “…</w:t>
      </w:r>
      <w:r w:rsidR="00B2151E" w:rsidRPr="00883226">
        <w:rPr>
          <w:rFonts w:eastAsia="Calibri"/>
          <w:i/>
        </w:rPr>
        <w:t xml:space="preserve">contempt of Court strikes at the </w:t>
      </w:r>
      <w:r w:rsidR="007C244A" w:rsidRPr="00883226">
        <w:rPr>
          <w:rFonts w:eastAsia="Calibri"/>
          <w:i/>
        </w:rPr>
        <w:t>very roots</w:t>
      </w:r>
      <w:r w:rsidR="00B2151E" w:rsidRPr="00883226">
        <w:rPr>
          <w:rFonts w:eastAsia="Calibri"/>
          <w:i/>
        </w:rPr>
        <w:t xml:space="preserve"> of the rule of law. It undermi</w:t>
      </w:r>
      <w:r w:rsidR="007C244A" w:rsidRPr="00883226">
        <w:rPr>
          <w:rFonts w:eastAsia="Calibri"/>
          <w:i/>
        </w:rPr>
        <w:t>ne</w:t>
      </w:r>
      <w:r w:rsidR="00B2151E" w:rsidRPr="00883226">
        <w:rPr>
          <w:rFonts w:eastAsia="Calibri"/>
          <w:i/>
        </w:rPr>
        <w:t>s public confidence in the Courts of law by lowering their integrity and dignity. In short</w:t>
      </w:r>
      <w:r w:rsidR="004832BB" w:rsidRPr="00883226">
        <w:rPr>
          <w:rFonts w:eastAsia="Calibri"/>
          <w:i/>
        </w:rPr>
        <w:t>,</w:t>
      </w:r>
      <w:r w:rsidR="00B2151E" w:rsidRPr="00883226">
        <w:rPr>
          <w:rFonts w:eastAsia="Calibri"/>
          <w:i/>
        </w:rPr>
        <w:t xml:space="preserve"> it is d</w:t>
      </w:r>
      <w:r w:rsidR="004832BB" w:rsidRPr="00883226">
        <w:rPr>
          <w:rFonts w:eastAsia="Calibri"/>
          <w:i/>
        </w:rPr>
        <w:t>etrimental</w:t>
      </w:r>
      <w:r w:rsidR="00B2151E" w:rsidRPr="00883226">
        <w:rPr>
          <w:rFonts w:eastAsia="Calibri"/>
          <w:i/>
        </w:rPr>
        <w:t xml:space="preserve"> to the democracy itself</w:t>
      </w:r>
      <w:r w:rsidRPr="00883226">
        <w:rPr>
          <w:rFonts w:eastAsia="Calibri"/>
          <w:i/>
        </w:rPr>
        <w:t>..</w:t>
      </w:r>
      <w:r w:rsidR="00B2151E" w:rsidRPr="00883226">
        <w:rPr>
          <w:rFonts w:eastAsia="Calibri"/>
          <w:i/>
        </w:rPr>
        <w:t>.</w:t>
      </w:r>
      <w:r w:rsidRPr="00883226">
        <w:rPr>
          <w:rFonts w:eastAsia="Calibri"/>
          <w:i/>
        </w:rPr>
        <w:t>”</w:t>
      </w:r>
      <w:r w:rsidR="00393042">
        <w:rPr>
          <w:rFonts w:eastAsia="Calibri"/>
        </w:rPr>
        <w:t xml:space="preserve"> </w:t>
      </w:r>
      <w:r w:rsidR="00393042">
        <w:rPr>
          <w:rFonts w:eastAsia="Calibri"/>
          <w:vertAlign w:val="superscript"/>
        </w:rPr>
        <w:t>5</w:t>
      </w:r>
      <w:r w:rsidR="00077087">
        <w:rPr>
          <w:rFonts w:eastAsia="Calibri"/>
        </w:rPr>
        <w:t xml:space="preserve"> </w:t>
      </w:r>
      <w:proofErr w:type="gramStart"/>
      <w:r w:rsidR="00B2151E" w:rsidRPr="00B2151E">
        <w:rPr>
          <w:rFonts w:eastAsia="Calibri"/>
        </w:rPr>
        <w:t>These</w:t>
      </w:r>
      <w:proofErr w:type="gramEnd"/>
      <w:r w:rsidR="00B2151E" w:rsidRPr="00B2151E">
        <w:rPr>
          <w:rFonts w:eastAsia="Calibri"/>
        </w:rPr>
        <w:t xml:space="preserve"> rules where design</w:t>
      </w:r>
      <w:r w:rsidR="004D4FC7">
        <w:rPr>
          <w:rFonts w:eastAsia="Calibri"/>
        </w:rPr>
        <w:t>ed</w:t>
      </w:r>
      <w:r w:rsidR="00B2151E" w:rsidRPr="00B2151E">
        <w:rPr>
          <w:rFonts w:eastAsia="Calibri"/>
        </w:rPr>
        <w:t xml:space="preserve"> to ensure </w:t>
      </w:r>
      <w:r w:rsidR="004832BB">
        <w:rPr>
          <w:rFonts w:eastAsia="Calibri"/>
        </w:rPr>
        <w:t>that the public have confidence in the administration of j</w:t>
      </w:r>
      <w:r w:rsidR="00B2151E" w:rsidRPr="00B2151E">
        <w:rPr>
          <w:rFonts w:eastAsia="Calibri"/>
        </w:rPr>
        <w:t>ustice.</w:t>
      </w:r>
    </w:p>
    <w:p w:rsidR="00983B91" w:rsidRDefault="00B2151E" w:rsidP="00883226">
      <w:pPr>
        <w:pStyle w:val="JudgmentText"/>
        <w:rPr>
          <w:rFonts w:eastAsia="Calibri"/>
          <w:i/>
        </w:rPr>
      </w:pPr>
      <w:r w:rsidRPr="00B2151E">
        <w:rPr>
          <w:rFonts w:eastAsia="Calibri"/>
        </w:rPr>
        <w:t xml:space="preserve"> In the </w:t>
      </w:r>
      <w:r w:rsidR="004832BB">
        <w:rPr>
          <w:rFonts w:eastAsia="Calibri"/>
        </w:rPr>
        <w:t>D</w:t>
      </w:r>
      <w:r w:rsidRPr="00B2151E">
        <w:rPr>
          <w:rFonts w:eastAsia="Calibri"/>
        </w:rPr>
        <w:t>istrict Court of Appeal of Florida</w:t>
      </w:r>
      <w:r w:rsidR="009F2492">
        <w:rPr>
          <w:rFonts w:eastAsia="Calibri"/>
        </w:rPr>
        <w:t>,</w:t>
      </w:r>
      <w:r w:rsidRPr="00B2151E">
        <w:rPr>
          <w:rFonts w:eastAsia="Calibri"/>
        </w:rPr>
        <w:t xml:space="preserve"> the Appellant</w:t>
      </w:r>
      <w:r w:rsidR="009F2492">
        <w:rPr>
          <w:rFonts w:eastAsia="Calibri"/>
        </w:rPr>
        <w:t>’</w:t>
      </w:r>
      <w:r w:rsidR="004D4FC7">
        <w:rPr>
          <w:rFonts w:eastAsia="Calibri"/>
        </w:rPr>
        <w:t>s attorney had</w:t>
      </w:r>
      <w:r w:rsidRPr="00B2151E">
        <w:rPr>
          <w:rFonts w:eastAsia="Calibri"/>
        </w:rPr>
        <w:t xml:space="preserve"> predicated his petit</w:t>
      </w:r>
      <w:r w:rsidR="009F2492">
        <w:rPr>
          <w:rFonts w:eastAsia="Calibri"/>
        </w:rPr>
        <w:t>ion with the following remarks “</w:t>
      </w:r>
      <w:r w:rsidRPr="00B2151E">
        <w:rPr>
          <w:rFonts w:eastAsia="Calibri"/>
          <w:i/>
        </w:rPr>
        <w:t xml:space="preserve">This </w:t>
      </w:r>
      <w:r w:rsidR="009F2492" w:rsidRPr="009F2492">
        <w:rPr>
          <w:rFonts w:eastAsia="Calibri"/>
          <w:i/>
        </w:rPr>
        <w:t>Appellate</w:t>
      </w:r>
      <w:r w:rsidRPr="00B2151E">
        <w:rPr>
          <w:rFonts w:eastAsia="Calibri"/>
          <w:i/>
        </w:rPr>
        <w:t xml:space="preserve"> </w:t>
      </w:r>
      <w:r w:rsidR="009F2492">
        <w:rPr>
          <w:rFonts w:eastAsia="Calibri"/>
          <w:i/>
        </w:rPr>
        <w:t>Court has</w:t>
      </w:r>
      <w:r w:rsidRPr="00B2151E">
        <w:rPr>
          <w:rFonts w:eastAsia="Calibri"/>
          <w:i/>
        </w:rPr>
        <w:t xml:space="preserve"> either ignored the law or is not interested in determining the law.</w:t>
      </w:r>
      <w:r w:rsidR="009F2492">
        <w:rPr>
          <w:rFonts w:eastAsia="Calibri"/>
          <w:i/>
        </w:rPr>
        <w:t>”</w:t>
      </w:r>
      <w:r w:rsidR="00BE24C9">
        <w:rPr>
          <w:rFonts w:eastAsia="Calibri"/>
          <w:i/>
        </w:rPr>
        <w:t xml:space="preserve"> </w:t>
      </w:r>
      <w:r w:rsidRPr="00B2151E">
        <w:rPr>
          <w:rFonts w:eastAsia="Calibri"/>
        </w:rPr>
        <w:t xml:space="preserve">The statement was </w:t>
      </w:r>
      <w:r w:rsidR="009F2492" w:rsidRPr="009F2492">
        <w:rPr>
          <w:rFonts w:eastAsia="Calibri"/>
        </w:rPr>
        <w:t>found</w:t>
      </w:r>
      <w:r w:rsidRPr="00B2151E">
        <w:rPr>
          <w:rFonts w:eastAsia="Calibri"/>
          <w:b/>
        </w:rPr>
        <w:t xml:space="preserve"> </w:t>
      </w:r>
      <w:r w:rsidRPr="00B2151E">
        <w:rPr>
          <w:rFonts w:eastAsia="Calibri"/>
        </w:rPr>
        <w:t xml:space="preserve">by the majority of the Court to be offensive and </w:t>
      </w:r>
      <w:r w:rsidR="009F2492">
        <w:rPr>
          <w:rFonts w:eastAsia="Calibri"/>
        </w:rPr>
        <w:t>the language used to be contemptuous</w:t>
      </w:r>
      <w:r w:rsidRPr="00B2151E">
        <w:rPr>
          <w:rFonts w:eastAsia="Calibri"/>
        </w:rPr>
        <w:t xml:space="preserve">. The same Court found in a similar case that </w:t>
      </w:r>
      <w:r w:rsidR="009F2492">
        <w:rPr>
          <w:rFonts w:eastAsia="Calibri"/>
        </w:rPr>
        <w:t>“…</w:t>
      </w:r>
      <w:r w:rsidRPr="00B2151E">
        <w:rPr>
          <w:rFonts w:eastAsia="Calibri"/>
          <w:i/>
        </w:rPr>
        <w:t xml:space="preserve">ethical rules </w:t>
      </w:r>
      <w:r w:rsidR="00E27060" w:rsidRPr="00E27060">
        <w:rPr>
          <w:rFonts w:eastAsia="Calibri"/>
          <w:i/>
        </w:rPr>
        <w:t>that prohibit attorneys</w:t>
      </w:r>
      <w:r w:rsidR="00E27060">
        <w:rPr>
          <w:rFonts w:eastAsia="Calibri"/>
          <w:i/>
        </w:rPr>
        <w:t xml:space="preserve"> from</w:t>
      </w:r>
      <w:r w:rsidR="00F91AB6">
        <w:rPr>
          <w:rFonts w:eastAsia="Calibri"/>
          <w:i/>
        </w:rPr>
        <w:t xml:space="preserve"> making statements im</w:t>
      </w:r>
      <w:r w:rsidR="00E27060">
        <w:rPr>
          <w:rFonts w:eastAsia="Calibri"/>
          <w:i/>
        </w:rPr>
        <w:t>pugning</w:t>
      </w:r>
      <w:r w:rsidRPr="00B2151E">
        <w:rPr>
          <w:rFonts w:eastAsia="Calibri"/>
          <w:i/>
        </w:rPr>
        <w:t xml:space="preserve"> the integrity</w:t>
      </w:r>
      <w:r w:rsidR="00E27060">
        <w:rPr>
          <w:rFonts w:eastAsia="Calibri"/>
          <w:i/>
        </w:rPr>
        <w:t xml:space="preserve"> of j</w:t>
      </w:r>
      <w:r w:rsidRPr="00B2151E">
        <w:rPr>
          <w:rFonts w:eastAsia="Calibri"/>
          <w:i/>
        </w:rPr>
        <w:t xml:space="preserve">udges </w:t>
      </w:r>
      <w:r w:rsidR="00E27060">
        <w:rPr>
          <w:rFonts w:eastAsia="Calibri"/>
          <w:i/>
        </w:rPr>
        <w:t>are not to protect j</w:t>
      </w:r>
      <w:r w:rsidRPr="00B2151E">
        <w:rPr>
          <w:rFonts w:eastAsia="Calibri"/>
          <w:i/>
        </w:rPr>
        <w:t>udges from unpleasant or unsav</w:t>
      </w:r>
      <w:r w:rsidR="00E27060">
        <w:rPr>
          <w:rFonts w:eastAsia="Calibri"/>
          <w:i/>
        </w:rPr>
        <w:t>ou</w:t>
      </w:r>
      <w:r w:rsidRPr="00B2151E">
        <w:rPr>
          <w:rFonts w:eastAsia="Calibri"/>
          <w:i/>
        </w:rPr>
        <w:t>ry criticism</w:t>
      </w:r>
      <w:r w:rsidR="00E27060">
        <w:rPr>
          <w:rFonts w:eastAsia="Calibri"/>
          <w:i/>
        </w:rPr>
        <w:t>. R</w:t>
      </w:r>
      <w:r w:rsidRPr="00B2151E">
        <w:rPr>
          <w:rFonts w:eastAsia="Calibri"/>
          <w:i/>
        </w:rPr>
        <w:t>ather</w:t>
      </w:r>
      <w:r w:rsidR="00E27060">
        <w:rPr>
          <w:rFonts w:eastAsia="Calibri"/>
          <w:i/>
        </w:rPr>
        <w:t>,</w:t>
      </w:r>
      <w:r w:rsidRPr="00B2151E">
        <w:rPr>
          <w:rFonts w:eastAsia="Calibri"/>
          <w:i/>
        </w:rPr>
        <w:t xml:space="preserve"> such rules are design</w:t>
      </w:r>
      <w:r w:rsidR="005B3B5E">
        <w:rPr>
          <w:rFonts w:eastAsia="Calibri"/>
          <w:i/>
        </w:rPr>
        <w:t>ed</w:t>
      </w:r>
      <w:r w:rsidRPr="00B2151E">
        <w:rPr>
          <w:rFonts w:eastAsia="Calibri"/>
          <w:i/>
        </w:rPr>
        <w:t xml:space="preserve"> to preserve publ</w:t>
      </w:r>
      <w:r w:rsidR="00E27060">
        <w:rPr>
          <w:rFonts w:eastAsia="Calibri"/>
          <w:i/>
        </w:rPr>
        <w:t>ic confidence in the fairness and</w:t>
      </w:r>
      <w:r w:rsidRPr="00B2151E">
        <w:rPr>
          <w:rFonts w:eastAsia="Calibri"/>
          <w:i/>
        </w:rPr>
        <w:t xml:space="preserve"> </w:t>
      </w:r>
      <w:r w:rsidR="00E27060">
        <w:rPr>
          <w:rFonts w:eastAsia="Calibri"/>
          <w:i/>
        </w:rPr>
        <w:t>im</w:t>
      </w:r>
      <w:r w:rsidRPr="00B2151E">
        <w:rPr>
          <w:rFonts w:eastAsia="Calibri"/>
          <w:i/>
        </w:rPr>
        <w:t>partiality of our system of justice.</w:t>
      </w:r>
      <w:r w:rsidR="00E27060">
        <w:rPr>
          <w:rFonts w:eastAsia="Calibri"/>
          <w:i/>
        </w:rPr>
        <w:t>”</w:t>
      </w:r>
      <w:r w:rsidR="007A767E">
        <w:rPr>
          <w:rFonts w:eastAsia="Calibri"/>
          <w:vertAlign w:val="superscript"/>
        </w:rPr>
        <w:t>6</w:t>
      </w:r>
      <w:r w:rsidR="00BA3270">
        <w:rPr>
          <w:rFonts w:eastAsia="Calibri"/>
        </w:rPr>
        <w:t xml:space="preserve"> </w:t>
      </w:r>
      <w:r w:rsidRPr="00B2151E">
        <w:rPr>
          <w:rFonts w:eastAsia="Calibri"/>
        </w:rPr>
        <w:t>Importantly</w:t>
      </w:r>
      <w:r w:rsidR="00BA3270">
        <w:rPr>
          <w:rFonts w:eastAsia="Calibri"/>
        </w:rPr>
        <w:t xml:space="preserve">, </w:t>
      </w:r>
      <w:r w:rsidRPr="00B2151E">
        <w:rPr>
          <w:rFonts w:eastAsia="Calibri"/>
        </w:rPr>
        <w:t>the rules regulating the Florida</w:t>
      </w:r>
      <w:r w:rsidR="00983B91">
        <w:rPr>
          <w:rFonts w:eastAsia="Calibri"/>
        </w:rPr>
        <w:t xml:space="preserve"> B</w:t>
      </w:r>
      <w:r w:rsidRPr="00B2151E">
        <w:rPr>
          <w:rFonts w:eastAsia="Calibri"/>
        </w:rPr>
        <w:t>ar</w:t>
      </w:r>
      <w:r w:rsidR="00983B91">
        <w:rPr>
          <w:rFonts w:eastAsia="Calibri"/>
        </w:rPr>
        <w:t>, R</w:t>
      </w:r>
      <w:r w:rsidRPr="00B2151E">
        <w:rPr>
          <w:rFonts w:eastAsia="Calibri"/>
        </w:rPr>
        <w:t>ule 4</w:t>
      </w:r>
      <w:r w:rsidR="00983B91">
        <w:rPr>
          <w:rFonts w:eastAsia="Calibri"/>
        </w:rPr>
        <w:t>-8.2 (a)</w:t>
      </w:r>
      <w:r w:rsidRPr="00B2151E">
        <w:rPr>
          <w:rFonts w:eastAsia="Calibri"/>
        </w:rPr>
        <w:t xml:space="preserve"> contains a provision similar to </w:t>
      </w:r>
      <w:r w:rsidR="00983B91">
        <w:rPr>
          <w:rFonts w:eastAsia="Calibri"/>
        </w:rPr>
        <w:t>the Legal Practitioners R</w:t>
      </w:r>
      <w:r w:rsidRPr="00B2151E">
        <w:rPr>
          <w:rFonts w:eastAsia="Calibri"/>
        </w:rPr>
        <w:t>ules</w:t>
      </w:r>
      <w:r w:rsidR="00983B91">
        <w:rPr>
          <w:rFonts w:eastAsia="Calibri"/>
        </w:rPr>
        <w:t>,</w:t>
      </w:r>
      <w:r w:rsidRPr="00B2151E">
        <w:rPr>
          <w:rFonts w:eastAsia="Calibri"/>
        </w:rPr>
        <w:t xml:space="preserve"> which prohibit</w:t>
      </w:r>
      <w:r w:rsidR="00983B91">
        <w:rPr>
          <w:rFonts w:eastAsia="Calibri"/>
        </w:rPr>
        <w:t>s</w:t>
      </w:r>
      <w:r w:rsidR="004D4FC7">
        <w:rPr>
          <w:rFonts w:eastAsia="Calibri"/>
        </w:rPr>
        <w:t xml:space="preserve"> any l</w:t>
      </w:r>
      <w:r w:rsidRPr="00B2151E">
        <w:rPr>
          <w:rFonts w:eastAsia="Calibri"/>
        </w:rPr>
        <w:t xml:space="preserve">awyer from making reckless statements and thereby </w:t>
      </w:r>
      <w:r w:rsidR="00983B91" w:rsidRPr="00983B91">
        <w:rPr>
          <w:rFonts w:eastAsia="Calibri"/>
        </w:rPr>
        <w:t>abusing</w:t>
      </w:r>
      <w:r w:rsidRPr="00B2151E">
        <w:rPr>
          <w:rFonts w:eastAsia="Calibri"/>
        </w:rPr>
        <w:t xml:space="preserve"> the Court process.</w:t>
      </w:r>
      <w:r w:rsidR="007A767E">
        <w:rPr>
          <w:rFonts w:eastAsia="Calibri"/>
          <w:vertAlign w:val="superscript"/>
        </w:rPr>
        <w:t>7</w:t>
      </w:r>
      <w:r w:rsidR="00DB7E04">
        <w:rPr>
          <w:rFonts w:eastAsia="Calibri"/>
        </w:rPr>
        <w:t xml:space="preserve"> </w:t>
      </w:r>
    </w:p>
    <w:p w:rsidR="00BE24C9" w:rsidRDefault="007A767E" w:rsidP="00CC2313">
      <w:pPr>
        <w:pStyle w:val="JudgmentText"/>
        <w:numPr>
          <w:ilvl w:val="0"/>
          <w:numId w:val="0"/>
        </w:numPr>
        <w:ind w:left="720" w:hanging="720"/>
        <w:rPr>
          <w:rFonts w:eastAsia="Calibri"/>
        </w:rPr>
      </w:pPr>
      <w:r>
        <w:rPr>
          <w:rFonts w:eastAsia="Calibri"/>
        </w:rPr>
        <w:t>[6]</w:t>
      </w:r>
      <w:r>
        <w:rPr>
          <w:rFonts w:eastAsia="Calibri"/>
        </w:rPr>
        <w:tab/>
      </w:r>
      <w:r w:rsidRPr="00BE24C9">
        <w:rPr>
          <w:rFonts w:eastAsia="Calibri"/>
        </w:rPr>
        <w:t>One may still ask the q</w:t>
      </w:r>
      <w:r w:rsidR="004D4FC7">
        <w:rPr>
          <w:rFonts w:eastAsia="Calibri"/>
        </w:rPr>
        <w:t>uestion as to</w:t>
      </w:r>
      <w:r w:rsidRPr="00BE24C9">
        <w:rPr>
          <w:rFonts w:eastAsia="Calibri"/>
        </w:rPr>
        <w:t xml:space="preserve"> why Judges</w:t>
      </w:r>
      <w:r w:rsidR="004D4FC7">
        <w:rPr>
          <w:rFonts w:eastAsia="Calibri"/>
        </w:rPr>
        <w:t xml:space="preserve"> must be </w:t>
      </w:r>
      <w:proofErr w:type="gramStart"/>
      <w:r w:rsidR="004D4FC7">
        <w:rPr>
          <w:rFonts w:eastAsia="Calibri"/>
        </w:rPr>
        <w:t>sacrosanct?</w:t>
      </w:r>
      <w:proofErr w:type="gramEnd"/>
      <w:r w:rsidR="004D4FC7">
        <w:rPr>
          <w:rFonts w:eastAsia="Calibri"/>
        </w:rPr>
        <w:t xml:space="preserve"> The answer to this relates</w:t>
      </w:r>
      <w:r w:rsidRPr="00BE24C9">
        <w:rPr>
          <w:rFonts w:eastAsia="Calibri"/>
        </w:rPr>
        <w:t xml:space="preserve"> in part to the constitutional order that places the judiciary as an arm of government and an independent pillar of the state.</w:t>
      </w:r>
    </w:p>
    <w:p w:rsidR="007A767E" w:rsidRPr="00BE24C9" w:rsidRDefault="007A767E" w:rsidP="00BE24C9">
      <w:pPr>
        <w:pStyle w:val="JudgmentText"/>
        <w:numPr>
          <w:ilvl w:val="0"/>
          <w:numId w:val="0"/>
        </w:numPr>
        <w:ind w:left="720" w:hanging="720"/>
        <w:rPr>
          <w:rFonts w:eastAsia="Calibri"/>
          <w:sz w:val="20"/>
          <w:u w:val="single"/>
        </w:rPr>
      </w:pPr>
      <w:r>
        <w:rPr>
          <w:rFonts w:eastAsia="Calibri"/>
          <w:sz w:val="20"/>
          <w:u w:val="single"/>
        </w:rPr>
        <w:tab/>
      </w:r>
      <w:r>
        <w:rPr>
          <w:rFonts w:eastAsia="Calibri"/>
          <w:sz w:val="20"/>
          <w:u w:val="single"/>
        </w:rPr>
        <w:tab/>
      </w:r>
      <w:r>
        <w:rPr>
          <w:rFonts w:eastAsia="Calibri"/>
          <w:sz w:val="20"/>
          <w:u w:val="single"/>
        </w:rPr>
        <w:tab/>
      </w:r>
      <w:r>
        <w:rPr>
          <w:rFonts w:eastAsia="Calibri"/>
          <w:sz w:val="20"/>
          <w:u w:val="single"/>
        </w:rPr>
        <w:tab/>
      </w:r>
      <w:r>
        <w:rPr>
          <w:rFonts w:eastAsia="Calibri"/>
          <w:sz w:val="20"/>
          <w:u w:val="single"/>
        </w:rPr>
        <w:tab/>
      </w:r>
    </w:p>
    <w:p w:rsidR="00393042" w:rsidRPr="007A767E" w:rsidRDefault="00393042" w:rsidP="00393042">
      <w:pPr>
        <w:pStyle w:val="JudgmentText"/>
        <w:numPr>
          <w:ilvl w:val="0"/>
          <w:numId w:val="0"/>
        </w:numPr>
        <w:spacing w:after="0" w:line="240" w:lineRule="auto"/>
        <w:rPr>
          <w:rFonts w:eastAsia="Calibri"/>
          <w:sz w:val="18"/>
          <w:szCs w:val="18"/>
        </w:rPr>
      </w:pPr>
      <w:r w:rsidRPr="00393042">
        <w:rPr>
          <w:rFonts w:eastAsia="Calibri"/>
          <w:sz w:val="20"/>
        </w:rPr>
        <w:t xml:space="preserve">4. </w:t>
      </w:r>
      <w:r w:rsidRPr="007A767E">
        <w:rPr>
          <w:rFonts w:eastAsia="Calibri"/>
          <w:sz w:val="18"/>
          <w:szCs w:val="18"/>
        </w:rPr>
        <w:t xml:space="preserve">See in South Africa </w:t>
      </w:r>
      <w:proofErr w:type="spellStart"/>
      <w:r w:rsidRPr="00A85C1F">
        <w:rPr>
          <w:rFonts w:eastAsia="Calibri"/>
          <w:i/>
          <w:sz w:val="18"/>
          <w:szCs w:val="18"/>
        </w:rPr>
        <w:t>Fakie</w:t>
      </w:r>
      <w:proofErr w:type="spellEnd"/>
      <w:r w:rsidRPr="00A85C1F">
        <w:rPr>
          <w:rFonts w:eastAsia="Calibri"/>
          <w:i/>
          <w:sz w:val="18"/>
          <w:szCs w:val="18"/>
        </w:rPr>
        <w:t xml:space="preserve"> NO v CCII Systems (Pty)</w:t>
      </w:r>
      <w:r w:rsidRPr="007A767E">
        <w:rPr>
          <w:rFonts w:eastAsia="Calibri"/>
          <w:sz w:val="18"/>
          <w:szCs w:val="18"/>
        </w:rPr>
        <w:t xml:space="preserve"> 2006 (4) SA 326 SCA para 6.</w:t>
      </w:r>
    </w:p>
    <w:p w:rsidR="00393042" w:rsidRPr="007A767E" w:rsidRDefault="00393042" w:rsidP="00393042">
      <w:pPr>
        <w:pStyle w:val="JudgmentText"/>
        <w:numPr>
          <w:ilvl w:val="0"/>
          <w:numId w:val="0"/>
        </w:numPr>
        <w:spacing w:after="0" w:line="240" w:lineRule="auto"/>
        <w:rPr>
          <w:rFonts w:eastAsia="Calibri"/>
          <w:i/>
          <w:sz w:val="18"/>
          <w:szCs w:val="18"/>
        </w:rPr>
      </w:pPr>
      <w:r w:rsidRPr="007A767E">
        <w:rPr>
          <w:rFonts w:eastAsia="Calibri"/>
          <w:sz w:val="18"/>
          <w:szCs w:val="18"/>
        </w:rPr>
        <w:t>5.</w:t>
      </w:r>
      <w:r w:rsidRPr="007A767E">
        <w:rPr>
          <w:rFonts w:eastAsia="Calibri"/>
          <w:b/>
          <w:i/>
          <w:sz w:val="18"/>
          <w:szCs w:val="18"/>
        </w:rPr>
        <w:t xml:space="preserve"> </w:t>
      </w:r>
      <w:proofErr w:type="spellStart"/>
      <w:r w:rsidRPr="007A767E">
        <w:rPr>
          <w:rFonts w:eastAsia="Calibri"/>
          <w:i/>
          <w:sz w:val="18"/>
          <w:szCs w:val="18"/>
        </w:rPr>
        <w:t>Mancienne</w:t>
      </w:r>
      <w:proofErr w:type="spellEnd"/>
      <w:r w:rsidRPr="007A767E">
        <w:rPr>
          <w:rFonts w:eastAsia="Calibri"/>
          <w:i/>
          <w:sz w:val="18"/>
          <w:szCs w:val="18"/>
        </w:rPr>
        <w:t xml:space="preserve"> v Government of Seychelles (10 of 24) (of) [2005] SCCA 11(19 May 2005), para 4</w:t>
      </w:r>
      <w:r w:rsidR="00077087">
        <w:rPr>
          <w:rFonts w:eastAsia="Calibri"/>
          <w:i/>
          <w:sz w:val="18"/>
          <w:szCs w:val="18"/>
        </w:rPr>
        <w:t>7</w:t>
      </w:r>
      <w:r w:rsidRPr="007A767E">
        <w:rPr>
          <w:rFonts w:eastAsia="Calibri"/>
          <w:i/>
          <w:sz w:val="18"/>
          <w:szCs w:val="18"/>
        </w:rPr>
        <w:t>.</w:t>
      </w:r>
    </w:p>
    <w:p w:rsidR="00393042" w:rsidRDefault="00393042" w:rsidP="007A767E">
      <w:pPr>
        <w:pStyle w:val="JudgmentText"/>
        <w:numPr>
          <w:ilvl w:val="0"/>
          <w:numId w:val="0"/>
        </w:numPr>
        <w:spacing w:after="0" w:line="240" w:lineRule="auto"/>
        <w:rPr>
          <w:rFonts w:eastAsia="Calibri"/>
          <w:sz w:val="18"/>
          <w:szCs w:val="18"/>
        </w:rPr>
      </w:pPr>
      <w:r w:rsidRPr="007A767E">
        <w:rPr>
          <w:rFonts w:eastAsia="Calibri"/>
          <w:sz w:val="18"/>
          <w:szCs w:val="18"/>
        </w:rPr>
        <w:t>6.</w:t>
      </w:r>
      <w:r w:rsidR="007A767E" w:rsidRPr="007A767E">
        <w:rPr>
          <w:sz w:val="18"/>
          <w:szCs w:val="18"/>
        </w:rPr>
        <w:t xml:space="preserve"> </w:t>
      </w:r>
      <w:r w:rsidR="007A767E" w:rsidRPr="007A767E">
        <w:rPr>
          <w:rFonts w:eastAsia="Calibri"/>
          <w:sz w:val="18"/>
          <w:szCs w:val="18"/>
        </w:rPr>
        <w:t xml:space="preserve">The </w:t>
      </w:r>
      <w:r w:rsidR="007A767E" w:rsidRPr="007A767E">
        <w:rPr>
          <w:rFonts w:eastAsia="Calibri"/>
          <w:i/>
          <w:sz w:val="18"/>
          <w:szCs w:val="18"/>
        </w:rPr>
        <w:t>Florida Bar v Ray</w:t>
      </w:r>
      <w:r w:rsidR="007A767E" w:rsidRPr="007A767E">
        <w:rPr>
          <w:rFonts w:eastAsia="Calibri"/>
          <w:sz w:val="18"/>
          <w:szCs w:val="18"/>
        </w:rPr>
        <w:t xml:space="preserve"> </w:t>
      </w:r>
      <w:proofErr w:type="spellStart"/>
      <w:r w:rsidR="007A767E" w:rsidRPr="007A767E">
        <w:rPr>
          <w:rFonts w:eastAsia="Calibri"/>
          <w:sz w:val="18"/>
          <w:szCs w:val="18"/>
        </w:rPr>
        <w:t>So.</w:t>
      </w:r>
      <w:proofErr w:type="spellEnd"/>
      <w:r w:rsidR="007A767E" w:rsidRPr="007A767E">
        <w:rPr>
          <w:rFonts w:eastAsia="Calibri"/>
          <w:sz w:val="18"/>
          <w:szCs w:val="18"/>
        </w:rPr>
        <w:t xml:space="preserve"> 2d 556 558-559; see also Louisiana Laws of Civil Procedure (2009) Art 222 (3) which is prohibits using insulting, abusive, or discourteous language by an attorney or other person in open Court, or in a pleading brief, or other documents filed with the Court in irrelevant; see also the following judgments from the State of State of Louisiana </w:t>
      </w:r>
      <w:r w:rsidR="007A767E" w:rsidRPr="007A767E">
        <w:rPr>
          <w:rFonts w:eastAsia="Calibri"/>
          <w:i/>
          <w:sz w:val="18"/>
          <w:szCs w:val="18"/>
        </w:rPr>
        <w:t>Brunet v Magnolia Quarter</w:t>
      </w:r>
      <w:r w:rsidR="007A767E" w:rsidRPr="007A767E">
        <w:rPr>
          <w:rFonts w:eastAsia="Calibri"/>
          <w:sz w:val="18"/>
          <w:szCs w:val="18"/>
        </w:rPr>
        <w:t xml:space="preserve"> 97-187 (LA.APP. 5 CIR. 3/11/98</w:t>
      </w:r>
      <w:r w:rsidR="007A767E" w:rsidRPr="007A767E">
        <w:rPr>
          <w:rFonts w:eastAsia="Calibri"/>
          <w:i/>
          <w:sz w:val="18"/>
          <w:szCs w:val="18"/>
        </w:rPr>
        <w:t>); Nungesser v Nungesser</w:t>
      </w:r>
      <w:r w:rsidR="007A767E" w:rsidRPr="007A767E">
        <w:rPr>
          <w:rFonts w:eastAsia="Calibri"/>
          <w:sz w:val="18"/>
          <w:szCs w:val="18"/>
        </w:rPr>
        <w:t>, 558 So.2d 695, 701 (</w:t>
      </w:r>
      <w:proofErr w:type="spellStart"/>
      <w:r w:rsidR="007A767E" w:rsidRPr="007A767E">
        <w:rPr>
          <w:rFonts w:eastAsia="Calibri"/>
          <w:sz w:val="18"/>
          <w:szCs w:val="18"/>
        </w:rPr>
        <w:t>La.App</w:t>
      </w:r>
      <w:proofErr w:type="spellEnd"/>
      <w:r w:rsidR="007A767E" w:rsidRPr="007A767E">
        <w:rPr>
          <w:rFonts w:eastAsia="Calibri"/>
          <w:sz w:val="18"/>
          <w:szCs w:val="18"/>
        </w:rPr>
        <w:t xml:space="preserve"> 1st Cir 1990)</w:t>
      </w:r>
      <w:r w:rsidR="00077087">
        <w:rPr>
          <w:rFonts w:eastAsia="Calibri"/>
          <w:sz w:val="18"/>
          <w:szCs w:val="18"/>
        </w:rPr>
        <w:t>.</w:t>
      </w:r>
    </w:p>
    <w:p w:rsidR="007A767E" w:rsidRDefault="007A767E" w:rsidP="007A767E">
      <w:pPr>
        <w:pStyle w:val="JudgmentText"/>
        <w:numPr>
          <w:ilvl w:val="0"/>
          <w:numId w:val="0"/>
        </w:numPr>
        <w:spacing w:after="0" w:line="240" w:lineRule="auto"/>
        <w:rPr>
          <w:rFonts w:eastAsia="Calibri"/>
          <w:sz w:val="18"/>
          <w:szCs w:val="18"/>
        </w:rPr>
      </w:pPr>
      <w:r>
        <w:rPr>
          <w:rFonts w:eastAsia="Calibri"/>
          <w:sz w:val="18"/>
          <w:szCs w:val="18"/>
        </w:rPr>
        <w:t xml:space="preserve">7. </w:t>
      </w:r>
      <w:r w:rsidRPr="007A767E">
        <w:rPr>
          <w:rFonts w:eastAsia="Calibri"/>
          <w:sz w:val="18"/>
          <w:szCs w:val="18"/>
        </w:rPr>
        <w:t>Legal Practitioners Act (Professional Conduct Rules 2013), Rule 17(3).</w:t>
      </w:r>
    </w:p>
    <w:p w:rsidR="007A767E" w:rsidRDefault="007A767E" w:rsidP="007A767E">
      <w:pPr>
        <w:pStyle w:val="JudgmentText"/>
        <w:numPr>
          <w:ilvl w:val="0"/>
          <w:numId w:val="0"/>
        </w:numPr>
        <w:spacing w:after="0" w:line="240" w:lineRule="auto"/>
        <w:rPr>
          <w:rFonts w:eastAsia="Calibri"/>
          <w:sz w:val="18"/>
          <w:szCs w:val="18"/>
        </w:rPr>
      </w:pPr>
    </w:p>
    <w:p w:rsidR="007A767E" w:rsidRDefault="007A767E" w:rsidP="007A767E">
      <w:pPr>
        <w:pStyle w:val="JudgmentText"/>
        <w:numPr>
          <w:ilvl w:val="0"/>
          <w:numId w:val="0"/>
        </w:numPr>
        <w:spacing w:after="0" w:line="240" w:lineRule="auto"/>
        <w:rPr>
          <w:rFonts w:eastAsia="Calibri"/>
          <w:sz w:val="18"/>
          <w:szCs w:val="18"/>
        </w:rPr>
      </w:pPr>
    </w:p>
    <w:p w:rsidR="007A767E" w:rsidRDefault="007A767E" w:rsidP="007A767E">
      <w:pPr>
        <w:pStyle w:val="JudgmentText"/>
        <w:numPr>
          <w:ilvl w:val="0"/>
          <w:numId w:val="0"/>
        </w:numPr>
        <w:spacing w:after="0" w:line="240" w:lineRule="auto"/>
        <w:rPr>
          <w:rFonts w:eastAsia="Calibri"/>
          <w:sz w:val="18"/>
          <w:szCs w:val="18"/>
        </w:rPr>
      </w:pPr>
    </w:p>
    <w:p w:rsidR="007A767E" w:rsidRDefault="007A767E" w:rsidP="007A767E">
      <w:pPr>
        <w:pStyle w:val="JudgmentText"/>
        <w:numPr>
          <w:ilvl w:val="0"/>
          <w:numId w:val="0"/>
        </w:numPr>
        <w:spacing w:after="0" w:line="240" w:lineRule="auto"/>
        <w:rPr>
          <w:rFonts w:eastAsia="Calibri"/>
          <w:sz w:val="18"/>
          <w:szCs w:val="18"/>
        </w:rPr>
      </w:pPr>
    </w:p>
    <w:p w:rsidR="007A767E" w:rsidRPr="007A767E" w:rsidRDefault="007A767E" w:rsidP="007A767E">
      <w:pPr>
        <w:pStyle w:val="JudgmentText"/>
        <w:numPr>
          <w:ilvl w:val="0"/>
          <w:numId w:val="0"/>
        </w:numPr>
        <w:spacing w:after="0" w:line="240" w:lineRule="auto"/>
        <w:rPr>
          <w:rFonts w:eastAsia="Calibri"/>
          <w:sz w:val="18"/>
          <w:szCs w:val="18"/>
        </w:rPr>
      </w:pPr>
    </w:p>
    <w:p w:rsidR="00B2151E" w:rsidRDefault="00BE24C9" w:rsidP="00B87FC9">
      <w:pPr>
        <w:spacing w:after="240" w:line="360" w:lineRule="auto"/>
        <w:ind w:left="720"/>
        <w:jc w:val="both"/>
        <w:rPr>
          <w:rFonts w:ascii="Times New Roman" w:eastAsia="Calibri" w:hAnsi="Times New Roman" w:cs="Times New Roman"/>
          <w:sz w:val="24"/>
        </w:rPr>
      </w:pPr>
      <w:r w:rsidRPr="00BE24C9">
        <w:rPr>
          <w:rFonts w:ascii="Times New Roman" w:eastAsia="Calibri" w:hAnsi="Times New Roman" w:cs="Times New Roman"/>
          <w:sz w:val="24"/>
          <w:szCs w:val="24"/>
        </w:rPr>
        <w:t>Unlike the executive and the legislature, the judiciary has no real political power. Its power comes from moral authority</w:t>
      </w:r>
      <w:r w:rsidR="004D4FC7">
        <w:rPr>
          <w:rFonts w:ascii="Times New Roman" w:eastAsia="Calibri" w:hAnsi="Times New Roman" w:cs="Times New Roman"/>
          <w:sz w:val="24"/>
          <w:szCs w:val="24"/>
        </w:rPr>
        <w:t>,</w:t>
      </w:r>
      <w:r w:rsidRPr="00BE24C9">
        <w:rPr>
          <w:rFonts w:ascii="Times New Roman" w:eastAsia="Calibri" w:hAnsi="Times New Roman" w:cs="Times New Roman"/>
          <w:sz w:val="24"/>
          <w:szCs w:val="24"/>
        </w:rPr>
        <w:t xml:space="preserve"> and without such power, it cannot perform or discharge its functions effectively</w:t>
      </w:r>
      <w:r w:rsidRPr="00BE24C9">
        <w:rPr>
          <w:rFonts w:ascii="Times New Roman" w:eastAsia="Calibri" w:hAnsi="Times New Roman" w:cs="Times New Roman"/>
          <w:sz w:val="20"/>
          <w:szCs w:val="24"/>
        </w:rPr>
        <w:t>.</w:t>
      </w:r>
      <w:r>
        <w:rPr>
          <w:rFonts w:ascii="Times New Roman" w:eastAsia="Calibri" w:hAnsi="Times New Roman" w:cs="Times New Roman"/>
          <w:sz w:val="20"/>
          <w:szCs w:val="24"/>
          <w:vertAlign w:val="superscript"/>
        </w:rPr>
        <w:t>8</w:t>
      </w:r>
      <w:r w:rsidR="00B2151E" w:rsidRPr="00F021FD">
        <w:rPr>
          <w:rFonts w:eastAsia="Calibri"/>
        </w:rPr>
        <w:t xml:space="preserve"> </w:t>
      </w:r>
      <w:r w:rsidR="00B2151E" w:rsidRPr="00B87FC9">
        <w:rPr>
          <w:rFonts w:ascii="Times New Roman" w:eastAsia="Calibri" w:hAnsi="Times New Roman" w:cs="Times New Roman"/>
          <w:sz w:val="24"/>
        </w:rPr>
        <w:t>This position reflected under the Constitution</w:t>
      </w:r>
      <w:r w:rsidR="002B457A" w:rsidRPr="00B87FC9">
        <w:rPr>
          <w:rFonts w:ascii="Times New Roman" w:eastAsia="Calibri" w:hAnsi="Times New Roman" w:cs="Times New Roman"/>
          <w:sz w:val="24"/>
        </w:rPr>
        <w:t>,</w:t>
      </w:r>
      <w:r w:rsidR="00B2151E" w:rsidRPr="00B87FC9">
        <w:rPr>
          <w:rFonts w:ascii="Times New Roman" w:eastAsia="Calibri" w:hAnsi="Times New Roman" w:cs="Times New Roman"/>
          <w:sz w:val="24"/>
        </w:rPr>
        <w:t xml:space="preserve"> which vest</w:t>
      </w:r>
      <w:r w:rsidR="004D4FC7">
        <w:rPr>
          <w:rFonts w:ascii="Times New Roman" w:eastAsia="Calibri" w:hAnsi="Times New Roman" w:cs="Times New Roman"/>
          <w:sz w:val="24"/>
        </w:rPr>
        <w:t>s</w:t>
      </w:r>
      <w:r w:rsidR="00B2151E" w:rsidRPr="00B87FC9">
        <w:rPr>
          <w:rFonts w:ascii="Times New Roman" w:eastAsia="Calibri" w:hAnsi="Times New Roman" w:cs="Times New Roman"/>
          <w:sz w:val="24"/>
        </w:rPr>
        <w:t xml:space="preserve"> </w:t>
      </w:r>
      <w:r w:rsidR="002B457A" w:rsidRPr="00B87FC9">
        <w:rPr>
          <w:rFonts w:ascii="Times New Roman" w:eastAsia="Calibri" w:hAnsi="Times New Roman" w:cs="Times New Roman"/>
          <w:sz w:val="24"/>
        </w:rPr>
        <w:t>judicial</w:t>
      </w:r>
      <w:r w:rsidR="00B2151E" w:rsidRPr="00B87FC9">
        <w:rPr>
          <w:rFonts w:ascii="Times New Roman" w:eastAsia="Calibri" w:hAnsi="Times New Roman" w:cs="Times New Roman"/>
          <w:sz w:val="24"/>
        </w:rPr>
        <w:t xml:space="preserve"> power in the </w:t>
      </w:r>
      <w:r w:rsidR="004D4FC7">
        <w:rPr>
          <w:rFonts w:ascii="Times New Roman" w:eastAsia="Calibri" w:hAnsi="Times New Roman" w:cs="Times New Roman"/>
          <w:sz w:val="24"/>
        </w:rPr>
        <w:t>Judiciary and establishes it</w:t>
      </w:r>
      <w:r w:rsidR="00B2151E" w:rsidRPr="00B87FC9">
        <w:rPr>
          <w:rFonts w:ascii="Times New Roman" w:eastAsia="Calibri" w:hAnsi="Times New Roman" w:cs="Times New Roman"/>
          <w:sz w:val="24"/>
        </w:rPr>
        <w:t xml:space="preserve"> as an independent institution</w:t>
      </w:r>
      <w:r w:rsidR="002B457A" w:rsidRPr="00B87FC9">
        <w:rPr>
          <w:rFonts w:ascii="Times New Roman" w:eastAsia="Calibri" w:hAnsi="Times New Roman" w:cs="Times New Roman"/>
          <w:sz w:val="24"/>
        </w:rPr>
        <w:t>,</w:t>
      </w:r>
      <w:r w:rsidR="00B2151E" w:rsidRPr="00B87FC9">
        <w:rPr>
          <w:rFonts w:ascii="Times New Roman" w:eastAsia="Calibri" w:hAnsi="Times New Roman" w:cs="Times New Roman"/>
          <w:sz w:val="24"/>
        </w:rPr>
        <w:t xml:space="preserve"> </w:t>
      </w:r>
      <w:r w:rsidR="002B457A" w:rsidRPr="00B87FC9">
        <w:rPr>
          <w:rFonts w:ascii="Times New Roman" w:eastAsia="Calibri" w:hAnsi="Times New Roman" w:cs="Times New Roman"/>
          <w:sz w:val="24"/>
        </w:rPr>
        <w:t>which is only subject to the C</w:t>
      </w:r>
      <w:r w:rsidR="00B2151E" w:rsidRPr="00B87FC9">
        <w:rPr>
          <w:rFonts w:ascii="Times New Roman" w:eastAsia="Calibri" w:hAnsi="Times New Roman" w:cs="Times New Roman"/>
          <w:sz w:val="24"/>
        </w:rPr>
        <w:t>onstitution and the other laws of Seychelles</w:t>
      </w:r>
      <w:r w:rsidR="002B457A" w:rsidRPr="00B87FC9">
        <w:rPr>
          <w:rFonts w:ascii="Times New Roman" w:eastAsia="Calibri" w:hAnsi="Times New Roman" w:cs="Times New Roman"/>
          <w:sz w:val="24"/>
        </w:rPr>
        <w:t>.</w:t>
      </w:r>
      <w:r w:rsidR="00B87FC9">
        <w:rPr>
          <w:rFonts w:ascii="Times New Roman" w:eastAsia="Calibri" w:hAnsi="Times New Roman" w:cs="Times New Roman"/>
          <w:sz w:val="24"/>
          <w:vertAlign w:val="superscript"/>
        </w:rPr>
        <w:t>9</w:t>
      </w:r>
      <w:r w:rsidR="002B457A" w:rsidRPr="00B87FC9">
        <w:rPr>
          <w:rFonts w:ascii="Times New Roman" w:eastAsia="Calibri" w:hAnsi="Times New Roman" w:cs="Times New Roman"/>
          <w:sz w:val="24"/>
        </w:rPr>
        <w:t xml:space="preserve"> </w:t>
      </w:r>
      <w:r w:rsidR="00D45DB6" w:rsidRPr="00B87FC9">
        <w:rPr>
          <w:rFonts w:ascii="Times New Roman" w:eastAsia="Calibri" w:hAnsi="Times New Roman" w:cs="Times New Roman"/>
          <w:sz w:val="24"/>
        </w:rPr>
        <w:t>With these Constitutional provisions in mind, the judiciary can function effectively when it commands the public’s faith and trust. To build this confidence in the judiciary, it is clear that judges account to the public through their judgements and their conduct in an open courtroom</w:t>
      </w:r>
      <w:r w:rsidR="00A85C1F">
        <w:rPr>
          <w:rFonts w:ascii="Times New Roman" w:eastAsia="Calibri" w:hAnsi="Times New Roman" w:cs="Times New Roman"/>
          <w:sz w:val="24"/>
        </w:rPr>
        <w:t>.</w:t>
      </w:r>
      <w:r w:rsidR="00827F18">
        <w:rPr>
          <w:rFonts w:ascii="Times New Roman" w:eastAsia="Calibri" w:hAnsi="Times New Roman" w:cs="Times New Roman"/>
          <w:sz w:val="24"/>
          <w:vertAlign w:val="superscript"/>
        </w:rPr>
        <w:t>10</w:t>
      </w:r>
      <w:r w:rsidR="00A85C1F">
        <w:rPr>
          <w:rFonts w:ascii="Times New Roman" w:eastAsia="Calibri" w:hAnsi="Times New Roman" w:cs="Times New Roman"/>
          <w:sz w:val="24"/>
        </w:rPr>
        <w:t xml:space="preserve"> </w:t>
      </w:r>
      <w:r w:rsidR="002B457A" w:rsidRPr="00B87FC9">
        <w:rPr>
          <w:rFonts w:ascii="Times New Roman" w:eastAsia="Calibri" w:hAnsi="Times New Roman" w:cs="Times New Roman"/>
          <w:sz w:val="24"/>
        </w:rPr>
        <w:t>In addition to this accountability mechanism, rules and me</w:t>
      </w:r>
      <w:r w:rsidR="00883226" w:rsidRPr="00B87FC9">
        <w:rPr>
          <w:rFonts w:ascii="Times New Roman" w:eastAsia="Calibri" w:hAnsi="Times New Roman" w:cs="Times New Roman"/>
          <w:sz w:val="24"/>
        </w:rPr>
        <w:t>chanisms have been developed to protect the judiciary from attacks or vilification particularly from Officers of the Court. Statements that are designed to cast doubt on the independence of a judge, including accusations of favouritism, personal and corrupt motives among others clearly undermine the proper administration of the judiciary.</w:t>
      </w:r>
    </w:p>
    <w:p w:rsidR="00B87FC9" w:rsidRDefault="00B87FC9" w:rsidP="00B87FC9">
      <w:pPr>
        <w:spacing w:after="0" w:line="240" w:lineRule="auto"/>
        <w:jc w:val="both"/>
        <w:rPr>
          <w:rFonts w:ascii="Times New Roman" w:eastAsia="Calibri" w:hAnsi="Times New Roman" w:cs="Times New Roman"/>
          <w:sz w:val="24"/>
        </w:rPr>
      </w:pPr>
    </w:p>
    <w:p w:rsidR="00B87FC9" w:rsidRPr="004A2599" w:rsidRDefault="00B87FC9" w:rsidP="00B87FC9">
      <w:pPr>
        <w:keepNext/>
        <w:rPr>
          <w:rFonts w:ascii="Times New Roman" w:hAnsi="Times New Roman" w:cs="Times New Roman"/>
          <w:sz w:val="24"/>
          <w:szCs w:val="24"/>
        </w:rPr>
      </w:pPr>
      <w:r w:rsidRPr="009A270B">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on 21</w:t>
      </w:r>
      <w:r w:rsidRPr="00BB09D2">
        <w:rPr>
          <w:rFonts w:ascii="Times New Roman" w:hAnsi="Times New Roman" w:cs="Times New Roman"/>
          <w:sz w:val="24"/>
          <w:szCs w:val="24"/>
          <w:vertAlign w:val="superscript"/>
        </w:rPr>
        <w:t>st</w:t>
      </w:r>
      <w:r w:rsidRPr="009A270B">
        <w:rPr>
          <w:rFonts w:ascii="Times New Roman" w:hAnsi="Times New Roman" w:cs="Times New Roman"/>
          <w:sz w:val="24"/>
          <w:szCs w:val="24"/>
        </w:rPr>
        <w:t xml:space="preserve"> </w:t>
      </w:r>
      <w:r>
        <w:rPr>
          <w:rFonts w:ascii="Times New Roman" w:hAnsi="Times New Roman" w:cs="Times New Roman"/>
          <w:sz w:val="24"/>
          <w:szCs w:val="24"/>
        </w:rPr>
        <w:t>July 2020.</w:t>
      </w:r>
    </w:p>
    <w:p w:rsidR="00B87FC9" w:rsidRPr="004A2599" w:rsidRDefault="00B87FC9" w:rsidP="00B87FC9">
      <w:pPr>
        <w:keepNext/>
        <w:rPr>
          <w:rFonts w:ascii="Times New Roman" w:hAnsi="Times New Roman" w:cs="Times New Roman"/>
          <w:sz w:val="24"/>
          <w:szCs w:val="24"/>
        </w:rPr>
      </w:pPr>
    </w:p>
    <w:p w:rsidR="00B87FC9" w:rsidRPr="00BB09D2" w:rsidRDefault="00B87FC9" w:rsidP="00B87FC9">
      <w:pPr>
        <w:keepNext/>
        <w:rPr>
          <w:rFonts w:ascii="Times New Roman" w:hAnsi="Times New Roman" w:cs="Times New Roman"/>
          <w:sz w:val="24"/>
          <w:szCs w:val="24"/>
          <w:u w:val="single"/>
        </w:rPr>
      </w:pPr>
      <w:r w:rsidRPr="004A2599">
        <w:rPr>
          <w:rFonts w:ascii="Times New Roman" w:hAnsi="Times New Roman" w:cs="Times New Roman"/>
          <w:sz w:val="24"/>
          <w:szCs w:val="24"/>
        </w:rPr>
        <w:t>_________</w:t>
      </w:r>
      <w:r>
        <w:rPr>
          <w:rFonts w:ascii="Times New Roman" w:hAnsi="Times New Roman" w:cs="Times New Roman"/>
          <w:sz w:val="24"/>
          <w:szCs w:val="24"/>
          <w:u w:val="single"/>
        </w:rPr>
        <w:tab/>
      </w:r>
      <w:r w:rsidRPr="004A2599">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7FC9" w:rsidRPr="00231776" w:rsidRDefault="00B87FC9" w:rsidP="00231776">
      <w:pPr>
        <w:keepNext/>
        <w:rPr>
          <w:rFonts w:ascii="Times New Roman" w:hAnsi="Times New Roman" w:cs="Times New Roman"/>
          <w:sz w:val="24"/>
          <w:szCs w:val="24"/>
        </w:rPr>
      </w:pPr>
      <w:r w:rsidRPr="00BB09D2">
        <w:rPr>
          <w:rFonts w:ascii="Times New Roman" w:hAnsi="Times New Roman" w:cs="Times New Roman"/>
          <w:b/>
          <w:sz w:val="24"/>
          <w:szCs w:val="24"/>
        </w:rPr>
        <w:t>Vidot J,</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9D2">
        <w:rPr>
          <w:rFonts w:ascii="Times New Roman" w:hAnsi="Times New Roman" w:cs="Times New Roman"/>
          <w:b/>
          <w:sz w:val="24"/>
          <w:szCs w:val="24"/>
        </w:rPr>
        <w:t>Pillay 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9D2">
        <w:rPr>
          <w:rFonts w:ascii="Times New Roman" w:hAnsi="Times New Roman" w:cs="Times New Roman"/>
          <w:b/>
          <w:sz w:val="24"/>
          <w:szCs w:val="24"/>
        </w:rPr>
        <w:t>Carolus J,</w:t>
      </w:r>
    </w:p>
    <w:p w:rsidR="00B87FC9" w:rsidRDefault="00B87FC9" w:rsidP="00B87FC9">
      <w:pPr>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p>
    <w:p w:rsidR="00B87FC9" w:rsidRPr="00B87FC9" w:rsidRDefault="00B87FC9" w:rsidP="00B87FC9">
      <w:pPr>
        <w:spacing w:after="0" w:line="240" w:lineRule="auto"/>
        <w:jc w:val="both"/>
        <w:rPr>
          <w:rFonts w:ascii="Times New Roman" w:eastAsia="Calibri" w:hAnsi="Times New Roman" w:cs="Times New Roman"/>
          <w:sz w:val="24"/>
          <w:u w:val="single"/>
        </w:rPr>
      </w:pPr>
    </w:p>
    <w:p w:rsidR="00B87FC9" w:rsidRPr="00B87FC9" w:rsidRDefault="00B87FC9" w:rsidP="00B87FC9">
      <w:pPr>
        <w:spacing w:after="0" w:line="240" w:lineRule="auto"/>
        <w:jc w:val="both"/>
        <w:rPr>
          <w:rFonts w:ascii="Times New Roman" w:eastAsia="Calibri" w:hAnsi="Times New Roman" w:cs="Times New Roman"/>
          <w:sz w:val="20"/>
        </w:rPr>
      </w:pPr>
      <w:r>
        <w:rPr>
          <w:rFonts w:ascii="Times New Roman" w:eastAsia="Calibri" w:hAnsi="Times New Roman" w:cs="Times New Roman"/>
          <w:sz w:val="24"/>
        </w:rPr>
        <w:t xml:space="preserve">8. </w:t>
      </w:r>
      <w:r w:rsidRPr="00B87FC9">
        <w:rPr>
          <w:rFonts w:ascii="Times New Roman" w:eastAsia="Calibri" w:hAnsi="Times New Roman" w:cs="Times New Roman"/>
          <w:sz w:val="20"/>
        </w:rPr>
        <w:t xml:space="preserve">See </w:t>
      </w:r>
      <w:r w:rsidRPr="00B87FC9">
        <w:rPr>
          <w:rFonts w:ascii="Times New Roman" w:eastAsia="Calibri" w:hAnsi="Times New Roman" w:cs="Times New Roman"/>
          <w:i/>
          <w:sz w:val="20"/>
        </w:rPr>
        <w:t xml:space="preserve">S v </w:t>
      </w:r>
      <w:proofErr w:type="spellStart"/>
      <w:r w:rsidRPr="00B87FC9">
        <w:rPr>
          <w:rFonts w:ascii="Times New Roman" w:eastAsia="Calibri" w:hAnsi="Times New Roman" w:cs="Times New Roman"/>
          <w:i/>
          <w:sz w:val="20"/>
        </w:rPr>
        <w:t>Mamabolo</w:t>
      </w:r>
      <w:proofErr w:type="spellEnd"/>
      <w:r w:rsidRPr="00B87FC9">
        <w:rPr>
          <w:rFonts w:ascii="Times New Roman" w:eastAsia="Calibri" w:hAnsi="Times New Roman" w:cs="Times New Roman"/>
          <w:sz w:val="20"/>
        </w:rPr>
        <w:t xml:space="preserve"> 2001 (3) SA 409 (CC) para 16; see also </w:t>
      </w:r>
      <w:r w:rsidRPr="00B87FC9">
        <w:rPr>
          <w:rFonts w:ascii="Times New Roman" w:eastAsia="Calibri" w:hAnsi="Times New Roman" w:cs="Times New Roman"/>
          <w:i/>
          <w:sz w:val="20"/>
        </w:rPr>
        <w:t xml:space="preserve">R v </w:t>
      </w:r>
      <w:proofErr w:type="spellStart"/>
      <w:r w:rsidRPr="00B87FC9">
        <w:rPr>
          <w:rFonts w:ascii="Times New Roman" w:eastAsia="Calibri" w:hAnsi="Times New Roman" w:cs="Times New Roman"/>
          <w:i/>
          <w:sz w:val="20"/>
        </w:rPr>
        <w:t>Almon</w:t>
      </w:r>
      <w:proofErr w:type="spellEnd"/>
      <w:r w:rsidRPr="00B87FC9">
        <w:rPr>
          <w:rFonts w:ascii="Times New Roman" w:eastAsia="Calibri" w:hAnsi="Times New Roman" w:cs="Times New Roman"/>
          <w:sz w:val="20"/>
        </w:rPr>
        <w:t xml:space="preserve"> in which the following was said of the offence:</w:t>
      </w:r>
    </w:p>
    <w:p w:rsidR="00B87FC9" w:rsidRDefault="00B87FC9" w:rsidP="00B87FC9">
      <w:pPr>
        <w:spacing w:after="0" w:line="240" w:lineRule="auto"/>
        <w:jc w:val="both"/>
        <w:rPr>
          <w:rFonts w:ascii="Times New Roman" w:eastAsia="Calibri" w:hAnsi="Times New Roman" w:cs="Times New Roman"/>
          <w:sz w:val="18"/>
        </w:rPr>
      </w:pPr>
      <w:r w:rsidRPr="00B87FC9">
        <w:rPr>
          <w:rFonts w:ascii="Times New Roman" w:eastAsia="Calibri" w:hAnsi="Times New Roman" w:cs="Times New Roman"/>
          <w:sz w:val="20"/>
        </w:rPr>
        <w:t xml:space="preserve"> “The arraignment of the justice of the judges, is arraigning the King’s justice; it is an impeachment of his wisdom and goodness in the choice of his Judges, and excites in the minds of the people a general dissatisfaction with all judicial determinations, and indisposes their minds to obey them; and whenever men’s allegiance to the laws is so fundamentally shaken, it is the most fatal and most dangerous obstruction of justice, and, in my opinion, calls out for a more rapid and immediate redress than any other obstruction whatsoever; not for the sake of the Judges, as private individuals, but because they are the channels by which the king’s justice is conveyed to the people. To be impartial, and to be universally thought so, are both absolutely necessary for the giving justice that free, open and uninterrupted current, which it has, for many ages, found all over this kingdom, and which so eminently distinguishes and exalts it above all nations upon the earth</w:t>
      </w:r>
      <w:r>
        <w:rPr>
          <w:rFonts w:ascii="Times New Roman" w:eastAsia="Calibri" w:hAnsi="Times New Roman" w:cs="Times New Roman"/>
          <w:sz w:val="18"/>
        </w:rPr>
        <w:t>.</w:t>
      </w:r>
      <w:r w:rsidR="00827F18">
        <w:rPr>
          <w:rFonts w:ascii="Times New Roman" w:eastAsia="Calibri" w:hAnsi="Times New Roman" w:cs="Times New Roman"/>
          <w:sz w:val="18"/>
        </w:rPr>
        <w:t>”</w:t>
      </w:r>
    </w:p>
    <w:p w:rsidR="00B87FC9" w:rsidRDefault="00B87FC9" w:rsidP="00B87FC9">
      <w:pPr>
        <w:spacing w:after="0" w:line="240" w:lineRule="auto"/>
        <w:jc w:val="both"/>
        <w:rPr>
          <w:rFonts w:ascii="Times New Roman" w:eastAsia="Calibri" w:hAnsi="Times New Roman" w:cs="Times New Roman"/>
          <w:sz w:val="20"/>
          <w:szCs w:val="20"/>
        </w:rPr>
      </w:pPr>
      <w:r w:rsidRPr="00B87FC9">
        <w:rPr>
          <w:rFonts w:ascii="Times New Roman" w:eastAsia="Calibri" w:hAnsi="Times New Roman" w:cs="Times New Roman"/>
          <w:sz w:val="20"/>
          <w:szCs w:val="20"/>
        </w:rPr>
        <w:t>9. Constitution of the Republic of Seychelles, s</w:t>
      </w:r>
      <w:r w:rsidR="00827F18">
        <w:rPr>
          <w:rFonts w:ascii="Times New Roman" w:eastAsia="Calibri" w:hAnsi="Times New Roman" w:cs="Times New Roman"/>
          <w:sz w:val="20"/>
          <w:szCs w:val="20"/>
        </w:rPr>
        <w:t xml:space="preserve"> </w:t>
      </w:r>
      <w:r w:rsidRPr="00B87FC9">
        <w:rPr>
          <w:rFonts w:ascii="Times New Roman" w:eastAsia="Calibri" w:hAnsi="Times New Roman" w:cs="Times New Roman"/>
          <w:sz w:val="20"/>
          <w:szCs w:val="20"/>
        </w:rPr>
        <w:t>119 (1) and (2).</w:t>
      </w:r>
    </w:p>
    <w:p w:rsidR="00B87FC9" w:rsidRPr="00B87FC9" w:rsidRDefault="00B87FC9" w:rsidP="00B87FC9">
      <w:pPr>
        <w:spacing w:after="0" w:line="240"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10</w:t>
      </w:r>
      <w:r w:rsidRPr="00A85C1F">
        <w:rPr>
          <w:rFonts w:ascii="Times New Roman" w:eastAsia="Calibri" w:hAnsi="Times New Roman" w:cs="Times New Roman"/>
          <w:i/>
          <w:sz w:val="20"/>
          <w:szCs w:val="20"/>
        </w:rPr>
        <w:t>.</w:t>
      </w:r>
      <w:r w:rsidR="00A85C1F" w:rsidRPr="00A85C1F">
        <w:rPr>
          <w:i/>
        </w:rPr>
        <w:t xml:space="preserve"> </w:t>
      </w:r>
      <w:r w:rsidR="00A85C1F" w:rsidRPr="00A85C1F">
        <w:rPr>
          <w:rFonts w:ascii="Times New Roman" w:eastAsia="Calibri" w:hAnsi="Times New Roman" w:cs="Times New Roman"/>
          <w:i/>
          <w:sz w:val="20"/>
          <w:szCs w:val="20"/>
        </w:rPr>
        <w:t xml:space="preserve">S v </w:t>
      </w:r>
      <w:proofErr w:type="spellStart"/>
      <w:r w:rsidR="00A85C1F" w:rsidRPr="00A85C1F">
        <w:rPr>
          <w:rFonts w:ascii="Times New Roman" w:eastAsia="Calibri" w:hAnsi="Times New Roman" w:cs="Times New Roman"/>
          <w:i/>
          <w:sz w:val="20"/>
          <w:szCs w:val="20"/>
        </w:rPr>
        <w:t>Mamabolo</w:t>
      </w:r>
      <w:proofErr w:type="spellEnd"/>
      <w:r w:rsidR="00A85C1F" w:rsidRPr="00A85C1F">
        <w:rPr>
          <w:rFonts w:ascii="Times New Roman" w:eastAsia="Calibri" w:hAnsi="Times New Roman" w:cs="Times New Roman"/>
          <w:sz w:val="20"/>
          <w:szCs w:val="20"/>
        </w:rPr>
        <w:t xml:space="preserve"> 2001 (3) SA 409 (CC) para 19</w:t>
      </w:r>
      <w:r w:rsidR="00A85C1F">
        <w:rPr>
          <w:rFonts w:ascii="Times New Roman" w:eastAsia="Calibri" w:hAnsi="Times New Roman" w:cs="Times New Roman"/>
          <w:sz w:val="20"/>
          <w:szCs w:val="20"/>
        </w:rPr>
        <w:t>.</w:t>
      </w:r>
    </w:p>
    <w:p w:rsidR="00A16843" w:rsidRPr="00A16843" w:rsidRDefault="00A16843" w:rsidP="009A270B">
      <w:pPr>
        <w:pStyle w:val="NumberedQuotationindent1"/>
        <w:numPr>
          <w:ilvl w:val="0"/>
          <w:numId w:val="0"/>
        </w:numPr>
        <w:ind w:left="1440"/>
        <w:rPr>
          <w:highlight w:val="yellow"/>
        </w:rPr>
      </w:pPr>
    </w:p>
    <w:sectPr w:rsidR="00A16843" w:rsidRPr="00A1684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D0" w:rsidRDefault="005C3FD0" w:rsidP="006A68E2">
      <w:pPr>
        <w:spacing w:after="0" w:line="240" w:lineRule="auto"/>
      </w:pPr>
      <w:r>
        <w:separator/>
      </w:r>
    </w:p>
  </w:endnote>
  <w:endnote w:type="continuationSeparator" w:id="0">
    <w:p w:rsidR="005C3FD0" w:rsidRDefault="005C3FD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31CA8">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D0" w:rsidRDefault="005C3FD0" w:rsidP="006A68E2">
      <w:pPr>
        <w:spacing w:after="0" w:line="240" w:lineRule="auto"/>
      </w:pPr>
      <w:r>
        <w:separator/>
      </w:r>
    </w:p>
  </w:footnote>
  <w:footnote w:type="continuationSeparator" w:id="0">
    <w:p w:rsidR="005C3FD0" w:rsidRDefault="005C3FD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7C8D"/>
    <w:multiLevelType w:val="hybridMultilevel"/>
    <w:tmpl w:val="FD9CDB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4"/>
    <w:lvlOverride w:ilvl="0">
      <w:lvl w:ilvl="0">
        <w:start w:val="1"/>
        <w:numFmt w:val="decimal"/>
        <w:pStyle w:val="JudgmentText"/>
        <w:lvlText w:val="[%1]"/>
        <w:lvlJc w:val="left"/>
        <w:pPr>
          <w:ind w:left="720" w:hanging="720"/>
        </w:pPr>
        <w:rPr>
          <w:rFonts w:ascii="Times New Roman" w:hAnsi="Times New Roman" w:hint="default"/>
          <w:color w:val="auto"/>
          <w:sz w:val="24"/>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43"/>
    <w:rsid w:val="00025CDF"/>
    <w:rsid w:val="00040193"/>
    <w:rsid w:val="00071B84"/>
    <w:rsid w:val="00077087"/>
    <w:rsid w:val="000829A4"/>
    <w:rsid w:val="0008560D"/>
    <w:rsid w:val="0009242F"/>
    <w:rsid w:val="00097D19"/>
    <w:rsid w:val="001135C2"/>
    <w:rsid w:val="001428B9"/>
    <w:rsid w:val="001664A9"/>
    <w:rsid w:val="00171133"/>
    <w:rsid w:val="001723B1"/>
    <w:rsid w:val="00190206"/>
    <w:rsid w:val="001C78EC"/>
    <w:rsid w:val="001D118A"/>
    <w:rsid w:val="001D33D2"/>
    <w:rsid w:val="002015F8"/>
    <w:rsid w:val="00212006"/>
    <w:rsid w:val="0021402A"/>
    <w:rsid w:val="00214DB4"/>
    <w:rsid w:val="00231776"/>
    <w:rsid w:val="00235626"/>
    <w:rsid w:val="00243AE1"/>
    <w:rsid w:val="002A0FEC"/>
    <w:rsid w:val="002B457A"/>
    <w:rsid w:val="002D4EB8"/>
    <w:rsid w:val="002E2AE3"/>
    <w:rsid w:val="003137B8"/>
    <w:rsid w:val="003148DE"/>
    <w:rsid w:val="00344425"/>
    <w:rsid w:val="00346D7F"/>
    <w:rsid w:val="003615E7"/>
    <w:rsid w:val="00380619"/>
    <w:rsid w:val="00393042"/>
    <w:rsid w:val="00396926"/>
    <w:rsid w:val="003A6C9E"/>
    <w:rsid w:val="003E2E94"/>
    <w:rsid w:val="00403F4C"/>
    <w:rsid w:val="00405958"/>
    <w:rsid w:val="00412994"/>
    <w:rsid w:val="00463B4E"/>
    <w:rsid w:val="00472219"/>
    <w:rsid w:val="0048295C"/>
    <w:rsid w:val="004832BB"/>
    <w:rsid w:val="004A2599"/>
    <w:rsid w:val="004C16E0"/>
    <w:rsid w:val="004D4FC7"/>
    <w:rsid w:val="00571033"/>
    <w:rsid w:val="005A114E"/>
    <w:rsid w:val="005A1238"/>
    <w:rsid w:val="005A5FCB"/>
    <w:rsid w:val="005B11C6"/>
    <w:rsid w:val="005B12AA"/>
    <w:rsid w:val="005B3B5E"/>
    <w:rsid w:val="005C3FD0"/>
    <w:rsid w:val="005D2C12"/>
    <w:rsid w:val="00607F94"/>
    <w:rsid w:val="0061354A"/>
    <w:rsid w:val="00635504"/>
    <w:rsid w:val="00652326"/>
    <w:rsid w:val="006538BD"/>
    <w:rsid w:val="00654CED"/>
    <w:rsid w:val="00662CEA"/>
    <w:rsid w:val="006733F5"/>
    <w:rsid w:val="00683472"/>
    <w:rsid w:val="00691863"/>
    <w:rsid w:val="006A68E2"/>
    <w:rsid w:val="006B7AD6"/>
    <w:rsid w:val="0070371E"/>
    <w:rsid w:val="00716BED"/>
    <w:rsid w:val="00722761"/>
    <w:rsid w:val="00771124"/>
    <w:rsid w:val="007844FD"/>
    <w:rsid w:val="00796B89"/>
    <w:rsid w:val="007A767E"/>
    <w:rsid w:val="007C244A"/>
    <w:rsid w:val="007D25FE"/>
    <w:rsid w:val="008001C8"/>
    <w:rsid w:val="00822E1E"/>
    <w:rsid w:val="00827F18"/>
    <w:rsid w:val="0083381B"/>
    <w:rsid w:val="00835CC3"/>
    <w:rsid w:val="008577B7"/>
    <w:rsid w:val="008669F9"/>
    <w:rsid w:val="0087280E"/>
    <w:rsid w:val="00872862"/>
    <w:rsid w:val="00883226"/>
    <w:rsid w:val="008E771B"/>
    <w:rsid w:val="009539C2"/>
    <w:rsid w:val="00957494"/>
    <w:rsid w:val="00983B91"/>
    <w:rsid w:val="009A270B"/>
    <w:rsid w:val="009A769C"/>
    <w:rsid w:val="009B495E"/>
    <w:rsid w:val="009E286B"/>
    <w:rsid w:val="009E2B30"/>
    <w:rsid w:val="009F125D"/>
    <w:rsid w:val="009F2492"/>
    <w:rsid w:val="00A0246E"/>
    <w:rsid w:val="00A16843"/>
    <w:rsid w:val="00A2058F"/>
    <w:rsid w:val="00A327E9"/>
    <w:rsid w:val="00A85C1F"/>
    <w:rsid w:val="00AA23AB"/>
    <w:rsid w:val="00AE3D95"/>
    <w:rsid w:val="00B03209"/>
    <w:rsid w:val="00B2151E"/>
    <w:rsid w:val="00B87FC9"/>
    <w:rsid w:val="00B950DF"/>
    <w:rsid w:val="00BA3270"/>
    <w:rsid w:val="00BB09D2"/>
    <w:rsid w:val="00BB1A3E"/>
    <w:rsid w:val="00BC73B1"/>
    <w:rsid w:val="00BE24C9"/>
    <w:rsid w:val="00C11597"/>
    <w:rsid w:val="00C1496A"/>
    <w:rsid w:val="00C2466E"/>
    <w:rsid w:val="00C31CA8"/>
    <w:rsid w:val="00CC2313"/>
    <w:rsid w:val="00CC3C09"/>
    <w:rsid w:val="00CC437E"/>
    <w:rsid w:val="00CD09C7"/>
    <w:rsid w:val="00D31F1B"/>
    <w:rsid w:val="00D33DBF"/>
    <w:rsid w:val="00D45DB6"/>
    <w:rsid w:val="00D54712"/>
    <w:rsid w:val="00D710E7"/>
    <w:rsid w:val="00DB7E04"/>
    <w:rsid w:val="00DC64DF"/>
    <w:rsid w:val="00DE533B"/>
    <w:rsid w:val="00E1659A"/>
    <w:rsid w:val="00E20A60"/>
    <w:rsid w:val="00E27060"/>
    <w:rsid w:val="00EC6DF4"/>
    <w:rsid w:val="00ED0BFC"/>
    <w:rsid w:val="00ED5D54"/>
    <w:rsid w:val="00ED6F1C"/>
    <w:rsid w:val="00EF13E2"/>
    <w:rsid w:val="00F021FD"/>
    <w:rsid w:val="00F06B94"/>
    <w:rsid w:val="00F33B83"/>
    <w:rsid w:val="00F7670A"/>
    <w:rsid w:val="00F9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708B5-E92D-48EF-BF74-4029D90B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2248-EA66-46DE-A7CE-84C77115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Olya Hetsman</cp:lastModifiedBy>
  <cp:revision>13</cp:revision>
  <cp:lastPrinted>2020-07-28T09:42:00Z</cp:lastPrinted>
  <dcterms:created xsi:type="dcterms:W3CDTF">2020-07-23T05:51:00Z</dcterms:created>
  <dcterms:modified xsi:type="dcterms:W3CDTF">2020-09-28T05:18:00Z</dcterms:modified>
</cp:coreProperties>
</file>