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00" w:rsidRDefault="001C3400" w:rsidP="001C3400">
      <w:pPr>
        <w:shd w:val="clear" w:color="auto" w:fill="FFFFFF"/>
        <w:ind w:right="-42"/>
        <w:jc w:val="center"/>
        <w:rPr>
          <w:rFonts w:ascii="Arial" w:hAnsi="Arial" w:cs="Arial"/>
          <w:b/>
          <w:bCs/>
          <w:color w:val="000000"/>
        </w:rPr>
      </w:pPr>
      <w:proofErr w:type="spellStart"/>
      <w:r w:rsidRPr="00D67D29">
        <w:rPr>
          <w:rFonts w:ascii="Arial" w:hAnsi="Arial" w:cs="Arial"/>
          <w:b/>
          <w:bCs/>
          <w:color w:val="000000"/>
        </w:rPr>
        <w:t>Prunias</w:t>
      </w:r>
      <w:proofErr w:type="spellEnd"/>
      <w:r w:rsidRPr="00D67D29">
        <w:rPr>
          <w:rFonts w:ascii="Arial" w:hAnsi="Arial" w:cs="Arial"/>
          <w:b/>
          <w:bCs/>
          <w:color w:val="000000"/>
        </w:rPr>
        <w:t xml:space="preserve"> v </w:t>
      </w:r>
      <w:proofErr w:type="spellStart"/>
      <w:r w:rsidRPr="00D67D29">
        <w:rPr>
          <w:rFonts w:ascii="Arial" w:hAnsi="Arial" w:cs="Arial"/>
          <w:b/>
          <w:bCs/>
          <w:color w:val="000000"/>
        </w:rPr>
        <w:t>Darou</w:t>
      </w:r>
      <w:proofErr w:type="spellEnd"/>
    </w:p>
    <w:p w:rsidR="001C3400" w:rsidRPr="00D67D29" w:rsidRDefault="001C3400" w:rsidP="004100F5">
      <w:pPr>
        <w:shd w:val="clear" w:color="auto" w:fill="FFFFFF"/>
        <w:ind w:right="-42"/>
        <w:jc w:val="center"/>
        <w:rPr>
          <w:rFonts w:ascii="Arial" w:hAnsi="Arial" w:cs="Arial"/>
          <w:b/>
          <w:bCs/>
          <w:color w:val="000000"/>
        </w:rPr>
      </w:pPr>
      <w:r>
        <w:rPr>
          <w:rFonts w:ascii="Arial" w:hAnsi="Arial" w:cs="Arial"/>
          <w:b/>
          <w:bCs/>
          <w:color w:val="000000"/>
        </w:rPr>
        <w:t>(1997) S</w:t>
      </w:r>
      <w:r w:rsidR="004100F5">
        <w:rPr>
          <w:rFonts w:ascii="Arial" w:hAnsi="Arial" w:cs="Arial"/>
          <w:b/>
          <w:bCs/>
          <w:color w:val="000000"/>
        </w:rPr>
        <w:t>L</w:t>
      </w:r>
      <w:r>
        <w:rPr>
          <w:rFonts w:ascii="Arial" w:hAnsi="Arial" w:cs="Arial"/>
          <w:b/>
          <w:bCs/>
          <w:color w:val="000000"/>
        </w:rPr>
        <w:t>R 8</w:t>
      </w:r>
      <w:r w:rsidR="00144345">
        <w:rPr>
          <w:rFonts w:ascii="Arial" w:hAnsi="Arial" w:cs="Arial"/>
          <w:b/>
          <w:bCs/>
          <w:color w:val="000000"/>
        </w:rPr>
        <w:t>7</w:t>
      </w:r>
    </w:p>
    <w:p w:rsidR="001C3400" w:rsidRPr="00D67D29" w:rsidRDefault="001C3400" w:rsidP="001C3400">
      <w:pPr>
        <w:shd w:val="clear" w:color="auto" w:fill="FFFFFF"/>
        <w:ind w:right="-42"/>
        <w:jc w:val="center"/>
        <w:rPr>
          <w:rFonts w:ascii="Arial" w:hAnsi="Arial" w:cs="Arial"/>
          <w:color w:val="000000"/>
        </w:rPr>
      </w:pPr>
    </w:p>
    <w:p w:rsidR="001C3400" w:rsidRDefault="001C3400" w:rsidP="001C3400">
      <w:pPr>
        <w:shd w:val="clear" w:color="auto" w:fill="FFFFFF"/>
        <w:ind w:right="48"/>
        <w:rPr>
          <w:rFonts w:ascii="Arial" w:hAnsi="Arial" w:cs="Arial"/>
          <w:color w:val="000000"/>
        </w:rPr>
      </w:pPr>
    </w:p>
    <w:p w:rsidR="001C3400" w:rsidRPr="00D67D29" w:rsidRDefault="001C3400" w:rsidP="001C3400">
      <w:pPr>
        <w:shd w:val="clear" w:color="auto" w:fill="FFFFFF"/>
        <w:ind w:right="48"/>
        <w:rPr>
          <w:rFonts w:ascii="Arial" w:hAnsi="Arial" w:cs="Arial"/>
          <w:color w:val="000000"/>
        </w:rPr>
      </w:pPr>
      <w:r w:rsidRPr="00D67D29">
        <w:rPr>
          <w:rFonts w:ascii="Arial" w:hAnsi="Arial" w:cs="Arial"/>
          <w:color w:val="000000"/>
        </w:rPr>
        <w:t xml:space="preserve">John RENAUD for the Plaintiff </w:t>
      </w:r>
    </w:p>
    <w:p w:rsidR="001C3400" w:rsidRDefault="001C3400" w:rsidP="001C3400">
      <w:pPr>
        <w:shd w:val="clear" w:color="auto" w:fill="FFFFFF"/>
        <w:rPr>
          <w:rFonts w:ascii="Arial" w:hAnsi="Arial" w:cs="Arial"/>
          <w:color w:val="000000"/>
        </w:rPr>
      </w:pPr>
      <w:r w:rsidRPr="00D67D29">
        <w:rPr>
          <w:rFonts w:ascii="Arial" w:hAnsi="Arial" w:cs="Arial"/>
          <w:color w:val="000000"/>
        </w:rPr>
        <w:t>Jacques HODOUL for the Defendant</w:t>
      </w:r>
    </w:p>
    <w:p w:rsidR="001C3400" w:rsidRDefault="001C3400" w:rsidP="001C3400">
      <w:pPr>
        <w:shd w:val="clear" w:color="auto" w:fill="FFFFFF"/>
        <w:rPr>
          <w:rFonts w:ascii="Arial" w:hAnsi="Arial" w:cs="Arial"/>
          <w:b/>
          <w:bCs/>
          <w:color w:val="000000"/>
        </w:rPr>
      </w:pPr>
    </w:p>
    <w:p w:rsidR="001C3400" w:rsidRDefault="001C3400" w:rsidP="001C3400">
      <w:pPr>
        <w:shd w:val="clear" w:color="auto" w:fill="FFFFFF"/>
        <w:rPr>
          <w:rFonts w:ascii="Arial" w:hAnsi="Arial" w:cs="Arial"/>
          <w:b/>
          <w:color w:val="000000"/>
        </w:rPr>
      </w:pPr>
      <w:r w:rsidRPr="00D67D29">
        <w:rPr>
          <w:rFonts w:ascii="Arial" w:hAnsi="Arial" w:cs="Arial"/>
          <w:b/>
          <w:bCs/>
          <w:color w:val="000000"/>
        </w:rPr>
        <w:t xml:space="preserve">Ruling delivered on </w:t>
      </w:r>
      <w:r w:rsidRPr="00D67D29">
        <w:rPr>
          <w:rFonts w:ascii="Arial" w:hAnsi="Arial" w:cs="Arial"/>
          <w:b/>
          <w:color w:val="000000"/>
        </w:rPr>
        <w:t>1 day of July 1997 by:</w:t>
      </w:r>
    </w:p>
    <w:p w:rsidR="001C3400" w:rsidRPr="00D67D29" w:rsidRDefault="001C3400" w:rsidP="001C3400">
      <w:pPr>
        <w:shd w:val="clear" w:color="auto" w:fill="FFFFFF"/>
        <w:rPr>
          <w:rFonts w:ascii="Arial" w:hAnsi="Arial" w:cs="Arial"/>
          <w:b/>
        </w:rPr>
      </w:pPr>
    </w:p>
    <w:p w:rsidR="001C3400" w:rsidRPr="00D67D29" w:rsidRDefault="001C3400" w:rsidP="001C3400">
      <w:pPr>
        <w:shd w:val="clear" w:color="auto" w:fill="FFFFFF"/>
        <w:jc w:val="both"/>
        <w:rPr>
          <w:rFonts w:ascii="Arial" w:hAnsi="Arial" w:cs="Arial"/>
          <w:color w:val="000000"/>
        </w:rPr>
      </w:pPr>
      <w:r w:rsidRPr="00D67D29">
        <w:rPr>
          <w:rFonts w:ascii="Arial" w:hAnsi="Arial" w:cs="Arial"/>
          <w:b/>
          <w:color w:val="000000"/>
        </w:rPr>
        <w:t xml:space="preserve">PERERA J:  </w:t>
      </w:r>
      <w:r w:rsidRPr="00D67D29">
        <w:rPr>
          <w:rFonts w:ascii="Arial" w:hAnsi="Arial" w:cs="Arial"/>
          <w:color w:val="000000"/>
        </w:rPr>
        <w:t xml:space="preserve">This action was filed by Andre </w:t>
      </w:r>
      <w:proofErr w:type="spellStart"/>
      <w:r w:rsidRPr="00D67D29">
        <w:rPr>
          <w:rFonts w:ascii="Arial" w:hAnsi="Arial" w:cs="Arial"/>
          <w:color w:val="000000"/>
        </w:rPr>
        <w:t>Prunias</w:t>
      </w:r>
      <w:proofErr w:type="spellEnd"/>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 xml:space="preserve">laintiff, as </w:t>
      </w:r>
      <w:r w:rsidRPr="00D67D29">
        <w:rPr>
          <w:rFonts w:ascii="Arial" w:hAnsi="Arial" w:cs="Arial"/>
          <w:color w:val="000000"/>
          <w:u w:val="single"/>
        </w:rPr>
        <w:t>the owner</w:t>
      </w:r>
      <w:r w:rsidRPr="00D67D29">
        <w:rPr>
          <w:rFonts w:ascii="Arial" w:hAnsi="Arial" w:cs="Arial"/>
          <w:color w:val="000000"/>
        </w:rPr>
        <w:t xml:space="preserve"> of a parcel of land at Glacis, bearing no H. 1011, claiming damages from the </w:t>
      </w:r>
      <w:r>
        <w:rPr>
          <w:rFonts w:ascii="Arial" w:hAnsi="Arial" w:cs="Arial"/>
          <w:color w:val="000000"/>
        </w:rPr>
        <w:t>d</w:t>
      </w:r>
      <w:r w:rsidRPr="00D67D29">
        <w:rPr>
          <w:rFonts w:ascii="Arial" w:hAnsi="Arial" w:cs="Arial"/>
          <w:color w:val="000000"/>
        </w:rPr>
        <w:t xml:space="preserve">efendant for trespass and a restraining order on her from entering the land. This action, filed on 10 January 1992 has since then had a </w:t>
      </w:r>
      <w:proofErr w:type="spellStart"/>
      <w:r w:rsidRPr="00D67D29">
        <w:rPr>
          <w:rFonts w:ascii="Arial" w:hAnsi="Arial" w:cs="Arial"/>
          <w:color w:val="000000"/>
        </w:rPr>
        <w:t>chequ</w:t>
      </w:r>
      <w:r>
        <w:rPr>
          <w:rFonts w:ascii="Arial" w:hAnsi="Arial" w:cs="Arial"/>
          <w:color w:val="000000"/>
        </w:rPr>
        <w:t>e</w:t>
      </w:r>
      <w:r w:rsidRPr="00D67D29">
        <w:rPr>
          <w:rFonts w:ascii="Arial" w:hAnsi="Arial" w:cs="Arial"/>
          <w:color w:val="000000"/>
        </w:rPr>
        <w:t>red</w:t>
      </w:r>
      <w:proofErr w:type="spellEnd"/>
      <w:r w:rsidRPr="00D67D29">
        <w:rPr>
          <w:rFonts w:ascii="Arial" w:hAnsi="Arial" w:cs="Arial"/>
          <w:color w:val="000000"/>
        </w:rPr>
        <w:t xml:space="preserve"> history.</w:t>
      </w:r>
    </w:p>
    <w:p w:rsidR="001C3400" w:rsidRPr="00D67D29" w:rsidRDefault="001C3400" w:rsidP="001C3400">
      <w:pPr>
        <w:shd w:val="clear" w:color="auto" w:fill="FFFFFF"/>
        <w:jc w:val="both"/>
        <w:rPr>
          <w:rFonts w:ascii="Arial" w:hAnsi="Arial" w:cs="Arial"/>
        </w:rPr>
      </w:pPr>
    </w:p>
    <w:p w:rsidR="001C3400" w:rsidRPr="00D67D29" w:rsidRDefault="001C3400" w:rsidP="001C3400">
      <w:pPr>
        <w:shd w:val="clear" w:color="auto" w:fill="FFFFFF"/>
        <w:ind w:right="5"/>
        <w:jc w:val="both"/>
        <w:rPr>
          <w:rFonts w:ascii="Arial" w:hAnsi="Arial" w:cs="Arial"/>
          <w:color w:val="000000"/>
        </w:rPr>
      </w:pPr>
      <w:r w:rsidRPr="00D67D29">
        <w:rPr>
          <w:rFonts w:ascii="Arial" w:hAnsi="Arial" w:cs="Arial"/>
          <w:color w:val="000000"/>
        </w:rPr>
        <w:t xml:space="preserve">The instant ruling arises from a preliminary objection raised by the </w:t>
      </w:r>
      <w:r>
        <w:rPr>
          <w:rFonts w:ascii="Arial" w:hAnsi="Arial" w:cs="Arial"/>
          <w:color w:val="000000"/>
        </w:rPr>
        <w:t>d</w:t>
      </w:r>
      <w:r w:rsidRPr="00D67D29">
        <w:rPr>
          <w:rFonts w:ascii="Arial" w:hAnsi="Arial" w:cs="Arial"/>
          <w:color w:val="000000"/>
        </w:rPr>
        <w:t xml:space="preserve">efendant that the </w:t>
      </w:r>
      <w:r>
        <w:rPr>
          <w:rFonts w:ascii="Arial" w:hAnsi="Arial" w:cs="Arial"/>
          <w:color w:val="000000"/>
        </w:rPr>
        <w:t>p</w:t>
      </w:r>
      <w:r w:rsidRPr="00D67D29">
        <w:rPr>
          <w:rFonts w:ascii="Arial" w:hAnsi="Arial" w:cs="Arial"/>
          <w:color w:val="000000"/>
        </w:rPr>
        <w:t xml:space="preserve">laintiff cannot maintain this action as the land which forms the subject matter is co-owned and that hence the </w:t>
      </w:r>
      <w:r>
        <w:rPr>
          <w:rFonts w:ascii="Arial" w:hAnsi="Arial" w:cs="Arial"/>
          <w:color w:val="000000"/>
        </w:rPr>
        <w:t>p</w:t>
      </w:r>
      <w:r w:rsidRPr="00D67D29">
        <w:rPr>
          <w:rFonts w:ascii="Arial" w:hAnsi="Arial" w:cs="Arial"/>
          <w:color w:val="000000"/>
        </w:rPr>
        <w:t>laintiff as one co</w:t>
      </w:r>
      <w:r>
        <w:rPr>
          <w:rFonts w:ascii="Arial" w:hAnsi="Arial" w:cs="Arial"/>
          <w:color w:val="000000"/>
        </w:rPr>
        <w:t>-</w:t>
      </w:r>
      <w:r w:rsidRPr="00D67D29">
        <w:rPr>
          <w:rFonts w:ascii="Arial" w:hAnsi="Arial" w:cs="Arial"/>
          <w:color w:val="000000"/>
        </w:rPr>
        <w:t>owner cannot act on his own.</w:t>
      </w:r>
    </w:p>
    <w:p w:rsidR="001C3400" w:rsidRPr="00D67D29" w:rsidRDefault="001C3400" w:rsidP="001C3400">
      <w:pPr>
        <w:shd w:val="clear" w:color="auto" w:fill="FFFFFF"/>
        <w:ind w:left="5" w:right="5"/>
        <w:jc w:val="both"/>
        <w:rPr>
          <w:rFonts w:ascii="Arial" w:hAnsi="Arial" w:cs="Arial"/>
        </w:rPr>
      </w:pPr>
    </w:p>
    <w:p w:rsidR="001C3400" w:rsidRPr="00D67D29" w:rsidRDefault="001C3400" w:rsidP="001C3400">
      <w:pPr>
        <w:shd w:val="clear" w:color="auto" w:fill="FFFFFF"/>
        <w:ind w:right="10"/>
        <w:jc w:val="both"/>
        <w:rPr>
          <w:rFonts w:ascii="Arial" w:hAnsi="Arial" w:cs="Arial"/>
          <w:color w:val="000000"/>
        </w:rPr>
      </w:pPr>
      <w:proofErr w:type="spellStart"/>
      <w:r w:rsidRPr="00D67D29">
        <w:rPr>
          <w:rFonts w:ascii="Arial" w:hAnsi="Arial" w:cs="Arial"/>
          <w:color w:val="000000"/>
        </w:rPr>
        <w:t>Mr</w:t>
      </w:r>
      <w:proofErr w:type="spellEnd"/>
      <w:r w:rsidRPr="00D67D29">
        <w:rPr>
          <w:rFonts w:ascii="Arial" w:hAnsi="Arial" w:cs="Arial"/>
          <w:color w:val="000000"/>
        </w:rPr>
        <w:t xml:space="preserve"> Renaud,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p</w:t>
      </w:r>
      <w:r w:rsidRPr="00D67D29">
        <w:rPr>
          <w:rFonts w:ascii="Arial" w:hAnsi="Arial" w:cs="Arial"/>
          <w:color w:val="000000"/>
        </w:rPr>
        <w:t>laintiff moved to file an amended plaint wherein the caption had been amended to read as –</w:t>
      </w:r>
    </w:p>
    <w:p w:rsidR="001C3400" w:rsidRPr="00D67D29" w:rsidRDefault="001C3400" w:rsidP="001C3400">
      <w:pPr>
        <w:shd w:val="clear" w:color="auto" w:fill="FFFFFF"/>
        <w:ind w:right="10"/>
        <w:jc w:val="both"/>
        <w:rPr>
          <w:rFonts w:ascii="Arial" w:hAnsi="Arial" w:cs="Arial"/>
        </w:rPr>
      </w:pPr>
    </w:p>
    <w:p w:rsidR="001C3400" w:rsidRPr="00D67D29" w:rsidRDefault="001C3400" w:rsidP="001C3400">
      <w:pPr>
        <w:shd w:val="clear" w:color="auto" w:fill="FFFFFF"/>
        <w:ind w:left="720" w:right="720"/>
        <w:jc w:val="both"/>
        <w:rPr>
          <w:rFonts w:ascii="Arial" w:hAnsi="Arial" w:cs="Arial"/>
          <w:color w:val="000000"/>
        </w:rPr>
      </w:pPr>
      <w:r w:rsidRPr="00D67D29">
        <w:rPr>
          <w:rFonts w:ascii="Arial" w:hAnsi="Arial" w:cs="Arial"/>
          <w:color w:val="000000"/>
        </w:rPr>
        <w:t xml:space="preserve">Andre </w:t>
      </w:r>
      <w:proofErr w:type="spellStart"/>
      <w:r w:rsidRPr="00D67D29">
        <w:rPr>
          <w:rFonts w:ascii="Arial" w:hAnsi="Arial" w:cs="Arial"/>
          <w:color w:val="000000"/>
        </w:rPr>
        <w:t>Prunias</w:t>
      </w:r>
      <w:proofErr w:type="spellEnd"/>
      <w:r w:rsidRPr="00D67D29">
        <w:rPr>
          <w:rFonts w:ascii="Arial" w:hAnsi="Arial" w:cs="Arial"/>
          <w:color w:val="000000"/>
        </w:rPr>
        <w:t xml:space="preserve"> acting on behalf of himself and on behalf of Mrs Lucie </w:t>
      </w:r>
      <w:proofErr w:type="spellStart"/>
      <w:r w:rsidRPr="00D67D29">
        <w:rPr>
          <w:rFonts w:ascii="Arial" w:hAnsi="Arial" w:cs="Arial"/>
          <w:color w:val="000000"/>
        </w:rPr>
        <w:t>Prunias</w:t>
      </w:r>
      <w:proofErr w:type="spellEnd"/>
      <w:r w:rsidRPr="00D67D29">
        <w:rPr>
          <w:rFonts w:ascii="Arial" w:hAnsi="Arial" w:cs="Arial"/>
          <w:color w:val="000000"/>
        </w:rPr>
        <w:t>, who are fiduciaries - Plaintiff.</w:t>
      </w:r>
    </w:p>
    <w:p w:rsidR="001C3400" w:rsidRPr="00D67D29" w:rsidRDefault="001C3400" w:rsidP="001C3400">
      <w:pPr>
        <w:shd w:val="clear" w:color="auto" w:fill="FFFFFF"/>
        <w:ind w:left="1474" w:right="1454"/>
        <w:jc w:val="both"/>
        <w:rPr>
          <w:rFonts w:ascii="Arial" w:hAnsi="Arial" w:cs="Arial"/>
        </w:rPr>
      </w:pPr>
    </w:p>
    <w:p w:rsidR="001C3400" w:rsidRPr="00D67D29" w:rsidRDefault="001C3400" w:rsidP="001C3400">
      <w:pPr>
        <w:shd w:val="clear" w:color="auto" w:fill="FFFFFF"/>
        <w:ind w:right="29"/>
        <w:jc w:val="both"/>
        <w:rPr>
          <w:rFonts w:ascii="Arial" w:hAnsi="Arial" w:cs="Arial"/>
          <w:color w:val="000000"/>
        </w:rPr>
      </w:pPr>
      <w:r w:rsidRPr="00D67D29">
        <w:rPr>
          <w:rFonts w:ascii="Arial" w:hAnsi="Arial" w:cs="Arial"/>
          <w:color w:val="000000"/>
        </w:rPr>
        <w:t xml:space="preserve">Counsel also produced a copy of an appointment of fiduciary made before a notary on 26 September 1979 wherein the </w:t>
      </w:r>
      <w:r>
        <w:rPr>
          <w:rFonts w:ascii="Arial" w:hAnsi="Arial" w:cs="Arial"/>
          <w:color w:val="000000"/>
        </w:rPr>
        <w:t>p</w:t>
      </w:r>
      <w:r w:rsidRPr="00D67D29">
        <w:rPr>
          <w:rFonts w:ascii="Arial" w:hAnsi="Arial" w:cs="Arial"/>
          <w:color w:val="000000"/>
        </w:rPr>
        <w:t>laintiff and his wife</w:t>
      </w:r>
      <w:r>
        <w:rPr>
          <w:rFonts w:ascii="Arial" w:hAnsi="Arial" w:cs="Arial"/>
          <w:color w:val="000000"/>
        </w:rPr>
        <w:t>,</w:t>
      </w:r>
      <w:r w:rsidRPr="00D67D29">
        <w:rPr>
          <w:rFonts w:ascii="Arial" w:hAnsi="Arial" w:cs="Arial"/>
          <w:color w:val="000000"/>
        </w:rPr>
        <w:t xml:space="preserve"> Lucie </w:t>
      </w:r>
      <w:proofErr w:type="spellStart"/>
      <w:r w:rsidRPr="00D67D29">
        <w:rPr>
          <w:rFonts w:ascii="Arial" w:hAnsi="Arial" w:cs="Arial"/>
          <w:color w:val="000000"/>
        </w:rPr>
        <w:t>Prunias</w:t>
      </w:r>
      <w:proofErr w:type="spellEnd"/>
      <w:r>
        <w:rPr>
          <w:rFonts w:ascii="Arial" w:hAnsi="Arial" w:cs="Arial"/>
          <w:color w:val="000000"/>
        </w:rPr>
        <w:t>,</w:t>
      </w:r>
      <w:r w:rsidRPr="00D67D29">
        <w:rPr>
          <w:rFonts w:ascii="Arial" w:hAnsi="Arial" w:cs="Arial"/>
          <w:color w:val="000000"/>
        </w:rPr>
        <w:t xml:space="preserve"> had been appointed as fiduciaries in respect of the said land. This appointment has been duly registered in the </w:t>
      </w:r>
      <w:r>
        <w:rPr>
          <w:rFonts w:ascii="Arial" w:hAnsi="Arial" w:cs="Arial"/>
          <w:color w:val="000000"/>
        </w:rPr>
        <w:t>L</w:t>
      </w:r>
      <w:r w:rsidRPr="00D67D29">
        <w:rPr>
          <w:rFonts w:ascii="Arial" w:hAnsi="Arial" w:cs="Arial"/>
          <w:color w:val="000000"/>
        </w:rPr>
        <w:t>and Registry on 9 October 1979.</w:t>
      </w:r>
    </w:p>
    <w:p w:rsidR="001C3400" w:rsidRPr="00D67D29" w:rsidRDefault="001C3400" w:rsidP="001C3400">
      <w:pPr>
        <w:shd w:val="clear" w:color="auto" w:fill="FFFFFF"/>
        <w:rPr>
          <w:rFonts w:ascii="Arial" w:hAnsi="Arial" w:cs="Arial"/>
          <w:color w:val="000000"/>
        </w:rPr>
      </w:pPr>
    </w:p>
    <w:p w:rsidR="001C3400" w:rsidRPr="00D67D29" w:rsidRDefault="001C3400" w:rsidP="001C3400">
      <w:pPr>
        <w:shd w:val="clear" w:color="auto" w:fill="FFFFFF"/>
        <w:rPr>
          <w:rFonts w:ascii="Arial" w:hAnsi="Arial" w:cs="Arial"/>
          <w:color w:val="000000"/>
        </w:rPr>
      </w:pPr>
      <w:r w:rsidRPr="00D67D29">
        <w:rPr>
          <w:rFonts w:ascii="Arial" w:hAnsi="Arial" w:cs="Arial"/>
          <w:color w:val="000000"/>
        </w:rPr>
        <w:t xml:space="preserve">As regards fiduciaries, article 823 provides </w:t>
      </w:r>
      <w:r w:rsidRPr="00D67D29">
        <w:rPr>
          <w:rFonts w:ascii="Arial" w:hAnsi="Arial" w:cs="Arial"/>
          <w:color w:val="000000"/>
          <w:u w:val="single"/>
        </w:rPr>
        <w:t>inter alia</w:t>
      </w:r>
      <w:r w:rsidRPr="00D67D29">
        <w:rPr>
          <w:rFonts w:ascii="Arial" w:hAnsi="Arial" w:cs="Arial"/>
          <w:color w:val="000000"/>
        </w:rPr>
        <w:t xml:space="preserve"> that –</w:t>
      </w:r>
    </w:p>
    <w:p w:rsidR="001C3400" w:rsidRPr="00D67D29" w:rsidRDefault="001C3400" w:rsidP="001C3400">
      <w:pPr>
        <w:shd w:val="clear" w:color="auto" w:fill="FFFFFF"/>
        <w:rPr>
          <w:rFonts w:ascii="Arial" w:hAnsi="Arial" w:cs="Arial"/>
        </w:rPr>
      </w:pPr>
    </w:p>
    <w:p w:rsidR="001C3400" w:rsidRPr="00D67D29" w:rsidRDefault="001C3400" w:rsidP="001C3400">
      <w:pPr>
        <w:shd w:val="clear" w:color="auto" w:fill="FFFFFF"/>
        <w:ind w:left="720" w:right="720"/>
        <w:rPr>
          <w:rFonts w:ascii="Arial" w:hAnsi="Arial" w:cs="Arial"/>
        </w:rPr>
      </w:pPr>
      <w:r w:rsidRPr="00D67D29">
        <w:rPr>
          <w:rFonts w:ascii="Arial" w:hAnsi="Arial" w:cs="Arial"/>
          <w:color w:val="000000"/>
        </w:rPr>
        <w:t xml:space="preserve"> ........... </w:t>
      </w:r>
      <w:proofErr w:type="gramStart"/>
      <w:r w:rsidRPr="00D67D29">
        <w:rPr>
          <w:rFonts w:ascii="Arial" w:hAnsi="Arial" w:cs="Arial"/>
          <w:color w:val="000000"/>
        </w:rPr>
        <w:t>they</w:t>
      </w:r>
      <w:proofErr w:type="gramEnd"/>
      <w:r w:rsidRPr="00D67D29">
        <w:rPr>
          <w:rFonts w:ascii="Arial" w:hAnsi="Arial" w:cs="Arial"/>
          <w:color w:val="000000"/>
        </w:rPr>
        <w:t xml:space="preserve"> shall act jointly or severally </w:t>
      </w:r>
      <w:r w:rsidRPr="00D67D29">
        <w:rPr>
          <w:rFonts w:ascii="Arial" w:hAnsi="Arial" w:cs="Arial"/>
          <w:color w:val="000000"/>
          <w:u w:val="single"/>
        </w:rPr>
        <w:t xml:space="preserve">as the </w:t>
      </w:r>
      <w:proofErr w:type="spellStart"/>
      <w:r w:rsidRPr="00D67D29">
        <w:rPr>
          <w:rFonts w:ascii="Arial" w:hAnsi="Arial" w:cs="Arial"/>
          <w:color w:val="000000"/>
          <w:u w:val="single"/>
        </w:rPr>
        <w:t>notarial</w:t>
      </w:r>
      <w:proofErr w:type="spellEnd"/>
      <w:r w:rsidRPr="00D67D29">
        <w:rPr>
          <w:rFonts w:ascii="Arial" w:hAnsi="Arial" w:cs="Arial"/>
          <w:color w:val="000000"/>
          <w:u w:val="single"/>
        </w:rPr>
        <w:t xml:space="preserve"> document provides. If there is no provision all fiduciaries shall be deemed to act jointly.</w:t>
      </w:r>
    </w:p>
    <w:p w:rsidR="001C3400" w:rsidRPr="00D67D29" w:rsidRDefault="001C3400" w:rsidP="001C3400">
      <w:pPr>
        <w:shd w:val="clear" w:color="auto" w:fill="FFFFFF"/>
        <w:ind w:left="29" w:right="14"/>
        <w:jc w:val="both"/>
        <w:rPr>
          <w:rFonts w:ascii="Arial" w:hAnsi="Arial" w:cs="Arial"/>
          <w:color w:val="000000"/>
        </w:rPr>
      </w:pPr>
    </w:p>
    <w:p w:rsidR="001C3400" w:rsidRPr="00D67D29" w:rsidRDefault="001C3400" w:rsidP="001C3400">
      <w:pPr>
        <w:shd w:val="clear" w:color="auto" w:fill="FFFFFF"/>
        <w:ind w:left="29" w:right="14"/>
        <w:jc w:val="both"/>
        <w:rPr>
          <w:rFonts w:ascii="Arial" w:hAnsi="Arial" w:cs="Arial"/>
          <w:color w:val="000000"/>
        </w:rPr>
      </w:pPr>
      <w:r w:rsidRPr="00D67D29">
        <w:rPr>
          <w:rFonts w:ascii="Arial" w:hAnsi="Arial" w:cs="Arial"/>
          <w:color w:val="000000"/>
        </w:rPr>
        <w:t xml:space="preserve">The </w:t>
      </w:r>
      <w:proofErr w:type="spellStart"/>
      <w:r w:rsidRPr="00D67D29">
        <w:rPr>
          <w:rFonts w:ascii="Arial" w:hAnsi="Arial" w:cs="Arial"/>
          <w:color w:val="000000"/>
        </w:rPr>
        <w:t>notarial</w:t>
      </w:r>
      <w:proofErr w:type="spellEnd"/>
      <w:r w:rsidRPr="00D67D29">
        <w:rPr>
          <w:rFonts w:ascii="Arial" w:hAnsi="Arial" w:cs="Arial"/>
          <w:color w:val="000000"/>
        </w:rPr>
        <w:t xml:space="preserve"> document produced in the case does not make provision for one fiduciary to act </w:t>
      </w:r>
      <w:proofErr w:type="gramStart"/>
      <w:r w:rsidRPr="00D67D29">
        <w:rPr>
          <w:rFonts w:ascii="Arial" w:hAnsi="Arial" w:cs="Arial"/>
          <w:color w:val="000000"/>
        </w:rPr>
        <w:t>on his own,</w:t>
      </w:r>
      <w:proofErr w:type="gramEnd"/>
      <w:r w:rsidRPr="00D67D29">
        <w:rPr>
          <w:rFonts w:ascii="Arial" w:hAnsi="Arial" w:cs="Arial"/>
          <w:color w:val="000000"/>
        </w:rPr>
        <w:t xml:space="preserve"> and hence the original plaint should have been filed by both fiduciaries jointly.</w:t>
      </w:r>
    </w:p>
    <w:p w:rsidR="001C3400" w:rsidRPr="00D67D29" w:rsidRDefault="001C3400" w:rsidP="001C3400">
      <w:pPr>
        <w:shd w:val="clear" w:color="auto" w:fill="FFFFFF"/>
        <w:ind w:left="29" w:right="14"/>
        <w:jc w:val="both"/>
        <w:rPr>
          <w:rFonts w:ascii="Arial" w:hAnsi="Arial" w:cs="Arial"/>
        </w:rPr>
      </w:pPr>
    </w:p>
    <w:p w:rsidR="001C3400" w:rsidRPr="00D67D29" w:rsidRDefault="001C3400" w:rsidP="001C3400">
      <w:pPr>
        <w:shd w:val="clear" w:color="auto" w:fill="FFFFFF"/>
        <w:ind w:left="29"/>
        <w:jc w:val="both"/>
        <w:rPr>
          <w:rFonts w:ascii="Arial" w:hAnsi="Arial" w:cs="Arial"/>
          <w:color w:val="000000"/>
        </w:rPr>
      </w:pPr>
      <w:proofErr w:type="spellStart"/>
      <w:r w:rsidRPr="00D67D29">
        <w:rPr>
          <w:rFonts w:ascii="Arial" w:hAnsi="Arial" w:cs="Arial"/>
          <w:color w:val="000000"/>
        </w:rPr>
        <w:t>Mr</w:t>
      </w:r>
      <w:proofErr w:type="spellEnd"/>
      <w:r w:rsidRPr="00D67D29">
        <w:rPr>
          <w:rFonts w:ascii="Arial" w:hAnsi="Arial" w:cs="Arial"/>
          <w:color w:val="000000"/>
        </w:rPr>
        <w:t xml:space="preserve"> </w:t>
      </w:r>
      <w:proofErr w:type="spellStart"/>
      <w:r w:rsidRPr="00D67D29">
        <w:rPr>
          <w:rFonts w:ascii="Arial" w:hAnsi="Arial" w:cs="Arial"/>
          <w:color w:val="000000"/>
        </w:rPr>
        <w:t>Hodoul</w:t>
      </w:r>
      <w:proofErr w:type="spellEnd"/>
      <w:r w:rsidRPr="00D67D29">
        <w:rPr>
          <w:rFonts w:ascii="Arial" w:hAnsi="Arial" w:cs="Arial"/>
          <w:color w:val="000000"/>
        </w:rPr>
        <w:t xml:space="preserve">,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 xml:space="preserve">efendant, submits that the amendment seeks to permit the </w:t>
      </w:r>
      <w:r>
        <w:rPr>
          <w:rFonts w:ascii="Arial" w:hAnsi="Arial" w:cs="Arial"/>
          <w:color w:val="000000"/>
        </w:rPr>
        <w:t>p</w:t>
      </w:r>
      <w:r w:rsidRPr="00D67D29">
        <w:rPr>
          <w:rFonts w:ascii="Arial" w:hAnsi="Arial" w:cs="Arial"/>
          <w:color w:val="000000"/>
        </w:rPr>
        <w:t xml:space="preserve">laintiff to bring an action in a different legal capacity, thus altering the nature of the action substantially. Secondly he submits that pleadings cannot be amended after the close of the </w:t>
      </w:r>
      <w:r>
        <w:rPr>
          <w:rFonts w:ascii="Arial" w:hAnsi="Arial" w:cs="Arial"/>
          <w:color w:val="000000"/>
        </w:rPr>
        <w:t>p</w:t>
      </w:r>
      <w:r w:rsidRPr="00D67D29">
        <w:rPr>
          <w:rFonts w:ascii="Arial" w:hAnsi="Arial" w:cs="Arial"/>
          <w:color w:val="000000"/>
        </w:rPr>
        <w:t>laintiff's case.</w:t>
      </w:r>
    </w:p>
    <w:p w:rsidR="001C3400" w:rsidRPr="00D67D29" w:rsidRDefault="001C3400" w:rsidP="001C3400">
      <w:pPr>
        <w:shd w:val="clear" w:color="auto" w:fill="FFFFFF"/>
        <w:ind w:left="29"/>
        <w:jc w:val="both"/>
        <w:rPr>
          <w:rFonts w:ascii="Arial" w:hAnsi="Arial" w:cs="Arial"/>
        </w:rPr>
      </w:pPr>
    </w:p>
    <w:p w:rsidR="001C3400" w:rsidRPr="00D67D29" w:rsidRDefault="001C3400" w:rsidP="001C3400">
      <w:pPr>
        <w:shd w:val="clear" w:color="auto" w:fill="FFFFFF"/>
        <w:ind w:left="29"/>
        <w:rPr>
          <w:rFonts w:ascii="Arial" w:hAnsi="Arial" w:cs="Arial"/>
          <w:color w:val="000000"/>
        </w:rPr>
      </w:pPr>
      <w:r w:rsidRPr="00D67D29">
        <w:rPr>
          <w:rFonts w:ascii="Arial" w:hAnsi="Arial" w:cs="Arial"/>
          <w:color w:val="000000"/>
        </w:rPr>
        <w:t xml:space="preserve">Section 146 of the </w:t>
      </w:r>
      <w:r>
        <w:rPr>
          <w:rFonts w:ascii="Arial" w:hAnsi="Arial" w:cs="Arial"/>
          <w:color w:val="000000"/>
        </w:rPr>
        <w:t>C</w:t>
      </w:r>
      <w:r w:rsidRPr="00D67D29">
        <w:rPr>
          <w:rFonts w:ascii="Arial" w:hAnsi="Arial" w:cs="Arial"/>
          <w:color w:val="000000"/>
        </w:rPr>
        <w:t>ode of Civil Procedure (Cap 213) provides that –</w:t>
      </w:r>
    </w:p>
    <w:p w:rsidR="001C3400" w:rsidRPr="00D67D29" w:rsidRDefault="001C3400" w:rsidP="001C3400">
      <w:pPr>
        <w:shd w:val="clear" w:color="auto" w:fill="FFFFFF"/>
        <w:ind w:left="29"/>
        <w:rPr>
          <w:rFonts w:ascii="Arial" w:hAnsi="Arial" w:cs="Arial"/>
        </w:rPr>
      </w:pPr>
    </w:p>
    <w:p w:rsidR="001C3400" w:rsidRPr="00D67D29" w:rsidRDefault="001C3400" w:rsidP="001C3400">
      <w:pPr>
        <w:shd w:val="clear" w:color="auto" w:fill="FFFFFF"/>
        <w:ind w:left="720" w:right="720"/>
        <w:jc w:val="both"/>
        <w:rPr>
          <w:rFonts w:ascii="Arial" w:hAnsi="Arial" w:cs="Arial"/>
          <w:color w:val="000000"/>
        </w:rPr>
      </w:pPr>
      <w:r w:rsidRPr="00D67D29">
        <w:rPr>
          <w:rFonts w:ascii="Arial" w:hAnsi="Arial" w:cs="Arial"/>
          <w:color w:val="000000"/>
        </w:rPr>
        <w:lastRenderedPageBreak/>
        <w:t xml:space="preserve">The Court may, </w:t>
      </w:r>
      <w:r w:rsidRPr="00D67D29">
        <w:rPr>
          <w:rFonts w:ascii="Arial" w:hAnsi="Arial" w:cs="Arial"/>
          <w:color w:val="000000"/>
          <w:u w:val="single"/>
        </w:rPr>
        <w:t xml:space="preserve">at any stage of the proceedings, </w:t>
      </w:r>
      <w:r w:rsidRPr="00D67D29">
        <w:rPr>
          <w:rFonts w:ascii="Arial" w:hAnsi="Arial" w:cs="Arial"/>
          <w:color w:val="000000"/>
        </w:rPr>
        <w:t xml:space="preserve">allow either party to alter or amend his pleadings, in such manner and on such terms as may be </w:t>
      </w:r>
      <w:proofErr w:type="gramStart"/>
      <w:r w:rsidRPr="00D67D29">
        <w:rPr>
          <w:rFonts w:ascii="Arial" w:hAnsi="Arial" w:cs="Arial"/>
          <w:color w:val="000000"/>
        </w:rPr>
        <w:t>just,</w:t>
      </w:r>
      <w:proofErr w:type="gramEnd"/>
      <w:r w:rsidRPr="00D67D29">
        <w:rPr>
          <w:rFonts w:ascii="Arial" w:hAnsi="Arial" w:cs="Arial"/>
          <w:color w:val="000000"/>
        </w:rPr>
        <w:t xml:space="preserve"> and all such amendments shall be made as may be necessary for the purpose of determining the real questions in controversy between the parties:</w:t>
      </w:r>
    </w:p>
    <w:p w:rsidR="001C3400" w:rsidRPr="00D67D29" w:rsidRDefault="001C3400" w:rsidP="001C3400">
      <w:pPr>
        <w:shd w:val="clear" w:color="auto" w:fill="FFFFFF"/>
        <w:ind w:left="720" w:right="720"/>
        <w:jc w:val="both"/>
        <w:rPr>
          <w:rFonts w:ascii="Arial" w:hAnsi="Arial" w:cs="Arial"/>
        </w:rPr>
      </w:pPr>
    </w:p>
    <w:p w:rsidR="001C3400" w:rsidRPr="00D67D29" w:rsidRDefault="001C3400" w:rsidP="001C3400">
      <w:pPr>
        <w:shd w:val="clear" w:color="auto" w:fill="FFFFFF"/>
        <w:ind w:left="720" w:right="720"/>
        <w:jc w:val="both"/>
        <w:rPr>
          <w:rFonts w:ascii="Arial" w:hAnsi="Arial" w:cs="Arial"/>
        </w:rPr>
      </w:pPr>
      <w:proofErr w:type="gramStart"/>
      <w:r w:rsidRPr="00D67D29">
        <w:rPr>
          <w:rFonts w:ascii="Arial" w:hAnsi="Arial" w:cs="Arial"/>
          <w:color w:val="000000"/>
          <w:u w:val="single"/>
        </w:rPr>
        <w:t>Provided that a plaint shall not be amended so as to convert a suit of another and substantially different character</w:t>
      </w:r>
      <w:r w:rsidRPr="00D67D29">
        <w:rPr>
          <w:rFonts w:ascii="Arial" w:hAnsi="Arial" w:cs="Arial"/>
          <w:color w:val="000000"/>
        </w:rPr>
        <w:t>.</w:t>
      </w:r>
      <w:proofErr w:type="gramEnd"/>
    </w:p>
    <w:p w:rsidR="001C3400" w:rsidRPr="00D67D29" w:rsidRDefault="001C3400" w:rsidP="001C3400">
      <w:pPr>
        <w:shd w:val="clear" w:color="auto" w:fill="FFFFFF"/>
        <w:ind w:right="38"/>
        <w:jc w:val="both"/>
        <w:rPr>
          <w:rFonts w:ascii="Arial" w:hAnsi="Arial" w:cs="Arial"/>
          <w:color w:val="000000"/>
        </w:rPr>
      </w:pPr>
    </w:p>
    <w:p w:rsidR="001C3400" w:rsidRPr="00D67D29" w:rsidRDefault="001C3400" w:rsidP="001C3400">
      <w:pPr>
        <w:shd w:val="clear" w:color="auto" w:fill="FFFFFF"/>
        <w:ind w:right="38"/>
        <w:jc w:val="both"/>
        <w:rPr>
          <w:rFonts w:ascii="Arial" w:hAnsi="Arial" w:cs="Arial"/>
          <w:color w:val="000000"/>
        </w:rPr>
      </w:pPr>
      <w:r w:rsidRPr="00D67D29">
        <w:rPr>
          <w:rFonts w:ascii="Arial" w:hAnsi="Arial" w:cs="Arial"/>
          <w:color w:val="000000"/>
        </w:rPr>
        <w:t xml:space="preserve">The amended plaint sought to be filed contains averments identical to those in the original plaint and hence there is no change in the cause of action pleaded. </w:t>
      </w:r>
      <w:proofErr w:type="spellStart"/>
      <w:r w:rsidRPr="00D67D29">
        <w:rPr>
          <w:rFonts w:ascii="Arial" w:hAnsi="Arial" w:cs="Arial"/>
          <w:color w:val="000000"/>
        </w:rPr>
        <w:t>Mr</w:t>
      </w:r>
      <w:proofErr w:type="spellEnd"/>
      <w:r w:rsidRPr="00D67D29">
        <w:rPr>
          <w:rFonts w:ascii="Arial" w:hAnsi="Arial" w:cs="Arial"/>
          <w:color w:val="000000"/>
        </w:rPr>
        <w:t xml:space="preserve"> </w:t>
      </w:r>
      <w:proofErr w:type="spellStart"/>
      <w:r w:rsidRPr="00D67D29">
        <w:rPr>
          <w:rFonts w:ascii="Arial" w:hAnsi="Arial" w:cs="Arial"/>
          <w:color w:val="000000"/>
        </w:rPr>
        <w:t>Hodoul's</w:t>
      </w:r>
      <w:proofErr w:type="spellEnd"/>
      <w:r w:rsidRPr="00D67D29">
        <w:rPr>
          <w:rFonts w:ascii="Arial" w:hAnsi="Arial" w:cs="Arial"/>
          <w:color w:val="000000"/>
        </w:rPr>
        <w:t xml:space="preserve"> contention is that the original cause of action was pleaded by Andre </w:t>
      </w:r>
      <w:proofErr w:type="spellStart"/>
      <w:r w:rsidRPr="00D67D29">
        <w:rPr>
          <w:rFonts w:ascii="Arial" w:hAnsi="Arial" w:cs="Arial"/>
          <w:color w:val="000000"/>
        </w:rPr>
        <w:t>Prunias</w:t>
      </w:r>
      <w:proofErr w:type="spellEnd"/>
      <w:r w:rsidRPr="00D67D29">
        <w:rPr>
          <w:rFonts w:ascii="Arial" w:hAnsi="Arial" w:cs="Arial"/>
          <w:color w:val="000000"/>
        </w:rPr>
        <w:t xml:space="preserve"> as a co-owner in his own capacity and that presently he and his wife are seeking to plead the same cause of action in different legal capacities as fiduciaries, and consequently the proposed amendment of the caption would convert a suit of one character into a suit of another and substantially different character.  He relies on the case of </w:t>
      </w:r>
      <w:r w:rsidRPr="008427DF">
        <w:rPr>
          <w:rFonts w:ascii="Arial" w:hAnsi="Arial" w:cs="Arial"/>
          <w:i/>
          <w:color w:val="000000"/>
        </w:rPr>
        <w:t xml:space="preserve">Fisherman's </w:t>
      </w:r>
      <w:r>
        <w:rPr>
          <w:rFonts w:ascii="Arial" w:hAnsi="Arial" w:cs="Arial"/>
          <w:i/>
          <w:color w:val="000000"/>
        </w:rPr>
        <w:t>C</w:t>
      </w:r>
      <w:r w:rsidRPr="008427DF">
        <w:rPr>
          <w:rFonts w:ascii="Arial" w:hAnsi="Arial" w:cs="Arial"/>
          <w:i/>
          <w:color w:val="000000"/>
        </w:rPr>
        <w:t xml:space="preserve">ove hotel v </w:t>
      </w:r>
      <w:proofErr w:type="spellStart"/>
      <w:r w:rsidRPr="008427DF">
        <w:rPr>
          <w:rFonts w:ascii="Arial" w:hAnsi="Arial" w:cs="Arial"/>
          <w:i/>
          <w:color w:val="000000"/>
        </w:rPr>
        <w:t>Dumbelton</w:t>
      </w:r>
      <w:proofErr w:type="spellEnd"/>
      <w:r w:rsidRPr="008427DF">
        <w:rPr>
          <w:rFonts w:ascii="Arial" w:hAnsi="Arial" w:cs="Arial"/>
          <w:i/>
          <w:color w:val="000000"/>
        </w:rPr>
        <w:t xml:space="preserve"> Ltd</w:t>
      </w:r>
      <w:r w:rsidRPr="00D67D29">
        <w:rPr>
          <w:rFonts w:ascii="Arial" w:hAnsi="Arial" w:cs="Arial"/>
          <w:color w:val="000000"/>
          <w:u w:val="single"/>
        </w:rPr>
        <w:t xml:space="preserve"> </w:t>
      </w:r>
      <w:r w:rsidRPr="00D67D29">
        <w:rPr>
          <w:rFonts w:ascii="Arial" w:hAnsi="Arial" w:cs="Arial"/>
          <w:color w:val="000000"/>
        </w:rPr>
        <w:t xml:space="preserve">1978 SLR 15 wherein </w:t>
      </w:r>
      <w:proofErr w:type="spellStart"/>
      <w:r w:rsidRPr="00D67D29">
        <w:rPr>
          <w:rFonts w:ascii="Arial" w:hAnsi="Arial" w:cs="Arial"/>
          <w:color w:val="000000"/>
        </w:rPr>
        <w:t>Sauzier</w:t>
      </w:r>
      <w:proofErr w:type="spellEnd"/>
      <w:r w:rsidRPr="00D67D29">
        <w:rPr>
          <w:rFonts w:ascii="Arial" w:hAnsi="Arial" w:cs="Arial"/>
          <w:color w:val="000000"/>
        </w:rPr>
        <w:t xml:space="preserve"> J</w:t>
      </w:r>
      <w:r>
        <w:rPr>
          <w:rFonts w:ascii="Arial" w:hAnsi="Arial" w:cs="Arial"/>
          <w:color w:val="000000"/>
        </w:rPr>
        <w:t>,</w:t>
      </w:r>
      <w:r w:rsidRPr="00D67D29">
        <w:rPr>
          <w:rFonts w:ascii="Arial" w:hAnsi="Arial" w:cs="Arial"/>
          <w:color w:val="000000"/>
        </w:rPr>
        <w:t xml:space="preserve"> in interpreting section 146</w:t>
      </w:r>
      <w:r>
        <w:rPr>
          <w:rFonts w:ascii="Arial" w:hAnsi="Arial" w:cs="Arial"/>
          <w:color w:val="000000"/>
        </w:rPr>
        <w:t>,</w:t>
      </w:r>
      <w:r w:rsidRPr="00D67D29">
        <w:rPr>
          <w:rFonts w:ascii="Arial" w:hAnsi="Arial" w:cs="Arial"/>
          <w:color w:val="000000"/>
        </w:rPr>
        <w:t xml:space="preserve"> cited the English case of </w:t>
      </w:r>
      <w:r w:rsidRPr="008427DF">
        <w:rPr>
          <w:rFonts w:ascii="Arial" w:hAnsi="Arial" w:cs="Arial"/>
          <w:i/>
          <w:color w:val="000000"/>
        </w:rPr>
        <w:t xml:space="preserve">Raleigh v </w:t>
      </w:r>
      <w:proofErr w:type="spellStart"/>
      <w:r w:rsidRPr="008427DF">
        <w:rPr>
          <w:rFonts w:ascii="Arial" w:hAnsi="Arial" w:cs="Arial"/>
          <w:i/>
          <w:color w:val="000000"/>
        </w:rPr>
        <w:t>Goschen</w:t>
      </w:r>
      <w:proofErr w:type="spellEnd"/>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1898</w:t>
      </w:r>
      <w:r>
        <w:rPr>
          <w:rFonts w:ascii="Arial" w:hAnsi="Arial" w:cs="Arial"/>
          <w:color w:val="000000"/>
        </w:rPr>
        <w:t>]</w:t>
      </w:r>
      <w:r w:rsidRPr="00D67D29">
        <w:rPr>
          <w:rFonts w:ascii="Arial" w:hAnsi="Arial" w:cs="Arial"/>
          <w:color w:val="000000"/>
        </w:rPr>
        <w:t xml:space="preserve"> </w:t>
      </w:r>
      <w:r>
        <w:rPr>
          <w:rFonts w:ascii="Arial" w:hAnsi="Arial" w:cs="Arial"/>
          <w:color w:val="000000"/>
        </w:rPr>
        <w:t>1</w:t>
      </w:r>
      <w:r w:rsidRPr="00D67D29">
        <w:rPr>
          <w:rFonts w:ascii="Arial" w:hAnsi="Arial" w:cs="Arial"/>
          <w:color w:val="000000"/>
        </w:rPr>
        <w:t xml:space="preserve"> </w:t>
      </w:r>
      <w:r>
        <w:rPr>
          <w:rFonts w:ascii="Arial" w:hAnsi="Arial" w:cs="Arial"/>
          <w:color w:val="000000"/>
        </w:rPr>
        <w:t>C</w:t>
      </w:r>
      <w:r w:rsidRPr="00D67D29">
        <w:rPr>
          <w:rFonts w:ascii="Arial" w:hAnsi="Arial" w:cs="Arial"/>
          <w:color w:val="000000"/>
        </w:rPr>
        <w:t xml:space="preserve">h </w:t>
      </w:r>
      <w:r>
        <w:rPr>
          <w:rFonts w:ascii="Arial" w:hAnsi="Arial" w:cs="Arial"/>
          <w:color w:val="000000"/>
        </w:rPr>
        <w:t>73</w:t>
      </w:r>
      <w:r w:rsidRPr="00D67D29">
        <w:rPr>
          <w:rFonts w:ascii="Arial" w:hAnsi="Arial" w:cs="Arial"/>
          <w:color w:val="000000"/>
        </w:rPr>
        <w:t xml:space="preserve">, where some members of the board of admiralty and naval officers were sued for trespass in the discharge of their official duties. It was held that no action lay against them in tort as they were agents of the </w:t>
      </w:r>
      <w:r>
        <w:rPr>
          <w:rFonts w:ascii="Arial" w:hAnsi="Arial" w:cs="Arial"/>
          <w:color w:val="000000"/>
        </w:rPr>
        <w:t>C</w:t>
      </w:r>
      <w:r w:rsidRPr="00D67D29">
        <w:rPr>
          <w:rFonts w:ascii="Arial" w:hAnsi="Arial" w:cs="Arial"/>
          <w:color w:val="000000"/>
        </w:rPr>
        <w:t xml:space="preserve">rown. It was also held that an action would lie against them for trespass as individuals. At that stage an application was made to amend the plaint so that the </w:t>
      </w:r>
      <w:r>
        <w:rPr>
          <w:rFonts w:ascii="Arial" w:hAnsi="Arial" w:cs="Arial"/>
          <w:color w:val="000000"/>
        </w:rPr>
        <w:t>d</w:t>
      </w:r>
      <w:r w:rsidRPr="00D67D29">
        <w:rPr>
          <w:rFonts w:ascii="Arial" w:hAnsi="Arial" w:cs="Arial"/>
          <w:color w:val="000000"/>
        </w:rPr>
        <w:t xml:space="preserve">efendants </w:t>
      </w:r>
      <w:proofErr w:type="gramStart"/>
      <w:r w:rsidRPr="00D67D29">
        <w:rPr>
          <w:rFonts w:ascii="Arial" w:hAnsi="Arial" w:cs="Arial"/>
          <w:color w:val="000000"/>
        </w:rPr>
        <w:t>be</w:t>
      </w:r>
      <w:proofErr w:type="gramEnd"/>
      <w:r w:rsidRPr="00D67D29">
        <w:rPr>
          <w:rFonts w:ascii="Arial" w:hAnsi="Arial" w:cs="Arial"/>
          <w:color w:val="000000"/>
        </w:rPr>
        <w:t xml:space="preserve"> sued in their personal capacities. The Court refused the application on the basis that such amendment could change one action into another of a substantially different character.</w:t>
      </w:r>
    </w:p>
    <w:p w:rsidR="001C3400" w:rsidRPr="00D67D29" w:rsidRDefault="001C3400" w:rsidP="001C3400">
      <w:pPr>
        <w:shd w:val="clear" w:color="auto" w:fill="FFFFFF"/>
        <w:ind w:right="38"/>
        <w:jc w:val="both"/>
        <w:rPr>
          <w:rFonts w:ascii="Arial" w:hAnsi="Arial" w:cs="Arial"/>
          <w:color w:val="000000"/>
        </w:rPr>
      </w:pPr>
    </w:p>
    <w:p w:rsidR="001C3400" w:rsidRPr="00D67D29" w:rsidRDefault="001C3400" w:rsidP="001C3400">
      <w:pPr>
        <w:shd w:val="clear" w:color="auto" w:fill="FFFFFF"/>
        <w:ind w:left="29" w:right="19"/>
        <w:jc w:val="both"/>
        <w:rPr>
          <w:rFonts w:ascii="Arial" w:hAnsi="Arial" w:cs="Arial"/>
          <w:color w:val="000000"/>
        </w:rPr>
      </w:pPr>
      <w:r w:rsidRPr="00D67D29">
        <w:rPr>
          <w:rFonts w:ascii="Arial" w:hAnsi="Arial" w:cs="Arial"/>
          <w:color w:val="000000"/>
        </w:rPr>
        <w:t xml:space="preserve">The rationale of that decision seems to be that once it has been averred that the tort was committed by agents of the </w:t>
      </w:r>
      <w:r>
        <w:rPr>
          <w:rFonts w:ascii="Arial" w:hAnsi="Arial" w:cs="Arial"/>
          <w:color w:val="000000"/>
        </w:rPr>
        <w:t>C</w:t>
      </w:r>
      <w:r w:rsidRPr="00D67D29">
        <w:rPr>
          <w:rFonts w:ascii="Arial" w:hAnsi="Arial" w:cs="Arial"/>
          <w:color w:val="000000"/>
        </w:rPr>
        <w:t>rown in the course of their official duties, a subsequent averment that that tort was committed by them in their personal capacities was clearly a changing of one action to another. Such reasoning was consistent with both equity and the law.</w:t>
      </w:r>
    </w:p>
    <w:p w:rsidR="001C3400" w:rsidRPr="00D67D29" w:rsidRDefault="001C3400" w:rsidP="001C3400">
      <w:pPr>
        <w:shd w:val="clear" w:color="auto" w:fill="FFFFFF"/>
        <w:ind w:left="29" w:right="19"/>
        <w:jc w:val="both"/>
        <w:rPr>
          <w:rFonts w:ascii="Arial" w:hAnsi="Arial" w:cs="Arial"/>
        </w:rPr>
      </w:pPr>
    </w:p>
    <w:p w:rsidR="001C3400" w:rsidRPr="00D67D29" w:rsidRDefault="001C3400" w:rsidP="001C3400">
      <w:pPr>
        <w:shd w:val="clear" w:color="auto" w:fill="FFFFFF"/>
        <w:ind w:left="19" w:right="24"/>
        <w:jc w:val="both"/>
        <w:rPr>
          <w:rFonts w:ascii="Arial" w:hAnsi="Arial" w:cs="Arial"/>
          <w:color w:val="000000"/>
        </w:rPr>
      </w:pPr>
      <w:r w:rsidRPr="00D67D29">
        <w:rPr>
          <w:rFonts w:ascii="Arial" w:hAnsi="Arial" w:cs="Arial"/>
          <w:color w:val="000000"/>
        </w:rPr>
        <w:t xml:space="preserve">The position of a </w:t>
      </w:r>
      <w:r>
        <w:rPr>
          <w:rFonts w:ascii="Arial" w:hAnsi="Arial" w:cs="Arial"/>
          <w:color w:val="000000"/>
        </w:rPr>
        <w:t>p</w:t>
      </w:r>
      <w:r w:rsidRPr="00D67D29">
        <w:rPr>
          <w:rFonts w:ascii="Arial" w:hAnsi="Arial" w:cs="Arial"/>
          <w:color w:val="000000"/>
        </w:rPr>
        <w:t xml:space="preserve">laintiff is somewhat different. A </w:t>
      </w:r>
      <w:r>
        <w:rPr>
          <w:rFonts w:ascii="Arial" w:hAnsi="Arial" w:cs="Arial"/>
          <w:color w:val="000000"/>
        </w:rPr>
        <w:t>p</w:t>
      </w:r>
      <w:r w:rsidRPr="00D67D29">
        <w:rPr>
          <w:rFonts w:ascii="Arial" w:hAnsi="Arial" w:cs="Arial"/>
          <w:color w:val="000000"/>
        </w:rPr>
        <w:t>laintiff must have capacity to sue. Just as a minor cannot sue in his own capacity, a co-owner, in view of article 818 of the Civil Code</w:t>
      </w:r>
      <w:r>
        <w:rPr>
          <w:rFonts w:ascii="Arial" w:hAnsi="Arial" w:cs="Arial"/>
          <w:color w:val="000000"/>
        </w:rPr>
        <w:t>,</w:t>
      </w:r>
      <w:r w:rsidRPr="00D67D29">
        <w:rPr>
          <w:rFonts w:ascii="Arial" w:hAnsi="Arial" w:cs="Arial"/>
          <w:color w:val="000000"/>
        </w:rPr>
        <w:t xml:space="preserve"> can only act through a fiduciary. In paragraph 4 of the original plaint it was averred that-</w:t>
      </w:r>
    </w:p>
    <w:p w:rsidR="001C3400" w:rsidRPr="00D67D29" w:rsidRDefault="001C3400" w:rsidP="001C3400">
      <w:pPr>
        <w:shd w:val="clear" w:color="auto" w:fill="FFFFFF"/>
        <w:ind w:left="19" w:right="24"/>
        <w:jc w:val="both"/>
        <w:rPr>
          <w:rFonts w:ascii="Arial" w:hAnsi="Arial" w:cs="Arial"/>
        </w:rPr>
      </w:pPr>
    </w:p>
    <w:p w:rsidR="001C3400" w:rsidRPr="00D67D29" w:rsidRDefault="001C3400" w:rsidP="001C3400">
      <w:pPr>
        <w:shd w:val="clear" w:color="auto" w:fill="FFFFFF"/>
        <w:ind w:left="720" w:right="720"/>
        <w:rPr>
          <w:rFonts w:ascii="Arial" w:hAnsi="Arial" w:cs="Arial"/>
        </w:rPr>
      </w:pPr>
      <w:r w:rsidRPr="00D67D29">
        <w:rPr>
          <w:rFonts w:ascii="Arial" w:hAnsi="Arial" w:cs="Arial"/>
          <w:color w:val="000000"/>
        </w:rPr>
        <w:t>4.</w:t>
      </w:r>
      <w:r w:rsidRPr="00D67D29">
        <w:rPr>
          <w:rFonts w:ascii="Arial" w:hAnsi="Arial" w:cs="Arial"/>
          <w:color w:val="000000"/>
        </w:rPr>
        <w:tab/>
      </w:r>
      <w:proofErr w:type="gramStart"/>
      <w:r w:rsidRPr="00D67D29">
        <w:rPr>
          <w:rFonts w:ascii="Arial" w:hAnsi="Arial" w:cs="Arial"/>
          <w:color w:val="000000"/>
        </w:rPr>
        <w:t>the</w:t>
      </w:r>
      <w:proofErr w:type="gramEnd"/>
      <w:r w:rsidRPr="00D67D29">
        <w:rPr>
          <w:rFonts w:ascii="Arial" w:hAnsi="Arial" w:cs="Arial"/>
          <w:color w:val="000000"/>
        </w:rPr>
        <w:t xml:space="preserve"> </w:t>
      </w:r>
      <w:r>
        <w:rPr>
          <w:rFonts w:ascii="Arial" w:hAnsi="Arial" w:cs="Arial"/>
          <w:color w:val="000000"/>
        </w:rPr>
        <w:t>p</w:t>
      </w:r>
      <w:r w:rsidRPr="00D67D29">
        <w:rPr>
          <w:rFonts w:ascii="Arial" w:hAnsi="Arial" w:cs="Arial"/>
          <w:color w:val="000000"/>
        </w:rPr>
        <w:t xml:space="preserve">laintiff avers that he and his </w:t>
      </w:r>
      <w:r w:rsidRPr="00D67D29">
        <w:rPr>
          <w:rFonts w:ascii="Arial" w:hAnsi="Arial" w:cs="Arial"/>
          <w:color w:val="000000"/>
          <w:u w:val="single"/>
        </w:rPr>
        <w:t>co-owner</w:t>
      </w:r>
      <w:r w:rsidRPr="00D67D29">
        <w:rPr>
          <w:rFonts w:ascii="Arial" w:hAnsi="Arial" w:cs="Arial"/>
          <w:color w:val="000000"/>
        </w:rPr>
        <w:t xml:space="preserve">  are owners of the aforesaid land ......</w:t>
      </w:r>
    </w:p>
    <w:p w:rsidR="001C3400" w:rsidRPr="00D67D29" w:rsidRDefault="001C3400" w:rsidP="001C3400">
      <w:pPr>
        <w:shd w:val="clear" w:color="auto" w:fill="FFFFFF"/>
        <w:ind w:right="38"/>
        <w:jc w:val="both"/>
        <w:rPr>
          <w:rFonts w:ascii="Arial" w:hAnsi="Arial" w:cs="Arial"/>
          <w:color w:val="000000"/>
        </w:rPr>
      </w:pPr>
    </w:p>
    <w:p w:rsidR="001C3400" w:rsidRPr="00D67D29" w:rsidRDefault="001C3400" w:rsidP="001C3400">
      <w:pPr>
        <w:shd w:val="clear" w:color="auto" w:fill="FFFFFF"/>
        <w:ind w:right="38"/>
        <w:jc w:val="both"/>
        <w:rPr>
          <w:rFonts w:ascii="Arial" w:hAnsi="Arial" w:cs="Arial"/>
        </w:rPr>
      </w:pPr>
      <w:r w:rsidRPr="00D67D29">
        <w:rPr>
          <w:rFonts w:ascii="Arial" w:hAnsi="Arial" w:cs="Arial"/>
          <w:color w:val="000000"/>
        </w:rPr>
        <w:t xml:space="preserve">At the time of institution of the action, the </w:t>
      </w:r>
      <w:r>
        <w:rPr>
          <w:rFonts w:ascii="Arial" w:hAnsi="Arial" w:cs="Arial"/>
          <w:color w:val="000000"/>
        </w:rPr>
        <w:t>p</w:t>
      </w:r>
      <w:r w:rsidRPr="00D67D29">
        <w:rPr>
          <w:rFonts w:ascii="Arial" w:hAnsi="Arial" w:cs="Arial"/>
          <w:color w:val="000000"/>
        </w:rPr>
        <w:t xml:space="preserve">laintiff and his wife, the other co-owner, had been lawfully appointed as fiduciaries to the co-ownership. Hence there had been </w:t>
      </w:r>
      <w:r>
        <w:rPr>
          <w:rFonts w:ascii="Arial" w:hAnsi="Arial" w:cs="Arial"/>
          <w:color w:val="000000"/>
        </w:rPr>
        <w:t xml:space="preserve">an </w:t>
      </w:r>
      <w:r w:rsidRPr="00D67D29">
        <w:rPr>
          <w:rFonts w:ascii="Arial" w:hAnsi="Arial" w:cs="Arial"/>
          <w:color w:val="000000"/>
        </w:rPr>
        <w:t xml:space="preserve">error or omission in the drafting of the plaint. In the case of </w:t>
      </w:r>
      <w:proofErr w:type="spellStart"/>
      <w:r w:rsidRPr="008427DF">
        <w:rPr>
          <w:rFonts w:ascii="Arial" w:hAnsi="Arial" w:cs="Arial"/>
          <w:i/>
          <w:color w:val="000000"/>
        </w:rPr>
        <w:t>Inqall</w:t>
      </w:r>
      <w:proofErr w:type="spellEnd"/>
      <w:r w:rsidRPr="008427DF">
        <w:rPr>
          <w:rFonts w:ascii="Arial" w:hAnsi="Arial" w:cs="Arial"/>
          <w:i/>
          <w:color w:val="000000"/>
        </w:rPr>
        <w:t xml:space="preserve"> v </w:t>
      </w:r>
      <w:r w:rsidRPr="008427DF">
        <w:rPr>
          <w:rFonts w:ascii="Arial" w:hAnsi="Arial" w:cs="Arial"/>
          <w:i/>
          <w:color w:val="000000"/>
          <w:u w:val="single"/>
        </w:rPr>
        <w:t>Morgan</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1944</w:t>
      </w:r>
      <w:r>
        <w:rPr>
          <w:rFonts w:ascii="Arial" w:hAnsi="Arial" w:cs="Arial"/>
          <w:color w:val="000000"/>
        </w:rPr>
        <w:t>]</w:t>
      </w:r>
      <w:r w:rsidRPr="00D67D29">
        <w:rPr>
          <w:rFonts w:ascii="Arial" w:hAnsi="Arial" w:cs="Arial"/>
          <w:color w:val="000000"/>
        </w:rPr>
        <w:t xml:space="preserve"> KB 160 the </w:t>
      </w:r>
      <w:r>
        <w:rPr>
          <w:rFonts w:ascii="Arial" w:hAnsi="Arial" w:cs="Arial"/>
          <w:color w:val="000000"/>
        </w:rPr>
        <w:t>p</w:t>
      </w:r>
      <w:r w:rsidRPr="00D67D29">
        <w:rPr>
          <w:rFonts w:ascii="Arial" w:hAnsi="Arial" w:cs="Arial"/>
          <w:color w:val="000000"/>
        </w:rPr>
        <w:t xml:space="preserve">laintiff claimed in a representative capacity as the administrator of his son's estate. </w:t>
      </w:r>
      <w:r>
        <w:rPr>
          <w:rFonts w:ascii="Arial" w:hAnsi="Arial" w:cs="Arial"/>
          <w:color w:val="000000"/>
        </w:rPr>
        <w:t>However he</w:t>
      </w:r>
      <w:r w:rsidRPr="00D67D29">
        <w:rPr>
          <w:rFonts w:ascii="Arial" w:hAnsi="Arial" w:cs="Arial"/>
          <w:color w:val="000000"/>
        </w:rPr>
        <w:t xml:space="preserve"> received letters of administration only two months after the institution of the action. It was held that</w:t>
      </w:r>
      <w:r>
        <w:rPr>
          <w:rFonts w:ascii="Arial" w:hAnsi="Arial" w:cs="Arial"/>
          <w:color w:val="000000"/>
        </w:rPr>
        <w:t>,</w:t>
      </w:r>
      <w:r w:rsidRPr="00D67D29">
        <w:rPr>
          <w:rFonts w:ascii="Arial" w:hAnsi="Arial" w:cs="Arial"/>
          <w:color w:val="000000"/>
        </w:rPr>
        <w:t xml:space="preserve"> as an action under the Law Reform (Misc) </w:t>
      </w:r>
      <w:r w:rsidRPr="00D67D29">
        <w:rPr>
          <w:rFonts w:ascii="Arial" w:hAnsi="Arial" w:cs="Arial"/>
          <w:color w:val="000000"/>
        </w:rPr>
        <w:lastRenderedPageBreak/>
        <w:t xml:space="preserve">Provisions Act 1934 for an accident claim can be brought only by an administrator, the plaint was incompetent at the date of institution. Similar decisions were made in the subsequent cases of </w:t>
      </w:r>
      <w:r w:rsidRPr="008427DF">
        <w:rPr>
          <w:rFonts w:ascii="Arial" w:hAnsi="Arial" w:cs="Arial"/>
          <w:i/>
          <w:color w:val="000000"/>
        </w:rPr>
        <w:t xml:space="preserve">Hilton v Sutton </w:t>
      </w:r>
      <w:r>
        <w:rPr>
          <w:rFonts w:ascii="Arial" w:hAnsi="Arial" w:cs="Arial"/>
          <w:i/>
          <w:color w:val="000000"/>
        </w:rPr>
        <w:t>S</w:t>
      </w:r>
      <w:r w:rsidRPr="008427DF">
        <w:rPr>
          <w:rFonts w:ascii="Arial" w:hAnsi="Arial" w:cs="Arial"/>
          <w:i/>
          <w:color w:val="000000"/>
        </w:rPr>
        <w:t>team Laundry</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1946</w:t>
      </w:r>
      <w:r>
        <w:rPr>
          <w:rFonts w:ascii="Arial" w:hAnsi="Arial" w:cs="Arial"/>
          <w:color w:val="000000"/>
        </w:rPr>
        <w:t>]</w:t>
      </w:r>
      <w:r w:rsidRPr="00D67D29">
        <w:rPr>
          <w:rFonts w:ascii="Arial" w:hAnsi="Arial" w:cs="Arial"/>
          <w:color w:val="000000"/>
        </w:rPr>
        <w:t xml:space="preserve"> KB 68, </w:t>
      </w:r>
      <w:r w:rsidRPr="008427DF">
        <w:rPr>
          <w:rFonts w:ascii="Arial" w:hAnsi="Arial" w:cs="Arial"/>
          <w:i/>
          <w:color w:val="000000"/>
        </w:rPr>
        <w:t>Burns v Campbell</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1951</w:t>
      </w:r>
      <w:r>
        <w:rPr>
          <w:rFonts w:ascii="Arial" w:hAnsi="Arial" w:cs="Arial"/>
          <w:color w:val="000000"/>
        </w:rPr>
        <w:t>]</w:t>
      </w:r>
      <w:r w:rsidRPr="00D67D29">
        <w:rPr>
          <w:rFonts w:ascii="Arial" w:hAnsi="Arial" w:cs="Arial"/>
          <w:color w:val="000000"/>
        </w:rPr>
        <w:t xml:space="preserve"> A</w:t>
      </w:r>
      <w:r>
        <w:rPr>
          <w:rFonts w:ascii="Arial" w:hAnsi="Arial" w:cs="Arial"/>
          <w:color w:val="000000"/>
        </w:rPr>
        <w:t xml:space="preserve">ll </w:t>
      </w:r>
      <w:r w:rsidRPr="00D67D29">
        <w:rPr>
          <w:rFonts w:ascii="Arial" w:hAnsi="Arial" w:cs="Arial"/>
          <w:color w:val="000000"/>
        </w:rPr>
        <w:t xml:space="preserve">ER 965 and </w:t>
      </w:r>
      <w:r w:rsidRPr="008427DF">
        <w:rPr>
          <w:rFonts w:ascii="Arial" w:hAnsi="Arial" w:cs="Arial"/>
          <w:i/>
          <w:color w:val="000000"/>
        </w:rPr>
        <w:t>Finnegan v Cementation Co Ltd</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1953</w:t>
      </w:r>
      <w:r>
        <w:rPr>
          <w:rFonts w:ascii="Arial" w:hAnsi="Arial" w:cs="Arial"/>
          <w:color w:val="000000"/>
        </w:rPr>
        <w:t>]</w:t>
      </w:r>
      <w:r w:rsidRPr="00D67D29">
        <w:rPr>
          <w:rFonts w:ascii="Arial" w:hAnsi="Arial" w:cs="Arial"/>
          <w:color w:val="000000"/>
        </w:rPr>
        <w:t xml:space="preserve"> 2 A</w:t>
      </w:r>
      <w:r>
        <w:rPr>
          <w:rFonts w:ascii="Arial" w:hAnsi="Arial" w:cs="Arial"/>
          <w:color w:val="000000"/>
        </w:rPr>
        <w:t xml:space="preserve">ll </w:t>
      </w:r>
      <w:r w:rsidRPr="00D67D29">
        <w:rPr>
          <w:rFonts w:ascii="Arial" w:hAnsi="Arial" w:cs="Arial"/>
          <w:color w:val="000000"/>
        </w:rPr>
        <w:t>ER 1130.</w:t>
      </w:r>
    </w:p>
    <w:p w:rsidR="001C3400" w:rsidRPr="00D67D29" w:rsidRDefault="001C3400" w:rsidP="001C3400">
      <w:pPr>
        <w:shd w:val="clear" w:color="auto" w:fill="FFFFFF"/>
        <w:ind w:right="29"/>
        <w:jc w:val="both"/>
        <w:rPr>
          <w:rFonts w:ascii="Arial" w:hAnsi="Arial" w:cs="Arial"/>
        </w:rPr>
      </w:pPr>
    </w:p>
    <w:p w:rsidR="001C3400" w:rsidRPr="00D67D29" w:rsidRDefault="001C3400" w:rsidP="001C3400">
      <w:pPr>
        <w:shd w:val="clear" w:color="auto" w:fill="FFFFFF"/>
        <w:ind w:right="29"/>
        <w:jc w:val="both"/>
        <w:rPr>
          <w:rFonts w:ascii="Arial" w:hAnsi="Arial" w:cs="Arial"/>
          <w:bCs/>
          <w:color w:val="000000"/>
        </w:rPr>
      </w:pPr>
      <w:r w:rsidRPr="00D67D29">
        <w:rPr>
          <w:rFonts w:ascii="Arial" w:hAnsi="Arial" w:cs="Arial"/>
          <w:bCs/>
          <w:color w:val="000000"/>
        </w:rPr>
        <w:t xml:space="preserve">The instant case has to be distinguished on the basis that the </w:t>
      </w:r>
      <w:r>
        <w:rPr>
          <w:rFonts w:ascii="Arial" w:hAnsi="Arial" w:cs="Arial"/>
          <w:bCs/>
          <w:color w:val="000000"/>
        </w:rPr>
        <w:t>p</w:t>
      </w:r>
      <w:r w:rsidRPr="00D67D29">
        <w:rPr>
          <w:rFonts w:ascii="Arial" w:hAnsi="Arial" w:cs="Arial"/>
          <w:bCs/>
          <w:color w:val="000000"/>
        </w:rPr>
        <w:t xml:space="preserve">laintiffs had the capacity to sue as fiduciaries at the time of institution of the action although the caption was not properly drafted.  They were both </w:t>
      </w:r>
      <w:r w:rsidRPr="008427DF">
        <w:rPr>
          <w:rFonts w:ascii="Arial" w:hAnsi="Arial" w:cs="Arial"/>
          <w:bCs/>
          <w:color w:val="000000"/>
        </w:rPr>
        <w:t>de jure</w:t>
      </w:r>
      <w:r w:rsidRPr="00D67D29">
        <w:rPr>
          <w:rFonts w:ascii="Arial" w:hAnsi="Arial" w:cs="Arial"/>
          <w:bCs/>
          <w:color w:val="000000"/>
        </w:rPr>
        <w:t xml:space="preserve"> and </w:t>
      </w:r>
      <w:r w:rsidRPr="008427DF">
        <w:rPr>
          <w:rFonts w:ascii="Arial" w:hAnsi="Arial" w:cs="Arial"/>
          <w:bCs/>
          <w:color w:val="000000"/>
        </w:rPr>
        <w:t>de facto</w:t>
      </w:r>
      <w:r w:rsidRPr="00D67D29">
        <w:rPr>
          <w:rFonts w:ascii="Arial" w:hAnsi="Arial" w:cs="Arial"/>
          <w:bCs/>
          <w:color w:val="000000"/>
          <w:u w:val="single"/>
        </w:rPr>
        <w:t xml:space="preserve"> </w:t>
      </w:r>
      <w:r w:rsidRPr="00D67D29">
        <w:rPr>
          <w:rFonts w:ascii="Arial" w:hAnsi="Arial" w:cs="Arial"/>
          <w:bCs/>
          <w:color w:val="000000"/>
        </w:rPr>
        <w:t xml:space="preserve">fiduciaries. Under section 146 of the Code of Civil Procedure, a pleading can be amended at "any stage of the proceedings" as long as such amendment does not convert a suit of one character into another.  As there is no change in the cause of action and as the </w:t>
      </w:r>
      <w:r>
        <w:rPr>
          <w:rFonts w:ascii="Arial" w:hAnsi="Arial" w:cs="Arial"/>
          <w:bCs/>
          <w:color w:val="000000"/>
        </w:rPr>
        <w:t>p</w:t>
      </w:r>
      <w:r w:rsidRPr="00D67D29">
        <w:rPr>
          <w:rFonts w:ascii="Arial" w:hAnsi="Arial" w:cs="Arial"/>
          <w:bCs/>
          <w:color w:val="000000"/>
        </w:rPr>
        <w:t xml:space="preserve">laintiffs had the capacity of fiduciaries at the time of institution of the action, allowing the application for amendment will not prejudice the </w:t>
      </w:r>
      <w:r>
        <w:rPr>
          <w:rFonts w:ascii="Arial" w:hAnsi="Arial" w:cs="Arial"/>
          <w:bCs/>
          <w:color w:val="000000"/>
        </w:rPr>
        <w:t>d</w:t>
      </w:r>
      <w:r w:rsidRPr="00D67D29">
        <w:rPr>
          <w:rFonts w:ascii="Arial" w:hAnsi="Arial" w:cs="Arial"/>
          <w:bCs/>
          <w:color w:val="000000"/>
        </w:rPr>
        <w:t>efendant in a way that cannot be compensated by awarding costs.</w:t>
      </w:r>
    </w:p>
    <w:p w:rsidR="001C3400" w:rsidRPr="00D67D29" w:rsidRDefault="001C3400" w:rsidP="001C3400">
      <w:pPr>
        <w:shd w:val="clear" w:color="auto" w:fill="FFFFFF"/>
        <w:ind w:left="10"/>
        <w:jc w:val="both"/>
        <w:rPr>
          <w:rFonts w:ascii="Arial" w:hAnsi="Arial" w:cs="Arial"/>
        </w:rPr>
      </w:pPr>
    </w:p>
    <w:p w:rsidR="001C3400" w:rsidRPr="00D67D29" w:rsidRDefault="001C3400" w:rsidP="001C3400">
      <w:pPr>
        <w:shd w:val="clear" w:color="auto" w:fill="FFFFFF"/>
        <w:ind w:left="14" w:right="19"/>
        <w:jc w:val="both"/>
        <w:rPr>
          <w:rFonts w:ascii="Arial" w:hAnsi="Arial" w:cs="Arial"/>
          <w:bCs/>
          <w:color w:val="000000"/>
        </w:rPr>
      </w:pPr>
      <w:r w:rsidRPr="00D67D29">
        <w:rPr>
          <w:rFonts w:ascii="Arial" w:hAnsi="Arial" w:cs="Arial"/>
          <w:bCs/>
          <w:color w:val="000000"/>
        </w:rPr>
        <w:t>Accordingly the application for amendment of caption is allowed and the amended plaint dated 1</w:t>
      </w:r>
      <w:r>
        <w:rPr>
          <w:rFonts w:ascii="Arial" w:hAnsi="Arial" w:cs="Arial"/>
          <w:bCs/>
          <w:color w:val="000000"/>
        </w:rPr>
        <w:t xml:space="preserve"> </w:t>
      </w:r>
      <w:r w:rsidRPr="00D67D29">
        <w:rPr>
          <w:rFonts w:ascii="Arial" w:hAnsi="Arial" w:cs="Arial"/>
          <w:bCs/>
          <w:color w:val="000000"/>
        </w:rPr>
        <w:t xml:space="preserve">April 1997 is accepted.  The </w:t>
      </w:r>
      <w:r>
        <w:rPr>
          <w:rFonts w:ascii="Arial" w:hAnsi="Arial" w:cs="Arial"/>
          <w:bCs/>
          <w:color w:val="000000"/>
        </w:rPr>
        <w:t>d</w:t>
      </w:r>
      <w:r w:rsidRPr="00D67D29">
        <w:rPr>
          <w:rFonts w:ascii="Arial" w:hAnsi="Arial" w:cs="Arial"/>
          <w:bCs/>
          <w:color w:val="000000"/>
        </w:rPr>
        <w:t>efendant</w:t>
      </w:r>
      <w:r>
        <w:rPr>
          <w:rFonts w:ascii="Arial" w:hAnsi="Arial" w:cs="Arial"/>
          <w:bCs/>
          <w:color w:val="000000"/>
        </w:rPr>
        <w:t xml:space="preserve"> however will be entitled to R</w:t>
      </w:r>
      <w:r w:rsidRPr="00D67D29">
        <w:rPr>
          <w:rFonts w:ascii="Arial" w:hAnsi="Arial" w:cs="Arial"/>
          <w:bCs/>
          <w:color w:val="000000"/>
        </w:rPr>
        <w:t xml:space="preserve">500 as costs.  The </w:t>
      </w:r>
      <w:r>
        <w:rPr>
          <w:rFonts w:ascii="Arial" w:hAnsi="Arial" w:cs="Arial"/>
          <w:bCs/>
          <w:color w:val="000000"/>
        </w:rPr>
        <w:t>d</w:t>
      </w:r>
      <w:r w:rsidRPr="00D67D29">
        <w:rPr>
          <w:rFonts w:ascii="Arial" w:hAnsi="Arial" w:cs="Arial"/>
          <w:bCs/>
          <w:color w:val="000000"/>
        </w:rPr>
        <w:t xml:space="preserve">efendant may also file an amended </w:t>
      </w:r>
      <w:proofErr w:type="spellStart"/>
      <w:r w:rsidRPr="00D67D29">
        <w:rPr>
          <w:rFonts w:ascii="Arial" w:hAnsi="Arial" w:cs="Arial"/>
          <w:bCs/>
          <w:color w:val="000000"/>
        </w:rPr>
        <w:t>defence</w:t>
      </w:r>
      <w:proofErr w:type="spellEnd"/>
      <w:r w:rsidRPr="00D67D29">
        <w:rPr>
          <w:rFonts w:ascii="Arial" w:hAnsi="Arial" w:cs="Arial"/>
          <w:bCs/>
          <w:color w:val="000000"/>
        </w:rPr>
        <w:t xml:space="preserve">, if so advised.  If not, the case for the </w:t>
      </w:r>
      <w:proofErr w:type="spellStart"/>
      <w:r w:rsidRPr="00D67D29">
        <w:rPr>
          <w:rFonts w:ascii="Arial" w:hAnsi="Arial" w:cs="Arial"/>
          <w:bCs/>
          <w:color w:val="000000"/>
        </w:rPr>
        <w:t>defence</w:t>
      </w:r>
      <w:proofErr w:type="spellEnd"/>
      <w:r w:rsidRPr="00D67D29">
        <w:rPr>
          <w:rFonts w:ascii="Arial" w:hAnsi="Arial" w:cs="Arial"/>
          <w:bCs/>
          <w:color w:val="000000"/>
        </w:rPr>
        <w:t xml:space="preserve"> can proceed.</w:t>
      </w:r>
    </w:p>
    <w:p w:rsidR="001C3400" w:rsidRPr="00D67D29" w:rsidRDefault="001C3400" w:rsidP="001C3400">
      <w:pPr>
        <w:shd w:val="clear" w:color="auto" w:fill="FFFFFF"/>
        <w:ind w:left="14" w:right="19"/>
        <w:jc w:val="both"/>
        <w:rPr>
          <w:rFonts w:ascii="Arial" w:hAnsi="Arial" w:cs="Arial"/>
        </w:rPr>
      </w:pPr>
    </w:p>
    <w:p w:rsidR="001C3400" w:rsidRPr="00D67D29" w:rsidRDefault="001C3400" w:rsidP="001C3400">
      <w:pPr>
        <w:shd w:val="clear" w:color="auto" w:fill="FFFFFF"/>
        <w:ind w:right="29"/>
        <w:jc w:val="both"/>
        <w:rPr>
          <w:rFonts w:ascii="Arial" w:hAnsi="Arial" w:cs="Arial"/>
        </w:rPr>
      </w:pPr>
    </w:p>
    <w:p w:rsidR="001C3400" w:rsidRPr="00D67D29" w:rsidRDefault="001C3400" w:rsidP="001C3400">
      <w:pPr>
        <w:shd w:val="clear" w:color="auto" w:fill="FFFFFF"/>
        <w:ind w:left="29"/>
        <w:rPr>
          <w:rFonts w:ascii="Arial" w:hAnsi="Arial" w:cs="Arial"/>
          <w:b/>
        </w:rPr>
      </w:pPr>
      <w:r w:rsidRPr="00D67D29">
        <w:rPr>
          <w:rFonts w:ascii="Arial" w:hAnsi="Arial" w:cs="Arial"/>
          <w:b/>
          <w:color w:val="000000"/>
        </w:rPr>
        <w:t>Record:  Civil Side No 9 of 1992</w:t>
      </w:r>
    </w:p>
    <w:sectPr w:rsidR="001C3400"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400"/>
    <w:rsid w:val="000A4006"/>
    <w:rsid w:val="00144345"/>
    <w:rsid w:val="00156AE5"/>
    <w:rsid w:val="001A0374"/>
    <w:rsid w:val="001C3400"/>
    <w:rsid w:val="004100F5"/>
    <w:rsid w:val="00637430"/>
    <w:rsid w:val="006D36C9"/>
    <w:rsid w:val="00725760"/>
    <w:rsid w:val="00884E63"/>
    <w:rsid w:val="00982DDD"/>
    <w:rsid w:val="00A74094"/>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2014-01-16T10:46:00Z</dcterms:created>
  <dcterms:modified xsi:type="dcterms:W3CDTF">2014-01-16T10:46:00Z</dcterms:modified>
</cp:coreProperties>
</file>