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AA9" w:rsidRDefault="006B4AA9" w:rsidP="006B4AA9">
      <w:pPr>
        <w:jc w:val="center"/>
        <w:rPr>
          <w:rFonts w:ascii="Arial" w:hAnsi="Arial" w:cs="Arial"/>
          <w:b/>
        </w:rPr>
      </w:pPr>
      <w:r w:rsidRPr="0000446F">
        <w:rPr>
          <w:rFonts w:ascii="Arial" w:hAnsi="Arial" w:cs="Arial"/>
          <w:b/>
        </w:rPr>
        <w:t xml:space="preserve">Camille v </w:t>
      </w:r>
      <w:proofErr w:type="gramStart"/>
      <w:r w:rsidRPr="0000446F">
        <w:rPr>
          <w:rFonts w:ascii="Arial" w:hAnsi="Arial" w:cs="Arial"/>
          <w:b/>
        </w:rPr>
        <w:t>The</w:t>
      </w:r>
      <w:proofErr w:type="gramEnd"/>
      <w:r w:rsidRPr="0000446F">
        <w:rPr>
          <w:rFonts w:ascii="Arial" w:hAnsi="Arial" w:cs="Arial"/>
          <w:b/>
        </w:rPr>
        <w:t xml:space="preserve"> Seychelles Government</w:t>
      </w:r>
    </w:p>
    <w:p w:rsidR="006B4AA9" w:rsidRPr="0000446F" w:rsidRDefault="006B4AA9" w:rsidP="006B4AA9">
      <w:pPr>
        <w:jc w:val="center"/>
        <w:rPr>
          <w:rFonts w:ascii="Arial" w:hAnsi="Arial" w:cs="Arial"/>
          <w:b/>
        </w:rPr>
      </w:pPr>
      <w:r>
        <w:rPr>
          <w:rFonts w:ascii="Arial" w:hAnsi="Arial" w:cs="Arial"/>
          <w:b/>
        </w:rPr>
        <w:t>(1998) SLR 147</w:t>
      </w:r>
    </w:p>
    <w:p w:rsidR="006B4AA9" w:rsidRPr="0000446F" w:rsidRDefault="006B4AA9" w:rsidP="006B4AA9">
      <w:pPr>
        <w:jc w:val="both"/>
        <w:rPr>
          <w:rFonts w:ascii="Arial" w:hAnsi="Arial" w:cs="Arial"/>
          <w:i/>
        </w:rPr>
      </w:pPr>
      <w:r w:rsidRPr="00CE0F0C">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1.1pt;margin-top:-17.1pt;width:30pt;height:531.55pt;z-index:251660288;mso-height-percent:200;mso-height-percent:200;mso-width-relative:margin;mso-height-relative:margin" stroked="f" strokecolor="white [3212]">
            <v:textbox style="mso-next-textbox:#_x0000_s1026;mso-fit-shape-to-text:t">
              <w:txbxContent>
                <w:p w:rsidR="006B4AA9" w:rsidRPr="00CF6C02" w:rsidRDefault="006B4AA9" w:rsidP="006B4AA9">
                  <w:pPr>
                    <w:rPr>
                      <w:rFonts w:ascii="Arial" w:hAnsi="Arial" w:cs="Arial"/>
                      <w:b/>
                      <w:i/>
                    </w:rPr>
                  </w:pPr>
                </w:p>
              </w:txbxContent>
            </v:textbox>
          </v:shape>
        </w:pict>
      </w:r>
    </w:p>
    <w:p w:rsidR="006B4AA9" w:rsidRDefault="006B4AA9" w:rsidP="006B4AA9">
      <w:pPr>
        <w:jc w:val="both"/>
        <w:rPr>
          <w:rFonts w:ascii="Arial" w:hAnsi="Arial" w:cs="Arial"/>
        </w:rPr>
      </w:pPr>
    </w:p>
    <w:p w:rsidR="006B4AA9" w:rsidRPr="0000446F" w:rsidRDefault="006B4AA9" w:rsidP="006B4AA9">
      <w:pPr>
        <w:jc w:val="both"/>
        <w:rPr>
          <w:rFonts w:ascii="Arial" w:hAnsi="Arial" w:cs="Arial"/>
        </w:rPr>
      </w:pPr>
      <w:r w:rsidRPr="0000446F">
        <w:rPr>
          <w:rFonts w:ascii="Arial" w:hAnsi="Arial" w:cs="Arial"/>
        </w:rPr>
        <w:t xml:space="preserve">Philippe BOULLE for the </w:t>
      </w:r>
      <w:r>
        <w:rPr>
          <w:rFonts w:ascii="Arial" w:hAnsi="Arial" w:cs="Arial"/>
        </w:rPr>
        <w:t>p</w:t>
      </w:r>
      <w:r w:rsidRPr="0000446F">
        <w:rPr>
          <w:rFonts w:ascii="Arial" w:hAnsi="Arial" w:cs="Arial"/>
        </w:rPr>
        <w:t>laintiff</w:t>
      </w:r>
    </w:p>
    <w:p w:rsidR="006B4AA9" w:rsidRPr="0000446F" w:rsidRDefault="006B4AA9" w:rsidP="006B4AA9">
      <w:pPr>
        <w:jc w:val="both"/>
        <w:rPr>
          <w:rFonts w:ascii="Arial" w:hAnsi="Arial" w:cs="Arial"/>
        </w:rPr>
      </w:pPr>
      <w:proofErr w:type="spellStart"/>
      <w:r w:rsidRPr="0000446F">
        <w:rPr>
          <w:rFonts w:ascii="Arial" w:hAnsi="Arial" w:cs="Arial"/>
        </w:rPr>
        <w:t>Romesh</w:t>
      </w:r>
      <w:proofErr w:type="spellEnd"/>
      <w:r w:rsidRPr="0000446F">
        <w:rPr>
          <w:rFonts w:ascii="Arial" w:hAnsi="Arial" w:cs="Arial"/>
        </w:rPr>
        <w:t xml:space="preserve"> KANAKARATNE for the </w:t>
      </w:r>
      <w:r>
        <w:rPr>
          <w:rFonts w:ascii="Arial" w:hAnsi="Arial" w:cs="Arial"/>
        </w:rPr>
        <w:t>d</w:t>
      </w:r>
      <w:r w:rsidRPr="0000446F">
        <w:rPr>
          <w:rFonts w:ascii="Arial" w:hAnsi="Arial" w:cs="Arial"/>
        </w:rPr>
        <w:t>efendant</w:t>
      </w:r>
    </w:p>
    <w:p w:rsidR="006B4AA9" w:rsidRPr="0000446F" w:rsidRDefault="006B4AA9" w:rsidP="006B4AA9">
      <w:pPr>
        <w:rPr>
          <w:rFonts w:ascii="Arial" w:hAnsi="Arial" w:cs="Arial"/>
          <w:b/>
        </w:rPr>
      </w:pPr>
    </w:p>
    <w:p w:rsidR="006B4AA9" w:rsidRPr="00BC0A99" w:rsidRDefault="006B4AA9" w:rsidP="006B4AA9">
      <w:pPr>
        <w:rPr>
          <w:rFonts w:ascii="Arial" w:hAnsi="Arial" w:cs="Arial"/>
        </w:rPr>
      </w:pPr>
      <w:r w:rsidRPr="00BC0A99">
        <w:rPr>
          <w:rFonts w:ascii="Arial" w:hAnsi="Arial" w:cs="Arial"/>
        </w:rPr>
        <w:t xml:space="preserve">[Appeal by the </w:t>
      </w:r>
      <w:r>
        <w:rPr>
          <w:rFonts w:ascii="Arial" w:hAnsi="Arial" w:cs="Arial"/>
        </w:rPr>
        <w:t>p</w:t>
      </w:r>
      <w:r w:rsidRPr="00BC0A99">
        <w:rPr>
          <w:rFonts w:ascii="Arial" w:hAnsi="Arial" w:cs="Arial"/>
        </w:rPr>
        <w:t>laintiff was dismissed on 13</w:t>
      </w:r>
      <w:r w:rsidRPr="00BC0A99">
        <w:rPr>
          <w:rFonts w:ascii="Arial" w:hAnsi="Arial" w:cs="Arial"/>
          <w:vertAlign w:val="superscript"/>
        </w:rPr>
        <w:t>th</w:t>
      </w:r>
      <w:r w:rsidRPr="00BC0A99">
        <w:rPr>
          <w:rFonts w:ascii="Arial" w:hAnsi="Arial" w:cs="Arial"/>
        </w:rPr>
        <w:t xml:space="preserve"> August, 1999 in CA 57</w:t>
      </w:r>
      <w:r>
        <w:rPr>
          <w:rFonts w:ascii="Arial" w:hAnsi="Arial" w:cs="Arial"/>
        </w:rPr>
        <w:t>/</w:t>
      </w:r>
      <w:r w:rsidRPr="00BC0A99">
        <w:rPr>
          <w:rFonts w:ascii="Arial" w:hAnsi="Arial" w:cs="Arial"/>
        </w:rPr>
        <w:t>1998.]</w:t>
      </w:r>
    </w:p>
    <w:p w:rsidR="006B4AA9" w:rsidRPr="0000446F" w:rsidRDefault="006B4AA9" w:rsidP="006B4AA9">
      <w:pPr>
        <w:rPr>
          <w:rFonts w:ascii="Arial" w:hAnsi="Arial" w:cs="Arial"/>
          <w:i/>
        </w:rPr>
      </w:pPr>
    </w:p>
    <w:p w:rsidR="006B4AA9" w:rsidRPr="0000446F" w:rsidRDefault="006B4AA9" w:rsidP="006B4AA9">
      <w:pPr>
        <w:rPr>
          <w:rFonts w:ascii="Arial" w:hAnsi="Arial" w:cs="Arial"/>
        </w:rPr>
      </w:pPr>
    </w:p>
    <w:p w:rsidR="006B4AA9" w:rsidRPr="0000446F" w:rsidRDefault="006B4AA9" w:rsidP="006B4AA9">
      <w:pPr>
        <w:rPr>
          <w:rFonts w:ascii="Arial" w:hAnsi="Arial" w:cs="Arial"/>
          <w:b/>
        </w:rPr>
      </w:pPr>
      <w:r w:rsidRPr="0000446F">
        <w:rPr>
          <w:rFonts w:ascii="Arial" w:hAnsi="Arial" w:cs="Arial"/>
          <w:b/>
        </w:rPr>
        <w:t>Ruling delivered on 14 September 1998, by:</w:t>
      </w:r>
    </w:p>
    <w:p w:rsidR="006B4AA9" w:rsidRPr="0000446F" w:rsidRDefault="006B4AA9" w:rsidP="006B4AA9">
      <w:pPr>
        <w:rPr>
          <w:rFonts w:ascii="Arial" w:hAnsi="Arial" w:cs="Arial"/>
        </w:rPr>
      </w:pPr>
    </w:p>
    <w:p w:rsidR="006B4AA9" w:rsidRPr="0000446F" w:rsidRDefault="006B4AA9" w:rsidP="006B4AA9">
      <w:pPr>
        <w:jc w:val="both"/>
        <w:rPr>
          <w:rFonts w:ascii="Arial" w:hAnsi="Arial" w:cs="Arial"/>
        </w:rPr>
      </w:pPr>
      <w:r w:rsidRPr="0000446F">
        <w:rPr>
          <w:rFonts w:ascii="Arial" w:hAnsi="Arial" w:cs="Arial"/>
          <w:b/>
        </w:rPr>
        <w:t>PERERA J:</w:t>
      </w:r>
      <w:r w:rsidRPr="0000446F">
        <w:rPr>
          <w:rFonts w:ascii="Arial" w:hAnsi="Arial" w:cs="Arial"/>
        </w:rPr>
        <w:t xml:space="preserve">  This is </w:t>
      </w:r>
      <w:r>
        <w:rPr>
          <w:rFonts w:ascii="Arial" w:hAnsi="Arial" w:cs="Arial"/>
        </w:rPr>
        <w:t xml:space="preserve">a </w:t>
      </w:r>
      <w:proofErr w:type="spellStart"/>
      <w:r w:rsidRPr="0000446F">
        <w:rPr>
          <w:rFonts w:ascii="Arial" w:hAnsi="Arial" w:cs="Arial"/>
        </w:rPr>
        <w:t>delictual</w:t>
      </w:r>
      <w:proofErr w:type="spellEnd"/>
      <w:r w:rsidRPr="0000446F">
        <w:rPr>
          <w:rFonts w:ascii="Arial" w:hAnsi="Arial" w:cs="Arial"/>
        </w:rPr>
        <w:t xml:space="preserve"> action filed by the </w:t>
      </w:r>
      <w:r>
        <w:rPr>
          <w:rFonts w:ascii="Arial" w:hAnsi="Arial" w:cs="Arial"/>
        </w:rPr>
        <w:t>p</w:t>
      </w:r>
      <w:r w:rsidRPr="0000446F">
        <w:rPr>
          <w:rFonts w:ascii="Arial" w:hAnsi="Arial" w:cs="Arial"/>
        </w:rPr>
        <w:t xml:space="preserve">laintiff on 15 January 1997 in respect of an alleged </w:t>
      </w:r>
      <w:proofErr w:type="spellStart"/>
      <w:r w:rsidRPr="0000446F">
        <w:rPr>
          <w:rFonts w:ascii="Arial" w:hAnsi="Arial" w:cs="Arial"/>
        </w:rPr>
        <w:t>faute</w:t>
      </w:r>
      <w:proofErr w:type="spellEnd"/>
      <w:r w:rsidRPr="0000446F">
        <w:rPr>
          <w:rFonts w:ascii="Arial" w:hAnsi="Arial" w:cs="Arial"/>
        </w:rPr>
        <w:t xml:space="preserve"> committed by one Francois </w:t>
      </w:r>
      <w:proofErr w:type="spellStart"/>
      <w:r w:rsidRPr="0000446F">
        <w:rPr>
          <w:rFonts w:ascii="Arial" w:hAnsi="Arial" w:cs="Arial"/>
        </w:rPr>
        <w:t>Philoe</w:t>
      </w:r>
      <w:proofErr w:type="spellEnd"/>
      <w:r w:rsidRPr="0000446F">
        <w:rPr>
          <w:rFonts w:ascii="Arial" w:hAnsi="Arial" w:cs="Arial"/>
        </w:rPr>
        <w:t xml:space="preserve"> on 15 August 1983 in the course of his duties as a soldier in the employment of the Government of Seychelles.</w:t>
      </w:r>
    </w:p>
    <w:p w:rsidR="006B4AA9" w:rsidRPr="0000446F" w:rsidRDefault="006B4AA9" w:rsidP="006B4AA9">
      <w:pPr>
        <w:rPr>
          <w:rFonts w:ascii="Arial" w:hAnsi="Arial" w:cs="Arial"/>
        </w:rPr>
      </w:pPr>
    </w:p>
    <w:p w:rsidR="006B4AA9" w:rsidRPr="0000446F" w:rsidRDefault="006B4AA9" w:rsidP="006B4AA9">
      <w:pPr>
        <w:jc w:val="both"/>
        <w:rPr>
          <w:rFonts w:ascii="Arial" w:hAnsi="Arial" w:cs="Arial"/>
        </w:rPr>
      </w:pPr>
      <w:r w:rsidRPr="0000446F">
        <w:rPr>
          <w:rFonts w:ascii="Arial" w:hAnsi="Arial" w:cs="Arial"/>
        </w:rPr>
        <w:t xml:space="preserve">On 4 May 1998, before the hearing commenced, it was revealed that the </w:t>
      </w:r>
      <w:r>
        <w:rPr>
          <w:rFonts w:ascii="Arial" w:hAnsi="Arial" w:cs="Arial"/>
        </w:rPr>
        <w:t>f</w:t>
      </w:r>
      <w:r w:rsidRPr="0000446F">
        <w:rPr>
          <w:rFonts w:ascii="Arial" w:hAnsi="Arial" w:cs="Arial"/>
        </w:rPr>
        <w:t xml:space="preserve">irst </w:t>
      </w:r>
      <w:r>
        <w:rPr>
          <w:rFonts w:ascii="Arial" w:hAnsi="Arial" w:cs="Arial"/>
        </w:rPr>
        <w:t>d</w:t>
      </w:r>
      <w:r w:rsidRPr="0000446F">
        <w:rPr>
          <w:rFonts w:ascii="Arial" w:hAnsi="Arial" w:cs="Arial"/>
        </w:rPr>
        <w:t xml:space="preserve">efendant, the said Francois </w:t>
      </w:r>
      <w:proofErr w:type="spellStart"/>
      <w:r w:rsidRPr="0000446F">
        <w:rPr>
          <w:rFonts w:ascii="Arial" w:hAnsi="Arial" w:cs="Arial"/>
        </w:rPr>
        <w:t>Philoe</w:t>
      </w:r>
      <w:proofErr w:type="spellEnd"/>
      <w:r w:rsidRPr="0000446F">
        <w:rPr>
          <w:rFonts w:ascii="Arial" w:hAnsi="Arial" w:cs="Arial"/>
        </w:rPr>
        <w:t xml:space="preserve"> had died after the institution of these proceedings.  Counsel for the Plaintiff however informed</w:t>
      </w:r>
      <w:r>
        <w:rPr>
          <w:rFonts w:ascii="Arial" w:hAnsi="Arial" w:cs="Arial"/>
        </w:rPr>
        <w:t xml:space="preserve"> the</w:t>
      </w:r>
      <w:r w:rsidRPr="0000446F">
        <w:rPr>
          <w:rFonts w:ascii="Arial" w:hAnsi="Arial" w:cs="Arial"/>
        </w:rPr>
        <w:t xml:space="preserve"> Court that he would proceed against the </w:t>
      </w:r>
      <w:r>
        <w:rPr>
          <w:rFonts w:ascii="Arial" w:hAnsi="Arial" w:cs="Arial"/>
        </w:rPr>
        <w:t>s</w:t>
      </w:r>
      <w:r w:rsidRPr="0000446F">
        <w:rPr>
          <w:rFonts w:ascii="Arial" w:hAnsi="Arial" w:cs="Arial"/>
        </w:rPr>
        <w:t xml:space="preserve">econd </w:t>
      </w:r>
      <w:r>
        <w:rPr>
          <w:rFonts w:ascii="Arial" w:hAnsi="Arial" w:cs="Arial"/>
        </w:rPr>
        <w:t>d</w:t>
      </w:r>
      <w:r w:rsidRPr="0000446F">
        <w:rPr>
          <w:rFonts w:ascii="Arial" w:hAnsi="Arial" w:cs="Arial"/>
        </w:rPr>
        <w:t>efendant, the Government of Seychelles</w:t>
      </w:r>
      <w:r>
        <w:rPr>
          <w:rFonts w:ascii="Arial" w:hAnsi="Arial" w:cs="Arial"/>
        </w:rPr>
        <w:t>,</w:t>
      </w:r>
      <w:r w:rsidRPr="0000446F">
        <w:rPr>
          <w:rFonts w:ascii="Arial" w:hAnsi="Arial" w:cs="Arial"/>
        </w:rPr>
        <w:t xml:space="preserve"> without amending his pleadings.  Accordingly the </w:t>
      </w:r>
      <w:r>
        <w:rPr>
          <w:rFonts w:ascii="Arial" w:hAnsi="Arial" w:cs="Arial"/>
        </w:rPr>
        <w:t>f</w:t>
      </w:r>
      <w:r w:rsidRPr="0000446F">
        <w:rPr>
          <w:rFonts w:ascii="Arial" w:hAnsi="Arial" w:cs="Arial"/>
        </w:rPr>
        <w:t xml:space="preserve">irst </w:t>
      </w:r>
      <w:r>
        <w:rPr>
          <w:rFonts w:ascii="Arial" w:hAnsi="Arial" w:cs="Arial"/>
        </w:rPr>
        <w:t>d</w:t>
      </w:r>
      <w:r w:rsidRPr="0000446F">
        <w:rPr>
          <w:rFonts w:ascii="Arial" w:hAnsi="Arial" w:cs="Arial"/>
        </w:rPr>
        <w:t xml:space="preserve">efendant was deleted from the proceedings, and </w:t>
      </w:r>
      <w:proofErr w:type="spellStart"/>
      <w:r w:rsidRPr="0000446F">
        <w:rPr>
          <w:rFonts w:ascii="Arial" w:hAnsi="Arial" w:cs="Arial"/>
        </w:rPr>
        <w:t>Mr</w:t>
      </w:r>
      <w:proofErr w:type="spellEnd"/>
      <w:r w:rsidRPr="0000446F">
        <w:rPr>
          <w:rFonts w:ascii="Arial" w:hAnsi="Arial" w:cs="Arial"/>
        </w:rPr>
        <w:t xml:space="preserve"> A Juliette</w:t>
      </w:r>
      <w:r>
        <w:rPr>
          <w:rFonts w:ascii="Arial" w:hAnsi="Arial" w:cs="Arial"/>
        </w:rPr>
        <w:t>,</w:t>
      </w:r>
      <w:r w:rsidRPr="0000446F">
        <w:rPr>
          <w:rFonts w:ascii="Arial" w:hAnsi="Arial" w:cs="Arial"/>
        </w:rPr>
        <w:t xml:space="preserve"> his </w:t>
      </w:r>
      <w:r>
        <w:rPr>
          <w:rFonts w:ascii="Arial" w:hAnsi="Arial" w:cs="Arial"/>
        </w:rPr>
        <w:t>c</w:t>
      </w:r>
      <w:r w:rsidRPr="0000446F">
        <w:rPr>
          <w:rFonts w:ascii="Arial" w:hAnsi="Arial" w:cs="Arial"/>
        </w:rPr>
        <w:t>ounsel</w:t>
      </w:r>
      <w:r>
        <w:rPr>
          <w:rFonts w:ascii="Arial" w:hAnsi="Arial" w:cs="Arial"/>
        </w:rPr>
        <w:t>,</w:t>
      </w:r>
      <w:r w:rsidRPr="0000446F">
        <w:rPr>
          <w:rFonts w:ascii="Arial" w:hAnsi="Arial" w:cs="Arial"/>
        </w:rPr>
        <w:t xml:space="preserve"> withdrew from the case.</w:t>
      </w:r>
    </w:p>
    <w:p w:rsidR="006B4AA9" w:rsidRPr="0000446F" w:rsidRDefault="006B4AA9" w:rsidP="006B4AA9">
      <w:pPr>
        <w:jc w:val="both"/>
        <w:rPr>
          <w:rFonts w:ascii="Arial" w:hAnsi="Arial" w:cs="Arial"/>
        </w:rPr>
      </w:pPr>
    </w:p>
    <w:p w:rsidR="006B4AA9" w:rsidRPr="0000446F" w:rsidRDefault="006B4AA9" w:rsidP="006B4AA9">
      <w:pPr>
        <w:jc w:val="both"/>
        <w:rPr>
          <w:rFonts w:ascii="Arial" w:hAnsi="Arial" w:cs="Arial"/>
        </w:rPr>
      </w:pPr>
      <w:r w:rsidRPr="0000446F">
        <w:rPr>
          <w:rFonts w:ascii="Arial" w:hAnsi="Arial" w:cs="Arial"/>
        </w:rPr>
        <w:t xml:space="preserve">The </w:t>
      </w:r>
      <w:r>
        <w:rPr>
          <w:rFonts w:ascii="Arial" w:hAnsi="Arial" w:cs="Arial"/>
        </w:rPr>
        <w:t>s</w:t>
      </w:r>
      <w:r w:rsidRPr="0000446F">
        <w:rPr>
          <w:rFonts w:ascii="Arial" w:hAnsi="Arial" w:cs="Arial"/>
        </w:rPr>
        <w:t xml:space="preserve">econd </w:t>
      </w:r>
      <w:r>
        <w:rPr>
          <w:rFonts w:ascii="Arial" w:hAnsi="Arial" w:cs="Arial"/>
        </w:rPr>
        <w:t>d</w:t>
      </w:r>
      <w:r w:rsidRPr="0000446F">
        <w:rPr>
          <w:rFonts w:ascii="Arial" w:hAnsi="Arial" w:cs="Arial"/>
        </w:rPr>
        <w:t xml:space="preserve">efendant in their statement of </w:t>
      </w:r>
      <w:proofErr w:type="spellStart"/>
      <w:r w:rsidRPr="0000446F">
        <w:rPr>
          <w:rFonts w:ascii="Arial" w:hAnsi="Arial" w:cs="Arial"/>
        </w:rPr>
        <w:t>defence</w:t>
      </w:r>
      <w:proofErr w:type="spellEnd"/>
      <w:r w:rsidRPr="0000446F">
        <w:rPr>
          <w:rFonts w:ascii="Arial" w:hAnsi="Arial" w:cs="Arial"/>
        </w:rPr>
        <w:t xml:space="preserve"> filed on 3 June 1997 pleaded inter alia as follows:</w:t>
      </w:r>
    </w:p>
    <w:p w:rsidR="006B4AA9" w:rsidRPr="0000446F" w:rsidRDefault="006B4AA9" w:rsidP="006B4AA9">
      <w:pPr>
        <w:jc w:val="both"/>
        <w:rPr>
          <w:rFonts w:ascii="Arial" w:hAnsi="Arial" w:cs="Arial"/>
        </w:rPr>
      </w:pPr>
    </w:p>
    <w:p w:rsidR="006B4AA9" w:rsidRPr="0000446F" w:rsidRDefault="006B4AA9" w:rsidP="006B4AA9">
      <w:pPr>
        <w:ind w:left="1710" w:right="684" w:hanging="990"/>
        <w:jc w:val="both"/>
        <w:rPr>
          <w:rFonts w:ascii="Arial" w:hAnsi="Arial" w:cs="Arial"/>
        </w:rPr>
      </w:pPr>
      <w:r w:rsidRPr="0000446F">
        <w:rPr>
          <w:rFonts w:ascii="Arial" w:hAnsi="Arial" w:cs="Arial"/>
        </w:rPr>
        <w:t>4.  (</w:t>
      </w:r>
      <w:proofErr w:type="spellStart"/>
      <w:proofErr w:type="gramStart"/>
      <w:r w:rsidRPr="0000446F">
        <w:rPr>
          <w:rFonts w:ascii="Arial" w:hAnsi="Arial" w:cs="Arial"/>
        </w:rPr>
        <w:t>i</w:t>
      </w:r>
      <w:proofErr w:type="spellEnd"/>
      <w:proofErr w:type="gramEnd"/>
      <w:r w:rsidRPr="0000446F">
        <w:rPr>
          <w:rFonts w:ascii="Arial" w:hAnsi="Arial" w:cs="Arial"/>
        </w:rPr>
        <w:t>)</w:t>
      </w:r>
      <w:r w:rsidRPr="0000446F">
        <w:rPr>
          <w:rFonts w:ascii="Arial" w:hAnsi="Arial" w:cs="Arial"/>
        </w:rPr>
        <w:tab/>
        <w:t xml:space="preserve">That the </w:t>
      </w:r>
      <w:r>
        <w:rPr>
          <w:rFonts w:ascii="Arial" w:hAnsi="Arial" w:cs="Arial"/>
        </w:rPr>
        <w:t>f</w:t>
      </w:r>
      <w:r w:rsidRPr="0000446F">
        <w:rPr>
          <w:rFonts w:ascii="Arial" w:hAnsi="Arial" w:cs="Arial"/>
        </w:rPr>
        <w:t xml:space="preserve">irst </w:t>
      </w:r>
      <w:r>
        <w:rPr>
          <w:rFonts w:ascii="Arial" w:hAnsi="Arial" w:cs="Arial"/>
        </w:rPr>
        <w:t>d</w:t>
      </w:r>
      <w:r w:rsidRPr="0000446F">
        <w:rPr>
          <w:rFonts w:ascii="Arial" w:hAnsi="Arial" w:cs="Arial"/>
        </w:rPr>
        <w:t xml:space="preserve">efendant was not acting within the scope of his employment at the material time and the alleged </w:t>
      </w:r>
      <w:r>
        <w:rPr>
          <w:rFonts w:ascii="Arial" w:hAnsi="Arial" w:cs="Arial"/>
        </w:rPr>
        <w:t>a</w:t>
      </w:r>
      <w:r w:rsidRPr="0000446F">
        <w:rPr>
          <w:rFonts w:ascii="Arial" w:hAnsi="Arial" w:cs="Arial"/>
        </w:rPr>
        <w:t xml:space="preserve">ct was not incidental to the service of employment of the </w:t>
      </w:r>
      <w:r>
        <w:rPr>
          <w:rFonts w:ascii="Arial" w:hAnsi="Arial" w:cs="Arial"/>
        </w:rPr>
        <w:t>f</w:t>
      </w:r>
      <w:r w:rsidRPr="0000446F">
        <w:rPr>
          <w:rFonts w:ascii="Arial" w:hAnsi="Arial" w:cs="Arial"/>
        </w:rPr>
        <w:t xml:space="preserve">irst </w:t>
      </w:r>
      <w:r>
        <w:rPr>
          <w:rFonts w:ascii="Arial" w:hAnsi="Arial" w:cs="Arial"/>
        </w:rPr>
        <w:t>d</w:t>
      </w:r>
      <w:r w:rsidRPr="0000446F">
        <w:rPr>
          <w:rFonts w:ascii="Arial" w:hAnsi="Arial" w:cs="Arial"/>
        </w:rPr>
        <w:t>efendant.</w:t>
      </w:r>
    </w:p>
    <w:p w:rsidR="006B4AA9" w:rsidRDefault="006B4AA9" w:rsidP="006B4AA9">
      <w:pPr>
        <w:jc w:val="both"/>
        <w:rPr>
          <w:rFonts w:ascii="Arial" w:hAnsi="Arial" w:cs="Arial"/>
        </w:rPr>
      </w:pPr>
    </w:p>
    <w:p w:rsidR="006B4AA9" w:rsidRPr="0000446F" w:rsidRDefault="006B4AA9" w:rsidP="006B4AA9">
      <w:pPr>
        <w:widowControl/>
        <w:numPr>
          <w:ilvl w:val="0"/>
          <w:numId w:val="1"/>
        </w:numPr>
        <w:tabs>
          <w:tab w:val="clear" w:pos="1020"/>
        </w:tabs>
        <w:autoSpaceDE/>
        <w:autoSpaceDN/>
        <w:adjustRightInd/>
        <w:ind w:left="1710" w:right="684" w:hanging="540"/>
        <w:jc w:val="both"/>
        <w:rPr>
          <w:rFonts w:ascii="Arial" w:hAnsi="Arial" w:cs="Arial"/>
        </w:rPr>
      </w:pPr>
      <w:r w:rsidRPr="0000446F">
        <w:rPr>
          <w:rFonts w:ascii="Arial" w:hAnsi="Arial" w:cs="Arial"/>
        </w:rPr>
        <w:t xml:space="preserve">That the question of vicarious and joint liability on the part of the </w:t>
      </w:r>
      <w:r>
        <w:rPr>
          <w:rFonts w:ascii="Arial" w:hAnsi="Arial" w:cs="Arial"/>
        </w:rPr>
        <w:t>s</w:t>
      </w:r>
      <w:r w:rsidRPr="0000446F">
        <w:rPr>
          <w:rFonts w:ascii="Arial" w:hAnsi="Arial" w:cs="Arial"/>
        </w:rPr>
        <w:t xml:space="preserve">econd </w:t>
      </w:r>
      <w:r>
        <w:rPr>
          <w:rFonts w:ascii="Arial" w:hAnsi="Arial" w:cs="Arial"/>
        </w:rPr>
        <w:t>d</w:t>
      </w:r>
      <w:r w:rsidRPr="0000446F">
        <w:rPr>
          <w:rFonts w:ascii="Arial" w:hAnsi="Arial" w:cs="Arial"/>
        </w:rPr>
        <w:t xml:space="preserve">efendant does not arise in view of the denial by the </w:t>
      </w:r>
      <w:r>
        <w:rPr>
          <w:rFonts w:ascii="Arial" w:hAnsi="Arial" w:cs="Arial"/>
        </w:rPr>
        <w:t>s</w:t>
      </w:r>
      <w:r w:rsidRPr="0000446F">
        <w:rPr>
          <w:rFonts w:ascii="Arial" w:hAnsi="Arial" w:cs="Arial"/>
        </w:rPr>
        <w:t xml:space="preserve">econd </w:t>
      </w:r>
      <w:r>
        <w:rPr>
          <w:rFonts w:ascii="Arial" w:hAnsi="Arial" w:cs="Arial"/>
        </w:rPr>
        <w:t>d</w:t>
      </w:r>
      <w:r w:rsidRPr="0000446F">
        <w:rPr>
          <w:rFonts w:ascii="Arial" w:hAnsi="Arial" w:cs="Arial"/>
        </w:rPr>
        <w:t>efendant of the incident itself.</w:t>
      </w:r>
    </w:p>
    <w:p w:rsidR="006B4AA9" w:rsidRPr="0000446F" w:rsidRDefault="006B4AA9" w:rsidP="006B4AA9">
      <w:pPr>
        <w:widowControl/>
        <w:numPr>
          <w:ilvl w:val="0"/>
          <w:numId w:val="1"/>
        </w:numPr>
        <w:tabs>
          <w:tab w:val="clear" w:pos="1020"/>
        </w:tabs>
        <w:autoSpaceDE/>
        <w:autoSpaceDN/>
        <w:adjustRightInd/>
        <w:ind w:left="1710" w:right="684" w:hanging="540"/>
        <w:jc w:val="both"/>
        <w:rPr>
          <w:rFonts w:ascii="Arial" w:hAnsi="Arial" w:cs="Arial"/>
        </w:rPr>
      </w:pPr>
      <w:r w:rsidRPr="00CE0F0C">
        <w:rPr>
          <w:rFonts w:ascii="Arial" w:hAnsi="Arial" w:cs="Arial"/>
          <w:noProof/>
        </w:rPr>
        <w:pict>
          <v:shape id="_x0000_s1027" type="#_x0000_t202" style="position:absolute;left:0;text-align:left;margin-left:-31.1pt;margin-top:-3.3pt;width:30pt;height:531.55pt;z-index:251661312;mso-height-percent:200;mso-height-percent:200;mso-width-relative:margin;mso-height-relative:margin" stroked="f" strokecolor="white [3212]">
            <v:textbox style="mso-next-textbox:#_x0000_s1027;mso-fit-shape-to-text:t">
              <w:txbxContent>
                <w:p w:rsidR="006B4AA9" w:rsidRPr="00CF6C02" w:rsidRDefault="006B4AA9" w:rsidP="006B4AA9">
                  <w:pPr>
                    <w:rPr>
                      <w:rFonts w:ascii="Arial" w:hAnsi="Arial" w:cs="Arial"/>
                      <w:b/>
                      <w:i/>
                    </w:rPr>
                  </w:pPr>
                </w:p>
              </w:txbxContent>
            </v:textbox>
          </v:shape>
        </w:pict>
      </w:r>
      <w:r w:rsidRPr="0000446F">
        <w:rPr>
          <w:rFonts w:ascii="Arial" w:hAnsi="Arial" w:cs="Arial"/>
        </w:rPr>
        <w:t xml:space="preserve">That this action is prescribed under </w:t>
      </w:r>
      <w:r>
        <w:rPr>
          <w:rFonts w:ascii="Arial" w:hAnsi="Arial" w:cs="Arial"/>
        </w:rPr>
        <w:t>a</w:t>
      </w:r>
      <w:r w:rsidRPr="0000446F">
        <w:rPr>
          <w:rFonts w:ascii="Arial" w:hAnsi="Arial" w:cs="Arial"/>
        </w:rPr>
        <w:t>rticle 2271(1) of the Civil Code of Seychelles (Cap 33).</w:t>
      </w:r>
    </w:p>
    <w:p w:rsidR="006B4AA9" w:rsidRPr="0000446F" w:rsidRDefault="006B4AA9" w:rsidP="006B4AA9">
      <w:pPr>
        <w:jc w:val="both"/>
        <w:rPr>
          <w:rFonts w:ascii="Arial" w:hAnsi="Arial" w:cs="Arial"/>
        </w:rPr>
      </w:pPr>
    </w:p>
    <w:p w:rsidR="006B4AA9" w:rsidRPr="0000446F" w:rsidRDefault="006B4AA9" w:rsidP="006B4AA9">
      <w:pPr>
        <w:jc w:val="both"/>
        <w:rPr>
          <w:rFonts w:ascii="Arial" w:hAnsi="Arial" w:cs="Arial"/>
        </w:rPr>
      </w:pPr>
      <w:r w:rsidRPr="0000446F">
        <w:rPr>
          <w:rFonts w:ascii="Arial" w:hAnsi="Arial" w:cs="Arial"/>
        </w:rPr>
        <w:t xml:space="preserve">Paragraph 4 (iii) constituted a “point of law” envisaged in </w:t>
      </w:r>
      <w:r>
        <w:rPr>
          <w:rFonts w:ascii="Arial" w:hAnsi="Arial" w:cs="Arial"/>
        </w:rPr>
        <w:t>s</w:t>
      </w:r>
      <w:r w:rsidRPr="0000446F">
        <w:rPr>
          <w:rFonts w:ascii="Arial" w:hAnsi="Arial" w:cs="Arial"/>
        </w:rPr>
        <w:t xml:space="preserve">ection 90 of the Code of Civil Procedure (Cap 213).  That </w:t>
      </w:r>
      <w:r>
        <w:rPr>
          <w:rFonts w:ascii="Arial" w:hAnsi="Arial" w:cs="Arial"/>
        </w:rPr>
        <w:t>s</w:t>
      </w:r>
      <w:r w:rsidRPr="0000446F">
        <w:rPr>
          <w:rFonts w:ascii="Arial" w:hAnsi="Arial" w:cs="Arial"/>
        </w:rPr>
        <w:t>ection reads as follows –</w:t>
      </w:r>
    </w:p>
    <w:p w:rsidR="006B4AA9" w:rsidRPr="0000446F" w:rsidRDefault="006B4AA9" w:rsidP="006B4AA9">
      <w:pPr>
        <w:jc w:val="both"/>
        <w:rPr>
          <w:rFonts w:ascii="Arial" w:hAnsi="Arial" w:cs="Arial"/>
        </w:rPr>
      </w:pPr>
    </w:p>
    <w:p w:rsidR="006B4AA9" w:rsidRPr="0000446F" w:rsidRDefault="006B4AA9" w:rsidP="006B4AA9">
      <w:pPr>
        <w:ind w:left="540" w:right="684"/>
        <w:jc w:val="both"/>
        <w:rPr>
          <w:rFonts w:ascii="Arial" w:hAnsi="Arial" w:cs="Arial"/>
        </w:rPr>
      </w:pPr>
      <w:r w:rsidRPr="0000446F">
        <w:rPr>
          <w:rFonts w:ascii="Arial" w:hAnsi="Arial" w:cs="Arial"/>
        </w:rPr>
        <w:t xml:space="preserve">90.  </w:t>
      </w:r>
      <w:r w:rsidRPr="0000446F">
        <w:rPr>
          <w:rFonts w:ascii="Arial" w:hAnsi="Arial" w:cs="Arial"/>
          <w:u w:val="single"/>
        </w:rPr>
        <w:t>Any party</w:t>
      </w:r>
      <w:r w:rsidRPr="0000446F">
        <w:rPr>
          <w:rFonts w:ascii="Arial" w:hAnsi="Arial" w:cs="Arial"/>
        </w:rPr>
        <w:t xml:space="preserve"> shall be entitled to </w:t>
      </w:r>
      <w:proofErr w:type="gramStart"/>
      <w:r w:rsidRPr="0000446F">
        <w:rPr>
          <w:rFonts w:ascii="Arial" w:hAnsi="Arial" w:cs="Arial"/>
        </w:rPr>
        <w:t>raise</w:t>
      </w:r>
      <w:proofErr w:type="gramEnd"/>
      <w:r w:rsidRPr="0000446F">
        <w:rPr>
          <w:rFonts w:ascii="Arial" w:hAnsi="Arial" w:cs="Arial"/>
        </w:rPr>
        <w:t xml:space="preserve"> by his pleadings </w:t>
      </w:r>
      <w:r w:rsidRPr="0000446F">
        <w:rPr>
          <w:rFonts w:ascii="Arial" w:hAnsi="Arial" w:cs="Arial"/>
          <w:u w:val="single"/>
        </w:rPr>
        <w:t>any point of law</w:t>
      </w:r>
      <w:r w:rsidRPr="0000446F">
        <w:rPr>
          <w:rFonts w:ascii="Arial" w:hAnsi="Arial" w:cs="Arial"/>
        </w:rPr>
        <w:t xml:space="preserve">; and any point so raised </w:t>
      </w:r>
      <w:r w:rsidRPr="0000446F">
        <w:rPr>
          <w:rFonts w:ascii="Arial" w:hAnsi="Arial" w:cs="Arial"/>
          <w:u w:val="single"/>
        </w:rPr>
        <w:t>shall be disposed of at the trial, provided that by consent of the parties, on the application of either party</w:t>
      </w:r>
      <w:r w:rsidRPr="0000446F">
        <w:rPr>
          <w:rFonts w:ascii="Arial" w:hAnsi="Arial" w:cs="Arial"/>
        </w:rPr>
        <w:t xml:space="preserve">, the same may be set down for hearing and disposed of </w:t>
      </w:r>
      <w:r w:rsidRPr="0000446F">
        <w:rPr>
          <w:rFonts w:ascii="Arial" w:hAnsi="Arial" w:cs="Arial"/>
          <w:u w:val="single"/>
        </w:rPr>
        <w:t>at any time before the trial</w:t>
      </w:r>
      <w:r w:rsidRPr="0000446F">
        <w:rPr>
          <w:rFonts w:ascii="Arial" w:hAnsi="Arial" w:cs="Arial"/>
        </w:rPr>
        <w:t>.</w:t>
      </w:r>
    </w:p>
    <w:p w:rsidR="006B4AA9" w:rsidRPr="0000446F" w:rsidRDefault="006B4AA9" w:rsidP="006B4AA9">
      <w:pPr>
        <w:ind w:left="1440" w:right="2160"/>
        <w:jc w:val="both"/>
        <w:rPr>
          <w:rFonts w:ascii="Arial" w:hAnsi="Arial" w:cs="Arial"/>
        </w:rPr>
      </w:pPr>
    </w:p>
    <w:p w:rsidR="006B4AA9" w:rsidRPr="0000446F" w:rsidRDefault="006B4AA9" w:rsidP="006B4AA9">
      <w:pPr>
        <w:jc w:val="both"/>
        <w:rPr>
          <w:rFonts w:ascii="Arial" w:hAnsi="Arial" w:cs="Arial"/>
        </w:rPr>
      </w:pPr>
      <w:r w:rsidRPr="0000446F">
        <w:rPr>
          <w:rFonts w:ascii="Arial" w:hAnsi="Arial" w:cs="Arial"/>
        </w:rPr>
        <w:t xml:space="preserve">On a plain construction of this </w:t>
      </w:r>
      <w:r>
        <w:rPr>
          <w:rFonts w:ascii="Arial" w:hAnsi="Arial" w:cs="Arial"/>
        </w:rPr>
        <w:t>s</w:t>
      </w:r>
      <w:r w:rsidRPr="0000446F">
        <w:rPr>
          <w:rFonts w:ascii="Arial" w:hAnsi="Arial" w:cs="Arial"/>
        </w:rPr>
        <w:t>ection, the disposal of a point of law raised in the pleadings “</w:t>
      </w:r>
      <w:r w:rsidRPr="0000446F">
        <w:rPr>
          <w:rFonts w:ascii="Arial" w:hAnsi="Arial" w:cs="Arial"/>
          <w:u w:val="single"/>
        </w:rPr>
        <w:t>at the trial</w:t>
      </w:r>
      <w:r>
        <w:rPr>
          <w:rFonts w:ascii="Arial" w:hAnsi="Arial" w:cs="Arial"/>
          <w:u w:val="single"/>
        </w:rPr>
        <w:t>”</w:t>
      </w:r>
      <w:r w:rsidRPr="0000446F">
        <w:rPr>
          <w:rFonts w:ascii="Arial" w:hAnsi="Arial" w:cs="Arial"/>
        </w:rPr>
        <w:t xml:space="preserve"> is the rule and its disposal “</w:t>
      </w:r>
      <w:r w:rsidRPr="0000446F">
        <w:rPr>
          <w:rFonts w:ascii="Arial" w:hAnsi="Arial" w:cs="Arial"/>
          <w:u w:val="single"/>
        </w:rPr>
        <w:t>at any time before the trial</w:t>
      </w:r>
      <w:r w:rsidRPr="0000446F">
        <w:rPr>
          <w:rFonts w:ascii="Arial" w:hAnsi="Arial" w:cs="Arial"/>
        </w:rPr>
        <w:t xml:space="preserve">,” the </w:t>
      </w:r>
      <w:r w:rsidRPr="0000446F">
        <w:rPr>
          <w:rFonts w:ascii="Arial" w:hAnsi="Arial" w:cs="Arial"/>
        </w:rPr>
        <w:lastRenderedPageBreak/>
        <w:t>exception.</w:t>
      </w:r>
    </w:p>
    <w:p w:rsidR="006B4AA9" w:rsidRPr="0000446F" w:rsidRDefault="006B4AA9" w:rsidP="006B4AA9">
      <w:pPr>
        <w:jc w:val="both"/>
        <w:rPr>
          <w:rFonts w:ascii="Arial" w:hAnsi="Arial" w:cs="Arial"/>
        </w:rPr>
      </w:pPr>
    </w:p>
    <w:p w:rsidR="006B4AA9" w:rsidRPr="0000446F" w:rsidRDefault="006B4AA9" w:rsidP="006B4AA9">
      <w:pPr>
        <w:jc w:val="both"/>
        <w:rPr>
          <w:rFonts w:ascii="Arial" w:hAnsi="Arial" w:cs="Arial"/>
        </w:rPr>
      </w:pPr>
      <w:r w:rsidRPr="0000446F">
        <w:rPr>
          <w:rFonts w:ascii="Arial" w:hAnsi="Arial" w:cs="Arial"/>
        </w:rPr>
        <w:t xml:space="preserve">On 16 May 1998, </w:t>
      </w:r>
      <w:r>
        <w:rPr>
          <w:rFonts w:ascii="Arial" w:hAnsi="Arial" w:cs="Arial"/>
        </w:rPr>
        <w:t>c</w:t>
      </w:r>
      <w:r w:rsidRPr="0000446F">
        <w:rPr>
          <w:rFonts w:ascii="Arial" w:hAnsi="Arial" w:cs="Arial"/>
        </w:rPr>
        <w:t xml:space="preserve">ounsel for the </w:t>
      </w:r>
      <w:r>
        <w:rPr>
          <w:rFonts w:ascii="Arial" w:hAnsi="Arial" w:cs="Arial"/>
        </w:rPr>
        <w:t>s</w:t>
      </w:r>
      <w:r w:rsidRPr="0000446F">
        <w:rPr>
          <w:rFonts w:ascii="Arial" w:hAnsi="Arial" w:cs="Arial"/>
        </w:rPr>
        <w:t xml:space="preserve">econd </w:t>
      </w:r>
      <w:r>
        <w:rPr>
          <w:rFonts w:ascii="Arial" w:hAnsi="Arial" w:cs="Arial"/>
        </w:rPr>
        <w:t>d</w:t>
      </w:r>
      <w:r w:rsidRPr="0000446F">
        <w:rPr>
          <w:rFonts w:ascii="Arial" w:hAnsi="Arial" w:cs="Arial"/>
        </w:rPr>
        <w:t xml:space="preserve">efendant, </w:t>
      </w:r>
      <w:proofErr w:type="spellStart"/>
      <w:r w:rsidRPr="0000446F">
        <w:rPr>
          <w:rFonts w:ascii="Arial" w:hAnsi="Arial" w:cs="Arial"/>
        </w:rPr>
        <w:t>Mr</w:t>
      </w:r>
      <w:proofErr w:type="spellEnd"/>
      <w:r w:rsidRPr="0000446F">
        <w:rPr>
          <w:rFonts w:ascii="Arial" w:hAnsi="Arial" w:cs="Arial"/>
        </w:rPr>
        <w:t xml:space="preserve"> </w:t>
      </w:r>
      <w:proofErr w:type="spellStart"/>
      <w:r w:rsidRPr="0000446F">
        <w:rPr>
          <w:rFonts w:ascii="Arial" w:hAnsi="Arial" w:cs="Arial"/>
        </w:rPr>
        <w:t>Kanakaratne</w:t>
      </w:r>
      <w:proofErr w:type="spellEnd"/>
      <w:r>
        <w:rPr>
          <w:rFonts w:ascii="Arial" w:hAnsi="Arial" w:cs="Arial"/>
        </w:rPr>
        <w:t>,</w:t>
      </w:r>
      <w:r w:rsidRPr="0000446F">
        <w:rPr>
          <w:rFonts w:ascii="Arial" w:hAnsi="Arial" w:cs="Arial"/>
        </w:rPr>
        <w:t xml:space="preserve"> submitted </w:t>
      </w:r>
      <w:r w:rsidRPr="00BC0A99">
        <w:rPr>
          <w:rFonts w:ascii="Arial" w:hAnsi="Arial" w:cs="Arial"/>
        </w:rPr>
        <w:t>inter alia</w:t>
      </w:r>
      <w:r w:rsidRPr="0000446F">
        <w:rPr>
          <w:rFonts w:ascii="Arial" w:hAnsi="Arial" w:cs="Arial"/>
        </w:rPr>
        <w:t xml:space="preserve"> that –</w:t>
      </w:r>
    </w:p>
    <w:p w:rsidR="006B4AA9" w:rsidRPr="0000446F" w:rsidRDefault="006B4AA9" w:rsidP="006B4AA9">
      <w:pPr>
        <w:jc w:val="both"/>
        <w:rPr>
          <w:rFonts w:ascii="Arial" w:hAnsi="Arial" w:cs="Arial"/>
        </w:rPr>
      </w:pPr>
    </w:p>
    <w:p w:rsidR="006B4AA9" w:rsidRPr="0000446F" w:rsidRDefault="006B4AA9" w:rsidP="006B4AA9">
      <w:pPr>
        <w:ind w:left="720" w:right="684"/>
        <w:jc w:val="both"/>
        <w:rPr>
          <w:rFonts w:ascii="Arial" w:hAnsi="Arial" w:cs="Arial"/>
        </w:rPr>
      </w:pPr>
      <w:r w:rsidRPr="0000446F">
        <w:rPr>
          <w:rFonts w:ascii="Arial" w:hAnsi="Arial" w:cs="Arial"/>
        </w:rPr>
        <w:t>It is the position of the</w:t>
      </w:r>
      <w:r>
        <w:rPr>
          <w:rFonts w:ascii="Arial" w:hAnsi="Arial" w:cs="Arial"/>
        </w:rPr>
        <w:t xml:space="preserve"> s</w:t>
      </w:r>
      <w:r w:rsidRPr="0000446F">
        <w:rPr>
          <w:rFonts w:ascii="Arial" w:hAnsi="Arial" w:cs="Arial"/>
        </w:rPr>
        <w:t xml:space="preserve">econd </w:t>
      </w:r>
      <w:r>
        <w:rPr>
          <w:rFonts w:ascii="Arial" w:hAnsi="Arial" w:cs="Arial"/>
        </w:rPr>
        <w:t>d</w:t>
      </w:r>
      <w:r w:rsidRPr="0000446F">
        <w:rPr>
          <w:rFonts w:ascii="Arial" w:hAnsi="Arial" w:cs="Arial"/>
        </w:rPr>
        <w:t xml:space="preserve">efendant that it would be more appropriate that the points raised in the plea </w:t>
      </w:r>
      <w:r w:rsidRPr="00BC0A99">
        <w:rPr>
          <w:rFonts w:ascii="Arial" w:hAnsi="Arial" w:cs="Arial"/>
        </w:rPr>
        <w:t xml:space="preserve">in </w:t>
      </w:r>
      <w:proofErr w:type="spellStart"/>
      <w:r w:rsidRPr="00BC0A99">
        <w:rPr>
          <w:rFonts w:ascii="Arial" w:hAnsi="Arial" w:cs="Arial"/>
        </w:rPr>
        <w:t>limine</w:t>
      </w:r>
      <w:proofErr w:type="spellEnd"/>
      <w:r w:rsidRPr="0000446F">
        <w:rPr>
          <w:rFonts w:ascii="Arial" w:hAnsi="Arial" w:cs="Arial"/>
        </w:rPr>
        <w:t xml:space="preserve"> by the </w:t>
      </w:r>
      <w:r>
        <w:rPr>
          <w:rFonts w:ascii="Arial" w:hAnsi="Arial" w:cs="Arial"/>
        </w:rPr>
        <w:t>s</w:t>
      </w:r>
      <w:r w:rsidRPr="0000446F">
        <w:rPr>
          <w:rFonts w:ascii="Arial" w:hAnsi="Arial" w:cs="Arial"/>
        </w:rPr>
        <w:t xml:space="preserve">econd </w:t>
      </w:r>
      <w:r>
        <w:rPr>
          <w:rFonts w:ascii="Arial" w:hAnsi="Arial" w:cs="Arial"/>
        </w:rPr>
        <w:t>d</w:t>
      </w:r>
      <w:r w:rsidRPr="0000446F">
        <w:rPr>
          <w:rFonts w:ascii="Arial" w:hAnsi="Arial" w:cs="Arial"/>
        </w:rPr>
        <w:t xml:space="preserve">efendant be argued upon and decided subsequent to the hearing of the evidence of this case, since there are certain factors which have to be clarified and the truthfulness of it ascertained before the </w:t>
      </w:r>
      <w:r>
        <w:rPr>
          <w:rFonts w:ascii="Arial" w:hAnsi="Arial" w:cs="Arial"/>
        </w:rPr>
        <w:t>s</w:t>
      </w:r>
      <w:r w:rsidRPr="0000446F">
        <w:rPr>
          <w:rFonts w:ascii="Arial" w:hAnsi="Arial" w:cs="Arial"/>
        </w:rPr>
        <w:t xml:space="preserve">econd </w:t>
      </w:r>
      <w:r>
        <w:rPr>
          <w:rFonts w:ascii="Arial" w:hAnsi="Arial" w:cs="Arial"/>
        </w:rPr>
        <w:t>d</w:t>
      </w:r>
      <w:r w:rsidRPr="0000446F">
        <w:rPr>
          <w:rFonts w:ascii="Arial" w:hAnsi="Arial" w:cs="Arial"/>
        </w:rPr>
        <w:t>efendant could make certain submissions in respect of this plea.</w:t>
      </w:r>
    </w:p>
    <w:p w:rsidR="006B4AA9" w:rsidRPr="0000446F" w:rsidRDefault="006B4AA9" w:rsidP="006B4AA9">
      <w:pPr>
        <w:ind w:left="1440" w:right="2160"/>
        <w:jc w:val="both"/>
        <w:rPr>
          <w:rFonts w:ascii="Arial" w:hAnsi="Arial" w:cs="Arial"/>
        </w:rPr>
      </w:pPr>
    </w:p>
    <w:p w:rsidR="006B4AA9" w:rsidRPr="0000446F" w:rsidRDefault="006B4AA9" w:rsidP="006B4AA9">
      <w:pPr>
        <w:jc w:val="both"/>
        <w:rPr>
          <w:rFonts w:ascii="Arial" w:hAnsi="Arial" w:cs="Arial"/>
        </w:rPr>
      </w:pPr>
      <w:r w:rsidRPr="0000446F">
        <w:rPr>
          <w:rFonts w:ascii="Arial" w:hAnsi="Arial" w:cs="Arial"/>
        </w:rPr>
        <w:t xml:space="preserve">On the basis of that submission, </w:t>
      </w:r>
      <w:proofErr w:type="spellStart"/>
      <w:r w:rsidRPr="0000446F">
        <w:rPr>
          <w:rFonts w:ascii="Arial" w:hAnsi="Arial" w:cs="Arial"/>
        </w:rPr>
        <w:t>Mr</w:t>
      </w:r>
      <w:proofErr w:type="spellEnd"/>
      <w:r w:rsidRPr="0000446F">
        <w:rPr>
          <w:rFonts w:ascii="Arial" w:hAnsi="Arial" w:cs="Arial"/>
        </w:rPr>
        <w:t xml:space="preserve"> Boulle stated that he would take it that the point </w:t>
      </w:r>
      <w:r w:rsidRPr="00BC0A99">
        <w:rPr>
          <w:rFonts w:ascii="Arial" w:hAnsi="Arial" w:cs="Arial"/>
        </w:rPr>
        <w:t xml:space="preserve">in </w:t>
      </w:r>
      <w:proofErr w:type="spellStart"/>
      <w:r w:rsidRPr="00BC0A99">
        <w:rPr>
          <w:rFonts w:ascii="Arial" w:hAnsi="Arial" w:cs="Arial"/>
        </w:rPr>
        <w:t>limine</w:t>
      </w:r>
      <w:proofErr w:type="spellEnd"/>
      <w:r w:rsidRPr="0000446F">
        <w:rPr>
          <w:rFonts w:ascii="Arial" w:hAnsi="Arial" w:cs="Arial"/>
        </w:rPr>
        <w:t xml:space="preserve"> would be argued “at the end of the case.”  The Court thereupon made the following order –</w:t>
      </w:r>
    </w:p>
    <w:p w:rsidR="006B4AA9" w:rsidRPr="0000446F" w:rsidRDefault="006B4AA9" w:rsidP="006B4AA9">
      <w:pPr>
        <w:jc w:val="both"/>
        <w:rPr>
          <w:rFonts w:ascii="Arial" w:hAnsi="Arial" w:cs="Arial"/>
        </w:rPr>
      </w:pPr>
    </w:p>
    <w:p w:rsidR="006B4AA9" w:rsidRPr="0000446F" w:rsidRDefault="006B4AA9" w:rsidP="006B4AA9">
      <w:pPr>
        <w:ind w:left="720" w:right="684"/>
        <w:jc w:val="both"/>
        <w:rPr>
          <w:rFonts w:ascii="Arial" w:hAnsi="Arial" w:cs="Arial"/>
        </w:rPr>
      </w:pPr>
      <w:proofErr w:type="gramStart"/>
      <w:r w:rsidRPr="0000446F">
        <w:rPr>
          <w:rFonts w:ascii="Arial" w:hAnsi="Arial" w:cs="Arial"/>
        </w:rPr>
        <w:t xml:space="preserve">Counsel for the </w:t>
      </w:r>
      <w:r>
        <w:rPr>
          <w:rFonts w:ascii="Arial" w:hAnsi="Arial" w:cs="Arial"/>
        </w:rPr>
        <w:t>f</w:t>
      </w:r>
      <w:r w:rsidRPr="0000446F">
        <w:rPr>
          <w:rFonts w:ascii="Arial" w:hAnsi="Arial" w:cs="Arial"/>
        </w:rPr>
        <w:t xml:space="preserve">irst and </w:t>
      </w:r>
      <w:r>
        <w:rPr>
          <w:rFonts w:ascii="Arial" w:hAnsi="Arial" w:cs="Arial"/>
        </w:rPr>
        <w:t>s</w:t>
      </w:r>
      <w:r w:rsidRPr="0000446F">
        <w:rPr>
          <w:rFonts w:ascii="Arial" w:hAnsi="Arial" w:cs="Arial"/>
        </w:rPr>
        <w:t xml:space="preserve">econd </w:t>
      </w:r>
      <w:r>
        <w:rPr>
          <w:rFonts w:ascii="Arial" w:hAnsi="Arial" w:cs="Arial"/>
        </w:rPr>
        <w:t>d</w:t>
      </w:r>
      <w:r w:rsidRPr="0000446F">
        <w:rPr>
          <w:rFonts w:ascii="Arial" w:hAnsi="Arial" w:cs="Arial"/>
        </w:rPr>
        <w:t>efendants inform</w:t>
      </w:r>
      <w:proofErr w:type="gramEnd"/>
      <w:r w:rsidRPr="0000446F">
        <w:rPr>
          <w:rFonts w:ascii="Arial" w:hAnsi="Arial" w:cs="Arial"/>
        </w:rPr>
        <w:t xml:space="preserve"> Court that they would not be arguing the point raised as plea in </w:t>
      </w:r>
      <w:proofErr w:type="spellStart"/>
      <w:r w:rsidRPr="0000446F">
        <w:rPr>
          <w:rFonts w:ascii="Arial" w:hAnsi="Arial" w:cs="Arial"/>
        </w:rPr>
        <w:t>limine</w:t>
      </w:r>
      <w:proofErr w:type="spellEnd"/>
      <w:r w:rsidRPr="0000446F">
        <w:rPr>
          <w:rFonts w:ascii="Arial" w:hAnsi="Arial" w:cs="Arial"/>
        </w:rPr>
        <w:t xml:space="preserve"> today and that they would do so at the end of the case after a hearing on the merits.</w:t>
      </w:r>
    </w:p>
    <w:p w:rsidR="006B4AA9" w:rsidRPr="0000446F" w:rsidRDefault="006B4AA9" w:rsidP="006B4AA9">
      <w:pPr>
        <w:ind w:left="1440" w:right="2160"/>
        <w:jc w:val="both"/>
        <w:rPr>
          <w:rFonts w:ascii="Arial" w:hAnsi="Arial" w:cs="Arial"/>
        </w:rPr>
      </w:pPr>
      <w:r w:rsidRPr="00CE0F0C">
        <w:rPr>
          <w:rFonts w:ascii="Arial" w:hAnsi="Arial" w:cs="Arial"/>
          <w:noProof/>
        </w:rPr>
        <w:pict>
          <v:shape id="_x0000_s1030" type="#_x0000_t202" style="position:absolute;left:0;text-align:left;margin-left:336.4pt;margin-top:-60.1pt;width:30pt;height:531.55pt;z-index:251664384;mso-height-percent:200;mso-height-percent:200;mso-width-relative:margin;mso-height-relative:margin" stroked="f" strokecolor="white [3212]">
            <v:textbox style="mso-next-textbox:#_x0000_s1030;mso-fit-shape-to-text:t">
              <w:txbxContent>
                <w:p w:rsidR="006B4AA9" w:rsidRPr="00CF6C02" w:rsidRDefault="006B4AA9" w:rsidP="006B4AA9">
                  <w:pPr>
                    <w:rPr>
                      <w:rFonts w:ascii="Arial" w:hAnsi="Arial" w:cs="Arial"/>
                      <w:b/>
                      <w:i/>
                    </w:rPr>
                  </w:pPr>
                </w:p>
              </w:txbxContent>
            </v:textbox>
          </v:shape>
        </w:pict>
      </w:r>
    </w:p>
    <w:p w:rsidR="006B4AA9" w:rsidRPr="0000446F" w:rsidRDefault="006B4AA9" w:rsidP="006B4AA9">
      <w:pPr>
        <w:jc w:val="both"/>
        <w:rPr>
          <w:rFonts w:ascii="Arial" w:hAnsi="Arial" w:cs="Arial"/>
        </w:rPr>
      </w:pPr>
      <w:r w:rsidRPr="0000446F">
        <w:rPr>
          <w:rFonts w:ascii="Arial" w:hAnsi="Arial" w:cs="Arial"/>
        </w:rPr>
        <w:t xml:space="preserve">Accordingly, the </w:t>
      </w:r>
      <w:r>
        <w:rPr>
          <w:rFonts w:ascii="Arial" w:hAnsi="Arial" w:cs="Arial"/>
        </w:rPr>
        <w:t>p</w:t>
      </w:r>
      <w:r w:rsidRPr="0000446F">
        <w:rPr>
          <w:rFonts w:ascii="Arial" w:hAnsi="Arial" w:cs="Arial"/>
        </w:rPr>
        <w:t xml:space="preserve">laintiff’s case commenced on 4 May 1998 and after several adjournments was formally closed on 30 July 1998.  </w:t>
      </w:r>
      <w:proofErr w:type="spellStart"/>
      <w:r w:rsidRPr="0000446F">
        <w:rPr>
          <w:rFonts w:ascii="Arial" w:hAnsi="Arial" w:cs="Arial"/>
        </w:rPr>
        <w:t>Mr</w:t>
      </w:r>
      <w:proofErr w:type="spellEnd"/>
      <w:r w:rsidRPr="0000446F">
        <w:rPr>
          <w:rFonts w:ascii="Arial" w:hAnsi="Arial" w:cs="Arial"/>
        </w:rPr>
        <w:t xml:space="preserve"> </w:t>
      </w:r>
      <w:proofErr w:type="spellStart"/>
      <w:r w:rsidRPr="0000446F">
        <w:rPr>
          <w:rFonts w:ascii="Arial" w:hAnsi="Arial" w:cs="Arial"/>
        </w:rPr>
        <w:t>Kanakaratne</w:t>
      </w:r>
      <w:proofErr w:type="spellEnd"/>
      <w:r w:rsidRPr="0000446F">
        <w:rPr>
          <w:rFonts w:ascii="Arial" w:hAnsi="Arial" w:cs="Arial"/>
        </w:rPr>
        <w:t xml:space="preserve"> thereupon moved to argue the point </w:t>
      </w:r>
      <w:r w:rsidRPr="00BC0A99">
        <w:rPr>
          <w:rFonts w:ascii="Arial" w:hAnsi="Arial" w:cs="Arial"/>
        </w:rPr>
        <w:t xml:space="preserve">in </w:t>
      </w:r>
      <w:proofErr w:type="spellStart"/>
      <w:r w:rsidRPr="00BC0A99">
        <w:rPr>
          <w:rFonts w:ascii="Arial" w:hAnsi="Arial" w:cs="Arial"/>
        </w:rPr>
        <w:t>limine</w:t>
      </w:r>
      <w:proofErr w:type="spellEnd"/>
      <w:r w:rsidRPr="0000446F">
        <w:rPr>
          <w:rFonts w:ascii="Arial" w:hAnsi="Arial" w:cs="Arial"/>
        </w:rPr>
        <w:t xml:space="preserve"> raised in paragraph 4 (iii) of the </w:t>
      </w:r>
      <w:r>
        <w:rPr>
          <w:rFonts w:ascii="Arial" w:hAnsi="Arial" w:cs="Arial"/>
        </w:rPr>
        <w:t>s</w:t>
      </w:r>
      <w:r w:rsidRPr="0000446F">
        <w:rPr>
          <w:rFonts w:ascii="Arial" w:hAnsi="Arial" w:cs="Arial"/>
        </w:rPr>
        <w:t xml:space="preserve">econd </w:t>
      </w:r>
      <w:r>
        <w:rPr>
          <w:rFonts w:ascii="Arial" w:hAnsi="Arial" w:cs="Arial"/>
        </w:rPr>
        <w:t>d</w:t>
      </w:r>
      <w:r w:rsidRPr="0000446F">
        <w:rPr>
          <w:rFonts w:ascii="Arial" w:hAnsi="Arial" w:cs="Arial"/>
        </w:rPr>
        <w:t xml:space="preserve">efendant’s </w:t>
      </w:r>
      <w:proofErr w:type="spellStart"/>
      <w:r w:rsidRPr="0000446F">
        <w:rPr>
          <w:rFonts w:ascii="Arial" w:hAnsi="Arial" w:cs="Arial"/>
        </w:rPr>
        <w:t>defence</w:t>
      </w:r>
      <w:proofErr w:type="spellEnd"/>
      <w:r w:rsidRPr="0000446F">
        <w:rPr>
          <w:rFonts w:ascii="Arial" w:hAnsi="Arial" w:cs="Arial"/>
        </w:rPr>
        <w:t xml:space="preserve"> that the </w:t>
      </w:r>
      <w:r>
        <w:rPr>
          <w:rFonts w:ascii="Arial" w:hAnsi="Arial" w:cs="Arial"/>
        </w:rPr>
        <w:t>p</w:t>
      </w:r>
      <w:r w:rsidRPr="0000446F">
        <w:rPr>
          <w:rFonts w:ascii="Arial" w:hAnsi="Arial" w:cs="Arial"/>
        </w:rPr>
        <w:t xml:space="preserve">laintiff’s action was prescribed under </w:t>
      </w:r>
      <w:r>
        <w:rPr>
          <w:rFonts w:ascii="Arial" w:hAnsi="Arial" w:cs="Arial"/>
        </w:rPr>
        <w:t>a</w:t>
      </w:r>
      <w:r w:rsidRPr="0000446F">
        <w:rPr>
          <w:rFonts w:ascii="Arial" w:hAnsi="Arial" w:cs="Arial"/>
        </w:rPr>
        <w:t xml:space="preserve">rticle 2271 of the Civil Code.  He submitted that having heard the evidence adduced by the </w:t>
      </w:r>
      <w:r>
        <w:rPr>
          <w:rFonts w:ascii="Arial" w:hAnsi="Arial" w:cs="Arial"/>
        </w:rPr>
        <w:t>p</w:t>
      </w:r>
      <w:r w:rsidRPr="0000446F">
        <w:rPr>
          <w:rFonts w:ascii="Arial" w:hAnsi="Arial" w:cs="Arial"/>
        </w:rPr>
        <w:t xml:space="preserve">laintiff, he was now in a position to support his plea.  The basis of the plea is that while </w:t>
      </w:r>
      <w:r>
        <w:rPr>
          <w:rFonts w:ascii="Arial" w:hAnsi="Arial" w:cs="Arial"/>
        </w:rPr>
        <w:t>a</w:t>
      </w:r>
      <w:r w:rsidRPr="0000446F">
        <w:rPr>
          <w:rFonts w:ascii="Arial" w:hAnsi="Arial" w:cs="Arial"/>
        </w:rPr>
        <w:t xml:space="preserve">rticle 2271 of the Civil Code provides that all actions are prescribed in 5 years from the time the cause of action arose, the present action which alleges a </w:t>
      </w:r>
      <w:proofErr w:type="spellStart"/>
      <w:r w:rsidRPr="0000446F">
        <w:rPr>
          <w:rFonts w:ascii="Arial" w:hAnsi="Arial" w:cs="Arial"/>
        </w:rPr>
        <w:t>faute</w:t>
      </w:r>
      <w:proofErr w:type="spellEnd"/>
      <w:r w:rsidRPr="0000446F">
        <w:rPr>
          <w:rFonts w:ascii="Arial" w:hAnsi="Arial" w:cs="Arial"/>
        </w:rPr>
        <w:t xml:space="preserve"> committed on 15 August 1993 has been filed 13 years and 5 months later.  </w:t>
      </w:r>
      <w:proofErr w:type="spellStart"/>
      <w:r w:rsidRPr="0000446F">
        <w:rPr>
          <w:rFonts w:ascii="Arial" w:hAnsi="Arial" w:cs="Arial"/>
        </w:rPr>
        <w:t>Mr</w:t>
      </w:r>
      <w:proofErr w:type="spellEnd"/>
      <w:r w:rsidRPr="0000446F">
        <w:rPr>
          <w:rFonts w:ascii="Arial" w:hAnsi="Arial" w:cs="Arial"/>
        </w:rPr>
        <w:t xml:space="preserve"> </w:t>
      </w:r>
      <w:proofErr w:type="spellStart"/>
      <w:r w:rsidRPr="0000446F">
        <w:rPr>
          <w:rFonts w:ascii="Arial" w:hAnsi="Arial" w:cs="Arial"/>
        </w:rPr>
        <w:t>Kanakaratne</w:t>
      </w:r>
      <w:proofErr w:type="spellEnd"/>
      <w:r w:rsidRPr="0000446F">
        <w:rPr>
          <w:rFonts w:ascii="Arial" w:hAnsi="Arial" w:cs="Arial"/>
        </w:rPr>
        <w:t xml:space="preserve"> submitted that by not supporting the plea before the trial, the </w:t>
      </w:r>
      <w:r>
        <w:rPr>
          <w:rFonts w:ascii="Arial" w:hAnsi="Arial" w:cs="Arial"/>
        </w:rPr>
        <w:t>p</w:t>
      </w:r>
      <w:r w:rsidRPr="0000446F">
        <w:rPr>
          <w:rFonts w:ascii="Arial" w:hAnsi="Arial" w:cs="Arial"/>
        </w:rPr>
        <w:t xml:space="preserve">laintiff was given an opportunity to adduce evidence to explain the delay.  The </w:t>
      </w:r>
      <w:r>
        <w:rPr>
          <w:rFonts w:ascii="Arial" w:hAnsi="Arial" w:cs="Arial"/>
        </w:rPr>
        <w:t>p</w:t>
      </w:r>
      <w:r w:rsidRPr="0000446F">
        <w:rPr>
          <w:rFonts w:ascii="Arial" w:hAnsi="Arial" w:cs="Arial"/>
        </w:rPr>
        <w:t>laintiff and his wife in the course of their testimonies have given the reason and adduced further evidence on that matter.</w:t>
      </w:r>
    </w:p>
    <w:p w:rsidR="006B4AA9" w:rsidRPr="0000446F" w:rsidRDefault="006B4AA9" w:rsidP="006B4AA9">
      <w:pPr>
        <w:jc w:val="both"/>
        <w:rPr>
          <w:rFonts w:ascii="Arial" w:hAnsi="Arial" w:cs="Arial"/>
        </w:rPr>
      </w:pPr>
    </w:p>
    <w:p w:rsidR="006B4AA9" w:rsidRPr="0000446F" w:rsidRDefault="006B4AA9" w:rsidP="006B4AA9">
      <w:pPr>
        <w:jc w:val="both"/>
        <w:rPr>
          <w:rFonts w:ascii="Arial" w:hAnsi="Arial" w:cs="Arial"/>
        </w:rPr>
      </w:pPr>
      <w:proofErr w:type="spellStart"/>
      <w:r w:rsidRPr="0000446F">
        <w:rPr>
          <w:rFonts w:ascii="Arial" w:hAnsi="Arial" w:cs="Arial"/>
        </w:rPr>
        <w:t>Mr</w:t>
      </w:r>
      <w:proofErr w:type="spellEnd"/>
      <w:r w:rsidRPr="0000446F">
        <w:rPr>
          <w:rFonts w:ascii="Arial" w:hAnsi="Arial" w:cs="Arial"/>
        </w:rPr>
        <w:t xml:space="preserve"> Boulle objects to the plea being raised at the end of the </w:t>
      </w:r>
      <w:r>
        <w:rPr>
          <w:rFonts w:ascii="Arial" w:hAnsi="Arial" w:cs="Arial"/>
        </w:rPr>
        <w:t>p</w:t>
      </w:r>
      <w:r w:rsidRPr="0000446F">
        <w:rPr>
          <w:rFonts w:ascii="Arial" w:hAnsi="Arial" w:cs="Arial"/>
        </w:rPr>
        <w:t xml:space="preserve">laintiff’s case.  He submitted that a plea </w:t>
      </w:r>
      <w:r w:rsidRPr="00BC0A99">
        <w:rPr>
          <w:rFonts w:ascii="Arial" w:hAnsi="Arial" w:cs="Arial"/>
        </w:rPr>
        <w:t xml:space="preserve">in </w:t>
      </w:r>
      <w:proofErr w:type="spellStart"/>
      <w:r w:rsidRPr="00BC0A99">
        <w:rPr>
          <w:rFonts w:ascii="Arial" w:hAnsi="Arial" w:cs="Arial"/>
        </w:rPr>
        <w:t>limine</w:t>
      </w:r>
      <w:proofErr w:type="spellEnd"/>
      <w:r w:rsidRPr="00BC0A99">
        <w:rPr>
          <w:rFonts w:ascii="Arial" w:hAnsi="Arial" w:cs="Arial"/>
        </w:rPr>
        <w:t xml:space="preserve"> </w:t>
      </w:r>
      <w:proofErr w:type="spellStart"/>
      <w:r w:rsidRPr="00BC0A99">
        <w:rPr>
          <w:rFonts w:ascii="Arial" w:hAnsi="Arial" w:cs="Arial"/>
        </w:rPr>
        <w:t>litis</w:t>
      </w:r>
      <w:proofErr w:type="spellEnd"/>
      <w:r w:rsidRPr="0036426C">
        <w:rPr>
          <w:rFonts w:ascii="Arial" w:hAnsi="Arial" w:cs="Arial"/>
        </w:rPr>
        <w:t xml:space="preserve"> </w:t>
      </w:r>
      <w:r w:rsidRPr="0000446F">
        <w:rPr>
          <w:rFonts w:ascii="Arial" w:hAnsi="Arial" w:cs="Arial"/>
        </w:rPr>
        <w:t xml:space="preserve">challenges the pleadings and not the evidence and hence should necessarily be raised before the trial.  With respect, such an interpretation is contrary to the plain meaning in </w:t>
      </w:r>
      <w:r>
        <w:rPr>
          <w:rFonts w:ascii="Arial" w:hAnsi="Arial" w:cs="Arial"/>
        </w:rPr>
        <w:t>s</w:t>
      </w:r>
      <w:r w:rsidRPr="0000446F">
        <w:rPr>
          <w:rFonts w:ascii="Arial" w:hAnsi="Arial" w:cs="Arial"/>
        </w:rPr>
        <w:t xml:space="preserve">ection 90, which, as I stated earlier, is that as a rule it should be disposed of ‘at the trial”, and exceptionally by consent of parties or by order of </w:t>
      </w:r>
      <w:r>
        <w:rPr>
          <w:rFonts w:ascii="Arial" w:hAnsi="Arial" w:cs="Arial"/>
        </w:rPr>
        <w:t>c</w:t>
      </w:r>
      <w:r w:rsidRPr="0000446F">
        <w:rPr>
          <w:rFonts w:ascii="Arial" w:hAnsi="Arial" w:cs="Arial"/>
        </w:rPr>
        <w:t>ourt be disposed of “</w:t>
      </w:r>
      <w:r w:rsidRPr="0000446F">
        <w:rPr>
          <w:rFonts w:ascii="Arial" w:hAnsi="Arial" w:cs="Arial"/>
          <w:u w:val="single"/>
        </w:rPr>
        <w:t>at any time before the trial</w:t>
      </w:r>
      <w:r>
        <w:rPr>
          <w:rFonts w:ascii="Arial" w:hAnsi="Arial" w:cs="Arial"/>
          <w:u w:val="single"/>
        </w:rPr>
        <w:t>”</w:t>
      </w:r>
      <w:r w:rsidRPr="0000446F">
        <w:rPr>
          <w:rFonts w:ascii="Arial" w:hAnsi="Arial" w:cs="Arial"/>
        </w:rPr>
        <w:t xml:space="preserve">.  Further, </w:t>
      </w:r>
      <w:r>
        <w:rPr>
          <w:rFonts w:ascii="Arial" w:hAnsi="Arial" w:cs="Arial"/>
        </w:rPr>
        <w:t>c</w:t>
      </w:r>
      <w:r w:rsidRPr="0000446F">
        <w:rPr>
          <w:rFonts w:ascii="Arial" w:hAnsi="Arial" w:cs="Arial"/>
        </w:rPr>
        <w:t xml:space="preserve">ounsel for the </w:t>
      </w:r>
      <w:r>
        <w:rPr>
          <w:rFonts w:ascii="Arial" w:hAnsi="Arial" w:cs="Arial"/>
        </w:rPr>
        <w:t>s</w:t>
      </w:r>
      <w:r w:rsidRPr="0000446F">
        <w:rPr>
          <w:rFonts w:ascii="Arial" w:hAnsi="Arial" w:cs="Arial"/>
        </w:rPr>
        <w:t xml:space="preserve">econd </w:t>
      </w:r>
      <w:r>
        <w:rPr>
          <w:rFonts w:ascii="Arial" w:hAnsi="Arial" w:cs="Arial"/>
        </w:rPr>
        <w:t>d</w:t>
      </w:r>
      <w:r w:rsidRPr="0000446F">
        <w:rPr>
          <w:rFonts w:ascii="Arial" w:hAnsi="Arial" w:cs="Arial"/>
        </w:rPr>
        <w:t xml:space="preserve">efendant did not abandon the plea, but specifically reserved his right to raise it after hearing the evidence in the case, and </w:t>
      </w:r>
      <w:r>
        <w:rPr>
          <w:rFonts w:ascii="Arial" w:hAnsi="Arial" w:cs="Arial"/>
        </w:rPr>
        <w:t>c</w:t>
      </w:r>
      <w:r w:rsidRPr="0000446F">
        <w:rPr>
          <w:rFonts w:ascii="Arial" w:hAnsi="Arial" w:cs="Arial"/>
        </w:rPr>
        <w:t xml:space="preserve">ounsel for the </w:t>
      </w:r>
      <w:r>
        <w:rPr>
          <w:rFonts w:ascii="Arial" w:hAnsi="Arial" w:cs="Arial"/>
        </w:rPr>
        <w:t>p</w:t>
      </w:r>
      <w:r w:rsidRPr="0000446F">
        <w:rPr>
          <w:rFonts w:ascii="Arial" w:hAnsi="Arial" w:cs="Arial"/>
        </w:rPr>
        <w:t xml:space="preserve">laintiff did not object to that procedure.  Hence the plea could have been raised at the end of the case for the </w:t>
      </w:r>
      <w:proofErr w:type="spellStart"/>
      <w:r w:rsidRPr="0000446F">
        <w:rPr>
          <w:rFonts w:ascii="Arial" w:hAnsi="Arial" w:cs="Arial"/>
        </w:rPr>
        <w:t>defence</w:t>
      </w:r>
      <w:proofErr w:type="spellEnd"/>
      <w:r w:rsidRPr="0000446F">
        <w:rPr>
          <w:rFonts w:ascii="Arial" w:hAnsi="Arial" w:cs="Arial"/>
        </w:rPr>
        <w:t xml:space="preserve"> or at any time before.  </w:t>
      </w:r>
      <w:proofErr w:type="spellStart"/>
      <w:r w:rsidRPr="0000446F">
        <w:rPr>
          <w:rFonts w:ascii="Arial" w:hAnsi="Arial" w:cs="Arial"/>
        </w:rPr>
        <w:t>Mr</w:t>
      </w:r>
      <w:proofErr w:type="spellEnd"/>
      <w:r w:rsidRPr="0000446F">
        <w:rPr>
          <w:rFonts w:ascii="Arial" w:hAnsi="Arial" w:cs="Arial"/>
        </w:rPr>
        <w:t xml:space="preserve"> </w:t>
      </w:r>
      <w:proofErr w:type="spellStart"/>
      <w:r w:rsidRPr="0000446F">
        <w:rPr>
          <w:rFonts w:ascii="Arial" w:hAnsi="Arial" w:cs="Arial"/>
        </w:rPr>
        <w:t>Kanakaratne</w:t>
      </w:r>
      <w:proofErr w:type="spellEnd"/>
      <w:r w:rsidRPr="0000446F">
        <w:rPr>
          <w:rFonts w:ascii="Arial" w:hAnsi="Arial" w:cs="Arial"/>
        </w:rPr>
        <w:t xml:space="preserve"> cited </w:t>
      </w:r>
      <w:r w:rsidRPr="00BC0A99">
        <w:rPr>
          <w:rFonts w:ascii="Arial" w:hAnsi="Arial" w:cs="Arial"/>
          <w:i/>
        </w:rPr>
        <w:t>Stroud’s Judicial Dictionary</w:t>
      </w:r>
      <w:r>
        <w:rPr>
          <w:rFonts w:ascii="Arial" w:hAnsi="Arial" w:cs="Arial"/>
          <w:i/>
        </w:rPr>
        <w:t>,</w:t>
      </w:r>
      <w:r w:rsidRPr="0000446F">
        <w:rPr>
          <w:rFonts w:ascii="Arial" w:hAnsi="Arial" w:cs="Arial"/>
        </w:rPr>
        <w:t xml:space="preserve"> </w:t>
      </w:r>
      <w:proofErr w:type="spellStart"/>
      <w:r>
        <w:rPr>
          <w:rFonts w:ascii="Arial" w:hAnsi="Arial" w:cs="Arial"/>
        </w:rPr>
        <w:t>v</w:t>
      </w:r>
      <w:r w:rsidRPr="0000446F">
        <w:rPr>
          <w:rFonts w:ascii="Arial" w:hAnsi="Arial" w:cs="Arial"/>
        </w:rPr>
        <w:t>ol</w:t>
      </w:r>
      <w:proofErr w:type="spellEnd"/>
      <w:r w:rsidRPr="0000446F">
        <w:rPr>
          <w:rFonts w:ascii="Arial" w:hAnsi="Arial" w:cs="Arial"/>
        </w:rPr>
        <w:t xml:space="preserve"> I, </w:t>
      </w:r>
      <w:r>
        <w:rPr>
          <w:rFonts w:ascii="Arial" w:hAnsi="Arial" w:cs="Arial"/>
        </w:rPr>
        <w:t>p</w:t>
      </w:r>
      <w:r w:rsidRPr="0000446F">
        <w:rPr>
          <w:rFonts w:ascii="Arial" w:hAnsi="Arial" w:cs="Arial"/>
        </w:rPr>
        <w:t xml:space="preserve"> 216 wherein the words “at the trial” ha</w:t>
      </w:r>
      <w:r>
        <w:rPr>
          <w:rFonts w:ascii="Arial" w:hAnsi="Arial" w:cs="Arial"/>
        </w:rPr>
        <w:t>ve</w:t>
      </w:r>
      <w:r w:rsidRPr="0000446F">
        <w:rPr>
          <w:rFonts w:ascii="Arial" w:hAnsi="Arial" w:cs="Arial"/>
        </w:rPr>
        <w:t xml:space="preserve"> been judicially defined as “during or at the end of the trial.”</w:t>
      </w:r>
    </w:p>
    <w:p w:rsidR="006B4AA9" w:rsidRPr="0000446F" w:rsidRDefault="006B4AA9" w:rsidP="006B4AA9">
      <w:pPr>
        <w:jc w:val="both"/>
        <w:rPr>
          <w:rFonts w:ascii="Arial" w:hAnsi="Arial" w:cs="Arial"/>
        </w:rPr>
      </w:pPr>
      <w:r w:rsidRPr="00CE0F0C">
        <w:rPr>
          <w:rFonts w:ascii="Arial" w:hAnsi="Arial" w:cs="Arial"/>
          <w:noProof/>
        </w:rPr>
        <w:pict>
          <v:shape id="_x0000_s1028" type="#_x0000_t202" style="position:absolute;left:0;text-align:left;margin-left:-31.1pt;margin-top:-45.45pt;width:30pt;height:531.55pt;z-index:251662336;mso-height-percent:200;mso-height-percent:200;mso-width-relative:margin;mso-height-relative:margin" stroked="f" strokecolor="white [3212]">
            <v:textbox style="mso-next-textbox:#_x0000_s1028;mso-fit-shape-to-text:t">
              <w:txbxContent>
                <w:p w:rsidR="006B4AA9" w:rsidRPr="00CF6C02" w:rsidRDefault="006B4AA9" w:rsidP="006B4AA9">
                  <w:pPr>
                    <w:rPr>
                      <w:rFonts w:ascii="Arial" w:hAnsi="Arial" w:cs="Arial"/>
                      <w:b/>
                      <w:i/>
                    </w:rPr>
                  </w:pPr>
                </w:p>
              </w:txbxContent>
            </v:textbox>
          </v:shape>
        </w:pict>
      </w:r>
    </w:p>
    <w:p w:rsidR="006B4AA9" w:rsidRPr="0000446F" w:rsidRDefault="006B4AA9" w:rsidP="006B4AA9">
      <w:pPr>
        <w:jc w:val="both"/>
        <w:rPr>
          <w:rFonts w:ascii="Arial" w:hAnsi="Arial" w:cs="Arial"/>
        </w:rPr>
      </w:pPr>
      <w:r w:rsidRPr="0000446F">
        <w:rPr>
          <w:rFonts w:ascii="Arial" w:hAnsi="Arial" w:cs="Arial"/>
        </w:rPr>
        <w:lastRenderedPageBreak/>
        <w:t xml:space="preserve">Apart from the technical construction of </w:t>
      </w:r>
      <w:r>
        <w:rPr>
          <w:rFonts w:ascii="Arial" w:hAnsi="Arial" w:cs="Arial"/>
        </w:rPr>
        <w:t>s</w:t>
      </w:r>
      <w:r w:rsidRPr="0000446F">
        <w:rPr>
          <w:rFonts w:ascii="Arial" w:hAnsi="Arial" w:cs="Arial"/>
        </w:rPr>
        <w:t xml:space="preserve">ection 90, the following Mauritian cases are of particular application to this matter.  In </w:t>
      </w:r>
      <w:proofErr w:type="spellStart"/>
      <w:r w:rsidRPr="00BC0A99">
        <w:rPr>
          <w:rFonts w:ascii="Arial" w:hAnsi="Arial" w:cs="Arial"/>
          <w:i/>
        </w:rPr>
        <w:t>Galea</w:t>
      </w:r>
      <w:proofErr w:type="spellEnd"/>
      <w:r w:rsidRPr="00BC0A99">
        <w:rPr>
          <w:rFonts w:ascii="Arial" w:hAnsi="Arial" w:cs="Arial"/>
          <w:i/>
        </w:rPr>
        <w:t xml:space="preserve"> v </w:t>
      </w:r>
      <w:proofErr w:type="spellStart"/>
      <w:r w:rsidRPr="00BC0A99">
        <w:rPr>
          <w:rFonts w:ascii="Arial" w:hAnsi="Arial" w:cs="Arial"/>
          <w:i/>
        </w:rPr>
        <w:t>Autard</w:t>
      </w:r>
      <w:proofErr w:type="spellEnd"/>
      <w:r w:rsidRPr="0000446F">
        <w:rPr>
          <w:rFonts w:ascii="Arial" w:hAnsi="Arial" w:cs="Arial"/>
        </w:rPr>
        <w:t xml:space="preserve"> 1869 MR 49</w:t>
      </w:r>
      <w:r>
        <w:rPr>
          <w:rFonts w:ascii="Arial" w:hAnsi="Arial" w:cs="Arial"/>
        </w:rPr>
        <w:t xml:space="preserve">in </w:t>
      </w:r>
      <w:r w:rsidRPr="0000446F">
        <w:rPr>
          <w:rFonts w:ascii="Arial" w:hAnsi="Arial" w:cs="Arial"/>
        </w:rPr>
        <w:t xml:space="preserve">an action concerning land, the wife sued as </w:t>
      </w:r>
      <w:r>
        <w:rPr>
          <w:rFonts w:ascii="Arial" w:hAnsi="Arial" w:cs="Arial"/>
        </w:rPr>
        <w:t>p</w:t>
      </w:r>
      <w:r w:rsidRPr="0000446F">
        <w:rPr>
          <w:rFonts w:ascii="Arial" w:hAnsi="Arial" w:cs="Arial"/>
        </w:rPr>
        <w:t xml:space="preserve">laintiff </w:t>
      </w:r>
      <w:proofErr w:type="spellStart"/>
      <w:r w:rsidRPr="0000446F">
        <w:rPr>
          <w:rFonts w:ascii="Arial" w:hAnsi="Arial" w:cs="Arial"/>
        </w:rPr>
        <w:t>authori</w:t>
      </w:r>
      <w:r>
        <w:rPr>
          <w:rFonts w:ascii="Arial" w:hAnsi="Arial" w:cs="Arial"/>
        </w:rPr>
        <w:t>s</w:t>
      </w:r>
      <w:r w:rsidRPr="0000446F">
        <w:rPr>
          <w:rFonts w:ascii="Arial" w:hAnsi="Arial" w:cs="Arial"/>
        </w:rPr>
        <w:t>ed</w:t>
      </w:r>
      <w:proofErr w:type="spellEnd"/>
      <w:r w:rsidRPr="0000446F">
        <w:rPr>
          <w:rFonts w:ascii="Arial" w:hAnsi="Arial" w:cs="Arial"/>
        </w:rPr>
        <w:t xml:space="preserve"> by her husband.  After the merits had been heard, the </w:t>
      </w:r>
      <w:r>
        <w:rPr>
          <w:rFonts w:ascii="Arial" w:hAnsi="Arial" w:cs="Arial"/>
        </w:rPr>
        <w:t>d</w:t>
      </w:r>
      <w:r w:rsidRPr="0000446F">
        <w:rPr>
          <w:rFonts w:ascii="Arial" w:hAnsi="Arial" w:cs="Arial"/>
        </w:rPr>
        <w:t>efendant raised a point of law</w:t>
      </w:r>
      <w:r>
        <w:rPr>
          <w:rFonts w:ascii="Arial" w:hAnsi="Arial" w:cs="Arial"/>
        </w:rPr>
        <w:t xml:space="preserve"> that</w:t>
      </w:r>
      <w:r w:rsidRPr="0000446F">
        <w:rPr>
          <w:rFonts w:ascii="Arial" w:hAnsi="Arial" w:cs="Arial"/>
        </w:rPr>
        <w:t xml:space="preserve"> in the absence of positive proof that the land in question was the property of the wife, the husband ought to have sued as administrator of the legal community of goods, of which the land must be presumed to form part.</w:t>
      </w:r>
    </w:p>
    <w:p w:rsidR="006B4AA9" w:rsidRPr="0000446F" w:rsidRDefault="006B4AA9" w:rsidP="006B4AA9">
      <w:pPr>
        <w:jc w:val="both"/>
        <w:rPr>
          <w:rFonts w:ascii="Arial" w:hAnsi="Arial" w:cs="Arial"/>
        </w:rPr>
      </w:pPr>
    </w:p>
    <w:p w:rsidR="006B4AA9" w:rsidRPr="0000446F" w:rsidRDefault="006B4AA9" w:rsidP="006B4AA9">
      <w:pPr>
        <w:jc w:val="both"/>
        <w:rPr>
          <w:rFonts w:ascii="Arial" w:hAnsi="Arial" w:cs="Arial"/>
        </w:rPr>
      </w:pPr>
      <w:proofErr w:type="spellStart"/>
      <w:r w:rsidRPr="0000446F">
        <w:rPr>
          <w:rFonts w:ascii="Arial" w:hAnsi="Arial" w:cs="Arial"/>
        </w:rPr>
        <w:t>Shand</w:t>
      </w:r>
      <w:proofErr w:type="spellEnd"/>
      <w:r w:rsidRPr="0000446F">
        <w:rPr>
          <w:rFonts w:ascii="Arial" w:hAnsi="Arial" w:cs="Arial"/>
        </w:rPr>
        <w:t xml:space="preserve"> CJ held that this objection having being waived </w:t>
      </w:r>
      <w:r w:rsidRPr="00BC0A99">
        <w:rPr>
          <w:rFonts w:ascii="Arial" w:hAnsi="Arial" w:cs="Arial"/>
        </w:rPr>
        <w:t xml:space="preserve">in </w:t>
      </w:r>
      <w:proofErr w:type="spellStart"/>
      <w:r w:rsidRPr="00BC0A99">
        <w:rPr>
          <w:rFonts w:ascii="Arial" w:hAnsi="Arial" w:cs="Arial"/>
        </w:rPr>
        <w:t>limine</w:t>
      </w:r>
      <w:proofErr w:type="spellEnd"/>
      <w:r w:rsidRPr="005C0C0D">
        <w:rPr>
          <w:rFonts w:ascii="Arial" w:hAnsi="Arial" w:cs="Arial"/>
        </w:rPr>
        <w:t xml:space="preserve"> </w:t>
      </w:r>
      <w:r w:rsidRPr="0000446F">
        <w:rPr>
          <w:rFonts w:ascii="Arial" w:hAnsi="Arial" w:cs="Arial"/>
        </w:rPr>
        <w:t>of the discussion could not be renewed after the merits of the case had been entered into.</w:t>
      </w:r>
    </w:p>
    <w:p w:rsidR="006B4AA9" w:rsidRPr="0000446F" w:rsidRDefault="006B4AA9" w:rsidP="006B4AA9">
      <w:pPr>
        <w:jc w:val="both"/>
        <w:rPr>
          <w:rFonts w:ascii="Arial" w:hAnsi="Arial" w:cs="Arial"/>
        </w:rPr>
      </w:pPr>
    </w:p>
    <w:p w:rsidR="006B4AA9" w:rsidRPr="0000446F" w:rsidRDefault="006B4AA9" w:rsidP="006B4AA9">
      <w:pPr>
        <w:jc w:val="both"/>
        <w:rPr>
          <w:rFonts w:ascii="Arial" w:hAnsi="Arial" w:cs="Arial"/>
        </w:rPr>
      </w:pPr>
      <w:r w:rsidRPr="0000446F">
        <w:rPr>
          <w:rFonts w:ascii="Arial" w:hAnsi="Arial" w:cs="Arial"/>
        </w:rPr>
        <w:t xml:space="preserve">In the present case, </w:t>
      </w:r>
      <w:r>
        <w:rPr>
          <w:rFonts w:ascii="Arial" w:hAnsi="Arial" w:cs="Arial"/>
        </w:rPr>
        <w:t>c</w:t>
      </w:r>
      <w:r w:rsidRPr="0000446F">
        <w:rPr>
          <w:rFonts w:ascii="Arial" w:hAnsi="Arial" w:cs="Arial"/>
        </w:rPr>
        <w:t xml:space="preserve">ounsel for the </w:t>
      </w:r>
      <w:r>
        <w:rPr>
          <w:rFonts w:ascii="Arial" w:hAnsi="Arial" w:cs="Arial"/>
        </w:rPr>
        <w:t>s</w:t>
      </w:r>
      <w:r w:rsidRPr="0000446F">
        <w:rPr>
          <w:rFonts w:ascii="Arial" w:hAnsi="Arial" w:cs="Arial"/>
        </w:rPr>
        <w:t xml:space="preserve">econd </w:t>
      </w:r>
      <w:r>
        <w:rPr>
          <w:rFonts w:ascii="Arial" w:hAnsi="Arial" w:cs="Arial"/>
        </w:rPr>
        <w:t>d</w:t>
      </w:r>
      <w:r w:rsidRPr="0000446F">
        <w:rPr>
          <w:rFonts w:ascii="Arial" w:hAnsi="Arial" w:cs="Arial"/>
        </w:rPr>
        <w:t xml:space="preserve">efendant did not waive the plea but reserved it to be raised at the trial.  It was not a challenge of the evidence, as </w:t>
      </w:r>
      <w:proofErr w:type="spellStart"/>
      <w:r w:rsidRPr="0000446F">
        <w:rPr>
          <w:rFonts w:ascii="Arial" w:hAnsi="Arial" w:cs="Arial"/>
        </w:rPr>
        <w:t>Mr</w:t>
      </w:r>
      <w:proofErr w:type="spellEnd"/>
      <w:r w:rsidRPr="0000446F">
        <w:rPr>
          <w:rFonts w:ascii="Arial" w:hAnsi="Arial" w:cs="Arial"/>
        </w:rPr>
        <w:t xml:space="preserve"> Boulle submitted, but a challenge of the pleadings.  It cannot therefore prejudice the </w:t>
      </w:r>
      <w:r>
        <w:rPr>
          <w:rFonts w:ascii="Arial" w:hAnsi="Arial" w:cs="Arial"/>
        </w:rPr>
        <w:t>p</w:t>
      </w:r>
      <w:r w:rsidRPr="0000446F">
        <w:rPr>
          <w:rFonts w:ascii="Arial" w:hAnsi="Arial" w:cs="Arial"/>
        </w:rPr>
        <w:t xml:space="preserve">laintiff in any way when it is being raised after he had been given an opportunity to rebut the provisions of </w:t>
      </w:r>
      <w:r>
        <w:rPr>
          <w:rFonts w:ascii="Arial" w:hAnsi="Arial" w:cs="Arial"/>
        </w:rPr>
        <w:t>a</w:t>
      </w:r>
      <w:r w:rsidRPr="0000446F">
        <w:rPr>
          <w:rFonts w:ascii="Arial" w:hAnsi="Arial" w:cs="Arial"/>
        </w:rPr>
        <w:t>rticle 2271 which imposes a time bar for instituting actions.</w:t>
      </w:r>
    </w:p>
    <w:p w:rsidR="006B4AA9" w:rsidRPr="0000446F" w:rsidRDefault="006B4AA9" w:rsidP="006B4AA9">
      <w:pPr>
        <w:jc w:val="both"/>
        <w:rPr>
          <w:rFonts w:ascii="Arial" w:hAnsi="Arial" w:cs="Arial"/>
        </w:rPr>
      </w:pPr>
    </w:p>
    <w:p w:rsidR="006B4AA9" w:rsidRPr="0000446F" w:rsidRDefault="006B4AA9" w:rsidP="006B4AA9">
      <w:pPr>
        <w:jc w:val="both"/>
        <w:rPr>
          <w:rFonts w:ascii="Arial" w:hAnsi="Arial" w:cs="Arial"/>
        </w:rPr>
      </w:pPr>
      <w:r w:rsidRPr="0000446F">
        <w:rPr>
          <w:rFonts w:ascii="Arial" w:hAnsi="Arial" w:cs="Arial"/>
        </w:rPr>
        <w:t xml:space="preserve">In the case of </w:t>
      </w:r>
      <w:r w:rsidRPr="00BC0A99">
        <w:rPr>
          <w:rFonts w:ascii="Arial" w:hAnsi="Arial" w:cs="Arial"/>
          <w:i/>
        </w:rPr>
        <w:t>Pillay v Pillay</w:t>
      </w:r>
      <w:r w:rsidRPr="0000446F">
        <w:rPr>
          <w:rFonts w:ascii="Arial" w:hAnsi="Arial" w:cs="Arial"/>
        </w:rPr>
        <w:t xml:space="preserve"> 1940 MR 48 (Part </w:t>
      </w:r>
      <w:r>
        <w:rPr>
          <w:rFonts w:ascii="Arial" w:hAnsi="Arial" w:cs="Arial"/>
        </w:rPr>
        <w:t>II</w:t>
      </w:r>
      <w:r w:rsidRPr="0000446F">
        <w:rPr>
          <w:rFonts w:ascii="Arial" w:hAnsi="Arial" w:cs="Arial"/>
        </w:rPr>
        <w:t xml:space="preserve">), the </w:t>
      </w:r>
      <w:r>
        <w:rPr>
          <w:rFonts w:ascii="Arial" w:hAnsi="Arial" w:cs="Arial"/>
        </w:rPr>
        <w:t>p</w:t>
      </w:r>
      <w:r w:rsidRPr="0000446F">
        <w:rPr>
          <w:rFonts w:ascii="Arial" w:hAnsi="Arial" w:cs="Arial"/>
        </w:rPr>
        <w:t xml:space="preserve">laintiff as an assignee of a debt obtained judgment for R92 against the </w:t>
      </w:r>
      <w:r>
        <w:rPr>
          <w:rFonts w:ascii="Arial" w:hAnsi="Arial" w:cs="Arial"/>
        </w:rPr>
        <w:t>d</w:t>
      </w:r>
      <w:r w:rsidRPr="0000446F">
        <w:rPr>
          <w:rFonts w:ascii="Arial" w:hAnsi="Arial" w:cs="Arial"/>
        </w:rPr>
        <w:t xml:space="preserve">efendants who were guarantors of that debt.  The </w:t>
      </w:r>
      <w:r>
        <w:rPr>
          <w:rFonts w:ascii="Arial" w:hAnsi="Arial" w:cs="Arial"/>
        </w:rPr>
        <w:t>d</w:t>
      </w:r>
      <w:r w:rsidRPr="0000446F">
        <w:rPr>
          <w:rFonts w:ascii="Arial" w:hAnsi="Arial" w:cs="Arial"/>
        </w:rPr>
        <w:t xml:space="preserve">efendants pleaded </w:t>
      </w:r>
      <w:r w:rsidRPr="00BC0A99">
        <w:rPr>
          <w:rFonts w:ascii="Arial" w:hAnsi="Arial" w:cs="Arial"/>
        </w:rPr>
        <w:t xml:space="preserve">in </w:t>
      </w:r>
      <w:proofErr w:type="spellStart"/>
      <w:r w:rsidRPr="00BC0A99">
        <w:rPr>
          <w:rFonts w:ascii="Arial" w:hAnsi="Arial" w:cs="Arial"/>
        </w:rPr>
        <w:t>limine</w:t>
      </w:r>
      <w:proofErr w:type="spellEnd"/>
      <w:r w:rsidRPr="0000446F">
        <w:rPr>
          <w:rFonts w:ascii="Arial" w:hAnsi="Arial" w:cs="Arial"/>
        </w:rPr>
        <w:t xml:space="preserve"> that they had not been given notice of the assignment.  The trial judge overruled that plea, proceeded to hear the evidence and gave judgment in </w:t>
      </w:r>
      <w:proofErr w:type="spellStart"/>
      <w:r w:rsidRPr="0000446F">
        <w:rPr>
          <w:rFonts w:ascii="Arial" w:hAnsi="Arial" w:cs="Arial"/>
        </w:rPr>
        <w:t>favour</w:t>
      </w:r>
      <w:proofErr w:type="spellEnd"/>
      <w:r w:rsidRPr="0000446F">
        <w:rPr>
          <w:rFonts w:ascii="Arial" w:hAnsi="Arial" w:cs="Arial"/>
        </w:rPr>
        <w:t xml:space="preserve"> of the </w:t>
      </w:r>
      <w:r>
        <w:rPr>
          <w:rFonts w:ascii="Arial" w:hAnsi="Arial" w:cs="Arial"/>
        </w:rPr>
        <w:t>p</w:t>
      </w:r>
      <w:r w:rsidRPr="0000446F">
        <w:rPr>
          <w:rFonts w:ascii="Arial" w:hAnsi="Arial" w:cs="Arial"/>
        </w:rPr>
        <w:t>laintiff.</w:t>
      </w:r>
    </w:p>
    <w:p w:rsidR="006B4AA9" w:rsidRPr="0000446F" w:rsidRDefault="006B4AA9" w:rsidP="006B4AA9">
      <w:pPr>
        <w:jc w:val="both"/>
        <w:rPr>
          <w:rFonts w:ascii="Arial" w:hAnsi="Arial" w:cs="Arial"/>
        </w:rPr>
      </w:pPr>
    </w:p>
    <w:p w:rsidR="006B4AA9" w:rsidRPr="0000446F" w:rsidRDefault="006B4AA9" w:rsidP="006B4AA9">
      <w:pPr>
        <w:jc w:val="both"/>
        <w:rPr>
          <w:rFonts w:ascii="Arial" w:hAnsi="Arial" w:cs="Arial"/>
        </w:rPr>
      </w:pPr>
      <w:r>
        <w:rPr>
          <w:rFonts w:ascii="Arial" w:hAnsi="Arial" w:cs="Arial"/>
        </w:rPr>
        <w:t>At a</w:t>
      </w:r>
      <w:r w:rsidRPr="0000446F">
        <w:rPr>
          <w:rFonts w:ascii="Arial" w:hAnsi="Arial" w:cs="Arial"/>
        </w:rPr>
        <w:t xml:space="preserve">ppeal, it was held that the trial judge was right in refusing to dismiss the action </w:t>
      </w:r>
      <w:r w:rsidRPr="00BC0A99">
        <w:rPr>
          <w:rFonts w:ascii="Arial" w:hAnsi="Arial" w:cs="Arial"/>
        </w:rPr>
        <w:t xml:space="preserve">in </w:t>
      </w:r>
      <w:proofErr w:type="spellStart"/>
      <w:r w:rsidRPr="00BC0A99">
        <w:rPr>
          <w:rFonts w:ascii="Arial" w:hAnsi="Arial" w:cs="Arial"/>
        </w:rPr>
        <w:t>limine</w:t>
      </w:r>
      <w:proofErr w:type="spellEnd"/>
      <w:r w:rsidRPr="0000446F">
        <w:rPr>
          <w:rFonts w:ascii="Arial" w:hAnsi="Arial" w:cs="Arial"/>
        </w:rPr>
        <w:t>, as the action would have been dismissed on the plea later after it had been proved that absence of notification of transfer had caused prejudice to the debtors or guarantors, and that such a consideration was not possible without hearing the evidence to that effect.</w:t>
      </w:r>
    </w:p>
    <w:p w:rsidR="006B4AA9" w:rsidRPr="0000446F" w:rsidRDefault="006B4AA9" w:rsidP="006B4AA9">
      <w:pPr>
        <w:jc w:val="both"/>
        <w:rPr>
          <w:rFonts w:ascii="Arial" w:hAnsi="Arial" w:cs="Arial"/>
        </w:rPr>
      </w:pPr>
    </w:p>
    <w:p w:rsidR="006B4AA9" w:rsidRPr="0000446F" w:rsidRDefault="006B4AA9" w:rsidP="006B4AA9">
      <w:pPr>
        <w:jc w:val="both"/>
        <w:rPr>
          <w:rFonts w:ascii="Arial" w:hAnsi="Arial" w:cs="Arial"/>
        </w:rPr>
      </w:pPr>
      <w:r w:rsidRPr="0000446F">
        <w:rPr>
          <w:rFonts w:ascii="Arial" w:hAnsi="Arial" w:cs="Arial"/>
        </w:rPr>
        <w:t xml:space="preserve">The present position of that instant case is somewhat similar.  The evidence disclosed in the </w:t>
      </w:r>
      <w:r>
        <w:rPr>
          <w:rFonts w:ascii="Arial" w:hAnsi="Arial" w:cs="Arial"/>
        </w:rPr>
        <w:t>p</w:t>
      </w:r>
      <w:r w:rsidRPr="0000446F">
        <w:rPr>
          <w:rFonts w:ascii="Arial" w:hAnsi="Arial" w:cs="Arial"/>
        </w:rPr>
        <w:t xml:space="preserve">laintiff’s case would assist not only the </w:t>
      </w:r>
      <w:r>
        <w:rPr>
          <w:rFonts w:ascii="Arial" w:hAnsi="Arial" w:cs="Arial"/>
        </w:rPr>
        <w:t>s</w:t>
      </w:r>
      <w:r w:rsidRPr="0000446F">
        <w:rPr>
          <w:rFonts w:ascii="Arial" w:hAnsi="Arial" w:cs="Arial"/>
        </w:rPr>
        <w:t xml:space="preserve">econd </w:t>
      </w:r>
      <w:r>
        <w:rPr>
          <w:rFonts w:ascii="Arial" w:hAnsi="Arial" w:cs="Arial"/>
        </w:rPr>
        <w:t>d</w:t>
      </w:r>
      <w:r w:rsidRPr="0000446F">
        <w:rPr>
          <w:rFonts w:ascii="Arial" w:hAnsi="Arial" w:cs="Arial"/>
        </w:rPr>
        <w:t>efendant, but also this Court to consider the plea of prescription both in substance and in law.</w:t>
      </w:r>
    </w:p>
    <w:p w:rsidR="006B4AA9" w:rsidRPr="0000446F" w:rsidRDefault="006B4AA9" w:rsidP="006B4AA9">
      <w:pPr>
        <w:jc w:val="both"/>
        <w:rPr>
          <w:rFonts w:ascii="Arial" w:hAnsi="Arial" w:cs="Arial"/>
        </w:rPr>
      </w:pPr>
    </w:p>
    <w:p w:rsidR="006B4AA9" w:rsidRPr="0000446F" w:rsidRDefault="006B4AA9" w:rsidP="006B4AA9">
      <w:pPr>
        <w:jc w:val="both"/>
        <w:rPr>
          <w:rFonts w:ascii="Arial" w:hAnsi="Arial" w:cs="Arial"/>
        </w:rPr>
      </w:pPr>
      <w:r w:rsidRPr="0000446F">
        <w:rPr>
          <w:rFonts w:ascii="Arial" w:hAnsi="Arial" w:cs="Arial"/>
        </w:rPr>
        <w:t xml:space="preserve">Accordingly, </w:t>
      </w:r>
      <w:r>
        <w:rPr>
          <w:rFonts w:ascii="Arial" w:hAnsi="Arial" w:cs="Arial"/>
        </w:rPr>
        <w:t>c</w:t>
      </w:r>
      <w:r w:rsidRPr="0000446F">
        <w:rPr>
          <w:rFonts w:ascii="Arial" w:hAnsi="Arial" w:cs="Arial"/>
        </w:rPr>
        <w:t xml:space="preserve">ounsel for the </w:t>
      </w:r>
      <w:r>
        <w:rPr>
          <w:rFonts w:ascii="Arial" w:hAnsi="Arial" w:cs="Arial"/>
        </w:rPr>
        <w:t>s</w:t>
      </w:r>
      <w:r w:rsidRPr="0000446F">
        <w:rPr>
          <w:rFonts w:ascii="Arial" w:hAnsi="Arial" w:cs="Arial"/>
        </w:rPr>
        <w:t xml:space="preserve">econd </w:t>
      </w:r>
      <w:r>
        <w:rPr>
          <w:rFonts w:ascii="Arial" w:hAnsi="Arial" w:cs="Arial"/>
        </w:rPr>
        <w:t>d</w:t>
      </w:r>
      <w:r w:rsidRPr="0000446F">
        <w:rPr>
          <w:rFonts w:ascii="Arial" w:hAnsi="Arial" w:cs="Arial"/>
        </w:rPr>
        <w:t xml:space="preserve">efendant is entitled to </w:t>
      </w:r>
      <w:proofErr w:type="gramStart"/>
      <w:r w:rsidRPr="0000446F">
        <w:rPr>
          <w:rFonts w:ascii="Arial" w:hAnsi="Arial" w:cs="Arial"/>
        </w:rPr>
        <w:t>raise</w:t>
      </w:r>
      <w:proofErr w:type="gramEnd"/>
      <w:r w:rsidRPr="0000446F">
        <w:rPr>
          <w:rFonts w:ascii="Arial" w:hAnsi="Arial" w:cs="Arial"/>
        </w:rPr>
        <w:t xml:space="preserve"> the plea of prescription as set out in paragraph 4(iii) of the </w:t>
      </w:r>
      <w:proofErr w:type="spellStart"/>
      <w:r w:rsidRPr="0000446F">
        <w:rPr>
          <w:rFonts w:ascii="Arial" w:hAnsi="Arial" w:cs="Arial"/>
        </w:rPr>
        <w:t>defence</w:t>
      </w:r>
      <w:proofErr w:type="spellEnd"/>
      <w:r w:rsidRPr="0000446F">
        <w:rPr>
          <w:rFonts w:ascii="Arial" w:hAnsi="Arial" w:cs="Arial"/>
        </w:rPr>
        <w:t xml:space="preserve"> as a point of law envisaged in </w:t>
      </w:r>
      <w:r>
        <w:rPr>
          <w:rFonts w:ascii="Arial" w:hAnsi="Arial" w:cs="Arial"/>
        </w:rPr>
        <w:t>s</w:t>
      </w:r>
      <w:r w:rsidRPr="0000446F">
        <w:rPr>
          <w:rFonts w:ascii="Arial" w:hAnsi="Arial" w:cs="Arial"/>
        </w:rPr>
        <w:t xml:space="preserve">ection 90.  If the plea succeeds, the Court will proceed to make any of the orders provided in </w:t>
      </w:r>
      <w:r>
        <w:rPr>
          <w:rFonts w:ascii="Arial" w:hAnsi="Arial" w:cs="Arial"/>
        </w:rPr>
        <w:t>s</w:t>
      </w:r>
      <w:r w:rsidRPr="0000446F">
        <w:rPr>
          <w:rFonts w:ascii="Arial" w:hAnsi="Arial" w:cs="Arial"/>
        </w:rPr>
        <w:t xml:space="preserve">ection 91.  However if the plea fails, the case will proceed to a hearing on merits, and in such circumstances, the </w:t>
      </w:r>
      <w:r>
        <w:rPr>
          <w:rFonts w:ascii="Arial" w:hAnsi="Arial" w:cs="Arial"/>
        </w:rPr>
        <w:t>s</w:t>
      </w:r>
      <w:r w:rsidRPr="0000446F">
        <w:rPr>
          <w:rFonts w:ascii="Arial" w:hAnsi="Arial" w:cs="Arial"/>
        </w:rPr>
        <w:t xml:space="preserve">econd </w:t>
      </w:r>
      <w:r>
        <w:rPr>
          <w:rFonts w:ascii="Arial" w:hAnsi="Arial" w:cs="Arial"/>
        </w:rPr>
        <w:t>d</w:t>
      </w:r>
      <w:r w:rsidRPr="0000446F">
        <w:rPr>
          <w:rFonts w:ascii="Arial" w:hAnsi="Arial" w:cs="Arial"/>
        </w:rPr>
        <w:t xml:space="preserve">efendant will be entitled to adduce any evidence that may be considered necessary to substantiate the rest of the averments in their </w:t>
      </w:r>
      <w:proofErr w:type="spellStart"/>
      <w:r w:rsidRPr="0000446F">
        <w:rPr>
          <w:rFonts w:ascii="Arial" w:hAnsi="Arial" w:cs="Arial"/>
        </w:rPr>
        <w:t>defence</w:t>
      </w:r>
      <w:proofErr w:type="spellEnd"/>
      <w:r w:rsidRPr="0000446F">
        <w:rPr>
          <w:rFonts w:ascii="Arial" w:hAnsi="Arial" w:cs="Arial"/>
        </w:rPr>
        <w:t>.  Ruling made accordingly.</w:t>
      </w:r>
    </w:p>
    <w:p w:rsidR="006B4AA9" w:rsidRPr="0000446F" w:rsidRDefault="006B4AA9" w:rsidP="006B4AA9">
      <w:pPr>
        <w:jc w:val="both"/>
        <w:rPr>
          <w:rFonts w:ascii="Arial" w:hAnsi="Arial" w:cs="Arial"/>
        </w:rPr>
      </w:pPr>
    </w:p>
    <w:p w:rsidR="006B4AA9" w:rsidRPr="0000446F" w:rsidRDefault="006B4AA9" w:rsidP="006B4AA9">
      <w:pPr>
        <w:jc w:val="both"/>
        <w:rPr>
          <w:rFonts w:ascii="Arial" w:hAnsi="Arial" w:cs="Arial"/>
        </w:rPr>
      </w:pPr>
    </w:p>
    <w:p w:rsidR="00AD75CD" w:rsidRDefault="006B4AA9" w:rsidP="006B4AA9">
      <w:r w:rsidRPr="0000446F">
        <w:rPr>
          <w:rFonts w:ascii="Arial" w:hAnsi="Arial" w:cs="Arial"/>
          <w:b/>
        </w:rPr>
        <w:t>Record:  Civil Side No 8 of 1997</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F109F"/>
    <w:multiLevelType w:val="hybridMultilevel"/>
    <w:tmpl w:val="7A1AAF8C"/>
    <w:lvl w:ilvl="0" w:tplc="13EE070A">
      <w:start w:val="2"/>
      <w:numFmt w:val="lowerRoman"/>
      <w:lvlText w:val="(%1)"/>
      <w:lvlJc w:val="left"/>
      <w:pPr>
        <w:tabs>
          <w:tab w:val="num" w:pos="1020"/>
        </w:tabs>
        <w:ind w:left="1020" w:hanging="7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4AA9"/>
    <w:rsid w:val="000A4006"/>
    <w:rsid w:val="00156AE5"/>
    <w:rsid w:val="001A0374"/>
    <w:rsid w:val="00386B8E"/>
    <w:rsid w:val="006B4AA9"/>
    <w:rsid w:val="006D36C9"/>
    <w:rsid w:val="00725760"/>
    <w:rsid w:val="0076170E"/>
    <w:rsid w:val="00982DDD"/>
    <w:rsid w:val="00AB43FA"/>
    <w:rsid w:val="00AD75CD"/>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A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6617</Characters>
  <Application>Microsoft Office Word</Application>
  <DocSecurity>0</DocSecurity>
  <Lines>55</Lines>
  <Paragraphs>15</Paragraphs>
  <ScaleCrop>false</ScaleCrop>
  <Company/>
  <LinksUpToDate>false</LinksUpToDate>
  <CharactersWithSpaces>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2014-01-21T04:42:00Z</dcterms:created>
  <dcterms:modified xsi:type="dcterms:W3CDTF">2014-01-21T04:43:00Z</dcterms:modified>
</cp:coreProperties>
</file>