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89" w:rsidRPr="0000446F" w:rsidRDefault="00B32389" w:rsidP="00B32389">
      <w:pPr>
        <w:jc w:val="center"/>
        <w:rPr>
          <w:rFonts w:ascii="Arial" w:hAnsi="Arial" w:cs="Arial"/>
          <w:b/>
        </w:rPr>
      </w:pPr>
      <w:proofErr w:type="spellStart"/>
      <w:r w:rsidRPr="0000446F">
        <w:rPr>
          <w:rFonts w:ascii="Arial" w:hAnsi="Arial" w:cs="Arial"/>
          <w:b/>
        </w:rPr>
        <w:t>Ailee</w:t>
      </w:r>
      <w:proofErr w:type="spellEnd"/>
      <w:r w:rsidRPr="0000446F">
        <w:rPr>
          <w:rFonts w:ascii="Arial" w:hAnsi="Arial" w:cs="Arial"/>
          <w:b/>
        </w:rPr>
        <w:t xml:space="preserve"> Development Corporation Limited v</w:t>
      </w:r>
    </w:p>
    <w:p w:rsidR="00B32389" w:rsidRDefault="00B32389" w:rsidP="00B32389">
      <w:pPr>
        <w:jc w:val="center"/>
        <w:rPr>
          <w:rFonts w:ascii="Arial" w:hAnsi="Arial" w:cs="Arial"/>
          <w:b/>
        </w:rPr>
      </w:pPr>
      <w:r w:rsidRPr="0000446F">
        <w:rPr>
          <w:rFonts w:ascii="Arial" w:hAnsi="Arial" w:cs="Arial"/>
          <w:b/>
        </w:rPr>
        <w:t>Minister of Employment and Social Affairs</w:t>
      </w:r>
    </w:p>
    <w:p w:rsidR="00B32389" w:rsidRPr="0000446F" w:rsidRDefault="00B32389" w:rsidP="00B32389">
      <w:pPr>
        <w:jc w:val="center"/>
        <w:rPr>
          <w:rFonts w:ascii="Arial" w:hAnsi="Arial" w:cs="Arial"/>
          <w:b/>
        </w:rPr>
      </w:pPr>
      <w:r>
        <w:rPr>
          <w:rFonts w:ascii="Arial" w:hAnsi="Arial" w:cs="Arial"/>
          <w:b/>
        </w:rPr>
        <w:t>(1998) SLR 121</w:t>
      </w:r>
    </w:p>
    <w:p w:rsidR="00B32389" w:rsidRPr="0000446F" w:rsidRDefault="00B32389" w:rsidP="00B32389">
      <w:pPr>
        <w:jc w:val="both"/>
        <w:rPr>
          <w:rFonts w:ascii="Arial" w:hAnsi="Arial" w:cs="Arial"/>
          <w:b/>
        </w:rPr>
      </w:pPr>
    </w:p>
    <w:p w:rsidR="00B32389" w:rsidRPr="0000446F" w:rsidRDefault="00B32389" w:rsidP="00B32389">
      <w:pPr>
        <w:jc w:val="both"/>
        <w:rPr>
          <w:rFonts w:ascii="Arial" w:hAnsi="Arial" w:cs="Arial"/>
          <w:u w:val="single"/>
        </w:rPr>
      </w:pPr>
    </w:p>
    <w:p w:rsidR="00B32389" w:rsidRPr="0000446F" w:rsidRDefault="00B32389" w:rsidP="00B32389">
      <w:pPr>
        <w:jc w:val="both"/>
        <w:rPr>
          <w:rFonts w:ascii="Arial" w:hAnsi="Arial" w:cs="Arial"/>
        </w:rPr>
      </w:pPr>
      <w:r w:rsidRPr="0000446F">
        <w:rPr>
          <w:rFonts w:ascii="Arial" w:hAnsi="Arial" w:cs="Arial"/>
        </w:rPr>
        <w:t>Frank ALLY for the Respondent</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b/>
        </w:rPr>
      </w:pPr>
      <w:r w:rsidRPr="0000446F">
        <w:rPr>
          <w:rFonts w:ascii="Arial" w:hAnsi="Arial" w:cs="Arial"/>
          <w:b/>
        </w:rPr>
        <w:t>Judgment delivered on 29 October 1998, by:</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b/>
        </w:rPr>
        <w:t>AMERASINGHE J:</w:t>
      </w:r>
      <w:r w:rsidRPr="0000446F">
        <w:rPr>
          <w:rFonts w:ascii="Arial" w:hAnsi="Arial" w:cs="Arial"/>
        </w:rPr>
        <w:t xml:space="preserve">  </w:t>
      </w:r>
      <w:r>
        <w:rPr>
          <w:rFonts w:ascii="Arial" w:hAnsi="Arial" w:cs="Arial"/>
        </w:rPr>
        <w:t>The p</w:t>
      </w:r>
      <w:r w:rsidRPr="0000446F">
        <w:rPr>
          <w:rFonts w:ascii="Arial" w:hAnsi="Arial" w:cs="Arial"/>
        </w:rPr>
        <w:t>etitioner sought to invoke the supervisory jurisdiction of the Court under Article 125(1) of the Const</w:t>
      </w:r>
      <w:r>
        <w:rPr>
          <w:rFonts w:ascii="Arial" w:hAnsi="Arial" w:cs="Arial"/>
        </w:rPr>
        <w:t>itution</w:t>
      </w:r>
      <w:r w:rsidRPr="0000446F">
        <w:rPr>
          <w:rFonts w:ascii="Arial" w:hAnsi="Arial" w:cs="Arial"/>
        </w:rPr>
        <w:t xml:space="preserve"> of the Republic of Seychelles for the issue of a </w:t>
      </w:r>
      <w:r>
        <w:rPr>
          <w:rFonts w:ascii="Arial" w:hAnsi="Arial" w:cs="Arial"/>
        </w:rPr>
        <w:t>w</w:t>
      </w:r>
      <w:r w:rsidRPr="0000446F">
        <w:rPr>
          <w:rFonts w:ascii="Arial" w:hAnsi="Arial" w:cs="Arial"/>
        </w:rPr>
        <w:t xml:space="preserve">rit of certiorari quashing the decision of the </w:t>
      </w:r>
      <w:r>
        <w:rPr>
          <w:rFonts w:ascii="Arial" w:hAnsi="Arial" w:cs="Arial"/>
        </w:rPr>
        <w:t>r</w:t>
      </w:r>
      <w:r w:rsidRPr="0000446F">
        <w:rPr>
          <w:rFonts w:ascii="Arial" w:hAnsi="Arial" w:cs="Arial"/>
        </w:rPr>
        <w:t>espondent dated 7 June 1996 on appeal.</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 xml:space="preserve">The </w:t>
      </w:r>
      <w:r>
        <w:rPr>
          <w:rFonts w:ascii="Arial" w:hAnsi="Arial" w:cs="Arial"/>
        </w:rPr>
        <w:t>m</w:t>
      </w:r>
      <w:r w:rsidRPr="0000446F">
        <w:rPr>
          <w:rFonts w:ascii="Arial" w:hAnsi="Arial" w:cs="Arial"/>
        </w:rPr>
        <w:t xml:space="preserve">anager of the Plantation Club Hotel initiated </w:t>
      </w:r>
      <w:r>
        <w:rPr>
          <w:rFonts w:ascii="Arial" w:hAnsi="Arial" w:cs="Arial"/>
        </w:rPr>
        <w:t xml:space="preserve">a </w:t>
      </w:r>
      <w:r w:rsidRPr="0000446F">
        <w:rPr>
          <w:rFonts w:ascii="Arial" w:hAnsi="Arial" w:cs="Arial"/>
        </w:rPr>
        <w:t xml:space="preserve">grievance procedure when relieved of his services by the </w:t>
      </w:r>
      <w:r>
        <w:rPr>
          <w:rFonts w:ascii="Arial" w:hAnsi="Arial" w:cs="Arial"/>
        </w:rPr>
        <w:t>p</w:t>
      </w:r>
      <w:r w:rsidRPr="0000446F">
        <w:rPr>
          <w:rFonts w:ascii="Arial" w:hAnsi="Arial" w:cs="Arial"/>
        </w:rPr>
        <w:t>etitioner, and the resulting decision of the Competent Officer was subject to appeals by both parties.</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Both the Minister on the said appeals</w:t>
      </w:r>
      <w:r>
        <w:rPr>
          <w:rFonts w:ascii="Arial" w:hAnsi="Arial" w:cs="Arial"/>
        </w:rPr>
        <w:t xml:space="preserve"> and</w:t>
      </w:r>
      <w:r w:rsidRPr="0000446F">
        <w:rPr>
          <w:rFonts w:ascii="Arial" w:hAnsi="Arial" w:cs="Arial"/>
        </w:rPr>
        <w:t xml:space="preserve"> the Competent Officer concluded that the termination of the services of the employees was not justified.  </w:t>
      </w:r>
      <w:r>
        <w:rPr>
          <w:rFonts w:ascii="Arial" w:hAnsi="Arial" w:cs="Arial"/>
        </w:rPr>
        <w:t>The r</w:t>
      </w:r>
      <w:r w:rsidRPr="0000446F">
        <w:rPr>
          <w:rFonts w:ascii="Arial" w:hAnsi="Arial" w:cs="Arial"/>
        </w:rPr>
        <w:t xml:space="preserve">espondent’s ruling on 7 June 1996 directed the </w:t>
      </w:r>
      <w:r>
        <w:rPr>
          <w:rFonts w:ascii="Arial" w:hAnsi="Arial" w:cs="Arial"/>
        </w:rPr>
        <w:t>p</w:t>
      </w:r>
      <w:r w:rsidRPr="0000446F">
        <w:rPr>
          <w:rFonts w:ascii="Arial" w:hAnsi="Arial" w:cs="Arial"/>
        </w:rPr>
        <w:t>etitioner to make the following payments to its former manager Van Frank</w:t>
      </w:r>
      <w:r>
        <w:rPr>
          <w:rFonts w:ascii="Arial" w:hAnsi="Arial" w:cs="Arial"/>
        </w:rPr>
        <w:t>:</w:t>
      </w:r>
    </w:p>
    <w:p w:rsidR="00B32389" w:rsidRPr="0000446F" w:rsidRDefault="00B32389" w:rsidP="00B32389">
      <w:pPr>
        <w:jc w:val="both"/>
        <w:rPr>
          <w:rFonts w:ascii="Arial" w:hAnsi="Arial" w:cs="Arial"/>
        </w:rPr>
      </w:pPr>
    </w:p>
    <w:p w:rsidR="00B32389" w:rsidRPr="0000446F" w:rsidRDefault="00B32389" w:rsidP="00B32389">
      <w:pPr>
        <w:ind w:left="1170" w:hanging="450"/>
        <w:jc w:val="both"/>
        <w:rPr>
          <w:rFonts w:ascii="Arial" w:hAnsi="Arial" w:cs="Arial"/>
        </w:rPr>
      </w:pPr>
      <w:proofErr w:type="spellStart"/>
      <w:r w:rsidRPr="0000446F">
        <w:rPr>
          <w:rFonts w:ascii="Arial" w:hAnsi="Arial" w:cs="Arial"/>
        </w:rPr>
        <w:t>i</w:t>
      </w:r>
      <w:proofErr w:type="spellEnd"/>
      <w:r w:rsidRPr="0000446F">
        <w:rPr>
          <w:rFonts w:ascii="Arial" w:hAnsi="Arial" w:cs="Arial"/>
        </w:rPr>
        <w:t>)</w:t>
      </w:r>
      <w:r w:rsidRPr="0000446F">
        <w:rPr>
          <w:rFonts w:ascii="Arial" w:hAnsi="Arial" w:cs="Arial"/>
        </w:rPr>
        <w:tab/>
        <w:t>3 months notice</w:t>
      </w:r>
      <w:r w:rsidRPr="0000446F">
        <w:rPr>
          <w:rFonts w:ascii="Arial" w:hAnsi="Arial" w:cs="Arial"/>
        </w:rPr>
        <w:tab/>
      </w:r>
      <w:r w:rsidRPr="0000446F">
        <w:rPr>
          <w:rFonts w:ascii="Arial" w:hAnsi="Arial" w:cs="Arial"/>
        </w:rPr>
        <w:tab/>
        <w:t>R 47</w:t>
      </w:r>
      <w:r>
        <w:rPr>
          <w:rFonts w:ascii="Arial" w:hAnsi="Arial" w:cs="Arial"/>
        </w:rPr>
        <w:t>,</w:t>
      </w:r>
      <w:r w:rsidRPr="0000446F">
        <w:rPr>
          <w:rFonts w:ascii="Arial" w:hAnsi="Arial" w:cs="Arial"/>
        </w:rPr>
        <w:t>250.00</w:t>
      </w:r>
    </w:p>
    <w:p w:rsidR="00B32389" w:rsidRPr="0000446F" w:rsidRDefault="00B32389" w:rsidP="00B32389">
      <w:pPr>
        <w:ind w:left="1170" w:hanging="450"/>
        <w:jc w:val="both"/>
        <w:rPr>
          <w:rFonts w:ascii="Arial" w:hAnsi="Arial" w:cs="Arial"/>
        </w:rPr>
      </w:pPr>
    </w:p>
    <w:p w:rsidR="00B32389" w:rsidRPr="0000446F" w:rsidRDefault="00B32389" w:rsidP="00B32389">
      <w:pPr>
        <w:ind w:left="1170" w:hanging="450"/>
        <w:jc w:val="both"/>
        <w:rPr>
          <w:rFonts w:ascii="Arial" w:hAnsi="Arial" w:cs="Arial"/>
        </w:rPr>
      </w:pPr>
      <w:r w:rsidRPr="0000446F">
        <w:rPr>
          <w:rFonts w:ascii="Arial" w:hAnsi="Arial" w:cs="Arial"/>
        </w:rPr>
        <w:t>ii)</w:t>
      </w:r>
      <w:r w:rsidRPr="0000446F">
        <w:rPr>
          <w:rFonts w:ascii="Arial" w:hAnsi="Arial" w:cs="Arial"/>
        </w:rPr>
        <w:tab/>
        <w:t>Salary from 17 November</w:t>
      </w:r>
    </w:p>
    <w:p w:rsidR="00B32389" w:rsidRPr="0000446F" w:rsidRDefault="00B32389" w:rsidP="00B32389">
      <w:pPr>
        <w:ind w:left="1170"/>
        <w:jc w:val="both"/>
        <w:rPr>
          <w:rFonts w:ascii="Arial" w:hAnsi="Arial" w:cs="Arial"/>
        </w:rPr>
      </w:pPr>
      <w:r w:rsidRPr="0000446F">
        <w:rPr>
          <w:rFonts w:ascii="Arial" w:hAnsi="Arial" w:cs="Arial"/>
        </w:rPr>
        <w:t>1995 to May 1996</w:t>
      </w:r>
      <w:r w:rsidRPr="0000446F">
        <w:rPr>
          <w:rFonts w:ascii="Arial" w:hAnsi="Arial" w:cs="Arial"/>
        </w:rPr>
        <w:tab/>
      </w:r>
      <w:r w:rsidRPr="0000446F">
        <w:rPr>
          <w:rFonts w:ascii="Arial" w:hAnsi="Arial" w:cs="Arial"/>
        </w:rPr>
        <w:tab/>
        <w:t>R 94</w:t>
      </w:r>
      <w:r>
        <w:rPr>
          <w:rFonts w:ascii="Arial" w:hAnsi="Arial" w:cs="Arial"/>
        </w:rPr>
        <w:t>,</w:t>
      </w:r>
      <w:r w:rsidRPr="0000446F">
        <w:rPr>
          <w:rFonts w:ascii="Arial" w:hAnsi="Arial" w:cs="Arial"/>
        </w:rPr>
        <w:t>500.00</w:t>
      </w:r>
    </w:p>
    <w:p w:rsidR="00B32389" w:rsidRPr="0000446F" w:rsidRDefault="00B32389" w:rsidP="00B32389">
      <w:pPr>
        <w:ind w:left="1170" w:hanging="450"/>
        <w:jc w:val="both"/>
        <w:rPr>
          <w:rFonts w:ascii="Arial" w:hAnsi="Arial" w:cs="Arial"/>
        </w:rPr>
      </w:pPr>
    </w:p>
    <w:p w:rsidR="00B32389" w:rsidRPr="0000446F" w:rsidRDefault="00B32389" w:rsidP="00B32389">
      <w:pPr>
        <w:ind w:left="1170" w:hanging="450"/>
        <w:jc w:val="both"/>
        <w:rPr>
          <w:rFonts w:ascii="Arial" w:hAnsi="Arial" w:cs="Arial"/>
        </w:rPr>
      </w:pPr>
      <w:r w:rsidRPr="0000446F">
        <w:rPr>
          <w:rFonts w:ascii="Arial" w:hAnsi="Arial" w:cs="Arial"/>
        </w:rPr>
        <w:t>iii)</w:t>
      </w:r>
      <w:r w:rsidRPr="0000446F">
        <w:rPr>
          <w:rFonts w:ascii="Arial" w:hAnsi="Arial" w:cs="Arial"/>
        </w:rPr>
        <w:tab/>
        <w:t xml:space="preserve">Accrued leave from 8 </w:t>
      </w:r>
    </w:p>
    <w:p w:rsidR="00B32389" w:rsidRPr="0000446F" w:rsidRDefault="00B32389" w:rsidP="00B32389">
      <w:pPr>
        <w:ind w:left="1170"/>
        <w:jc w:val="both"/>
        <w:rPr>
          <w:rFonts w:ascii="Arial" w:hAnsi="Arial" w:cs="Arial"/>
        </w:rPr>
      </w:pPr>
      <w:r w:rsidRPr="0000446F">
        <w:rPr>
          <w:rFonts w:ascii="Arial" w:hAnsi="Arial" w:cs="Arial"/>
        </w:rPr>
        <w:t>January 1995</w:t>
      </w:r>
      <w:r w:rsidRPr="0000446F">
        <w:rPr>
          <w:rFonts w:ascii="Arial" w:hAnsi="Arial" w:cs="Arial"/>
        </w:rPr>
        <w:tab/>
      </w:r>
      <w:r w:rsidRPr="0000446F">
        <w:rPr>
          <w:rFonts w:ascii="Arial" w:hAnsi="Arial" w:cs="Arial"/>
        </w:rPr>
        <w:tab/>
      </w:r>
      <w:r w:rsidRPr="0000446F">
        <w:rPr>
          <w:rFonts w:ascii="Arial" w:hAnsi="Arial" w:cs="Arial"/>
        </w:rPr>
        <w:tab/>
        <w:t>R 20</w:t>
      </w:r>
      <w:r>
        <w:rPr>
          <w:rFonts w:ascii="Arial" w:hAnsi="Arial" w:cs="Arial"/>
        </w:rPr>
        <w:t>,</w:t>
      </w:r>
      <w:r w:rsidRPr="0000446F">
        <w:rPr>
          <w:rFonts w:ascii="Arial" w:hAnsi="Arial" w:cs="Arial"/>
        </w:rPr>
        <w:t>712.33</w:t>
      </w:r>
    </w:p>
    <w:p w:rsidR="00B32389" w:rsidRPr="0000446F" w:rsidRDefault="00B32389" w:rsidP="00B32389">
      <w:pPr>
        <w:ind w:left="1170" w:hanging="450"/>
        <w:jc w:val="both"/>
        <w:rPr>
          <w:rFonts w:ascii="Arial" w:hAnsi="Arial" w:cs="Arial"/>
        </w:rPr>
      </w:pPr>
    </w:p>
    <w:p w:rsidR="00B32389" w:rsidRPr="0000446F" w:rsidRDefault="00B32389" w:rsidP="00B32389">
      <w:pPr>
        <w:ind w:left="1170" w:hanging="450"/>
        <w:jc w:val="both"/>
        <w:rPr>
          <w:rFonts w:ascii="Arial" w:hAnsi="Arial" w:cs="Arial"/>
          <w:u w:val="single"/>
        </w:rPr>
      </w:pPr>
      <w:r w:rsidRPr="0000446F">
        <w:rPr>
          <w:rFonts w:ascii="Arial" w:hAnsi="Arial" w:cs="Arial"/>
        </w:rPr>
        <w:t>iv)</w:t>
      </w:r>
      <w:r w:rsidRPr="0000446F">
        <w:rPr>
          <w:rFonts w:ascii="Arial" w:hAnsi="Arial" w:cs="Arial"/>
        </w:rPr>
        <w:tab/>
        <w:t>32 days compensation</w:t>
      </w:r>
      <w:r w:rsidRPr="0000446F">
        <w:rPr>
          <w:rFonts w:ascii="Arial" w:hAnsi="Arial" w:cs="Arial"/>
        </w:rPr>
        <w:tab/>
      </w:r>
      <w:r w:rsidRPr="0000446F">
        <w:rPr>
          <w:rFonts w:ascii="Arial" w:hAnsi="Arial" w:cs="Arial"/>
        </w:rPr>
        <w:tab/>
      </w:r>
      <w:proofErr w:type="gramStart"/>
      <w:r w:rsidRPr="0000446F">
        <w:rPr>
          <w:rFonts w:ascii="Arial" w:hAnsi="Arial" w:cs="Arial"/>
          <w:u w:val="single"/>
        </w:rPr>
        <w:t>R  19,384.62</w:t>
      </w:r>
      <w:proofErr w:type="gramEnd"/>
    </w:p>
    <w:p w:rsidR="00B32389" w:rsidRPr="0000446F" w:rsidRDefault="00B32389" w:rsidP="00B32389">
      <w:pPr>
        <w:ind w:left="1170" w:hanging="450"/>
        <w:jc w:val="both"/>
        <w:rPr>
          <w:rFonts w:ascii="Arial" w:hAnsi="Arial" w:cs="Arial"/>
          <w:u w:val="single"/>
        </w:rPr>
      </w:pPr>
      <w:r w:rsidRPr="0000446F">
        <w:rPr>
          <w:rFonts w:ascii="Arial" w:hAnsi="Arial" w:cs="Arial"/>
        </w:rPr>
        <w:tab/>
      </w:r>
      <w:r w:rsidRPr="0000446F">
        <w:rPr>
          <w:rFonts w:ascii="Arial" w:hAnsi="Arial" w:cs="Arial"/>
        </w:rPr>
        <w:tab/>
      </w:r>
      <w:r w:rsidRPr="0000446F">
        <w:rPr>
          <w:rFonts w:ascii="Arial" w:hAnsi="Arial" w:cs="Arial"/>
        </w:rPr>
        <w:tab/>
      </w:r>
      <w:r w:rsidRPr="0000446F">
        <w:rPr>
          <w:rFonts w:ascii="Arial" w:hAnsi="Arial" w:cs="Arial"/>
        </w:rPr>
        <w:tab/>
      </w:r>
      <w:r w:rsidRPr="0000446F">
        <w:rPr>
          <w:rFonts w:ascii="Arial" w:hAnsi="Arial" w:cs="Arial"/>
        </w:rPr>
        <w:tab/>
      </w:r>
      <w:r w:rsidRPr="0000446F">
        <w:rPr>
          <w:rFonts w:ascii="Arial" w:hAnsi="Arial" w:cs="Arial"/>
        </w:rPr>
        <w:tab/>
      </w:r>
      <w:r w:rsidRPr="0000446F">
        <w:rPr>
          <w:rFonts w:ascii="Arial" w:hAnsi="Arial" w:cs="Arial"/>
          <w:u w:val="single"/>
        </w:rPr>
        <w:t>R181</w:t>
      </w:r>
      <w:proofErr w:type="gramStart"/>
      <w:r w:rsidRPr="0000446F">
        <w:rPr>
          <w:rFonts w:ascii="Arial" w:hAnsi="Arial" w:cs="Arial"/>
          <w:u w:val="single"/>
        </w:rPr>
        <w:t>,846.95</w:t>
      </w:r>
      <w:proofErr w:type="gramEnd"/>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 xml:space="preserve">At the hearing </w:t>
      </w:r>
      <w:r>
        <w:rPr>
          <w:rFonts w:ascii="Arial" w:hAnsi="Arial" w:cs="Arial"/>
        </w:rPr>
        <w:t>c</w:t>
      </w:r>
      <w:r w:rsidRPr="0000446F">
        <w:rPr>
          <w:rFonts w:ascii="Arial" w:hAnsi="Arial" w:cs="Arial"/>
        </w:rPr>
        <w:t xml:space="preserve">ounsel for the </w:t>
      </w:r>
      <w:r>
        <w:rPr>
          <w:rFonts w:ascii="Arial" w:hAnsi="Arial" w:cs="Arial"/>
        </w:rPr>
        <w:t>p</w:t>
      </w:r>
      <w:r w:rsidRPr="0000446F">
        <w:rPr>
          <w:rFonts w:ascii="Arial" w:hAnsi="Arial" w:cs="Arial"/>
        </w:rPr>
        <w:t xml:space="preserve">etitioner restricted its challenge of the </w:t>
      </w:r>
      <w:r>
        <w:rPr>
          <w:rFonts w:ascii="Arial" w:hAnsi="Arial" w:cs="Arial"/>
        </w:rPr>
        <w:t>r</w:t>
      </w:r>
      <w:r w:rsidRPr="0000446F">
        <w:rPr>
          <w:rFonts w:ascii="Arial" w:hAnsi="Arial" w:cs="Arial"/>
        </w:rPr>
        <w:t>espondents’ decision to the award under paragraph (ii) above, for the payment of salary from 17 November 1995 to 17 May 1996</w:t>
      </w:r>
      <w:r>
        <w:rPr>
          <w:rFonts w:ascii="Arial" w:hAnsi="Arial" w:cs="Arial"/>
        </w:rPr>
        <w:t>:</w:t>
      </w:r>
      <w:r w:rsidRPr="0000446F">
        <w:rPr>
          <w:rFonts w:ascii="Arial" w:hAnsi="Arial" w:cs="Arial"/>
        </w:rPr>
        <w:t xml:space="preserve"> a sum of R94</w:t>
      </w:r>
      <w:proofErr w:type="gramStart"/>
      <w:r w:rsidRPr="0000446F">
        <w:rPr>
          <w:rFonts w:ascii="Arial" w:hAnsi="Arial" w:cs="Arial"/>
        </w:rPr>
        <w:t>,500.00</w:t>
      </w:r>
      <w:proofErr w:type="gramEnd"/>
      <w:r w:rsidRPr="0000446F">
        <w:rPr>
          <w:rFonts w:ascii="Arial" w:hAnsi="Arial" w:cs="Arial"/>
        </w:rPr>
        <w:t xml:space="preserve">.  Although the </w:t>
      </w:r>
      <w:r>
        <w:rPr>
          <w:rFonts w:ascii="Arial" w:hAnsi="Arial" w:cs="Arial"/>
        </w:rPr>
        <w:t>w</w:t>
      </w:r>
      <w:r w:rsidRPr="0000446F">
        <w:rPr>
          <w:rFonts w:ascii="Arial" w:hAnsi="Arial" w:cs="Arial"/>
        </w:rPr>
        <w:t xml:space="preserve">ritten submissions of </w:t>
      </w:r>
      <w:r>
        <w:rPr>
          <w:rFonts w:ascii="Arial" w:hAnsi="Arial" w:cs="Arial"/>
        </w:rPr>
        <w:t>c</w:t>
      </w:r>
      <w:r w:rsidRPr="0000446F">
        <w:rPr>
          <w:rFonts w:ascii="Arial" w:hAnsi="Arial" w:cs="Arial"/>
        </w:rPr>
        <w:t xml:space="preserve">ounsel for the </w:t>
      </w:r>
      <w:r>
        <w:rPr>
          <w:rFonts w:ascii="Arial" w:hAnsi="Arial" w:cs="Arial"/>
        </w:rPr>
        <w:t>p</w:t>
      </w:r>
      <w:r w:rsidRPr="0000446F">
        <w:rPr>
          <w:rFonts w:ascii="Arial" w:hAnsi="Arial" w:cs="Arial"/>
        </w:rPr>
        <w:t xml:space="preserve">etitioner included in the challenge the accrued leave and compensation calculated after the dismissal of the employee, the pleadings and the exhibits do not permit this Court to separate such awards </w:t>
      </w:r>
      <w:r>
        <w:rPr>
          <w:rFonts w:ascii="Arial" w:hAnsi="Arial" w:cs="Arial"/>
        </w:rPr>
        <w:t>in</w:t>
      </w:r>
      <w:r w:rsidRPr="0000446F">
        <w:rPr>
          <w:rFonts w:ascii="Arial" w:hAnsi="Arial" w:cs="Arial"/>
        </w:rPr>
        <w:t xml:space="preserve">to different categories.  Hence the </w:t>
      </w:r>
      <w:r>
        <w:rPr>
          <w:rFonts w:ascii="Arial" w:hAnsi="Arial" w:cs="Arial"/>
        </w:rPr>
        <w:t>p</w:t>
      </w:r>
      <w:r w:rsidRPr="0000446F">
        <w:rPr>
          <w:rFonts w:ascii="Arial" w:hAnsi="Arial" w:cs="Arial"/>
        </w:rPr>
        <w:t xml:space="preserve">etitioner will be bound by the aforesaid restrictions indicated to </w:t>
      </w:r>
      <w:r>
        <w:rPr>
          <w:rFonts w:ascii="Arial" w:hAnsi="Arial" w:cs="Arial"/>
        </w:rPr>
        <w:t xml:space="preserve">the </w:t>
      </w:r>
      <w:r w:rsidRPr="0000446F">
        <w:rPr>
          <w:rFonts w:ascii="Arial" w:hAnsi="Arial" w:cs="Arial"/>
        </w:rPr>
        <w:t>Court and recorded on the 15 June 1998.</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 xml:space="preserve">The first ground on which the </w:t>
      </w:r>
      <w:r>
        <w:rPr>
          <w:rFonts w:ascii="Arial" w:hAnsi="Arial" w:cs="Arial"/>
        </w:rPr>
        <w:t>r</w:t>
      </w:r>
      <w:r w:rsidRPr="0000446F">
        <w:rPr>
          <w:rFonts w:ascii="Arial" w:hAnsi="Arial" w:cs="Arial"/>
        </w:rPr>
        <w:t>espondent’s decision of 7 June 1996 was challenged</w:t>
      </w:r>
      <w:r>
        <w:rPr>
          <w:rFonts w:ascii="Arial" w:hAnsi="Arial" w:cs="Arial"/>
        </w:rPr>
        <w:t>,</w:t>
      </w:r>
      <w:r w:rsidRPr="0000446F">
        <w:rPr>
          <w:rFonts w:ascii="Arial" w:hAnsi="Arial" w:cs="Arial"/>
        </w:rPr>
        <w:t xml:space="preserve"> which </w:t>
      </w:r>
      <w:r>
        <w:rPr>
          <w:rFonts w:ascii="Arial" w:hAnsi="Arial" w:cs="Arial"/>
        </w:rPr>
        <w:t>s</w:t>
      </w:r>
      <w:r w:rsidRPr="0000446F">
        <w:rPr>
          <w:rFonts w:ascii="Arial" w:hAnsi="Arial" w:cs="Arial"/>
        </w:rPr>
        <w:t xml:space="preserve">tate </w:t>
      </w:r>
      <w:r>
        <w:rPr>
          <w:rFonts w:ascii="Arial" w:hAnsi="Arial" w:cs="Arial"/>
        </w:rPr>
        <w:t>c</w:t>
      </w:r>
      <w:r w:rsidRPr="0000446F">
        <w:rPr>
          <w:rFonts w:ascii="Arial" w:hAnsi="Arial" w:cs="Arial"/>
        </w:rPr>
        <w:t>ounsel seems to have lost sight of, is found</w:t>
      </w:r>
      <w:r>
        <w:rPr>
          <w:rFonts w:ascii="Arial" w:hAnsi="Arial" w:cs="Arial"/>
        </w:rPr>
        <w:t>ed</w:t>
      </w:r>
      <w:r w:rsidRPr="0000446F">
        <w:rPr>
          <w:rFonts w:ascii="Arial" w:hAnsi="Arial" w:cs="Arial"/>
        </w:rPr>
        <w:t xml:space="preserve"> on the fact that</w:t>
      </w:r>
      <w:r>
        <w:rPr>
          <w:rFonts w:ascii="Arial" w:hAnsi="Arial" w:cs="Arial"/>
        </w:rPr>
        <w:t xml:space="preserve"> although</w:t>
      </w:r>
      <w:r w:rsidRPr="0000446F">
        <w:rPr>
          <w:rFonts w:ascii="Arial" w:hAnsi="Arial" w:cs="Arial"/>
        </w:rPr>
        <w:t xml:space="preserve"> the appeal was heard by the members of the Employment Advisory Board, the </w:t>
      </w:r>
      <w:r>
        <w:rPr>
          <w:rFonts w:ascii="Arial" w:hAnsi="Arial" w:cs="Arial"/>
        </w:rPr>
        <w:t>r</w:t>
      </w:r>
      <w:r w:rsidRPr="0000446F">
        <w:rPr>
          <w:rFonts w:ascii="Arial" w:hAnsi="Arial" w:cs="Arial"/>
        </w:rPr>
        <w:t xml:space="preserve">espondent’s </w:t>
      </w:r>
      <w:r w:rsidRPr="0000446F">
        <w:rPr>
          <w:rFonts w:ascii="Arial" w:hAnsi="Arial" w:cs="Arial"/>
        </w:rPr>
        <w:lastRenderedPageBreak/>
        <w:t xml:space="preserve">decision </w:t>
      </w:r>
      <w:r>
        <w:rPr>
          <w:rFonts w:ascii="Arial" w:hAnsi="Arial" w:cs="Arial"/>
        </w:rPr>
        <w:t>was</w:t>
      </w:r>
      <w:r w:rsidRPr="0000446F">
        <w:rPr>
          <w:rFonts w:ascii="Arial" w:hAnsi="Arial" w:cs="Arial"/>
        </w:rPr>
        <w:t xml:space="preserve"> not </w:t>
      </w:r>
      <w:r>
        <w:rPr>
          <w:rFonts w:ascii="Arial" w:hAnsi="Arial" w:cs="Arial"/>
        </w:rPr>
        <w:t xml:space="preserve">made </w:t>
      </w:r>
      <w:r w:rsidRPr="0000446F">
        <w:rPr>
          <w:rFonts w:ascii="Arial" w:hAnsi="Arial" w:cs="Arial"/>
        </w:rPr>
        <w:t xml:space="preserve">in accordance with such advice.  It is contended that rules of natural justice dictate that the </w:t>
      </w:r>
      <w:r>
        <w:rPr>
          <w:rFonts w:ascii="Arial" w:hAnsi="Arial" w:cs="Arial"/>
        </w:rPr>
        <w:t>r</w:t>
      </w:r>
      <w:r w:rsidRPr="0000446F">
        <w:rPr>
          <w:rFonts w:ascii="Arial" w:hAnsi="Arial" w:cs="Arial"/>
        </w:rPr>
        <w:t xml:space="preserve">espondent was bound to follow the advice of the </w:t>
      </w:r>
      <w:r>
        <w:rPr>
          <w:rFonts w:ascii="Arial" w:hAnsi="Arial" w:cs="Arial"/>
        </w:rPr>
        <w:t>B</w:t>
      </w:r>
      <w:r w:rsidRPr="0000446F">
        <w:rPr>
          <w:rFonts w:ascii="Arial" w:hAnsi="Arial" w:cs="Arial"/>
        </w:rPr>
        <w:t>oard.  The award of salary in a sum of R94</w:t>
      </w:r>
      <w:proofErr w:type="gramStart"/>
      <w:r w:rsidRPr="0000446F">
        <w:rPr>
          <w:rFonts w:ascii="Arial" w:hAnsi="Arial" w:cs="Arial"/>
        </w:rPr>
        <w:t>,500.00</w:t>
      </w:r>
      <w:proofErr w:type="gramEnd"/>
      <w:r w:rsidRPr="0000446F">
        <w:rPr>
          <w:rFonts w:ascii="Arial" w:hAnsi="Arial" w:cs="Arial"/>
        </w:rPr>
        <w:t xml:space="preserve"> was undisputedly outside such advice.</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 xml:space="preserve">Dr (Justice) </w:t>
      </w:r>
      <w:proofErr w:type="spellStart"/>
      <w:r w:rsidRPr="0000446F">
        <w:rPr>
          <w:rFonts w:ascii="Arial" w:hAnsi="Arial" w:cs="Arial"/>
        </w:rPr>
        <w:t>Durga</w:t>
      </w:r>
      <w:proofErr w:type="spellEnd"/>
      <w:r w:rsidRPr="0000446F">
        <w:rPr>
          <w:rFonts w:ascii="Arial" w:hAnsi="Arial" w:cs="Arial"/>
        </w:rPr>
        <w:t xml:space="preserve"> Das </w:t>
      </w:r>
      <w:proofErr w:type="spellStart"/>
      <w:r w:rsidRPr="0000446F">
        <w:rPr>
          <w:rFonts w:ascii="Arial" w:hAnsi="Arial" w:cs="Arial"/>
        </w:rPr>
        <w:t>Basu</w:t>
      </w:r>
      <w:proofErr w:type="spellEnd"/>
      <w:r w:rsidRPr="0000446F">
        <w:rPr>
          <w:rFonts w:ascii="Arial" w:hAnsi="Arial" w:cs="Arial"/>
        </w:rPr>
        <w:t xml:space="preserve"> in his </w:t>
      </w:r>
      <w:proofErr w:type="gramStart"/>
      <w:r w:rsidRPr="0000446F">
        <w:rPr>
          <w:rFonts w:ascii="Arial" w:hAnsi="Arial" w:cs="Arial"/>
        </w:rPr>
        <w:t xml:space="preserve">book  </w:t>
      </w:r>
      <w:r w:rsidRPr="00BC0A99">
        <w:rPr>
          <w:rFonts w:ascii="Arial" w:hAnsi="Arial" w:cs="Arial"/>
          <w:i/>
        </w:rPr>
        <w:t>Administrative</w:t>
      </w:r>
      <w:proofErr w:type="gramEnd"/>
      <w:r w:rsidRPr="00BC0A99">
        <w:rPr>
          <w:rFonts w:ascii="Arial" w:hAnsi="Arial" w:cs="Arial"/>
          <w:i/>
        </w:rPr>
        <w:t xml:space="preserve"> Law</w:t>
      </w:r>
      <w:r w:rsidRPr="0000446F">
        <w:rPr>
          <w:rFonts w:ascii="Arial" w:hAnsi="Arial" w:cs="Arial"/>
        </w:rPr>
        <w:t xml:space="preserve"> </w:t>
      </w:r>
      <w:r>
        <w:rPr>
          <w:rFonts w:ascii="Arial" w:hAnsi="Arial" w:cs="Arial"/>
        </w:rPr>
        <w:t>(3rd</w:t>
      </w:r>
      <w:r w:rsidRPr="0000446F">
        <w:rPr>
          <w:rFonts w:ascii="Arial" w:hAnsi="Arial" w:cs="Arial"/>
        </w:rPr>
        <w:t xml:space="preserve"> </w:t>
      </w:r>
      <w:r>
        <w:rPr>
          <w:rFonts w:ascii="Arial" w:hAnsi="Arial" w:cs="Arial"/>
        </w:rPr>
        <w:t>e</w:t>
      </w:r>
      <w:r w:rsidRPr="0000446F">
        <w:rPr>
          <w:rFonts w:ascii="Arial" w:hAnsi="Arial" w:cs="Arial"/>
        </w:rPr>
        <w:t>dition</w:t>
      </w:r>
      <w:r>
        <w:rPr>
          <w:rFonts w:ascii="Arial" w:hAnsi="Arial" w:cs="Arial"/>
        </w:rPr>
        <w:t>,</w:t>
      </w:r>
      <w:r w:rsidRPr="0000446F">
        <w:rPr>
          <w:rFonts w:ascii="Arial" w:hAnsi="Arial" w:cs="Arial"/>
        </w:rPr>
        <w:t xml:space="preserve"> 1993) commenting on the judgment in </w:t>
      </w:r>
      <w:r w:rsidRPr="00BC0A99">
        <w:rPr>
          <w:rFonts w:ascii="Arial" w:hAnsi="Arial" w:cs="Arial"/>
          <w:i/>
        </w:rPr>
        <w:t xml:space="preserve">Local Government Board v </w:t>
      </w:r>
      <w:proofErr w:type="spellStart"/>
      <w:r w:rsidRPr="00BC0A99">
        <w:rPr>
          <w:rFonts w:ascii="Arial" w:hAnsi="Arial" w:cs="Arial"/>
          <w:i/>
        </w:rPr>
        <w:t>Arlidge</w:t>
      </w:r>
      <w:proofErr w:type="spellEnd"/>
      <w:r w:rsidRPr="0000446F">
        <w:rPr>
          <w:rFonts w:ascii="Arial" w:hAnsi="Arial" w:cs="Arial"/>
        </w:rPr>
        <w:t xml:space="preserve"> </w:t>
      </w:r>
      <w:r>
        <w:rPr>
          <w:rFonts w:ascii="Arial" w:hAnsi="Arial" w:cs="Arial"/>
        </w:rPr>
        <w:t>[</w:t>
      </w:r>
      <w:r w:rsidRPr="0000446F">
        <w:rPr>
          <w:rFonts w:ascii="Arial" w:hAnsi="Arial" w:cs="Arial"/>
        </w:rPr>
        <w:t>1915</w:t>
      </w:r>
      <w:r>
        <w:rPr>
          <w:rFonts w:ascii="Arial" w:hAnsi="Arial" w:cs="Arial"/>
        </w:rPr>
        <w:t>]</w:t>
      </w:r>
      <w:r w:rsidRPr="0000446F">
        <w:rPr>
          <w:rFonts w:ascii="Arial" w:hAnsi="Arial" w:cs="Arial"/>
        </w:rPr>
        <w:t xml:space="preserve"> AC 120, at 225 states thus:</w:t>
      </w:r>
    </w:p>
    <w:p w:rsidR="00B32389" w:rsidRPr="0000446F" w:rsidRDefault="00B32389" w:rsidP="00B32389">
      <w:pPr>
        <w:jc w:val="both"/>
        <w:rPr>
          <w:rFonts w:ascii="Arial" w:hAnsi="Arial" w:cs="Arial"/>
        </w:rPr>
      </w:pPr>
    </w:p>
    <w:p w:rsidR="00B32389" w:rsidRPr="0000446F" w:rsidRDefault="00B32389" w:rsidP="00B32389">
      <w:pPr>
        <w:ind w:left="720" w:right="684"/>
        <w:jc w:val="both"/>
        <w:rPr>
          <w:rFonts w:ascii="Arial" w:hAnsi="Arial" w:cs="Arial"/>
        </w:rPr>
      </w:pPr>
      <w:r w:rsidRPr="0000446F">
        <w:rPr>
          <w:rFonts w:ascii="Arial" w:hAnsi="Arial" w:cs="Arial"/>
        </w:rPr>
        <w:t>This does not however mean that an administrative tribunal or quasi</w:t>
      </w:r>
      <w:r>
        <w:rPr>
          <w:rFonts w:ascii="Arial" w:hAnsi="Arial" w:cs="Arial"/>
        </w:rPr>
        <w:t>-</w:t>
      </w:r>
      <w:r w:rsidRPr="0000446F">
        <w:rPr>
          <w:rFonts w:ascii="Arial" w:hAnsi="Arial" w:cs="Arial"/>
        </w:rPr>
        <w:t>judicial authority must hear every case personally.  In the absence of any statutory requirement, the authority is free to determine its own procedure and, provided the decision is his, he can act upon evidence heard or materials collected by his subordinates and that strict judicial principle that a decision can be given only by the judge who heard the case, does not apply to administrative tribunals.”</w:t>
      </w:r>
    </w:p>
    <w:p w:rsidR="00B32389" w:rsidRPr="0000446F" w:rsidRDefault="00B32389" w:rsidP="00B32389">
      <w:pPr>
        <w:ind w:left="720" w:right="917"/>
        <w:jc w:val="both"/>
        <w:rPr>
          <w:rFonts w:ascii="Arial" w:hAnsi="Arial" w:cs="Arial"/>
        </w:rPr>
      </w:pPr>
    </w:p>
    <w:p w:rsidR="00B32389" w:rsidRPr="0000446F" w:rsidRDefault="00B32389" w:rsidP="00B32389">
      <w:pPr>
        <w:ind w:left="720" w:right="684"/>
        <w:jc w:val="both"/>
        <w:rPr>
          <w:rFonts w:ascii="Arial" w:hAnsi="Arial" w:cs="Arial"/>
        </w:rPr>
      </w:pPr>
      <w:r w:rsidRPr="0000446F">
        <w:rPr>
          <w:rFonts w:ascii="Arial" w:hAnsi="Arial" w:cs="Arial"/>
        </w:rPr>
        <w:t>…“Whether the quasi</w:t>
      </w:r>
      <w:r>
        <w:rPr>
          <w:rFonts w:ascii="Arial" w:hAnsi="Arial" w:cs="Arial"/>
        </w:rPr>
        <w:t>–</w:t>
      </w:r>
      <w:r w:rsidRPr="0000446F">
        <w:rPr>
          <w:rFonts w:ascii="Arial" w:hAnsi="Arial" w:cs="Arial"/>
        </w:rPr>
        <w:t>judicial</w:t>
      </w:r>
      <w:r>
        <w:rPr>
          <w:rFonts w:ascii="Arial" w:hAnsi="Arial" w:cs="Arial"/>
        </w:rPr>
        <w:t xml:space="preserve"> officer</w:t>
      </w:r>
      <w:r w:rsidRPr="0000446F">
        <w:rPr>
          <w:rFonts w:ascii="Arial" w:hAnsi="Arial" w:cs="Arial"/>
        </w:rPr>
        <w:t xml:space="preserve"> agrees with or differs from the report of the inquiry officer, he is bound to form his independent view and give his decision accordingly.”</w:t>
      </w:r>
    </w:p>
    <w:p w:rsidR="00B32389" w:rsidRPr="0000446F" w:rsidRDefault="00B32389" w:rsidP="00B32389">
      <w:pPr>
        <w:ind w:right="1440"/>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 xml:space="preserve">By his affidavit on 11 July 1997 the </w:t>
      </w:r>
      <w:proofErr w:type="spellStart"/>
      <w:r>
        <w:rPr>
          <w:rFonts w:ascii="Arial" w:hAnsi="Arial" w:cs="Arial"/>
        </w:rPr>
        <w:t>r</w:t>
      </w:r>
      <w:r w:rsidRPr="0000446F">
        <w:rPr>
          <w:rFonts w:ascii="Arial" w:hAnsi="Arial" w:cs="Arial"/>
        </w:rPr>
        <w:t>spondent</w:t>
      </w:r>
      <w:proofErr w:type="spellEnd"/>
      <w:r w:rsidRPr="0000446F">
        <w:rPr>
          <w:rFonts w:ascii="Arial" w:hAnsi="Arial" w:cs="Arial"/>
        </w:rPr>
        <w:t xml:space="preserve"> has sworn to the facts, that the decision of 7 June 1996 is his and that he has drawn his own conclusions.  I therefore rule that the </w:t>
      </w:r>
      <w:r>
        <w:rPr>
          <w:rFonts w:ascii="Arial" w:hAnsi="Arial" w:cs="Arial"/>
        </w:rPr>
        <w:t>r</w:t>
      </w:r>
      <w:r w:rsidRPr="0000446F">
        <w:rPr>
          <w:rFonts w:ascii="Arial" w:hAnsi="Arial" w:cs="Arial"/>
        </w:rPr>
        <w:t>espondent was not bound to follow the advice of the Board in the instant matter to satisfy rules of natural justice.</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Pr>
          <w:rFonts w:ascii="Arial" w:hAnsi="Arial" w:cs="Arial"/>
        </w:rPr>
        <w:t>The</w:t>
      </w:r>
      <w:r w:rsidRPr="0000446F">
        <w:rPr>
          <w:rFonts w:ascii="Arial" w:hAnsi="Arial" w:cs="Arial"/>
        </w:rPr>
        <w:t xml:space="preserve"> making an award of salary to the </w:t>
      </w:r>
      <w:r>
        <w:rPr>
          <w:rFonts w:ascii="Arial" w:hAnsi="Arial" w:cs="Arial"/>
        </w:rPr>
        <w:t>p</w:t>
      </w:r>
      <w:r w:rsidRPr="0000446F">
        <w:rPr>
          <w:rFonts w:ascii="Arial" w:hAnsi="Arial" w:cs="Arial"/>
        </w:rPr>
        <w:t>etitioner’s former employee for a period after the termination of his services on 17 November 1995 appear</w:t>
      </w:r>
      <w:r>
        <w:rPr>
          <w:rFonts w:ascii="Arial" w:hAnsi="Arial" w:cs="Arial"/>
        </w:rPr>
        <w:t>s</w:t>
      </w:r>
      <w:r w:rsidRPr="0000446F">
        <w:rPr>
          <w:rFonts w:ascii="Arial" w:hAnsi="Arial" w:cs="Arial"/>
        </w:rPr>
        <w:t xml:space="preserve"> to be, as commented by </w:t>
      </w:r>
      <w:r>
        <w:rPr>
          <w:rFonts w:ascii="Arial" w:hAnsi="Arial" w:cs="Arial"/>
        </w:rPr>
        <w:t>c</w:t>
      </w:r>
      <w:r w:rsidRPr="0000446F">
        <w:rPr>
          <w:rFonts w:ascii="Arial" w:hAnsi="Arial" w:cs="Arial"/>
        </w:rPr>
        <w:t>ounsel</w:t>
      </w:r>
      <w:r>
        <w:rPr>
          <w:rFonts w:ascii="Arial" w:hAnsi="Arial" w:cs="Arial"/>
        </w:rPr>
        <w:t>,</w:t>
      </w:r>
      <w:r w:rsidRPr="0000446F">
        <w:rPr>
          <w:rFonts w:ascii="Arial" w:hAnsi="Arial" w:cs="Arial"/>
        </w:rPr>
        <w:t xml:space="preserve"> ‘based on nothing.’  The thrust of the </w:t>
      </w:r>
      <w:r>
        <w:rPr>
          <w:rFonts w:ascii="Arial" w:hAnsi="Arial" w:cs="Arial"/>
        </w:rPr>
        <w:t>p</w:t>
      </w:r>
      <w:r w:rsidRPr="0000446F">
        <w:rPr>
          <w:rFonts w:ascii="Arial" w:hAnsi="Arial" w:cs="Arial"/>
        </w:rPr>
        <w:t>etitioner’s challenge is apparently found</w:t>
      </w:r>
      <w:r>
        <w:rPr>
          <w:rFonts w:ascii="Arial" w:hAnsi="Arial" w:cs="Arial"/>
        </w:rPr>
        <w:t>ed</w:t>
      </w:r>
      <w:r w:rsidRPr="0000446F">
        <w:rPr>
          <w:rFonts w:ascii="Arial" w:hAnsi="Arial" w:cs="Arial"/>
        </w:rPr>
        <w:t xml:space="preserve"> on the argument that the </w:t>
      </w:r>
      <w:r>
        <w:rPr>
          <w:rFonts w:ascii="Arial" w:hAnsi="Arial" w:cs="Arial"/>
        </w:rPr>
        <w:t>r</w:t>
      </w:r>
      <w:r w:rsidRPr="0000446F">
        <w:rPr>
          <w:rFonts w:ascii="Arial" w:hAnsi="Arial" w:cs="Arial"/>
        </w:rPr>
        <w:t>espondent has exceeded his jurisdiction vested in him by statute.</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 xml:space="preserve">As rightly pointed out by </w:t>
      </w:r>
      <w:r>
        <w:rPr>
          <w:rFonts w:ascii="Arial" w:hAnsi="Arial" w:cs="Arial"/>
        </w:rPr>
        <w:t>c</w:t>
      </w:r>
      <w:r w:rsidRPr="0000446F">
        <w:rPr>
          <w:rFonts w:ascii="Arial" w:hAnsi="Arial" w:cs="Arial"/>
        </w:rPr>
        <w:t xml:space="preserve">ounsel for the </w:t>
      </w:r>
      <w:r>
        <w:rPr>
          <w:rFonts w:ascii="Arial" w:hAnsi="Arial" w:cs="Arial"/>
        </w:rPr>
        <w:t>p</w:t>
      </w:r>
      <w:r w:rsidRPr="0000446F">
        <w:rPr>
          <w:rFonts w:ascii="Arial" w:hAnsi="Arial" w:cs="Arial"/>
        </w:rPr>
        <w:t xml:space="preserve">etitioner, the </w:t>
      </w:r>
      <w:r>
        <w:rPr>
          <w:rFonts w:ascii="Arial" w:hAnsi="Arial" w:cs="Arial"/>
        </w:rPr>
        <w:t>r</w:t>
      </w:r>
      <w:r w:rsidRPr="0000446F">
        <w:rPr>
          <w:rFonts w:ascii="Arial" w:hAnsi="Arial" w:cs="Arial"/>
        </w:rPr>
        <w:t>espondent</w:t>
      </w:r>
      <w:r w:rsidRPr="00A50478">
        <w:rPr>
          <w:rFonts w:ascii="Arial" w:hAnsi="Arial" w:cs="Arial"/>
        </w:rPr>
        <w:t xml:space="preserve"> </w:t>
      </w:r>
      <w:r w:rsidRPr="0000446F">
        <w:rPr>
          <w:rFonts w:ascii="Arial" w:hAnsi="Arial" w:cs="Arial"/>
        </w:rPr>
        <w:t xml:space="preserve">opted not to reinstate </w:t>
      </w:r>
      <w:r>
        <w:rPr>
          <w:rFonts w:ascii="Arial" w:hAnsi="Arial" w:cs="Arial"/>
        </w:rPr>
        <w:t>the employee,</w:t>
      </w:r>
      <w:r w:rsidRPr="0000446F">
        <w:rPr>
          <w:rFonts w:ascii="Arial" w:hAnsi="Arial" w:cs="Arial"/>
        </w:rPr>
        <w:t xml:space="preserve"> although</w:t>
      </w:r>
      <w:r>
        <w:rPr>
          <w:rFonts w:ascii="Arial" w:hAnsi="Arial" w:cs="Arial"/>
        </w:rPr>
        <w:t xml:space="preserve"> he</w:t>
      </w:r>
      <w:r w:rsidRPr="0000446F">
        <w:rPr>
          <w:rFonts w:ascii="Arial" w:hAnsi="Arial" w:cs="Arial"/>
        </w:rPr>
        <w:t xml:space="preserve"> found the termination of services of the </w:t>
      </w:r>
      <w:r>
        <w:rPr>
          <w:rFonts w:ascii="Arial" w:hAnsi="Arial" w:cs="Arial"/>
        </w:rPr>
        <w:t>p</w:t>
      </w:r>
      <w:r w:rsidRPr="0000446F">
        <w:rPr>
          <w:rFonts w:ascii="Arial" w:hAnsi="Arial" w:cs="Arial"/>
        </w:rPr>
        <w:t xml:space="preserve">etitioner’s employee </w:t>
      </w:r>
      <w:r>
        <w:rPr>
          <w:rFonts w:ascii="Arial" w:hAnsi="Arial" w:cs="Arial"/>
        </w:rPr>
        <w:t>to be un</w:t>
      </w:r>
      <w:r w:rsidRPr="0000446F">
        <w:rPr>
          <w:rFonts w:ascii="Arial" w:hAnsi="Arial" w:cs="Arial"/>
        </w:rPr>
        <w:t>justified</w:t>
      </w:r>
      <w:proofErr w:type="gramStart"/>
      <w:r w:rsidRPr="0000446F">
        <w:rPr>
          <w:rFonts w:ascii="Arial" w:hAnsi="Arial" w:cs="Arial"/>
        </w:rPr>
        <w:t xml:space="preserve">, </w:t>
      </w:r>
      <w:r>
        <w:rPr>
          <w:rFonts w:ascii="Arial" w:hAnsi="Arial" w:cs="Arial"/>
        </w:rPr>
        <w:t>.</w:t>
      </w:r>
      <w:proofErr w:type="gramEnd"/>
      <w:r w:rsidRPr="0000446F">
        <w:rPr>
          <w:rFonts w:ascii="Arial" w:hAnsi="Arial" w:cs="Arial"/>
        </w:rPr>
        <w:t xml:space="preserve"> </w:t>
      </w:r>
      <w:r>
        <w:rPr>
          <w:rFonts w:ascii="Arial" w:hAnsi="Arial" w:cs="Arial"/>
        </w:rPr>
        <w:t>H</w:t>
      </w:r>
      <w:r w:rsidRPr="0000446F">
        <w:rPr>
          <w:rFonts w:ascii="Arial" w:hAnsi="Arial" w:cs="Arial"/>
        </w:rPr>
        <w:t xml:space="preserve">ence he has acted under </w:t>
      </w:r>
      <w:r>
        <w:rPr>
          <w:rFonts w:ascii="Arial" w:hAnsi="Arial" w:cs="Arial"/>
        </w:rPr>
        <w:t>s</w:t>
      </w:r>
      <w:r w:rsidRPr="0000446F">
        <w:rPr>
          <w:rFonts w:ascii="Arial" w:hAnsi="Arial" w:cs="Arial"/>
        </w:rPr>
        <w:t>ection 61(2</w:t>
      </w:r>
      <w:proofErr w:type="gramStart"/>
      <w:r w:rsidRPr="0000446F">
        <w:rPr>
          <w:rFonts w:ascii="Arial" w:hAnsi="Arial" w:cs="Arial"/>
        </w:rPr>
        <w:t>)(</w:t>
      </w:r>
      <w:proofErr w:type="gramEnd"/>
      <w:r w:rsidRPr="0000446F">
        <w:rPr>
          <w:rFonts w:ascii="Arial" w:hAnsi="Arial" w:cs="Arial"/>
        </w:rPr>
        <w:t>a)(iii) of the Employment Act 1995 (hereinafter referred to as the ‘Act’).</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Section 62 of the Act provides for the payment of wages when a contract of employment is terminated by an employer, while 62(b</w:t>
      </w:r>
      <w:proofErr w:type="gramStart"/>
      <w:r w:rsidRPr="0000446F">
        <w:rPr>
          <w:rFonts w:ascii="Arial" w:hAnsi="Arial" w:cs="Arial"/>
        </w:rPr>
        <w:t>)(</w:t>
      </w:r>
      <w:proofErr w:type="gramEnd"/>
      <w:r w:rsidRPr="0000446F">
        <w:rPr>
          <w:rFonts w:ascii="Arial" w:hAnsi="Arial" w:cs="Arial"/>
        </w:rPr>
        <w:t xml:space="preserve">iii) conditions such payments for, other than for a serious disciplinary offence under </w:t>
      </w:r>
      <w:r>
        <w:rPr>
          <w:rFonts w:ascii="Arial" w:hAnsi="Arial" w:cs="Arial"/>
        </w:rPr>
        <w:t>s</w:t>
      </w:r>
      <w:r w:rsidRPr="0000446F">
        <w:rPr>
          <w:rFonts w:ascii="Arial" w:hAnsi="Arial" w:cs="Arial"/>
        </w:rPr>
        <w:t>ection 57(4) of the Act.</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Pr>
          <w:rFonts w:ascii="Arial" w:hAnsi="Arial" w:cs="Arial"/>
        </w:rPr>
        <w:t>The i</w:t>
      </w:r>
      <w:r w:rsidRPr="0000446F">
        <w:rPr>
          <w:rFonts w:ascii="Arial" w:hAnsi="Arial" w:cs="Arial"/>
        </w:rPr>
        <w:t xml:space="preserve">nterpretation </w:t>
      </w:r>
      <w:r>
        <w:rPr>
          <w:rFonts w:ascii="Arial" w:hAnsi="Arial" w:cs="Arial"/>
        </w:rPr>
        <w:t>s</w:t>
      </w:r>
      <w:r w:rsidRPr="0000446F">
        <w:rPr>
          <w:rFonts w:ascii="Arial" w:hAnsi="Arial" w:cs="Arial"/>
        </w:rPr>
        <w:t>ection of the Act</w:t>
      </w:r>
      <w:r>
        <w:rPr>
          <w:rFonts w:ascii="Arial" w:hAnsi="Arial" w:cs="Arial"/>
        </w:rPr>
        <w:t xml:space="preserve"> (section 2)</w:t>
      </w:r>
      <w:r w:rsidRPr="0000446F">
        <w:rPr>
          <w:rFonts w:ascii="Arial" w:hAnsi="Arial" w:cs="Arial"/>
        </w:rPr>
        <w:t xml:space="preserve"> defines ‘wages’ to mean, “the remuneration or earnings, however calculated, expressed in terms of money payable to a worker in respect to work done under the contract of employment of the worker but does not include payment for overtime work or other incidental purposes.”  The definition doesn’t include the term a ‘salary’ and the </w:t>
      </w:r>
      <w:r>
        <w:rPr>
          <w:rFonts w:ascii="Arial" w:hAnsi="Arial" w:cs="Arial"/>
        </w:rPr>
        <w:t>r</w:t>
      </w:r>
      <w:r w:rsidRPr="0000446F">
        <w:rPr>
          <w:rFonts w:ascii="Arial" w:hAnsi="Arial" w:cs="Arial"/>
        </w:rPr>
        <w:t xml:space="preserve">espondent’s award was in fact of wages as prescribed by </w:t>
      </w:r>
      <w:r>
        <w:rPr>
          <w:rFonts w:ascii="Arial" w:hAnsi="Arial" w:cs="Arial"/>
        </w:rPr>
        <w:t>s</w:t>
      </w:r>
      <w:r w:rsidRPr="0000446F">
        <w:rPr>
          <w:rFonts w:ascii="Arial" w:hAnsi="Arial" w:cs="Arial"/>
        </w:rPr>
        <w:t xml:space="preserve">ection 62 of the Act.  There can be no doubt such as </w:t>
      </w:r>
      <w:r w:rsidRPr="0000446F">
        <w:rPr>
          <w:rFonts w:ascii="Arial" w:hAnsi="Arial" w:cs="Arial"/>
        </w:rPr>
        <w:lastRenderedPageBreak/>
        <w:t xml:space="preserve">entitlement ends with the termination of services of an employee, and therefore the contract is thereby determined.  State </w:t>
      </w:r>
      <w:r>
        <w:rPr>
          <w:rFonts w:ascii="Arial" w:hAnsi="Arial" w:cs="Arial"/>
        </w:rPr>
        <w:t>c</w:t>
      </w:r>
      <w:r w:rsidRPr="0000446F">
        <w:rPr>
          <w:rFonts w:ascii="Arial" w:hAnsi="Arial" w:cs="Arial"/>
        </w:rPr>
        <w:t>ounsel</w:t>
      </w:r>
      <w:r>
        <w:rPr>
          <w:rFonts w:ascii="Arial" w:hAnsi="Arial" w:cs="Arial"/>
        </w:rPr>
        <w:t>,</w:t>
      </w:r>
      <w:r w:rsidRPr="0000446F">
        <w:rPr>
          <w:rFonts w:ascii="Arial" w:hAnsi="Arial" w:cs="Arial"/>
        </w:rPr>
        <w:t xml:space="preserve"> conscious of such implications on the award of the </w:t>
      </w:r>
      <w:r>
        <w:rPr>
          <w:rFonts w:ascii="Arial" w:hAnsi="Arial" w:cs="Arial"/>
        </w:rPr>
        <w:t>r</w:t>
      </w:r>
      <w:r w:rsidRPr="0000446F">
        <w:rPr>
          <w:rFonts w:ascii="Arial" w:hAnsi="Arial" w:cs="Arial"/>
        </w:rPr>
        <w:t>espondent</w:t>
      </w:r>
      <w:r>
        <w:rPr>
          <w:rFonts w:ascii="Arial" w:hAnsi="Arial" w:cs="Arial"/>
        </w:rPr>
        <w:t>,</w:t>
      </w:r>
      <w:r w:rsidRPr="0000446F">
        <w:rPr>
          <w:rFonts w:ascii="Arial" w:hAnsi="Arial" w:cs="Arial"/>
        </w:rPr>
        <w:t xml:space="preserve"> argues that the unjust termination of services is </w:t>
      </w:r>
      <w:proofErr w:type="gramStart"/>
      <w:r w:rsidRPr="0000446F">
        <w:rPr>
          <w:rFonts w:ascii="Arial" w:hAnsi="Arial" w:cs="Arial"/>
        </w:rPr>
        <w:t>unlawful,</w:t>
      </w:r>
      <w:proofErr w:type="gramEnd"/>
      <w:r w:rsidRPr="0000446F">
        <w:rPr>
          <w:rFonts w:ascii="Arial" w:hAnsi="Arial" w:cs="Arial"/>
        </w:rPr>
        <w:t xml:space="preserve"> hence the lawful termination of the employee</w:t>
      </w:r>
      <w:r>
        <w:rPr>
          <w:rFonts w:ascii="Arial" w:hAnsi="Arial" w:cs="Arial"/>
        </w:rPr>
        <w:t>’</w:t>
      </w:r>
      <w:r w:rsidRPr="0000446F">
        <w:rPr>
          <w:rFonts w:ascii="Arial" w:hAnsi="Arial" w:cs="Arial"/>
        </w:rPr>
        <w:t xml:space="preserve">s services became effective only with the determination of the </w:t>
      </w:r>
      <w:r>
        <w:rPr>
          <w:rFonts w:ascii="Arial" w:hAnsi="Arial" w:cs="Arial"/>
        </w:rPr>
        <w:t>r</w:t>
      </w:r>
      <w:r w:rsidRPr="0000446F">
        <w:rPr>
          <w:rFonts w:ascii="Arial" w:hAnsi="Arial" w:cs="Arial"/>
        </w:rPr>
        <w:t>espondent on 7 June 1996.</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The legislature, by passing into law the Employment Act</w:t>
      </w:r>
      <w:r>
        <w:rPr>
          <w:rFonts w:ascii="Arial" w:hAnsi="Arial" w:cs="Arial"/>
        </w:rPr>
        <w:t>,</w:t>
      </w:r>
      <w:r w:rsidRPr="0000446F">
        <w:rPr>
          <w:rFonts w:ascii="Arial" w:hAnsi="Arial" w:cs="Arial"/>
        </w:rPr>
        <w:t xml:space="preserve"> has prescribed the relief available to an employee dismissed unjustly, and the terms of his contract except where the Act provides for its application </w:t>
      </w:r>
      <w:r>
        <w:rPr>
          <w:rFonts w:ascii="Arial" w:hAnsi="Arial" w:cs="Arial"/>
        </w:rPr>
        <w:t>to have</w:t>
      </w:r>
      <w:r w:rsidRPr="0000446F">
        <w:rPr>
          <w:rFonts w:ascii="Arial" w:hAnsi="Arial" w:cs="Arial"/>
        </w:rPr>
        <w:t xml:space="preserve"> ceased to have any effect in law on relief available to the employee.  </w:t>
      </w:r>
      <w:proofErr w:type="spellStart"/>
      <w:r w:rsidRPr="0000446F">
        <w:rPr>
          <w:rFonts w:ascii="Arial" w:hAnsi="Arial" w:cs="Arial"/>
        </w:rPr>
        <w:t>Ayoola</w:t>
      </w:r>
      <w:proofErr w:type="spellEnd"/>
      <w:r w:rsidRPr="0000446F">
        <w:rPr>
          <w:rFonts w:ascii="Arial" w:hAnsi="Arial" w:cs="Arial"/>
        </w:rPr>
        <w:t xml:space="preserve"> JA in the case of </w:t>
      </w:r>
      <w:r w:rsidRPr="00BC0A99">
        <w:rPr>
          <w:rFonts w:ascii="Arial" w:hAnsi="Arial" w:cs="Arial"/>
          <w:i/>
        </w:rPr>
        <w:t xml:space="preserve">Antoine Rosette v Union </w:t>
      </w:r>
      <w:proofErr w:type="spellStart"/>
      <w:r w:rsidRPr="00BC0A99">
        <w:rPr>
          <w:rFonts w:ascii="Arial" w:hAnsi="Arial" w:cs="Arial"/>
          <w:i/>
        </w:rPr>
        <w:t>Lighterage</w:t>
      </w:r>
      <w:proofErr w:type="spellEnd"/>
      <w:r w:rsidRPr="00BC0A99">
        <w:rPr>
          <w:rFonts w:ascii="Arial" w:hAnsi="Arial" w:cs="Arial"/>
          <w:i/>
        </w:rPr>
        <w:t xml:space="preserve"> Company</w:t>
      </w:r>
      <w:r>
        <w:rPr>
          <w:rFonts w:ascii="Arial" w:hAnsi="Arial" w:cs="Arial"/>
        </w:rPr>
        <w:t xml:space="preserve"> (unreported)</w:t>
      </w:r>
      <w:r w:rsidRPr="0000446F">
        <w:rPr>
          <w:rFonts w:ascii="Arial" w:hAnsi="Arial" w:cs="Arial"/>
        </w:rPr>
        <w:t xml:space="preserve"> CA 16</w:t>
      </w:r>
      <w:r>
        <w:rPr>
          <w:rFonts w:ascii="Arial" w:hAnsi="Arial" w:cs="Arial"/>
        </w:rPr>
        <w:t>/</w:t>
      </w:r>
      <w:r w:rsidRPr="0000446F">
        <w:rPr>
          <w:rFonts w:ascii="Arial" w:hAnsi="Arial" w:cs="Arial"/>
        </w:rPr>
        <w:t xml:space="preserve">1994 decided on 18 May 1995 was for the said reason prompted to pronounce that, “The remedy and relief which attend an unjustified termination of a contract of employment have been fully set out by the legislature in the Act.”  Hence any alternative interpretations or circumstances cannot be taken into consideration </w:t>
      </w:r>
      <w:r>
        <w:rPr>
          <w:rFonts w:ascii="Arial" w:hAnsi="Arial" w:cs="Arial"/>
        </w:rPr>
        <w:t>unless</w:t>
      </w:r>
      <w:r w:rsidRPr="0000446F">
        <w:rPr>
          <w:rFonts w:ascii="Arial" w:hAnsi="Arial" w:cs="Arial"/>
        </w:rPr>
        <w:t xml:space="preserve"> the statute provides so.</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On the aforesaid definition of ‘wages’ in the Act,</w:t>
      </w:r>
      <w:r>
        <w:rPr>
          <w:rFonts w:ascii="Arial" w:hAnsi="Arial" w:cs="Arial"/>
        </w:rPr>
        <w:t xml:space="preserve"> for</w:t>
      </w:r>
      <w:r w:rsidRPr="0000446F">
        <w:rPr>
          <w:rFonts w:ascii="Arial" w:hAnsi="Arial" w:cs="Arial"/>
        </w:rPr>
        <w:t xml:space="preserve"> an award of salary to arise the employee should have been entitled to remuneration or earnings.  Such entitlement without doubt ends with the effective termination of his services.  </w:t>
      </w:r>
      <w:r>
        <w:rPr>
          <w:rFonts w:ascii="Arial" w:hAnsi="Arial" w:cs="Arial"/>
        </w:rPr>
        <w:t>The r</w:t>
      </w:r>
      <w:r w:rsidRPr="0000446F">
        <w:rPr>
          <w:rFonts w:ascii="Arial" w:hAnsi="Arial" w:cs="Arial"/>
        </w:rPr>
        <w:t xml:space="preserve">espondent acted under </w:t>
      </w:r>
      <w:r>
        <w:rPr>
          <w:rFonts w:ascii="Arial" w:hAnsi="Arial" w:cs="Arial"/>
        </w:rPr>
        <w:t>s</w:t>
      </w:r>
      <w:r w:rsidRPr="0000446F">
        <w:rPr>
          <w:rFonts w:ascii="Arial" w:hAnsi="Arial" w:cs="Arial"/>
        </w:rPr>
        <w:t>ection 61(2</w:t>
      </w:r>
      <w:proofErr w:type="gramStart"/>
      <w:r w:rsidRPr="0000446F">
        <w:rPr>
          <w:rFonts w:ascii="Arial" w:hAnsi="Arial" w:cs="Arial"/>
        </w:rPr>
        <w:t>)(</w:t>
      </w:r>
      <w:proofErr w:type="gramEnd"/>
      <w:r w:rsidRPr="0000446F">
        <w:rPr>
          <w:rFonts w:ascii="Arial" w:hAnsi="Arial" w:cs="Arial"/>
        </w:rPr>
        <w:t>iii) of the Act when he decided that although the termination of services of the employee was not justified he did not order the reinstatement of the employee in his position.  Hence he was bound to give effect to the rest of the provisions of the said section.</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Section 61(2</w:t>
      </w:r>
      <w:proofErr w:type="gramStart"/>
      <w:r w:rsidRPr="0000446F">
        <w:rPr>
          <w:rFonts w:ascii="Arial" w:hAnsi="Arial" w:cs="Arial"/>
        </w:rPr>
        <w:t>)(</w:t>
      </w:r>
      <w:proofErr w:type="gramEnd"/>
      <w:r w:rsidRPr="0000446F">
        <w:rPr>
          <w:rFonts w:ascii="Arial" w:hAnsi="Arial" w:cs="Arial"/>
        </w:rPr>
        <w:t>iii) further provides</w:t>
      </w:r>
      <w:r>
        <w:rPr>
          <w:rFonts w:ascii="Arial" w:hAnsi="Arial" w:cs="Arial"/>
        </w:rPr>
        <w:t xml:space="preserve"> that it is possible to</w:t>
      </w:r>
      <w:r w:rsidRPr="0000446F">
        <w:rPr>
          <w:rFonts w:ascii="Arial" w:hAnsi="Arial" w:cs="Arial"/>
        </w:rPr>
        <w:t xml:space="preserve"> “allow the termination subject” to certain payments.  There can be no doubt the words “allow the termination” refer to the termination of the employee</w:t>
      </w:r>
      <w:r>
        <w:rPr>
          <w:rFonts w:ascii="Arial" w:hAnsi="Arial" w:cs="Arial"/>
        </w:rPr>
        <w:t>’</w:t>
      </w:r>
      <w:r w:rsidRPr="0000446F">
        <w:rPr>
          <w:rFonts w:ascii="Arial" w:hAnsi="Arial" w:cs="Arial"/>
        </w:rPr>
        <w:t xml:space="preserve">s services by his employer that is in issue, hence it cannot admit any other form of termination.  </w:t>
      </w:r>
      <w:r>
        <w:rPr>
          <w:rFonts w:ascii="Arial" w:hAnsi="Arial" w:cs="Arial"/>
        </w:rPr>
        <w:t>The l</w:t>
      </w:r>
      <w:r w:rsidRPr="0000446F">
        <w:rPr>
          <w:rFonts w:ascii="Arial" w:hAnsi="Arial" w:cs="Arial"/>
        </w:rPr>
        <w:t>egality or the illegality of the termination of the employee</w:t>
      </w:r>
      <w:r>
        <w:rPr>
          <w:rFonts w:ascii="Arial" w:hAnsi="Arial" w:cs="Arial"/>
        </w:rPr>
        <w:t>’</w:t>
      </w:r>
      <w:r w:rsidRPr="0000446F">
        <w:rPr>
          <w:rFonts w:ascii="Arial" w:hAnsi="Arial" w:cs="Arial"/>
        </w:rPr>
        <w:t xml:space="preserve">s services will make no difference when the </w:t>
      </w:r>
      <w:r>
        <w:rPr>
          <w:rFonts w:ascii="Arial" w:hAnsi="Arial" w:cs="Arial"/>
        </w:rPr>
        <w:t>r</w:t>
      </w:r>
      <w:r w:rsidRPr="0000446F">
        <w:rPr>
          <w:rFonts w:ascii="Arial" w:hAnsi="Arial" w:cs="Arial"/>
        </w:rPr>
        <w:t xml:space="preserve">espondent acts under the provisions of </w:t>
      </w:r>
      <w:r>
        <w:rPr>
          <w:rFonts w:ascii="Arial" w:hAnsi="Arial" w:cs="Arial"/>
        </w:rPr>
        <w:t>s</w:t>
      </w:r>
      <w:r w:rsidRPr="0000446F">
        <w:rPr>
          <w:rFonts w:ascii="Arial" w:hAnsi="Arial" w:cs="Arial"/>
        </w:rPr>
        <w:t>ection 61(2</w:t>
      </w:r>
      <w:proofErr w:type="gramStart"/>
      <w:r w:rsidRPr="0000446F">
        <w:rPr>
          <w:rFonts w:ascii="Arial" w:hAnsi="Arial" w:cs="Arial"/>
        </w:rPr>
        <w:t>)(</w:t>
      </w:r>
      <w:proofErr w:type="gramEnd"/>
      <w:r w:rsidRPr="0000446F">
        <w:rPr>
          <w:rFonts w:ascii="Arial" w:hAnsi="Arial" w:cs="Arial"/>
        </w:rPr>
        <w:t>iii) of the Act.  I conclude that the statutory provisions as referred to above prescribe</w:t>
      </w:r>
      <w:r>
        <w:rPr>
          <w:rFonts w:ascii="Arial" w:hAnsi="Arial" w:cs="Arial"/>
        </w:rPr>
        <w:t xml:space="preserve"> that</w:t>
      </w:r>
      <w:r w:rsidRPr="0000446F">
        <w:rPr>
          <w:rFonts w:ascii="Arial" w:hAnsi="Arial" w:cs="Arial"/>
        </w:rPr>
        <w:t xml:space="preserve"> the termination of the employee</w:t>
      </w:r>
      <w:r>
        <w:rPr>
          <w:rFonts w:ascii="Arial" w:hAnsi="Arial" w:cs="Arial"/>
        </w:rPr>
        <w:t>’</w:t>
      </w:r>
      <w:r w:rsidRPr="0000446F">
        <w:rPr>
          <w:rFonts w:ascii="Arial" w:hAnsi="Arial" w:cs="Arial"/>
        </w:rPr>
        <w:t>s services on 17 November 1995</w:t>
      </w:r>
      <w:r>
        <w:rPr>
          <w:rFonts w:ascii="Arial" w:hAnsi="Arial" w:cs="Arial"/>
        </w:rPr>
        <w:t>,</w:t>
      </w:r>
      <w:r w:rsidRPr="0000446F">
        <w:rPr>
          <w:rFonts w:ascii="Arial" w:hAnsi="Arial" w:cs="Arial"/>
        </w:rPr>
        <w:t xml:space="preserve"> however unjust it was</w:t>
      </w:r>
      <w:r>
        <w:rPr>
          <w:rFonts w:ascii="Arial" w:hAnsi="Arial" w:cs="Arial"/>
        </w:rPr>
        <w:t>,</w:t>
      </w:r>
      <w:r w:rsidRPr="0000446F">
        <w:rPr>
          <w:rFonts w:ascii="Arial" w:hAnsi="Arial" w:cs="Arial"/>
        </w:rPr>
        <w:t xml:space="preserve"> should be allowed, </w:t>
      </w:r>
      <w:r>
        <w:rPr>
          <w:rFonts w:ascii="Arial" w:hAnsi="Arial" w:cs="Arial"/>
        </w:rPr>
        <w:t xml:space="preserve">and that this </w:t>
      </w:r>
      <w:r w:rsidRPr="0000446F">
        <w:rPr>
          <w:rFonts w:ascii="Arial" w:hAnsi="Arial" w:cs="Arial"/>
        </w:rPr>
        <w:t xml:space="preserve">took away the </w:t>
      </w:r>
      <w:r>
        <w:rPr>
          <w:rFonts w:ascii="Arial" w:hAnsi="Arial" w:cs="Arial"/>
        </w:rPr>
        <w:t>r</w:t>
      </w:r>
      <w:r w:rsidRPr="0000446F">
        <w:rPr>
          <w:rFonts w:ascii="Arial" w:hAnsi="Arial" w:cs="Arial"/>
        </w:rPr>
        <w:t>espondent’s jurisdiction to award a ‘salary’ for any period after the termination of the employee</w:t>
      </w:r>
      <w:r>
        <w:rPr>
          <w:rFonts w:ascii="Arial" w:hAnsi="Arial" w:cs="Arial"/>
        </w:rPr>
        <w:t>’</w:t>
      </w:r>
      <w:r w:rsidRPr="0000446F">
        <w:rPr>
          <w:rFonts w:ascii="Arial" w:hAnsi="Arial" w:cs="Arial"/>
        </w:rPr>
        <w:t xml:space="preserve">s services, found by the </w:t>
      </w:r>
      <w:r>
        <w:rPr>
          <w:rFonts w:ascii="Arial" w:hAnsi="Arial" w:cs="Arial"/>
        </w:rPr>
        <w:t>r</w:t>
      </w:r>
      <w:r w:rsidRPr="0000446F">
        <w:rPr>
          <w:rFonts w:ascii="Arial" w:hAnsi="Arial" w:cs="Arial"/>
        </w:rPr>
        <w:t>espondent to be unjust.</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 xml:space="preserve">Therefore the </w:t>
      </w:r>
      <w:r>
        <w:rPr>
          <w:rFonts w:ascii="Arial" w:hAnsi="Arial" w:cs="Arial"/>
        </w:rPr>
        <w:t>r</w:t>
      </w:r>
      <w:r w:rsidRPr="0000446F">
        <w:rPr>
          <w:rFonts w:ascii="Arial" w:hAnsi="Arial" w:cs="Arial"/>
        </w:rPr>
        <w:t>espondent’s award of salary for the period 17-11-95 to 17-05-96 in a sum of R94</w:t>
      </w:r>
      <w:proofErr w:type="gramStart"/>
      <w:r w:rsidRPr="0000446F">
        <w:rPr>
          <w:rFonts w:ascii="Arial" w:hAnsi="Arial" w:cs="Arial"/>
        </w:rPr>
        <w:t>,500.00</w:t>
      </w:r>
      <w:proofErr w:type="gramEnd"/>
      <w:r w:rsidRPr="0000446F">
        <w:rPr>
          <w:rFonts w:ascii="Arial" w:hAnsi="Arial" w:cs="Arial"/>
        </w:rPr>
        <w:t xml:space="preserve"> is ultra </w:t>
      </w:r>
      <w:proofErr w:type="spellStart"/>
      <w:r w:rsidRPr="0000446F">
        <w:rPr>
          <w:rFonts w:ascii="Arial" w:hAnsi="Arial" w:cs="Arial"/>
        </w:rPr>
        <w:t>vires</w:t>
      </w:r>
      <w:proofErr w:type="spellEnd"/>
      <w:r w:rsidRPr="0000446F">
        <w:rPr>
          <w:rFonts w:ascii="Arial" w:hAnsi="Arial" w:cs="Arial"/>
        </w:rPr>
        <w:t xml:space="preserve"> the statute and has to be interfered </w:t>
      </w:r>
      <w:r>
        <w:rPr>
          <w:rFonts w:ascii="Arial" w:hAnsi="Arial" w:cs="Arial"/>
        </w:rPr>
        <w:t xml:space="preserve">with </w:t>
      </w:r>
      <w:r w:rsidRPr="0000446F">
        <w:rPr>
          <w:rFonts w:ascii="Arial" w:hAnsi="Arial" w:cs="Arial"/>
        </w:rPr>
        <w:t>by this Court.</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r w:rsidRPr="0000446F">
        <w:rPr>
          <w:rFonts w:ascii="Arial" w:hAnsi="Arial" w:cs="Arial"/>
        </w:rPr>
        <w:t xml:space="preserve">A </w:t>
      </w:r>
      <w:r>
        <w:rPr>
          <w:rFonts w:ascii="Arial" w:hAnsi="Arial" w:cs="Arial"/>
        </w:rPr>
        <w:t>w</w:t>
      </w:r>
      <w:r w:rsidRPr="0000446F">
        <w:rPr>
          <w:rFonts w:ascii="Arial" w:hAnsi="Arial" w:cs="Arial"/>
        </w:rPr>
        <w:t>rit of certiorari is hereby issued quashing the award of salary from 17 November 95 to 17 May 1996 in a sum of R94</w:t>
      </w:r>
      <w:proofErr w:type="gramStart"/>
      <w:r>
        <w:rPr>
          <w:rFonts w:ascii="Arial" w:hAnsi="Arial" w:cs="Arial"/>
        </w:rPr>
        <w:t>,</w:t>
      </w:r>
      <w:r w:rsidRPr="0000446F">
        <w:rPr>
          <w:rFonts w:ascii="Arial" w:hAnsi="Arial" w:cs="Arial"/>
        </w:rPr>
        <w:t>500.00</w:t>
      </w:r>
      <w:proofErr w:type="gramEnd"/>
      <w:r w:rsidRPr="0000446F">
        <w:rPr>
          <w:rFonts w:ascii="Arial" w:hAnsi="Arial" w:cs="Arial"/>
        </w:rPr>
        <w:t xml:space="preserve"> by the </w:t>
      </w:r>
      <w:r>
        <w:rPr>
          <w:rFonts w:ascii="Arial" w:hAnsi="Arial" w:cs="Arial"/>
        </w:rPr>
        <w:t>r</w:t>
      </w:r>
      <w:r w:rsidRPr="0000446F">
        <w:rPr>
          <w:rFonts w:ascii="Arial" w:hAnsi="Arial" w:cs="Arial"/>
        </w:rPr>
        <w:t>espondent on 7 June 1996.</w:t>
      </w: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rPr>
      </w:pPr>
    </w:p>
    <w:p w:rsidR="00B32389" w:rsidRPr="0000446F" w:rsidRDefault="00B32389" w:rsidP="00B32389">
      <w:pPr>
        <w:jc w:val="both"/>
        <w:rPr>
          <w:rFonts w:ascii="Arial" w:hAnsi="Arial" w:cs="Arial"/>
          <w:b/>
        </w:rPr>
      </w:pPr>
      <w:r w:rsidRPr="0000446F">
        <w:rPr>
          <w:rFonts w:ascii="Arial" w:hAnsi="Arial" w:cs="Arial"/>
          <w:b/>
        </w:rPr>
        <w:t>Record:  Civil Side No 245 of 1996</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D77F0"/>
    <w:multiLevelType w:val="hybridMultilevel"/>
    <w:tmpl w:val="52865DB0"/>
    <w:lvl w:ilvl="0" w:tplc="8800D408">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389"/>
    <w:rsid w:val="000A4006"/>
    <w:rsid w:val="00156AE5"/>
    <w:rsid w:val="001A0374"/>
    <w:rsid w:val="006D36C9"/>
    <w:rsid w:val="00725760"/>
    <w:rsid w:val="0076170E"/>
    <w:rsid w:val="00982DDD"/>
    <w:rsid w:val="00AB43FA"/>
    <w:rsid w:val="00AD75CD"/>
    <w:rsid w:val="00B32389"/>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8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2014-01-21T04:38:00Z</dcterms:created>
  <dcterms:modified xsi:type="dcterms:W3CDTF">2014-01-21T04:38:00Z</dcterms:modified>
</cp:coreProperties>
</file>