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98" w:rsidRDefault="00294A98" w:rsidP="00294A98">
      <w:pPr>
        <w:jc w:val="center"/>
        <w:rPr>
          <w:rFonts w:ascii="Arial" w:hAnsi="Arial" w:cs="Arial"/>
          <w:b/>
        </w:rPr>
      </w:pPr>
      <w:r w:rsidRPr="0000446F">
        <w:rPr>
          <w:rFonts w:ascii="Arial" w:hAnsi="Arial" w:cs="Arial"/>
          <w:b/>
        </w:rPr>
        <w:t xml:space="preserve">Camille v </w:t>
      </w:r>
      <w:proofErr w:type="gramStart"/>
      <w:r w:rsidRPr="0000446F">
        <w:rPr>
          <w:rFonts w:ascii="Arial" w:hAnsi="Arial" w:cs="Arial"/>
          <w:b/>
        </w:rPr>
        <w:t>The</w:t>
      </w:r>
      <w:proofErr w:type="gramEnd"/>
      <w:r w:rsidRPr="0000446F">
        <w:rPr>
          <w:rFonts w:ascii="Arial" w:hAnsi="Arial" w:cs="Arial"/>
          <w:b/>
        </w:rPr>
        <w:t xml:space="preserve"> Seychelles Government</w:t>
      </w:r>
    </w:p>
    <w:p w:rsidR="00294A98" w:rsidRPr="0000446F" w:rsidRDefault="00294A98" w:rsidP="00294A98">
      <w:pPr>
        <w:jc w:val="center"/>
        <w:rPr>
          <w:rFonts w:ascii="Arial" w:hAnsi="Arial" w:cs="Arial"/>
          <w:b/>
        </w:rPr>
      </w:pPr>
      <w:r>
        <w:rPr>
          <w:rFonts w:ascii="Arial" w:hAnsi="Arial" w:cs="Arial"/>
          <w:b/>
        </w:rPr>
        <w:t>(1998) SLR 139</w:t>
      </w:r>
    </w:p>
    <w:p w:rsidR="00294A98" w:rsidRPr="0000446F" w:rsidRDefault="00294A98" w:rsidP="00294A98">
      <w:pPr>
        <w:jc w:val="both"/>
        <w:rPr>
          <w:rFonts w:ascii="Arial" w:hAnsi="Arial" w:cs="Arial"/>
          <w:b/>
        </w:rPr>
      </w:pP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Philippe BOULLE for the </w:t>
      </w:r>
      <w:r>
        <w:rPr>
          <w:rFonts w:ascii="Arial" w:hAnsi="Arial" w:cs="Arial"/>
        </w:rPr>
        <w:t>p</w:t>
      </w:r>
      <w:r w:rsidRPr="0000446F">
        <w:rPr>
          <w:rFonts w:ascii="Arial" w:hAnsi="Arial" w:cs="Arial"/>
        </w:rPr>
        <w:t>laintiff</w:t>
      </w:r>
    </w:p>
    <w:p w:rsidR="00294A98" w:rsidRPr="0000446F" w:rsidRDefault="00294A98" w:rsidP="00294A98">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for the </w:t>
      </w:r>
      <w:r>
        <w:rPr>
          <w:rFonts w:ascii="Arial" w:hAnsi="Arial" w:cs="Arial"/>
        </w:rPr>
        <w:t>d</w:t>
      </w:r>
      <w:r w:rsidRPr="0000446F">
        <w:rPr>
          <w:rFonts w:ascii="Arial" w:hAnsi="Arial" w:cs="Arial"/>
        </w:rPr>
        <w:t>efendant</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p>
    <w:p w:rsidR="00294A98" w:rsidRPr="0000446F" w:rsidRDefault="00294A98" w:rsidP="00294A98">
      <w:pPr>
        <w:rPr>
          <w:rFonts w:ascii="Arial" w:hAnsi="Arial" w:cs="Arial"/>
          <w:b/>
        </w:rPr>
      </w:pPr>
      <w:r w:rsidRPr="0000446F">
        <w:rPr>
          <w:rFonts w:ascii="Arial" w:hAnsi="Arial" w:cs="Arial"/>
          <w:b/>
        </w:rPr>
        <w:t xml:space="preserve">Ruling on plea in </w:t>
      </w:r>
      <w:proofErr w:type="spellStart"/>
      <w:r w:rsidRPr="0000446F">
        <w:rPr>
          <w:rFonts w:ascii="Arial" w:hAnsi="Arial" w:cs="Arial"/>
          <w:b/>
        </w:rPr>
        <w:t>limine</w:t>
      </w:r>
      <w:proofErr w:type="spellEnd"/>
      <w:r w:rsidRPr="0000446F">
        <w:rPr>
          <w:rFonts w:ascii="Arial" w:hAnsi="Arial" w:cs="Arial"/>
          <w:b/>
        </w:rPr>
        <w:t xml:space="preserve"> </w:t>
      </w:r>
      <w:proofErr w:type="spellStart"/>
      <w:r w:rsidRPr="0000446F">
        <w:rPr>
          <w:rFonts w:ascii="Arial" w:hAnsi="Arial" w:cs="Arial"/>
          <w:b/>
        </w:rPr>
        <w:t>litis</w:t>
      </w:r>
      <w:proofErr w:type="spellEnd"/>
      <w:r w:rsidRPr="0000446F">
        <w:rPr>
          <w:rFonts w:ascii="Arial" w:hAnsi="Arial" w:cs="Arial"/>
          <w:b/>
        </w:rPr>
        <w:t xml:space="preserve"> delivered on 14 day of December 1998 by:</w:t>
      </w:r>
    </w:p>
    <w:p w:rsidR="00294A98" w:rsidRPr="0000446F" w:rsidRDefault="00294A98" w:rsidP="00294A98">
      <w:pPr>
        <w:rPr>
          <w:rFonts w:ascii="Arial" w:hAnsi="Arial" w:cs="Arial"/>
        </w:rPr>
      </w:pPr>
    </w:p>
    <w:p w:rsidR="00294A98" w:rsidRPr="0000446F" w:rsidRDefault="00294A98" w:rsidP="00294A98">
      <w:pPr>
        <w:jc w:val="both"/>
        <w:rPr>
          <w:rFonts w:ascii="Arial" w:hAnsi="Arial" w:cs="Arial"/>
        </w:rPr>
      </w:pPr>
      <w:r w:rsidRPr="0000446F">
        <w:rPr>
          <w:rFonts w:ascii="Arial" w:hAnsi="Arial" w:cs="Arial"/>
          <w:b/>
        </w:rPr>
        <w:t xml:space="preserve">PERERA J:  </w:t>
      </w:r>
      <w:r w:rsidRPr="0000446F">
        <w:rPr>
          <w:rFonts w:ascii="Arial" w:hAnsi="Arial" w:cs="Arial"/>
        </w:rPr>
        <w:t xml:space="preserve">The </w:t>
      </w:r>
      <w:r>
        <w:rPr>
          <w:rFonts w:ascii="Arial" w:hAnsi="Arial" w:cs="Arial"/>
        </w:rPr>
        <w:t>p</w:t>
      </w:r>
      <w:r w:rsidRPr="0000446F">
        <w:rPr>
          <w:rFonts w:ascii="Arial" w:hAnsi="Arial" w:cs="Arial"/>
        </w:rPr>
        <w:t xml:space="preserve">laintiff originally sued two </w:t>
      </w:r>
      <w:r>
        <w:rPr>
          <w:rFonts w:ascii="Arial" w:hAnsi="Arial" w:cs="Arial"/>
        </w:rPr>
        <w:t>d</w:t>
      </w:r>
      <w:r w:rsidRPr="0000446F">
        <w:rPr>
          <w:rFonts w:ascii="Arial" w:hAnsi="Arial" w:cs="Arial"/>
        </w:rPr>
        <w:t xml:space="preserve">efendants, one Francis </w:t>
      </w:r>
      <w:proofErr w:type="spellStart"/>
      <w:r w:rsidRPr="0000446F">
        <w:rPr>
          <w:rFonts w:ascii="Arial" w:hAnsi="Arial" w:cs="Arial"/>
        </w:rPr>
        <w:t>Philoe</w:t>
      </w:r>
      <w:proofErr w:type="spellEnd"/>
      <w:r w:rsidRPr="0000446F">
        <w:rPr>
          <w:rFonts w:ascii="Arial" w:hAnsi="Arial" w:cs="Arial"/>
        </w:rPr>
        <w:t xml:space="preserve"> as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and the Government of Seychelles as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It is averred that on 15 August 1983 around 8:10 pm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went to the shop and shot the </w:t>
      </w:r>
      <w:r>
        <w:rPr>
          <w:rFonts w:ascii="Arial" w:hAnsi="Arial" w:cs="Arial"/>
        </w:rPr>
        <w:t>p</w:t>
      </w:r>
      <w:r w:rsidRPr="0000446F">
        <w:rPr>
          <w:rFonts w:ascii="Arial" w:hAnsi="Arial" w:cs="Arial"/>
        </w:rPr>
        <w:t>laintiff. Consequent to the injuries received, he claims a sum of R1</w:t>
      </w:r>
      <w:proofErr w:type="gramStart"/>
      <w:r w:rsidRPr="0000446F">
        <w:rPr>
          <w:rFonts w:ascii="Arial" w:hAnsi="Arial" w:cs="Arial"/>
        </w:rPr>
        <w:t>,420,000</w:t>
      </w:r>
      <w:proofErr w:type="gramEnd"/>
      <w:r w:rsidRPr="0000446F">
        <w:rPr>
          <w:rFonts w:ascii="Arial" w:hAnsi="Arial" w:cs="Arial"/>
        </w:rPr>
        <w:t xml:space="preserve"> from the two </w:t>
      </w:r>
      <w:r>
        <w:rPr>
          <w:rFonts w:ascii="Arial" w:hAnsi="Arial" w:cs="Arial"/>
        </w:rPr>
        <w:t>d</w:t>
      </w:r>
      <w:r w:rsidRPr="0000446F">
        <w:rPr>
          <w:rFonts w:ascii="Arial" w:hAnsi="Arial" w:cs="Arial"/>
        </w:rPr>
        <w:t>efendants jointly and severally.</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Pending the hearing of this case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died, and counsel for the </w:t>
      </w:r>
      <w:r>
        <w:rPr>
          <w:rFonts w:ascii="Arial" w:hAnsi="Arial" w:cs="Arial"/>
        </w:rPr>
        <w:t>p</w:t>
      </w:r>
      <w:r w:rsidRPr="0000446F">
        <w:rPr>
          <w:rFonts w:ascii="Arial" w:hAnsi="Arial" w:cs="Arial"/>
        </w:rPr>
        <w:t xml:space="preserve">laintiff informed </w:t>
      </w:r>
      <w:r>
        <w:rPr>
          <w:rFonts w:ascii="Arial" w:hAnsi="Arial" w:cs="Arial"/>
        </w:rPr>
        <w:t xml:space="preserve">the </w:t>
      </w:r>
      <w:r w:rsidRPr="0000446F">
        <w:rPr>
          <w:rFonts w:ascii="Arial" w:hAnsi="Arial" w:cs="Arial"/>
        </w:rPr>
        <w:t xml:space="preserve">Court that he would prosecute the action only against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as a joint </w:t>
      </w:r>
      <w:proofErr w:type="spellStart"/>
      <w:r w:rsidRPr="0000446F">
        <w:rPr>
          <w:rFonts w:ascii="Arial" w:hAnsi="Arial" w:cs="Arial"/>
        </w:rPr>
        <w:t>tortfeasor</w:t>
      </w:r>
      <w:proofErr w:type="spellEnd"/>
      <w:r w:rsidRPr="0000446F">
        <w:rPr>
          <w:rFonts w:ascii="Arial" w:hAnsi="Arial" w:cs="Arial"/>
        </w:rPr>
        <w:t xml:space="preserve"> on the basis of vicarious liability.</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raised the following points </w:t>
      </w:r>
      <w:r w:rsidRPr="00BC0A99">
        <w:rPr>
          <w:rFonts w:ascii="Arial" w:hAnsi="Arial" w:cs="Arial"/>
        </w:rPr>
        <w:t xml:space="preserve">in </w:t>
      </w:r>
      <w:proofErr w:type="spellStart"/>
      <w:r w:rsidRPr="00BC0A99">
        <w:rPr>
          <w:rFonts w:ascii="Arial" w:hAnsi="Arial" w:cs="Arial"/>
        </w:rPr>
        <w:t>limine</w:t>
      </w:r>
      <w:proofErr w:type="spellEnd"/>
      <w:r>
        <w:rPr>
          <w:rFonts w:ascii="Arial" w:hAnsi="Arial" w:cs="Arial"/>
        </w:rPr>
        <w:t>:</w:t>
      </w:r>
    </w:p>
    <w:p w:rsidR="00294A98" w:rsidRPr="0000446F" w:rsidRDefault="00294A98" w:rsidP="00294A98">
      <w:pPr>
        <w:jc w:val="both"/>
        <w:rPr>
          <w:rFonts w:ascii="Arial" w:hAnsi="Arial" w:cs="Arial"/>
        </w:rPr>
      </w:pPr>
    </w:p>
    <w:p w:rsidR="00294A98" w:rsidRPr="0000446F" w:rsidRDefault="00294A98" w:rsidP="00294A98">
      <w:pPr>
        <w:ind w:left="990" w:right="684" w:hanging="450"/>
        <w:jc w:val="both"/>
        <w:rPr>
          <w:rFonts w:ascii="Arial" w:hAnsi="Arial" w:cs="Arial"/>
        </w:rPr>
      </w:pPr>
      <w:r w:rsidRPr="0000446F">
        <w:rPr>
          <w:rFonts w:ascii="Arial" w:hAnsi="Arial" w:cs="Arial"/>
        </w:rPr>
        <w:t>1.</w:t>
      </w:r>
      <w:r w:rsidRPr="0000446F">
        <w:rPr>
          <w:rFonts w:ascii="Arial" w:hAnsi="Arial" w:cs="Arial"/>
        </w:rPr>
        <w:tab/>
        <w:t xml:space="preserve">That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was not acting within the scope of his employment at the material time and the alleged act was not incidental to the service of employment of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efendant.</w:t>
      </w:r>
    </w:p>
    <w:p w:rsidR="00294A98" w:rsidRPr="0000446F" w:rsidRDefault="00294A98" w:rsidP="00294A98">
      <w:pPr>
        <w:ind w:left="990" w:right="684" w:hanging="450"/>
        <w:jc w:val="both"/>
        <w:rPr>
          <w:rFonts w:ascii="Arial" w:hAnsi="Arial" w:cs="Arial"/>
        </w:rPr>
      </w:pPr>
    </w:p>
    <w:p w:rsidR="00294A98" w:rsidRPr="0000446F" w:rsidRDefault="00294A98" w:rsidP="00294A98">
      <w:pPr>
        <w:widowControl/>
        <w:numPr>
          <w:ilvl w:val="0"/>
          <w:numId w:val="1"/>
        </w:numPr>
        <w:autoSpaceDE/>
        <w:autoSpaceDN/>
        <w:adjustRightInd/>
        <w:ind w:left="990" w:right="684" w:hanging="450"/>
        <w:jc w:val="both"/>
        <w:rPr>
          <w:rFonts w:ascii="Arial" w:hAnsi="Arial" w:cs="Arial"/>
        </w:rPr>
      </w:pPr>
      <w:r w:rsidRPr="0000446F">
        <w:rPr>
          <w:rFonts w:ascii="Arial" w:hAnsi="Arial" w:cs="Arial"/>
        </w:rPr>
        <w:t xml:space="preserve">That the question of vicarious and joint liability on the part of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does not arise in view of the denial by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 of the incident itself.</w:t>
      </w:r>
    </w:p>
    <w:p w:rsidR="00294A98" w:rsidRPr="0000446F" w:rsidRDefault="00294A98" w:rsidP="00294A98">
      <w:pPr>
        <w:ind w:left="1170" w:right="917" w:hanging="450"/>
        <w:jc w:val="both"/>
        <w:rPr>
          <w:rFonts w:ascii="Arial" w:hAnsi="Arial" w:cs="Arial"/>
        </w:rPr>
      </w:pPr>
    </w:p>
    <w:p w:rsidR="00294A98" w:rsidRPr="0000446F" w:rsidRDefault="00294A98" w:rsidP="00294A98">
      <w:pPr>
        <w:widowControl/>
        <w:numPr>
          <w:ilvl w:val="0"/>
          <w:numId w:val="1"/>
        </w:numPr>
        <w:autoSpaceDE/>
        <w:autoSpaceDN/>
        <w:adjustRightInd/>
        <w:ind w:left="990" w:right="684" w:hanging="450"/>
        <w:jc w:val="both"/>
        <w:rPr>
          <w:rFonts w:ascii="Arial" w:hAnsi="Arial" w:cs="Arial"/>
        </w:rPr>
      </w:pPr>
      <w:r w:rsidRPr="00CE0F0C">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1.1pt;margin-top:-4.05pt;width:30pt;height:531.55pt;z-index:251660288;mso-height-percent:200;mso-height-percent:200;mso-width-relative:margin;mso-height-relative:margin" stroked="f" strokecolor="white [3212]">
            <v:textbox style="mso-next-textbox:#_x0000_s1026;mso-fit-shape-to-text:t">
              <w:txbxContent>
                <w:p w:rsidR="00294A98" w:rsidRPr="00CF6C02" w:rsidRDefault="00294A98" w:rsidP="00294A98">
                  <w:pPr>
                    <w:rPr>
                      <w:rFonts w:ascii="Arial" w:hAnsi="Arial" w:cs="Arial"/>
                      <w:b/>
                      <w:i/>
                    </w:rPr>
                  </w:pPr>
                </w:p>
              </w:txbxContent>
            </v:textbox>
          </v:shape>
        </w:pict>
      </w:r>
      <w:r w:rsidRPr="0000446F">
        <w:rPr>
          <w:rFonts w:ascii="Arial" w:hAnsi="Arial" w:cs="Arial"/>
        </w:rPr>
        <w:t xml:space="preserve">That this action is prescribed under </w:t>
      </w:r>
      <w:r>
        <w:rPr>
          <w:rFonts w:ascii="Arial" w:hAnsi="Arial" w:cs="Arial"/>
        </w:rPr>
        <w:t>a</w:t>
      </w:r>
      <w:r w:rsidRPr="0000446F">
        <w:rPr>
          <w:rFonts w:ascii="Arial" w:hAnsi="Arial" w:cs="Arial"/>
        </w:rPr>
        <w:t>rticle 2271 of the Civil Code of Seychelles (Cap 33).</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Article 2271(1) is as follows:</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All rights of action shall be subject to prescription after a period of five years as provided in </w:t>
      </w:r>
      <w:r>
        <w:rPr>
          <w:rFonts w:ascii="Arial" w:hAnsi="Arial" w:cs="Arial"/>
        </w:rPr>
        <w:t>a</w:t>
      </w:r>
      <w:r w:rsidRPr="0000446F">
        <w:rPr>
          <w:rFonts w:ascii="Arial" w:hAnsi="Arial" w:cs="Arial"/>
        </w:rPr>
        <w:t>rticles 2262 and 2265 of this Code.</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Article 2219 defines “prescription” as involving “</w:t>
      </w:r>
      <w:r w:rsidRPr="00BC0A99">
        <w:rPr>
          <w:rFonts w:ascii="Arial" w:hAnsi="Arial" w:cs="Arial"/>
        </w:rPr>
        <w:t xml:space="preserve">loss of </w:t>
      </w:r>
      <w:r>
        <w:rPr>
          <w:rFonts w:ascii="Arial" w:hAnsi="Arial" w:cs="Arial"/>
        </w:rPr>
        <w:t>r</w:t>
      </w:r>
      <w:r w:rsidRPr="00BC0A99">
        <w:rPr>
          <w:rFonts w:ascii="Arial" w:hAnsi="Arial" w:cs="Arial"/>
        </w:rPr>
        <w:t>ights</w:t>
      </w:r>
      <w:r w:rsidRPr="0000446F">
        <w:rPr>
          <w:rFonts w:ascii="Arial" w:hAnsi="Arial" w:cs="Arial"/>
        </w:rPr>
        <w:t xml:space="preserve"> through a failure to act within the limits established by law.” Hence by the operation of Article 2271(1), a </w:t>
      </w:r>
      <w:r>
        <w:rPr>
          <w:rFonts w:ascii="Arial" w:hAnsi="Arial" w:cs="Arial"/>
        </w:rPr>
        <w:t>p</w:t>
      </w:r>
      <w:r w:rsidRPr="0000446F">
        <w:rPr>
          <w:rFonts w:ascii="Arial" w:hAnsi="Arial" w:cs="Arial"/>
        </w:rPr>
        <w:t>laintiff loses his accessory right of action or the judicial remedy for his grievance if such action is commenced after a period of five years from the date the claim arose.</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laintiff invited the Court to exercise the equitable jurisdiction of this Court under </w:t>
      </w:r>
      <w:r>
        <w:rPr>
          <w:rFonts w:ascii="Arial" w:hAnsi="Arial" w:cs="Arial"/>
        </w:rPr>
        <w:t>s</w:t>
      </w:r>
      <w:r w:rsidRPr="0000446F">
        <w:rPr>
          <w:rFonts w:ascii="Arial" w:hAnsi="Arial" w:cs="Arial"/>
        </w:rPr>
        <w:t xml:space="preserve">ection 6 of the Courts Act to deprive the </w:t>
      </w:r>
      <w:r>
        <w:rPr>
          <w:rFonts w:ascii="Arial" w:hAnsi="Arial" w:cs="Arial"/>
        </w:rPr>
        <w:t>d</w:t>
      </w:r>
      <w:r w:rsidRPr="0000446F">
        <w:rPr>
          <w:rFonts w:ascii="Arial" w:hAnsi="Arial" w:cs="Arial"/>
        </w:rPr>
        <w:t xml:space="preserve">efendant of the </w:t>
      </w:r>
      <w:proofErr w:type="spellStart"/>
      <w:r w:rsidRPr="0000446F">
        <w:rPr>
          <w:rFonts w:ascii="Arial" w:hAnsi="Arial" w:cs="Arial"/>
        </w:rPr>
        <w:t>defence</w:t>
      </w:r>
      <w:proofErr w:type="spellEnd"/>
      <w:r w:rsidRPr="0000446F">
        <w:rPr>
          <w:rFonts w:ascii="Arial" w:hAnsi="Arial" w:cs="Arial"/>
        </w:rPr>
        <w:t xml:space="preserve"> of prescription. In this respect he cited the following of </w:t>
      </w:r>
      <w:r>
        <w:rPr>
          <w:rFonts w:ascii="Arial" w:hAnsi="Arial" w:cs="Arial"/>
        </w:rPr>
        <w:t>s</w:t>
      </w:r>
      <w:r w:rsidRPr="0000446F">
        <w:rPr>
          <w:rFonts w:ascii="Arial" w:hAnsi="Arial" w:cs="Arial"/>
        </w:rPr>
        <w:t xml:space="preserve">ection 6 in relation to limitation of </w:t>
      </w:r>
      <w:r w:rsidRPr="0000446F">
        <w:rPr>
          <w:rFonts w:ascii="Arial" w:hAnsi="Arial" w:cs="Arial"/>
        </w:rPr>
        <w:lastRenderedPageBreak/>
        <w:t>actions –</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Its liberal interpretation would however invest the Court with the power where there is</w:t>
      </w:r>
      <w:r>
        <w:rPr>
          <w:rFonts w:ascii="Arial" w:hAnsi="Arial" w:cs="Arial"/>
        </w:rPr>
        <w:t xml:space="preserve"> an</w:t>
      </w:r>
      <w:r w:rsidRPr="0000446F">
        <w:rPr>
          <w:rFonts w:ascii="Arial" w:hAnsi="Arial" w:cs="Arial"/>
        </w:rPr>
        <w:t xml:space="preserve"> element of </w:t>
      </w:r>
      <w:r w:rsidRPr="0000446F">
        <w:rPr>
          <w:rFonts w:ascii="Arial" w:hAnsi="Arial" w:cs="Arial"/>
          <w:u w:val="single"/>
        </w:rPr>
        <w:t xml:space="preserve">unfairness in the conduct of the </w:t>
      </w:r>
      <w:r>
        <w:rPr>
          <w:rFonts w:ascii="Arial" w:hAnsi="Arial" w:cs="Arial"/>
          <w:u w:val="single"/>
        </w:rPr>
        <w:t>d</w:t>
      </w:r>
      <w:r w:rsidRPr="0000446F">
        <w:rPr>
          <w:rFonts w:ascii="Arial" w:hAnsi="Arial" w:cs="Arial"/>
          <w:u w:val="single"/>
        </w:rPr>
        <w:t>efendant, in the interest of justice, and in the exercise of the general jurisdiction to administer justice,</w:t>
      </w:r>
      <w:r w:rsidRPr="0000446F">
        <w:rPr>
          <w:rFonts w:ascii="Arial" w:hAnsi="Arial" w:cs="Arial"/>
        </w:rPr>
        <w:t xml:space="preserve"> to prevent a party </w:t>
      </w:r>
      <w:r w:rsidRPr="0000446F">
        <w:rPr>
          <w:rFonts w:ascii="Arial" w:hAnsi="Arial" w:cs="Arial"/>
          <w:u w:val="single"/>
        </w:rPr>
        <w:t>whose conduct has caused delay</w:t>
      </w:r>
      <w:r w:rsidRPr="0000446F">
        <w:rPr>
          <w:rFonts w:ascii="Arial" w:hAnsi="Arial" w:cs="Arial"/>
        </w:rPr>
        <w:t xml:space="preserve"> from pleading prescription.</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The learned </w:t>
      </w:r>
      <w:r>
        <w:rPr>
          <w:rFonts w:ascii="Arial" w:hAnsi="Arial" w:cs="Arial"/>
        </w:rPr>
        <w:t>J</w:t>
      </w:r>
      <w:r w:rsidRPr="0000446F">
        <w:rPr>
          <w:rFonts w:ascii="Arial" w:hAnsi="Arial" w:cs="Arial"/>
        </w:rPr>
        <w:t xml:space="preserve">ustice of </w:t>
      </w:r>
      <w:r>
        <w:rPr>
          <w:rFonts w:ascii="Arial" w:hAnsi="Arial" w:cs="Arial"/>
        </w:rPr>
        <w:t>A</w:t>
      </w:r>
      <w:r w:rsidRPr="0000446F">
        <w:rPr>
          <w:rFonts w:ascii="Arial" w:hAnsi="Arial" w:cs="Arial"/>
        </w:rPr>
        <w:t>ppeal however added that –</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What must be considered in exercising that power is the conduct of the </w:t>
      </w:r>
      <w:r>
        <w:rPr>
          <w:rFonts w:ascii="Arial" w:hAnsi="Arial" w:cs="Arial"/>
        </w:rPr>
        <w:t>d</w:t>
      </w:r>
      <w:r w:rsidRPr="0000446F">
        <w:rPr>
          <w:rFonts w:ascii="Arial" w:hAnsi="Arial" w:cs="Arial"/>
        </w:rPr>
        <w:t xml:space="preserve">efendant. The power is not exercised on the basis of mere sentimental sympathy for the plight of the </w:t>
      </w:r>
      <w:r>
        <w:rPr>
          <w:rFonts w:ascii="Arial" w:hAnsi="Arial" w:cs="Arial"/>
        </w:rPr>
        <w:t>p</w:t>
      </w:r>
      <w:r w:rsidRPr="0000446F">
        <w:rPr>
          <w:rFonts w:ascii="Arial" w:hAnsi="Arial" w:cs="Arial"/>
        </w:rPr>
        <w:t>laintiff.</w:t>
      </w:r>
    </w:p>
    <w:p w:rsidR="00294A98" w:rsidRDefault="00294A98" w:rsidP="00294A98">
      <w:pPr>
        <w:jc w:val="both"/>
        <w:rPr>
          <w:rFonts w:ascii="Arial" w:hAnsi="Arial" w:cs="Arial"/>
        </w:rPr>
      </w:pPr>
    </w:p>
    <w:p w:rsidR="00294A98" w:rsidRPr="0000446F" w:rsidRDefault="00294A98" w:rsidP="00294A98">
      <w:pPr>
        <w:jc w:val="both"/>
        <w:rPr>
          <w:rFonts w:ascii="Arial" w:hAnsi="Arial" w:cs="Arial"/>
        </w:rPr>
      </w:pPr>
      <w:r w:rsidRPr="00CE0F0C">
        <w:rPr>
          <w:rFonts w:ascii="Arial" w:hAnsi="Arial" w:cs="Arial"/>
          <w:noProof/>
        </w:rPr>
        <w:pict>
          <v:shape id="_x0000_s1029" type="#_x0000_t202" style="position:absolute;left:0;text-align:left;margin-left:335.65pt;margin-top:-2.65pt;width:30pt;height:531.55pt;z-index:251663360;mso-height-percent:200;mso-height-percent:200;mso-width-relative:margin;mso-height-relative:margin" stroked="f" strokecolor="white [3212]">
            <v:textbox style="mso-next-textbox:#_x0000_s1029;mso-fit-shape-to-text:t">
              <w:txbxContent>
                <w:p w:rsidR="00294A98" w:rsidRPr="00CF6C02" w:rsidRDefault="00294A98" w:rsidP="00294A98">
                  <w:pPr>
                    <w:rPr>
                      <w:rFonts w:ascii="Arial" w:hAnsi="Arial" w:cs="Arial"/>
                      <w:b/>
                      <w:i/>
                    </w:rPr>
                  </w:pPr>
                </w:p>
              </w:txbxContent>
            </v:textbox>
          </v:shape>
        </w:pict>
      </w:r>
      <w:r>
        <w:rPr>
          <w:rFonts w:ascii="Arial" w:hAnsi="Arial" w:cs="Arial"/>
        </w:rPr>
        <w:t>C</w:t>
      </w:r>
      <w:r w:rsidRPr="0000446F">
        <w:rPr>
          <w:rFonts w:ascii="Arial" w:hAnsi="Arial" w:cs="Arial"/>
        </w:rPr>
        <w:t xml:space="preserve">ounsel also relied on the view expressed by </w:t>
      </w:r>
      <w:proofErr w:type="spellStart"/>
      <w:r w:rsidRPr="0000446F">
        <w:rPr>
          <w:rFonts w:ascii="Arial" w:hAnsi="Arial" w:cs="Arial"/>
        </w:rPr>
        <w:t>Ayoola</w:t>
      </w:r>
      <w:proofErr w:type="spellEnd"/>
      <w:r w:rsidRPr="0000446F">
        <w:rPr>
          <w:rFonts w:ascii="Arial" w:hAnsi="Arial" w:cs="Arial"/>
        </w:rPr>
        <w:t xml:space="preserve"> JA in that case that</w:t>
      </w:r>
      <w:r>
        <w:rPr>
          <w:rFonts w:ascii="Arial" w:hAnsi="Arial" w:cs="Arial"/>
        </w:rPr>
        <w:t>:</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The essence of the exercise of an equitable jurisdiction in this type of case is to avoid the deprivation of the </w:t>
      </w:r>
      <w:r>
        <w:rPr>
          <w:rFonts w:ascii="Arial" w:hAnsi="Arial" w:cs="Arial"/>
        </w:rPr>
        <w:t>p</w:t>
      </w:r>
      <w:r w:rsidRPr="0000446F">
        <w:rPr>
          <w:rFonts w:ascii="Arial" w:hAnsi="Arial" w:cs="Arial"/>
        </w:rPr>
        <w:t xml:space="preserve">laintiff of an advantage which he would have had, had the conduct of the </w:t>
      </w:r>
      <w:r>
        <w:rPr>
          <w:rFonts w:ascii="Arial" w:hAnsi="Arial" w:cs="Arial"/>
        </w:rPr>
        <w:t>d</w:t>
      </w:r>
      <w:r w:rsidRPr="0000446F">
        <w:rPr>
          <w:rFonts w:ascii="Arial" w:hAnsi="Arial" w:cs="Arial"/>
        </w:rPr>
        <w:t>efendant been proper.</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In the </w:t>
      </w:r>
      <w:proofErr w:type="spellStart"/>
      <w:r w:rsidRPr="00BC0A99">
        <w:rPr>
          <w:rFonts w:ascii="Arial" w:hAnsi="Arial" w:cs="Arial"/>
          <w:i/>
        </w:rPr>
        <w:t>Voysey</w:t>
      </w:r>
      <w:proofErr w:type="spellEnd"/>
      <w:r w:rsidRPr="00BC0A99">
        <w:rPr>
          <w:rFonts w:ascii="Arial" w:hAnsi="Arial" w:cs="Arial"/>
        </w:rPr>
        <w:t xml:space="preserve"> case</w:t>
      </w:r>
      <w:r w:rsidRPr="0000446F">
        <w:rPr>
          <w:rFonts w:ascii="Arial" w:hAnsi="Arial" w:cs="Arial"/>
        </w:rPr>
        <w:t xml:space="preserve"> (supra) one Mark </w:t>
      </w:r>
      <w:proofErr w:type="spellStart"/>
      <w:r w:rsidRPr="0000446F">
        <w:rPr>
          <w:rFonts w:ascii="Arial" w:hAnsi="Arial" w:cs="Arial"/>
        </w:rPr>
        <w:t>Voysey</w:t>
      </w:r>
      <w:proofErr w:type="spellEnd"/>
      <w:r w:rsidRPr="0000446F">
        <w:rPr>
          <w:rFonts w:ascii="Arial" w:hAnsi="Arial" w:cs="Arial"/>
        </w:rPr>
        <w:t xml:space="preserve">, a helicopter </w:t>
      </w:r>
      <w:r>
        <w:rPr>
          <w:rFonts w:ascii="Arial" w:hAnsi="Arial" w:cs="Arial"/>
        </w:rPr>
        <w:t>p</w:t>
      </w:r>
      <w:r w:rsidRPr="0000446F">
        <w:rPr>
          <w:rFonts w:ascii="Arial" w:hAnsi="Arial" w:cs="Arial"/>
        </w:rPr>
        <w:t xml:space="preserve">ilot of the </w:t>
      </w:r>
      <w:r>
        <w:rPr>
          <w:rFonts w:ascii="Arial" w:hAnsi="Arial" w:cs="Arial"/>
        </w:rPr>
        <w:t>A</w:t>
      </w:r>
      <w:r w:rsidRPr="0000446F">
        <w:rPr>
          <w:rFonts w:ascii="Arial" w:hAnsi="Arial" w:cs="Arial"/>
        </w:rPr>
        <w:t xml:space="preserve">ir </w:t>
      </w:r>
      <w:r>
        <w:rPr>
          <w:rFonts w:ascii="Arial" w:hAnsi="Arial" w:cs="Arial"/>
        </w:rPr>
        <w:t>F</w:t>
      </w:r>
      <w:r w:rsidRPr="0000446F">
        <w:rPr>
          <w:rFonts w:ascii="Arial" w:hAnsi="Arial" w:cs="Arial"/>
        </w:rPr>
        <w:t xml:space="preserve">orce, died on 30 August 1987 when the helicopter he was piloting crashed off </w:t>
      </w:r>
      <w:proofErr w:type="spellStart"/>
      <w:r w:rsidRPr="0000446F">
        <w:rPr>
          <w:rFonts w:ascii="Arial" w:hAnsi="Arial" w:cs="Arial"/>
        </w:rPr>
        <w:t>Praslin</w:t>
      </w:r>
      <w:proofErr w:type="spellEnd"/>
      <w:r w:rsidRPr="0000446F">
        <w:rPr>
          <w:rFonts w:ascii="Arial" w:hAnsi="Arial" w:cs="Arial"/>
        </w:rPr>
        <w:t xml:space="preserve">. The parents of the deceased corresponded with the Seychelles People’s </w:t>
      </w:r>
      <w:proofErr w:type="spellStart"/>
      <w:r w:rsidRPr="0000446F">
        <w:rPr>
          <w:rFonts w:ascii="Arial" w:hAnsi="Arial" w:cs="Arial"/>
        </w:rPr>
        <w:t>Defence</w:t>
      </w:r>
      <w:proofErr w:type="spellEnd"/>
      <w:r w:rsidRPr="0000446F">
        <w:rPr>
          <w:rFonts w:ascii="Arial" w:hAnsi="Arial" w:cs="Arial"/>
        </w:rPr>
        <w:t xml:space="preserve"> Forces</w:t>
      </w:r>
      <w:r>
        <w:rPr>
          <w:rFonts w:ascii="Arial" w:hAnsi="Arial" w:cs="Arial"/>
        </w:rPr>
        <w:t xml:space="preserve"> (SPDF)</w:t>
      </w:r>
      <w:r w:rsidRPr="0000446F">
        <w:rPr>
          <w:rFonts w:ascii="Arial" w:hAnsi="Arial" w:cs="Arial"/>
        </w:rPr>
        <w:t xml:space="preserve">, to which the helicopter belonged, for the </w:t>
      </w:r>
      <w:r w:rsidRPr="0000446F">
        <w:rPr>
          <w:rFonts w:ascii="Arial" w:hAnsi="Arial" w:cs="Arial"/>
          <w:u w:val="single"/>
        </w:rPr>
        <w:t>cause of the accident.</w:t>
      </w:r>
      <w:r w:rsidRPr="0000446F">
        <w:rPr>
          <w:rFonts w:ascii="Arial" w:hAnsi="Arial" w:cs="Arial"/>
        </w:rPr>
        <w:t xml:space="preserve"> The SPDF replied</w:t>
      </w:r>
      <w:r>
        <w:rPr>
          <w:rFonts w:ascii="Arial" w:hAnsi="Arial" w:cs="Arial"/>
        </w:rPr>
        <w:t xml:space="preserve"> to</w:t>
      </w:r>
      <w:r w:rsidRPr="0000446F">
        <w:rPr>
          <w:rFonts w:ascii="Arial" w:hAnsi="Arial" w:cs="Arial"/>
        </w:rPr>
        <w:t xml:space="preserve"> the correspondence but offered only vague reasons or calculated guesses. The closest reply the </w:t>
      </w:r>
      <w:r>
        <w:rPr>
          <w:rFonts w:ascii="Arial" w:hAnsi="Arial" w:cs="Arial"/>
        </w:rPr>
        <w:t>p</w:t>
      </w:r>
      <w:r w:rsidRPr="0000446F">
        <w:rPr>
          <w:rFonts w:ascii="Arial" w:hAnsi="Arial" w:cs="Arial"/>
        </w:rPr>
        <w:t>laintiff received was on 9 December 1993, after the period of prescription had lapsed, in the following terms –</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 </w:t>
      </w:r>
      <w:proofErr w:type="gramStart"/>
      <w:r w:rsidRPr="0000446F">
        <w:rPr>
          <w:rFonts w:ascii="Arial" w:hAnsi="Arial" w:cs="Arial"/>
        </w:rPr>
        <w:t>whilst</w:t>
      </w:r>
      <w:proofErr w:type="gramEnd"/>
      <w:r w:rsidRPr="0000446F">
        <w:rPr>
          <w:rFonts w:ascii="Arial" w:hAnsi="Arial" w:cs="Arial"/>
        </w:rPr>
        <w:t xml:space="preserve"> there is no indication that there was a malfunction, it is not possible to say with absolute certainty that there was not, either.</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There was therefore a qualified admission of a possible malfunction which if established would have made the government liable in damages. The </w:t>
      </w:r>
      <w:r>
        <w:rPr>
          <w:rFonts w:ascii="Arial" w:hAnsi="Arial" w:cs="Arial"/>
        </w:rPr>
        <w:t>p</w:t>
      </w:r>
      <w:r w:rsidRPr="0000446F">
        <w:rPr>
          <w:rFonts w:ascii="Arial" w:hAnsi="Arial" w:cs="Arial"/>
        </w:rPr>
        <w:t>laintiff filed action and sough</w:t>
      </w:r>
      <w:r>
        <w:rPr>
          <w:rFonts w:ascii="Arial" w:hAnsi="Arial" w:cs="Arial"/>
        </w:rPr>
        <w:t>t</w:t>
      </w:r>
      <w:r w:rsidRPr="0000446F">
        <w:rPr>
          <w:rFonts w:ascii="Arial" w:hAnsi="Arial" w:cs="Arial"/>
        </w:rPr>
        <w:t xml:space="preserve"> to defeat the </w:t>
      </w:r>
      <w:r>
        <w:rPr>
          <w:rFonts w:ascii="Arial" w:hAnsi="Arial" w:cs="Arial"/>
        </w:rPr>
        <w:t>d</w:t>
      </w:r>
      <w:r w:rsidRPr="0000446F">
        <w:rPr>
          <w:rFonts w:ascii="Arial" w:hAnsi="Arial" w:cs="Arial"/>
        </w:rPr>
        <w:t xml:space="preserve">efendant’s </w:t>
      </w:r>
      <w:proofErr w:type="spellStart"/>
      <w:r w:rsidRPr="0000446F">
        <w:rPr>
          <w:rFonts w:ascii="Arial" w:hAnsi="Arial" w:cs="Arial"/>
        </w:rPr>
        <w:t>defence</w:t>
      </w:r>
      <w:proofErr w:type="spellEnd"/>
      <w:r w:rsidRPr="0000446F">
        <w:rPr>
          <w:rFonts w:ascii="Arial" w:hAnsi="Arial" w:cs="Arial"/>
        </w:rPr>
        <w:t xml:space="preserve"> of prescription on the ground that an action could not be filed without knowing the cause of the accident. The Court of Appeal held </w:t>
      </w:r>
      <w:r w:rsidRPr="00BC0A99">
        <w:rPr>
          <w:rFonts w:ascii="Arial" w:hAnsi="Arial" w:cs="Arial"/>
        </w:rPr>
        <w:t>inter alia</w:t>
      </w:r>
      <w:r w:rsidRPr="0000446F">
        <w:rPr>
          <w:rFonts w:ascii="Arial" w:hAnsi="Arial" w:cs="Arial"/>
        </w:rPr>
        <w:t xml:space="preserve"> that -</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There is no statutory provision that confers power on the Court in this jurisdiction to postpone the accrual of a right of action by reason of ignorance of the </w:t>
      </w:r>
      <w:r>
        <w:rPr>
          <w:rFonts w:ascii="Arial" w:hAnsi="Arial" w:cs="Arial"/>
        </w:rPr>
        <w:t>p</w:t>
      </w:r>
      <w:r w:rsidRPr="0000446F">
        <w:rPr>
          <w:rFonts w:ascii="Arial" w:hAnsi="Arial" w:cs="Arial"/>
        </w:rPr>
        <w:t>laintiff of the material facts relating to the cause of action.</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CE0F0C">
        <w:rPr>
          <w:rFonts w:ascii="Arial" w:hAnsi="Arial" w:cs="Arial"/>
          <w:noProof/>
        </w:rPr>
        <w:pict>
          <v:shape id="_x0000_s1027" type="#_x0000_t202" style="position:absolute;left:0;text-align:left;margin-left:-31.1pt;margin-top:-3.3pt;width:30pt;height:531.55pt;z-index:251661312;mso-height-percent:200;mso-height-percent:200;mso-width-relative:margin;mso-height-relative:margin" stroked="f" strokecolor="white [3212]">
            <v:textbox style="mso-next-textbox:#_x0000_s1027;mso-fit-shape-to-text:t">
              <w:txbxContent>
                <w:p w:rsidR="00294A98" w:rsidRPr="00CF6C02" w:rsidRDefault="00294A98" w:rsidP="00294A98">
                  <w:pPr>
                    <w:rPr>
                      <w:rFonts w:ascii="Arial" w:hAnsi="Arial" w:cs="Arial"/>
                      <w:b/>
                      <w:i/>
                    </w:rPr>
                  </w:pPr>
                </w:p>
              </w:txbxContent>
            </v:textbox>
          </v:shape>
        </w:pict>
      </w:r>
      <w:r w:rsidRPr="0000446F">
        <w:rPr>
          <w:rFonts w:ascii="Arial" w:hAnsi="Arial" w:cs="Arial"/>
        </w:rPr>
        <w:t xml:space="preserve">As regards the application of the equitable jurisdiction, the Court held that there was “nothing of material significance that any delay in releasing information concealed” and that the </w:t>
      </w:r>
      <w:r>
        <w:rPr>
          <w:rFonts w:ascii="Arial" w:hAnsi="Arial" w:cs="Arial"/>
        </w:rPr>
        <w:t>G</w:t>
      </w:r>
      <w:r w:rsidRPr="0000446F">
        <w:rPr>
          <w:rFonts w:ascii="Arial" w:hAnsi="Arial" w:cs="Arial"/>
        </w:rPr>
        <w:t xml:space="preserve">overnment had no information of any use to the </w:t>
      </w:r>
      <w:r>
        <w:rPr>
          <w:rFonts w:ascii="Arial" w:hAnsi="Arial" w:cs="Arial"/>
        </w:rPr>
        <w:t>r</w:t>
      </w:r>
      <w:r w:rsidRPr="0000446F">
        <w:rPr>
          <w:rFonts w:ascii="Arial" w:hAnsi="Arial" w:cs="Arial"/>
        </w:rPr>
        <w:t>espondents in relation to the cause of the crash.  Hence the equitable powers were not exercised in that case.</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Whereas the </w:t>
      </w:r>
      <w:r>
        <w:rPr>
          <w:rFonts w:ascii="Arial" w:hAnsi="Arial" w:cs="Arial"/>
        </w:rPr>
        <w:t>p</w:t>
      </w:r>
      <w:r w:rsidRPr="0000446F">
        <w:rPr>
          <w:rFonts w:ascii="Arial" w:hAnsi="Arial" w:cs="Arial"/>
        </w:rPr>
        <w:t xml:space="preserve">laintiff in the </w:t>
      </w:r>
      <w:proofErr w:type="spellStart"/>
      <w:r w:rsidRPr="00BC0A99">
        <w:rPr>
          <w:rFonts w:ascii="Arial" w:hAnsi="Arial" w:cs="Arial"/>
          <w:i/>
        </w:rPr>
        <w:t>Voysey</w:t>
      </w:r>
      <w:proofErr w:type="spellEnd"/>
      <w:r w:rsidRPr="0000446F">
        <w:rPr>
          <w:rFonts w:ascii="Arial" w:hAnsi="Arial" w:cs="Arial"/>
        </w:rPr>
        <w:t xml:space="preserve"> case (supra) awaited the </w:t>
      </w:r>
      <w:r w:rsidRPr="0000446F">
        <w:rPr>
          <w:rFonts w:ascii="Arial" w:hAnsi="Arial" w:cs="Arial"/>
          <w:u w:val="single"/>
        </w:rPr>
        <w:t>cause of the crash</w:t>
      </w:r>
      <w:r w:rsidRPr="0000446F">
        <w:rPr>
          <w:rFonts w:ascii="Arial" w:hAnsi="Arial" w:cs="Arial"/>
        </w:rPr>
        <w:t xml:space="preserve"> which gave rise to their action, the </w:t>
      </w:r>
      <w:r>
        <w:rPr>
          <w:rFonts w:ascii="Arial" w:hAnsi="Arial" w:cs="Arial"/>
        </w:rPr>
        <w:t>p</w:t>
      </w:r>
      <w:r w:rsidRPr="0000446F">
        <w:rPr>
          <w:rFonts w:ascii="Arial" w:hAnsi="Arial" w:cs="Arial"/>
        </w:rPr>
        <w:t xml:space="preserve">laintiff in the instant case allegedly awaited the </w:t>
      </w:r>
      <w:r w:rsidRPr="0000446F">
        <w:rPr>
          <w:rFonts w:ascii="Arial" w:hAnsi="Arial" w:cs="Arial"/>
          <w:u w:val="single"/>
        </w:rPr>
        <w:t>name of the person</w:t>
      </w:r>
      <w:r w:rsidRPr="0000446F">
        <w:rPr>
          <w:rFonts w:ascii="Arial" w:hAnsi="Arial" w:cs="Arial"/>
        </w:rPr>
        <w:t xml:space="preserve"> who inflicted the gun shot injuries, although admittedly he had knowledge of his identity. </w:t>
      </w:r>
      <w:proofErr w:type="spellStart"/>
      <w:r w:rsidRPr="0000446F">
        <w:rPr>
          <w:rFonts w:ascii="Arial" w:hAnsi="Arial" w:cs="Arial"/>
        </w:rPr>
        <w:t>Ayoola</w:t>
      </w:r>
      <w:proofErr w:type="spellEnd"/>
      <w:r w:rsidRPr="0000446F">
        <w:rPr>
          <w:rFonts w:ascii="Arial" w:hAnsi="Arial" w:cs="Arial"/>
        </w:rPr>
        <w:t xml:space="preserve"> JA stated, albeit obiter, in the case of </w:t>
      </w:r>
      <w:proofErr w:type="spellStart"/>
      <w:r w:rsidRPr="00BC0A99">
        <w:rPr>
          <w:rFonts w:ascii="Arial" w:hAnsi="Arial" w:cs="Arial"/>
          <w:i/>
        </w:rPr>
        <w:t>Voysey</w:t>
      </w:r>
      <w:proofErr w:type="spellEnd"/>
      <w:r w:rsidRPr="0000446F">
        <w:rPr>
          <w:rFonts w:ascii="Arial" w:hAnsi="Arial" w:cs="Arial"/>
        </w:rPr>
        <w:t xml:space="preserve"> stated that –</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Normally, a right of action accrues when the essential facts exist and, barring statutory intervention, does not arise with the awareness, for instance, of the </w:t>
      </w:r>
      <w:proofErr w:type="spellStart"/>
      <w:r w:rsidRPr="0000446F">
        <w:rPr>
          <w:rFonts w:ascii="Arial" w:hAnsi="Arial" w:cs="Arial"/>
        </w:rPr>
        <w:t>attributability</w:t>
      </w:r>
      <w:proofErr w:type="spellEnd"/>
      <w:r w:rsidRPr="0000446F">
        <w:rPr>
          <w:rFonts w:ascii="Arial" w:hAnsi="Arial" w:cs="Arial"/>
        </w:rPr>
        <w:t xml:space="preserve"> of the injury to the fault of the other party, </w:t>
      </w:r>
      <w:r w:rsidRPr="0000446F">
        <w:rPr>
          <w:rFonts w:ascii="Arial" w:hAnsi="Arial" w:cs="Arial"/>
          <w:u w:val="single"/>
        </w:rPr>
        <w:t>unless there has been a fraudulent concealment of facts</w:t>
      </w:r>
      <w:r w:rsidRPr="0000446F">
        <w:rPr>
          <w:rFonts w:ascii="Arial" w:hAnsi="Arial" w:cs="Arial"/>
        </w:rPr>
        <w:t>. The date of manifestation of damage may be specifically made the commencement of a right of action.</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proofErr w:type="spellStart"/>
      <w:r w:rsidRPr="0000446F">
        <w:rPr>
          <w:rFonts w:ascii="Arial" w:hAnsi="Arial" w:cs="Arial"/>
        </w:rPr>
        <w:t>Hanbury</w:t>
      </w:r>
      <w:proofErr w:type="spellEnd"/>
      <w:r w:rsidRPr="0000446F">
        <w:rPr>
          <w:rFonts w:ascii="Arial" w:hAnsi="Arial" w:cs="Arial"/>
        </w:rPr>
        <w:t xml:space="preserve"> on </w:t>
      </w:r>
      <w:r w:rsidRPr="00BC0A99">
        <w:rPr>
          <w:rFonts w:ascii="Arial" w:hAnsi="Arial" w:cs="Arial"/>
          <w:i/>
        </w:rPr>
        <w:t>Modern Equity</w:t>
      </w:r>
      <w:r w:rsidRPr="0000446F">
        <w:rPr>
          <w:rFonts w:ascii="Arial" w:hAnsi="Arial" w:cs="Arial"/>
        </w:rPr>
        <w:t xml:space="preserve"> </w:t>
      </w:r>
      <w:r>
        <w:rPr>
          <w:rFonts w:ascii="Arial" w:hAnsi="Arial" w:cs="Arial"/>
        </w:rPr>
        <w:t>(</w:t>
      </w:r>
      <w:r w:rsidRPr="0000446F">
        <w:rPr>
          <w:rFonts w:ascii="Arial" w:hAnsi="Arial" w:cs="Arial"/>
        </w:rPr>
        <w:t>8</w:t>
      </w:r>
      <w:r w:rsidRPr="0000446F">
        <w:rPr>
          <w:rFonts w:ascii="Arial" w:hAnsi="Arial" w:cs="Arial"/>
          <w:vertAlign w:val="superscript"/>
        </w:rPr>
        <w:t>th</w:t>
      </w:r>
      <w:r w:rsidRPr="0000446F">
        <w:rPr>
          <w:rFonts w:ascii="Arial" w:hAnsi="Arial" w:cs="Arial"/>
        </w:rPr>
        <w:t xml:space="preserve"> </w:t>
      </w:r>
      <w:r>
        <w:rPr>
          <w:rFonts w:ascii="Arial" w:hAnsi="Arial" w:cs="Arial"/>
        </w:rPr>
        <w:t>e</w:t>
      </w:r>
      <w:r w:rsidRPr="0000446F">
        <w:rPr>
          <w:rFonts w:ascii="Arial" w:hAnsi="Arial" w:cs="Arial"/>
        </w:rPr>
        <w:t>dition</w:t>
      </w:r>
      <w:r>
        <w:rPr>
          <w:rFonts w:ascii="Arial" w:hAnsi="Arial" w:cs="Arial"/>
        </w:rPr>
        <w:t>)</w:t>
      </w:r>
      <w:r w:rsidRPr="0000446F">
        <w:rPr>
          <w:rFonts w:ascii="Arial" w:hAnsi="Arial" w:cs="Arial"/>
        </w:rPr>
        <w:t xml:space="preserve"> dealing with equity in relation to the Statute of Limitations states</w:t>
      </w:r>
      <w:r>
        <w:rPr>
          <w:rFonts w:ascii="Arial" w:hAnsi="Arial" w:cs="Arial"/>
        </w:rPr>
        <w:t xml:space="preserve"> at page 307</w:t>
      </w:r>
      <w:r w:rsidRPr="0000446F">
        <w:rPr>
          <w:rFonts w:ascii="Arial" w:hAnsi="Arial" w:cs="Arial"/>
        </w:rPr>
        <w:t>–</w:t>
      </w:r>
    </w:p>
    <w:p w:rsidR="00294A98" w:rsidRPr="0000446F" w:rsidRDefault="00294A98" w:rsidP="00294A98">
      <w:pPr>
        <w:jc w:val="both"/>
        <w:rPr>
          <w:rFonts w:ascii="Arial" w:hAnsi="Arial" w:cs="Arial"/>
        </w:rPr>
      </w:pPr>
    </w:p>
    <w:p w:rsidR="00294A98" w:rsidRPr="0000446F" w:rsidRDefault="00294A98" w:rsidP="00294A98">
      <w:pPr>
        <w:ind w:left="720" w:right="684"/>
        <w:jc w:val="both"/>
        <w:rPr>
          <w:rFonts w:ascii="Arial" w:hAnsi="Arial" w:cs="Arial"/>
        </w:rPr>
      </w:pPr>
      <w:r w:rsidRPr="0000446F">
        <w:rPr>
          <w:rFonts w:ascii="Arial" w:hAnsi="Arial" w:cs="Arial"/>
        </w:rPr>
        <w:t xml:space="preserve">The doctrines of </w:t>
      </w:r>
      <w:proofErr w:type="spellStart"/>
      <w:r w:rsidRPr="0000446F">
        <w:rPr>
          <w:rFonts w:ascii="Arial" w:hAnsi="Arial" w:cs="Arial"/>
        </w:rPr>
        <w:t>laches</w:t>
      </w:r>
      <w:proofErr w:type="spellEnd"/>
      <w:r w:rsidRPr="0000446F">
        <w:rPr>
          <w:rFonts w:ascii="Arial" w:hAnsi="Arial" w:cs="Arial"/>
        </w:rPr>
        <w:t xml:space="preserve"> and acquiescence in the case of purely equitable claims, substituted by equity for the statutes of limitation as deterrents to the tardy assertion of rights, unless one of those statutes had expressly included equitable claims within its orbit. In the case of legal </w:t>
      </w:r>
      <w:proofErr w:type="gramStart"/>
      <w:r w:rsidRPr="0000446F">
        <w:rPr>
          <w:rFonts w:ascii="Arial" w:hAnsi="Arial" w:cs="Arial"/>
        </w:rPr>
        <w:t>claims,</w:t>
      </w:r>
      <w:proofErr w:type="gramEnd"/>
      <w:r w:rsidRPr="0000446F">
        <w:rPr>
          <w:rFonts w:ascii="Arial" w:hAnsi="Arial" w:cs="Arial"/>
        </w:rPr>
        <w:t xml:space="preserve"> or even of equitable claims which it would regard as analogous to legal claims, equity rigidly enforced the observance of the statutory periods. But </w:t>
      </w:r>
      <w:proofErr w:type="gramStart"/>
      <w:r w:rsidRPr="0000446F">
        <w:rPr>
          <w:rFonts w:ascii="Arial" w:hAnsi="Arial" w:cs="Arial"/>
        </w:rPr>
        <w:t>one important reservation equity</w:t>
      </w:r>
      <w:proofErr w:type="gramEnd"/>
      <w:r w:rsidRPr="0000446F">
        <w:rPr>
          <w:rFonts w:ascii="Arial" w:hAnsi="Arial" w:cs="Arial"/>
        </w:rPr>
        <w:t xml:space="preserve"> permitted to itself.  </w:t>
      </w:r>
      <w:r w:rsidRPr="0000446F">
        <w:rPr>
          <w:rFonts w:ascii="Arial" w:hAnsi="Arial" w:cs="Arial"/>
          <w:u w:val="single"/>
        </w:rPr>
        <w:t xml:space="preserve">If there had been fraud on the part of the </w:t>
      </w:r>
      <w:r>
        <w:rPr>
          <w:rFonts w:ascii="Arial" w:hAnsi="Arial" w:cs="Arial"/>
          <w:u w:val="single"/>
        </w:rPr>
        <w:t>d</w:t>
      </w:r>
      <w:r w:rsidRPr="0000446F">
        <w:rPr>
          <w:rFonts w:ascii="Arial" w:hAnsi="Arial" w:cs="Arial"/>
          <w:u w:val="single"/>
        </w:rPr>
        <w:t xml:space="preserve">efendant, and the </w:t>
      </w:r>
      <w:r>
        <w:rPr>
          <w:rFonts w:ascii="Arial" w:hAnsi="Arial" w:cs="Arial"/>
          <w:u w:val="single"/>
        </w:rPr>
        <w:t>p</w:t>
      </w:r>
      <w:r w:rsidRPr="0000446F">
        <w:rPr>
          <w:rFonts w:ascii="Arial" w:hAnsi="Arial" w:cs="Arial"/>
          <w:u w:val="single"/>
        </w:rPr>
        <w:t>laintiff did not discover it, through no fault of his own, until the statutory period had elapsed, equity would consider that the period had not begun to run until the date of its discovery.</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Applying this test to the facts of the case, was the </w:t>
      </w:r>
      <w:r>
        <w:rPr>
          <w:rFonts w:ascii="Arial" w:hAnsi="Arial" w:cs="Arial"/>
        </w:rPr>
        <w:t>p</w:t>
      </w:r>
      <w:r w:rsidRPr="0000446F">
        <w:rPr>
          <w:rFonts w:ascii="Arial" w:hAnsi="Arial" w:cs="Arial"/>
        </w:rPr>
        <w:t xml:space="preserve">laintiff ignorant of the name of his assailant, although he knew of his identity, and if so, was it due to fraud and concealment by the </w:t>
      </w:r>
      <w:r>
        <w:rPr>
          <w:rFonts w:ascii="Arial" w:hAnsi="Arial" w:cs="Arial"/>
        </w:rPr>
        <w:t>G</w:t>
      </w:r>
      <w:r w:rsidRPr="0000446F">
        <w:rPr>
          <w:rFonts w:ascii="Arial" w:hAnsi="Arial" w:cs="Arial"/>
        </w:rPr>
        <w:t xml:space="preserve">overnment as alleged, or due to his own </w:t>
      </w:r>
      <w:proofErr w:type="spellStart"/>
      <w:r w:rsidRPr="0000446F">
        <w:rPr>
          <w:rFonts w:ascii="Arial" w:hAnsi="Arial" w:cs="Arial"/>
        </w:rPr>
        <w:t>laches</w:t>
      </w:r>
      <w:proofErr w:type="spellEnd"/>
      <w:r w:rsidRPr="0000446F">
        <w:rPr>
          <w:rFonts w:ascii="Arial" w:hAnsi="Arial" w:cs="Arial"/>
        </w:rPr>
        <w:t xml:space="preserve"> or acquiescence?</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The </w:t>
      </w:r>
      <w:r>
        <w:rPr>
          <w:rFonts w:ascii="Arial" w:hAnsi="Arial" w:cs="Arial"/>
        </w:rPr>
        <w:t>p</w:t>
      </w:r>
      <w:r w:rsidRPr="0000446F">
        <w:rPr>
          <w:rFonts w:ascii="Arial" w:hAnsi="Arial" w:cs="Arial"/>
        </w:rPr>
        <w:t xml:space="preserve">laintiff testified that he knew that it was an army officer on duty at Colonel </w:t>
      </w:r>
      <w:proofErr w:type="spellStart"/>
      <w:r w:rsidRPr="0000446F">
        <w:rPr>
          <w:rFonts w:ascii="Arial" w:hAnsi="Arial" w:cs="Arial"/>
        </w:rPr>
        <w:t>Vidot’s</w:t>
      </w:r>
      <w:proofErr w:type="spellEnd"/>
      <w:r w:rsidRPr="0000446F">
        <w:rPr>
          <w:rFonts w:ascii="Arial" w:hAnsi="Arial" w:cs="Arial"/>
        </w:rPr>
        <w:t xml:space="preserve"> residence, which was close</w:t>
      </w:r>
      <w:r>
        <w:rPr>
          <w:rFonts w:ascii="Arial" w:hAnsi="Arial" w:cs="Arial"/>
        </w:rPr>
        <w:t xml:space="preserve"> </w:t>
      </w:r>
      <w:r w:rsidRPr="0000446F">
        <w:rPr>
          <w:rFonts w:ascii="Arial" w:hAnsi="Arial" w:cs="Arial"/>
        </w:rPr>
        <w:t xml:space="preserve">by, who shot him on 15 August 1983.  He further stated that that person who shot him had looked at him in </w:t>
      </w:r>
      <w:r>
        <w:rPr>
          <w:rFonts w:ascii="Arial" w:hAnsi="Arial" w:cs="Arial"/>
        </w:rPr>
        <w:t xml:space="preserve">a </w:t>
      </w:r>
      <w:r w:rsidRPr="0000446F">
        <w:rPr>
          <w:rFonts w:ascii="Arial" w:hAnsi="Arial" w:cs="Arial"/>
        </w:rPr>
        <w:t xml:space="preserve">strange manner the previous day.  He did not know his name until in 1995 he heard from one </w:t>
      </w:r>
      <w:proofErr w:type="spellStart"/>
      <w:r w:rsidRPr="0000446F">
        <w:rPr>
          <w:rFonts w:ascii="Arial" w:hAnsi="Arial" w:cs="Arial"/>
        </w:rPr>
        <w:t>Phililp</w:t>
      </w:r>
      <w:proofErr w:type="spellEnd"/>
      <w:r w:rsidRPr="0000446F">
        <w:rPr>
          <w:rFonts w:ascii="Arial" w:hAnsi="Arial" w:cs="Arial"/>
        </w:rPr>
        <w:t xml:space="preserve"> Figaro, an ex</w:t>
      </w:r>
      <w:r>
        <w:rPr>
          <w:rFonts w:ascii="Arial" w:hAnsi="Arial" w:cs="Arial"/>
        </w:rPr>
        <w:t>-</w:t>
      </w:r>
      <w:r w:rsidRPr="0000446F">
        <w:rPr>
          <w:rFonts w:ascii="Arial" w:hAnsi="Arial" w:cs="Arial"/>
        </w:rPr>
        <w:t xml:space="preserve">army officer who was also on duty at Colonel </w:t>
      </w:r>
      <w:proofErr w:type="spellStart"/>
      <w:r w:rsidRPr="0000446F">
        <w:rPr>
          <w:rFonts w:ascii="Arial" w:hAnsi="Arial" w:cs="Arial"/>
        </w:rPr>
        <w:t>Vidot’s</w:t>
      </w:r>
      <w:proofErr w:type="spellEnd"/>
      <w:r w:rsidRPr="0000446F">
        <w:rPr>
          <w:rFonts w:ascii="Arial" w:hAnsi="Arial" w:cs="Arial"/>
        </w:rPr>
        <w:t xml:space="preserve"> residence at that time. Philip Figaro corroborated the </w:t>
      </w:r>
      <w:r>
        <w:rPr>
          <w:rFonts w:ascii="Arial" w:hAnsi="Arial" w:cs="Arial"/>
        </w:rPr>
        <w:t>p</w:t>
      </w:r>
      <w:r w:rsidRPr="0000446F">
        <w:rPr>
          <w:rFonts w:ascii="Arial" w:hAnsi="Arial" w:cs="Arial"/>
        </w:rPr>
        <w:t xml:space="preserve">laintiff on this matter. Philip Figaro further testified that he met Francois </w:t>
      </w:r>
      <w:proofErr w:type="spellStart"/>
      <w:r w:rsidRPr="0000446F">
        <w:rPr>
          <w:rFonts w:ascii="Arial" w:hAnsi="Arial" w:cs="Arial"/>
        </w:rPr>
        <w:t>Philoe</w:t>
      </w:r>
      <w:proofErr w:type="spellEnd"/>
      <w:r w:rsidRPr="0000446F">
        <w:rPr>
          <w:rFonts w:ascii="Arial" w:hAnsi="Arial" w:cs="Arial"/>
        </w:rPr>
        <w:t xml:space="preserve"> at Colonel </w:t>
      </w:r>
      <w:proofErr w:type="spellStart"/>
      <w:r w:rsidRPr="0000446F">
        <w:rPr>
          <w:rFonts w:ascii="Arial" w:hAnsi="Arial" w:cs="Arial"/>
        </w:rPr>
        <w:t>Vidot’s</w:t>
      </w:r>
      <w:proofErr w:type="spellEnd"/>
      <w:r w:rsidRPr="0000446F">
        <w:rPr>
          <w:rFonts w:ascii="Arial" w:hAnsi="Arial" w:cs="Arial"/>
        </w:rPr>
        <w:t xml:space="preserve"> after the shooting. He was excited and told him that it was the first time that he shot someone. He further stated that everyone in the camp knew who shot the </w:t>
      </w:r>
      <w:r>
        <w:rPr>
          <w:rFonts w:ascii="Arial" w:hAnsi="Arial" w:cs="Arial"/>
        </w:rPr>
        <w:t>p</w:t>
      </w:r>
      <w:r w:rsidRPr="0000446F">
        <w:rPr>
          <w:rFonts w:ascii="Arial" w:hAnsi="Arial" w:cs="Arial"/>
        </w:rPr>
        <w:t xml:space="preserve">laintiff and that </w:t>
      </w:r>
      <w:proofErr w:type="spellStart"/>
      <w:r w:rsidRPr="0000446F">
        <w:rPr>
          <w:rFonts w:ascii="Arial" w:hAnsi="Arial" w:cs="Arial"/>
        </w:rPr>
        <w:t>Philoe</w:t>
      </w:r>
      <w:proofErr w:type="spellEnd"/>
      <w:r w:rsidRPr="0000446F">
        <w:rPr>
          <w:rFonts w:ascii="Arial" w:hAnsi="Arial" w:cs="Arial"/>
        </w:rPr>
        <w:t xml:space="preserve"> continued to perform guard duties at Colonel </w:t>
      </w:r>
      <w:proofErr w:type="spellStart"/>
      <w:r w:rsidRPr="0000446F">
        <w:rPr>
          <w:rFonts w:ascii="Arial" w:hAnsi="Arial" w:cs="Arial"/>
        </w:rPr>
        <w:t>Vidot’s</w:t>
      </w:r>
      <w:proofErr w:type="spellEnd"/>
      <w:r w:rsidRPr="0000446F">
        <w:rPr>
          <w:rFonts w:ascii="Arial" w:hAnsi="Arial" w:cs="Arial"/>
        </w:rPr>
        <w:t xml:space="preserve"> residence thereafter.</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The wife of the </w:t>
      </w:r>
      <w:r>
        <w:rPr>
          <w:rFonts w:ascii="Arial" w:hAnsi="Arial" w:cs="Arial"/>
        </w:rPr>
        <w:t>p</w:t>
      </w:r>
      <w:r w:rsidRPr="0000446F">
        <w:rPr>
          <w:rFonts w:ascii="Arial" w:hAnsi="Arial" w:cs="Arial"/>
        </w:rPr>
        <w:t xml:space="preserve">laintiff, who rushed out of the house on hearing gun shots, also testified that she saw an army officer dressed in army uniform with a gun in his hand and another person without a gun, in civilian clothes. She further testified that as she was sure that her husband was shot by an army officer on duty, she met with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Berlouis</w:t>
      </w:r>
      <w:proofErr w:type="spellEnd"/>
      <w:r w:rsidRPr="0000446F">
        <w:rPr>
          <w:rFonts w:ascii="Arial" w:hAnsi="Arial" w:cs="Arial"/>
        </w:rPr>
        <w:t xml:space="preserve"> </w:t>
      </w:r>
      <w:r w:rsidRPr="0000446F">
        <w:rPr>
          <w:rFonts w:ascii="Arial" w:hAnsi="Arial" w:cs="Arial"/>
        </w:rPr>
        <w:lastRenderedPageBreak/>
        <w:t xml:space="preserve">(the then Minister of </w:t>
      </w:r>
      <w:proofErr w:type="spellStart"/>
      <w:r w:rsidRPr="0000446F">
        <w:rPr>
          <w:rFonts w:ascii="Arial" w:hAnsi="Arial" w:cs="Arial"/>
        </w:rPr>
        <w:t>Defence</w:t>
      </w:r>
      <w:proofErr w:type="spellEnd"/>
      <w:r w:rsidRPr="0000446F">
        <w:rPr>
          <w:rFonts w:ascii="Arial" w:hAnsi="Arial" w:cs="Arial"/>
        </w:rPr>
        <w:t xml:space="preserve">) to ascertain the name of that officer, but was told that the information was confidential.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Berlouis</w:t>
      </w:r>
      <w:proofErr w:type="spellEnd"/>
      <w:r w:rsidRPr="0000446F">
        <w:rPr>
          <w:rFonts w:ascii="Arial" w:hAnsi="Arial" w:cs="Arial"/>
        </w:rPr>
        <w:t xml:space="preserve">, though listed as a witness, was not called by the </w:t>
      </w:r>
      <w:r>
        <w:rPr>
          <w:rFonts w:ascii="Arial" w:hAnsi="Arial" w:cs="Arial"/>
        </w:rPr>
        <w:t>p</w:t>
      </w:r>
      <w:r w:rsidRPr="0000446F">
        <w:rPr>
          <w:rFonts w:ascii="Arial" w:hAnsi="Arial" w:cs="Arial"/>
        </w:rPr>
        <w:t>laintiff and hence her evidence on that matter remains to be hearsay.</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Unlike in the </w:t>
      </w:r>
      <w:proofErr w:type="spellStart"/>
      <w:r w:rsidRPr="00BC0A99">
        <w:rPr>
          <w:rFonts w:ascii="Arial" w:hAnsi="Arial" w:cs="Arial"/>
          <w:i/>
        </w:rPr>
        <w:t>Voysey</w:t>
      </w:r>
      <w:proofErr w:type="spellEnd"/>
      <w:r w:rsidRPr="00BC0A99">
        <w:rPr>
          <w:rFonts w:ascii="Arial" w:hAnsi="Arial" w:cs="Arial"/>
          <w:i/>
        </w:rPr>
        <w:t xml:space="preserve"> </w:t>
      </w:r>
      <w:r>
        <w:rPr>
          <w:rFonts w:ascii="Arial" w:hAnsi="Arial" w:cs="Arial"/>
        </w:rPr>
        <w:t>c</w:t>
      </w:r>
      <w:r w:rsidRPr="00BC0A99">
        <w:rPr>
          <w:rFonts w:ascii="Arial" w:hAnsi="Arial" w:cs="Arial"/>
        </w:rPr>
        <w:t>ase</w:t>
      </w:r>
      <w:r w:rsidRPr="0000446F">
        <w:rPr>
          <w:rFonts w:ascii="Arial" w:hAnsi="Arial" w:cs="Arial"/>
          <w:b/>
          <w:u w:val="single"/>
        </w:rPr>
        <w:t>,</w:t>
      </w:r>
      <w:r w:rsidRPr="0000446F">
        <w:rPr>
          <w:rFonts w:ascii="Arial" w:hAnsi="Arial" w:cs="Arial"/>
        </w:rPr>
        <w:t xml:space="preserve"> the </w:t>
      </w:r>
      <w:r>
        <w:rPr>
          <w:rFonts w:ascii="Arial" w:hAnsi="Arial" w:cs="Arial"/>
        </w:rPr>
        <w:t>p</w:t>
      </w:r>
      <w:r w:rsidRPr="0000446F">
        <w:rPr>
          <w:rFonts w:ascii="Arial" w:hAnsi="Arial" w:cs="Arial"/>
        </w:rPr>
        <w:t>laintiff did not produce any documentary evidenc</w:t>
      </w:r>
      <w:r>
        <w:rPr>
          <w:rFonts w:ascii="Arial" w:hAnsi="Arial" w:cs="Arial"/>
        </w:rPr>
        <w:t>e</w:t>
      </w:r>
      <w:r w:rsidRPr="0000446F">
        <w:rPr>
          <w:rFonts w:ascii="Arial" w:hAnsi="Arial" w:cs="Arial"/>
        </w:rPr>
        <w:t xml:space="preserve"> to show that any meaningful attempts were made to ascertain the name of the army officer before the lapse of the period of five years prescription under the general law.  In fact, as the </w:t>
      </w:r>
      <w:r>
        <w:rPr>
          <w:rFonts w:ascii="Arial" w:hAnsi="Arial" w:cs="Arial"/>
        </w:rPr>
        <w:t>p</w:t>
      </w:r>
      <w:r w:rsidRPr="0000446F">
        <w:rPr>
          <w:rFonts w:ascii="Arial" w:hAnsi="Arial" w:cs="Arial"/>
        </w:rPr>
        <w:t xml:space="preserve">laintiff and his wife knew full well that the injuries were caused by an army officer on </w:t>
      </w:r>
      <w:proofErr w:type="gramStart"/>
      <w:r w:rsidRPr="0000446F">
        <w:rPr>
          <w:rFonts w:ascii="Arial" w:hAnsi="Arial" w:cs="Arial"/>
        </w:rPr>
        <w:t>duty,</w:t>
      </w:r>
      <w:proofErr w:type="gramEnd"/>
      <w:r w:rsidRPr="0000446F">
        <w:rPr>
          <w:rFonts w:ascii="Arial" w:hAnsi="Arial" w:cs="Arial"/>
        </w:rPr>
        <w:t xml:space="preserve"> the action was barred by the six month period of limitation under </w:t>
      </w:r>
      <w:r>
        <w:rPr>
          <w:rFonts w:ascii="Arial" w:hAnsi="Arial" w:cs="Arial"/>
        </w:rPr>
        <w:t>s</w:t>
      </w:r>
      <w:r w:rsidRPr="0000446F">
        <w:rPr>
          <w:rFonts w:ascii="Arial" w:hAnsi="Arial" w:cs="Arial"/>
        </w:rPr>
        <w:t>ection 3 of the Public Officers (</w:t>
      </w:r>
      <w:r>
        <w:rPr>
          <w:rFonts w:ascii="Arial" w:hAnsi="Arial" w:cs="Arial"/>
        </w:rPr>
        <w:t>P</w:t>
      </w:r>
      <w:r w:rsidRPr="0000446F">
        <w:rPr>
          <w:rFonts w:ascii="Arial" w:hAnsi="Arial" w:cs="Arial"/>
        </w:rPr>
        <w:t xml:space="preserve">rotection) Act (Cap 192).  Even in the circumstances alleged by the </w:t>
      </w:r>
      <w:r>
        <w:rPr>
          <w:rFonts w:ascii="Arial" w:hAnsi="Arial" w:cs="Arial"/>
        </w:rPr>
        <w:t>p</w:t>
      </w:r>
      <w:r w:rsidRPr="0000446F">
        <w:rPr>
          <w:rFonts w:ascii="Arial" w:hAnsi="Arial" w:cs="Arial"/>
        </w:rPr>
        <w:t xml:space="preserve">laintiff, an action could have been instituted against the </w:t>
      </w:r>
      <w:r>
        <w:rPr>
          <w:rFonts w:ascii="Arial" w:hAnsi="Arial" w:cs="Arial"/>
        </w:rPr>
        <w:t>G</w:t>
      </w:r>
      <w:r w:rsidRPr="0000446F">
        <w:rPr>
          <w:rFonts w:ascii="Arial" w:hAnsi="Arial" w:cs="Arial"/>
        </w:rPr>
        <w:t xml:space="preserve">overnment in its capacity as joint </w:t>
      </w:r>
      <w:proofErr w:type="spellStart"/>
      <w:r w:rsidRPr="0000446F">
        <w:rPr>
          <w:rFonts w:ascii="Arial" w:hAnsi="Arial" w:cs="Arial"/>
        </w:rPr>
        <w:t>tortfeasor</w:t>
      </w:r>
      <w:proofErr w:type="spellEnd"/>
      <w:r w:rsidRPr="0000446F">
        <w:rPr>
          <w:rFonts w:ascii="Arial" w:hAnsi="Arial" w:cs="Arial"/>
        </w:rPr>
        <w:t xml:space="preserve"> on the basis of vicarious liability within the period of 6 months.</w:t>
      </w:r>
    </w:p>
    <w:p w:rsidR="00294A98" w:rsidRPr="0000446F" w:rsidRDefault="00294A98" w:rsidP="00294A98">
      <w:pPr>
        <w:jc w:val="both"/>
        <w:rPr>
          <w:rFonts w:ascii="Arial" w:hAnsi="Arial" w:cs="Arial"/>
        </w:rPr>
      </w:pPr>
      <w:r w:rsidRPr="00CE0F0C">
        <w:rPr>
          <w:rFonts w:ascii="Arial" w:hAnsi="Arial" w:cs="Arial"/>
          <w:noProof/>
        </w:rPr>
        <w:pict>
          <v:shape id="_x0000_s1028" type="#_x0000_t202" style="position:absolute;left:0;text-align:left;margin-left:-31.1pt;margin-top:-155.1pt;width:30pt;height:531.55pt;z-index:251662336;mso-height-percent:200;mso-height-percent:200;mso-width-relative:margin;mso-height-relative:margin" stroked="f" strokecolor="white [3212]">
            <v:textbox style="mso-next-textbox:#_x0000_s1028;mso-fit-shape-to-text:t">
              <w:txbxContent>
                <w:p w:rsidR="00294A98" w:rsidRPr="00CF6C02" w:rsidRDefault="00294A98" w:rsidP="00294A98">
                  <w:pPr>
                    <w:rPr>
                      <w:rFonts w:ascii="Arial" w:hAnsi="Arial" w:cs="Arial"/>
                      <w:b/>
                      <w:i/>
                    </w:rPr>
                  </w:pPr>
                </w:p>
              </w:txbxContent>
            </v:textbox>
          </v:shape>
        </w:pict>
      </w:r>
    </w:p>
    <w:p w:rsidR="00294A98" w:rsidRPr="0000446F" w:rsidRDefault="00294A98" w:rsidP="00294A98">
      <w:pPr>
        <w:jc w:val="both"/>
        <w:rPr>
          <w:rFonts w:ascii="Arial" w:hAnsi="Arial" w:cs="Arial"/>
        </w:rPr>
      </w:pPr>
      <w:r w:rsidRPr="0000446F">
        <w:rPr>
          <w:rFonts w:ascii="Arial" w:hAnsi="Arial" w:cs="Arial"/>
        </w:rPr>
        <w:t xml:space="preserve">In the recent case of </w:t>
      </w:r>
      <w:r w:rsidRPr="00BC0A99">
        <w:rPr>
          <w:rFonts w:ascii="Arial" w:hAnsi="Arial" w:cs="Arial"/>
          <w:i/>
        </w:rPr>
        <w:t>Joseph Labrosse v Government of Seychelles</w:t>
      </w:r>
      <w:r w:rsidRPr="0000446F">
        <w:rPr>
          <w:rFonts w:ascii="Arial" w:hAnsi="Arial" w:cs="Arial"/>
        </w:rPr>
        <w:t xml:space="preserve"> (</w:t>
      </w:r>
      <w:r>
        <w:rPr>
          <w:rFonts w:ascii="Arial" w:hAnsi="Arial" w:cs="Arial"/>
        </w:rPr>
        <w:t xml:space="preserve">unreported) </w:t>
      </w:r>
      <w:r w:rsidRPr="0000446F">
        <w:rPr>
          <w:rFonts w:ascii="Arial" w:hAnsi="Arial" w:cs="Arial"/>
        </w:rPr>
        <w:t>CA 11</w:t>
      </w:r>
      <w:r>
        <w:rPr>
          <w:rFonts w:ascii="Arial" w:hAnsi="Arial" w:cs="Arial"/>
        </w:rPr>
        <w:t>/</w:t>
      </w:r>
      <w:r w:rsidRPr="0000446F">
        <w:rPr>
          <w:rFonts w:ascii="Arial" w:hAnsi="Arial" w:cs="Arial"/>
        </w:rPr>
        <w:t>1998) determined on 4 December 1998, the Court of Appeal unanimously held that the time bar contained in the Public Officers (Protection) Act applied to a Public Officer (</w:t>
      </w:r>
      <w:proofErr w:type="spellStart"/>
      <w:r>
        <w:rPr>
          <w:rFonts w:ascii="Arial" w:hAnsi="Arial" w:cs="Arial"/>
        </w:rPr>
        <w:t>t</w:t>
      </w:r>
      <w:r w:rsidRPr="0000446F">
        <w:rPr>
          <w:rFonts w:ascii="Arial" w:hAnsi="Arial" w:cs="Arial"/>
        </w:rPr>
        <w:t>ortfeasor</w:t>
      </w:r>
      <w:proofErr w:type="spellEnd"/>
      <w:r w:rsidRPr="0000446F">
        <w:rPr>
          <w:rFonts w:ascii="Arial" w:hAnsi="Arial" w:cs="Arial"/>
        </w:rPr>
        <w:t xml:space="preserve">) alone, against the Public Officer and the employer as joint </w:t>
      </w:r>
      <w:proofErr w:type="spellStart"/>
      <w:r w:rsidRPr="0000446F">
        <w:rPr>
          <w:rFonts w:ascii="Arial" w:hAnsi="Arial" w:cs="Arial"/>
        </w:rPr>
        <w:t>tortfeasors</w:t>
      </w:r>
      <w:proofErr w:type="spellEnd"/>
      <w:r w:rsidRPr="0000446F">
        <w:rPr>
          <w:rFonts w:ascii="Arial" w:hAnsi="Arial" w:cs="Arial"/>
        </w:rPr>
        <w:t>, or against the employer on the basis of vicarious liability.</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In the instance case, the </w:t>
      </w:r>
      <w:r>
        <w:rPr>
          <w:rFonts w:ascii="Arial" w:hAnsi="Arial" w:cs="Arial"/>
        </w:rPr>
        <w:t>G</w:t>
      </w:r>
      <w:r w:rsidRPr="0000446F">
        <w:rPr>
          <w:rFonts w:ascii="Arial" w:hAnsi="Arial" w:cs="Arial"/>
        </w:rPr>
        <w:t xml:space="preserve">overnment has denied that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the original </w:t>
      </w:r>
      <w:proofErr w:type="spellStart"/>
      <w:r w:rsidRPr="0000446F">
        <w:rPr>
          <w:rFonts w:ascii="Arial" w:hAnsi="Arial" w:cs="Arial"/>
        </w:rPr>
        <w:t>tortfeasor</w:t>
      </w:r>
      <w:proofErr w:type="spellEnd"/>
      <w:r>
        <w:rPr>
          <w:rFonts w:ascii="Arial" w:hAnsi="Arial" w:cs="Arial"/>
        </w:rPr>
        <w:t>,</w:t>
      </w:r>
      <w:r w:rsidRPr="0000446F">
        <w:rPr>
          <w:rFonts w:ascii="Arial" w:hAnsi="Arial" w:cs="Arial"/>
        </w:rPr>
        <w:t xml:space="preserve"> was acting within the scope of his employment as alleged.  Hence there was no consideration of vicarious liability, and accordingly the </w:t>
      </w:r>
      <w:r>
        <w:rPr>
          <w:rFonts w:ascii="Arial" w:hAnsi="Arial" w:cs="Arial"/>
        </w:rPr>
        <w:t>G</w:t>
      </w:r>
      <w:r w:rsidRPr="0000446F">
        <w:rPr>
          <w:rFonts w:ascii="Arial" w:hAnsi="Arial" w:cs="Arial"/>
        </w:rPr>
        <w:t>overnment, who alone is being sued in that capacity rightly relies on the general period of prescription.</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r w:rsidRPr="0000446F">
        <w:rPr>
          <w:rFonts w:ascii="Arial" w:hAnsi="Arial" w:cs="Arial"/>
        </w:rPr>
        <w:t xml:space="preserve">The evidence adduced by the </w:t>
      </w:r>
      <w:r>
        <w:rPr>
          <w:rFonts w:ascii="Arial" w:hAnsi="Arial" w:cs="Arial"/>
        </w:rPr>
        <w:t>p</w:t>
      </w:r>
      <w:r w:rsidRPr="0000446F">
        <w:rPr>
          <w:rFonts w:ascii="Arial" w:hAnsi="Arial" w:cs="Arial"/>
        </w:rPr>
        <w:t xml:space="preserve">laintiff does not establish any fraud or concealment on the part of the government.  The </w:t>
      </w:r>
      <w:proofErr w:type="spellStart"/>
      <w:r w:rsidRPr="0000446F">
        <w:rPr>
          <w:rFonts w:ascii="Arial" w:hAnsi="Arial" w:cs="Arial"/>
        </w:rPr>
        <w:t>tortfeasor</w:t>
      </w:r>
      <w:proofErr w:type="spellEnd"/>
      <w:r w:rsidRPr="0000446F">
        <w:rPr>
          <w:rFonts w:ascii="Arial" w:hAnsi="Arial" w:cs="Arial"/>
        </w:rPr>
        <w:t xml:space="preserve"> was known to the </w:t>
      </w:r>
      <w:r>
        <w:rPr>
          <w:rFonts w:ascii="Arial" w:hAnsi="Arial" w:cs="Arial"/>
        </w:rPr>
        <w:t>p</w:t>
      </w:r>
      <w:r w:rsidRPr="0000446F">
        <w:rPr>
          <w:rFonts w:ascii="Arial" w:hAnsi="Arial" w:cs="Arial"/>
        </w:rPr>
        <w:t xml:space="preserve">laintiff and his wife, although not by name.  It is inconceivable that they were unable to ascertain the name of that person if they exercised due diligence.  No formal requests were made </w:t>
      </w:r>
      <w:r>
        <w:rPr>
          <w:rFonts w:ascii="Arial" w:hAnsi="Arial" w:cs="Arial"/>
        </w:rPr>
        <w:t>to</w:t>
      </w:r>
      <w:r w:rsidRPr="0000446F">
        <w:rPr>
          <w:rFonts w:ascii="Arial" w:hAnsi="Arial" w:cs="Arial"/>
        </w:rPr>
        <w:t xml:space="preserve"> the </w:t>
      </w:r>
      <w:proofErr w:type="spellStart"/>
      <w:r w:rsidRPr="0000446F">
        <w:rPr>
          <w:rFonts w:ascii="Arial" w:hAnsi="Arial" w:cs="Arial"/>
        </w:rPr>
        <w:t>Defence</w:t>
      </w:r>
      <w:proofErr w:type="spellEnd"/>
      <w:r w:rsidRPr="0000446F">
        <w:rPr>
          <w:rFonts w:ascii="Arial" w:hAnsi="Arial" w:cs="Arial"/>
        </w:rPr>
        <w:t xml:space="preserve"> Forces, or the police.  According to the evidence of Clement Potter and Jean Larue of the Port </w:t>
      </w:r>
      <w:proofErr w:type="spellStart"/>
      <w:r w:rsidRPr="0000446F">
        <w:rPr>
          <w:rFonts w:ascii="Arial" w:hAnsi="Arial" w:cs="Arial"/>
        </w:rPr>
        <w:t>Glaud</w:t>
      </w:r>
      <w:proofErr w:type="spellEnd"/>
      <w:r w:rsidRPr="0000446F">
        <w:rPr>
          <w:rFonts w:ascii="Arial" w:hAnsi="Arial" w:cs="Arial"/>
        </w:rPr>
        <w:t xml:space="preserve"> Police Station, the police conducted an investigation.  Moreover there was the possibility of a direct action against the </w:t>
      </w:r>
      <w:r>
        <w:rPr>
          <w:rFonts w:ascii="Arial" w:hAnsi="Arial" w:cs="Arial"/>
        </w:rPr>
        <w:t>G</w:t>
      </w:r>
      <w:r w:rsidRPr="0000446F">
        <w:rPr>
          <w:rFonts w:ascii="Arial" w:hAnsi="Arial" w:cs="Arial"/>
        </w:rPr>
        <w:t xml:space="preserve">overnment within the prescriptive period.  Hence more than in the </w:t>
      </w:r>
      <w:proofErr w:type="spellStart"/>
      <w:r w:rsidRPr="00BC0A99">
        <w:rPr>
          <w:rFonts w:ascii="Arial" w:hAnsi="Arial" w:cs="Arial"/>
          <w:i/>
        </w:rPr>
        <w:t>Voysey</w:t>
      </w:r>
      <w:proofErr w:type="spellEnd"/>
      <w:r w:rsidRPr="00BC0A99">
        <w:rPr>
          <w:rFonts w:ascii="Arial" w:hAnsi="Arial" w:cs="Arial"/>
        </w:rPr>
        <w:t xml:space="preserve"> </w:t>
      </w:r>
      <w:r>
        <w:rPr>
          <w:rFonts w:ascii="Arial" w:hAnsi="Arial" w:cs="Arial"/>
        </w:rPr>
        <w:t>c</w:t>
      </w:r>
      <w:r w:rsidRPr="00BC0A99">
        <w:rPr>
          <w:rFonts w:ascii="Arial" w:hAnsi="Arial" w:cs="Arial"/>
        </w:rPr>
        <w:t>ase</w:t>
      </w:r>
      <w:r w:rsidRPr="0000446F">
        <w:rPr>
          <w:rFonts w:ascii="Arial" w:hAnsi="Arial" w:cs="Arial"/>
        </w:rPr>
        <w:t xml:space="preserve"> this case does not merit the exercise of the equitable jurisdiction of this Court to defeat the </w:t>
      </w:r>
      <w:r>
        <w:rPr>
          <w:rFonts w:ascii="Arial" w:hAnsi="Arial" w:cs="Arial"/>
        </w:rPr>
        <w:t>d</w:t>
      </w:r>
      <w:r w:rsidRPr="0000446F">
        <w:rPr>
          <w:rFonts w:ascii="Arial" w:hAnsi="Arial" w:cs="Arial"/>
        </w:rPr>
        <w:t xml:space="preserve">efendant’s </w:t>
      </w:r>
      <w:proofErr w:type="spellStart"/>
      <w:r w:rsidRPr="0000446F">
        <w:rPr>
          <w:rFonts w:ascii="Arial" w:hAnsi="Arial" w:cs="Arial"/>
        </w:rPr>
        <w:t>defence</w:t>
      </w:r>
      <w:proofErr w:type="spellEnd"/>
      <w:r w:rsidRPr="0000446F">
        <w:rPr>
          <w:rFonts w:ascii="Arial" w:hAnsi="Arial" w:cs="Arial"/>
        </w:rPr>
        <w:t xml:space="preserve"> of prescription.</w:t>
      </w:r>
    </w:p>
    <w:p w:rsidR="00294A98" w:rsidRPr="0000446F" w:rsidRDefault="00294A98" w:rsidP="00294A98">
      <w:pPr>
        <w:jc w:val="both"/>
        <w:rPr>
          <w:rFonts w:ascii="Arial" w:hAnsi="Arial" w:cs="Arial"/>
        </w:rPr>
      </w:pPr>
      <w:r w:rsidRPr="00CE0F0C">
        <w:rPr>
          <w:rFonts w:ascii="Arial" w:hAnsi="Arial" w:cs="Arial"/>
          <w:noProof/>
        </w:rPr>
        <w:pict>
          <v:shape id="_x0000_s1030" type="#_x0000_t202" style="position:absolute;left:0;text-align:left;margin-left:336.4pt;margin-top:-44.8pt;width:30pt;height:531.55pt;z-index:251664384;mso-height-percent:200;mso-height-percent:200;mso-width-relative:margin;mso-height-relative:margin" stroked="f" strokecolor="white [3212]">
            <v:textbox style="mso-next-textbox:#_x0000_s1030;mso-fit-shape-to-text:t">
              <w:txbxContent>
                <w:p w:rsidR="00294A98" w:rsidRPr="00CF6C02" w:rsidRDefault="00294A98" w:rsidP="00294A98">
                  <w:pPr>
                    <w:rPr>
                      <w:rFonts w:ascii="Arial" w:hAnsi="Arial" w:cs="Arial"/>
                      <w:b/>
                      <w:i/>
                    </w:rPr>
                  </w:pPr>
                </w:p>
              </w:txbxContent>
            </v:textbox>
          </v:shape>
        </w:pict>
      </w:r>
      <w:r w:rsidRPr="0000446F">
        <w:rPr>
          <w:rFonts w:ascii="Arial" w:hAnsi="Arial" w:cs="Arial"/>
        </w:rPr>
        <w:t xml:space="preserve">The plea in </w:t>
      </w:r>
      <w:proofErr w:type="spellStart"/>
      <w:r w:rsidRPr="0000446F">
        <w:rPr>
          <w:rFonts w:ascii="Arial" w:hAnsi="Arial" w:cs="Arial"/>
        </w:rPr>
        <w:t>limine</w:t>
      </w:r>
      <w:proofErr w:type="spellEnd"/>
      <w:r w:rsidRPr="0000446F">
        <w:rPr>
          <w:rFonts w:ascii="Arial" w:hAnsi="Arial" w:cs="Arial"/>
        </w:rPr>
        <w:t xml:space="preserve"> </w:t>
      </w:r>
      <w:proofErr w:type="spellStart"/>
      <w:r w:rsidRPr="0000446F">
        <w:rPr>
          <w:rFonts w:ascii="Arial" w:hAnsi="Arial" w:cs="Arial"/>
        </w:rPr>
        <w:t>litis</w:t>
      </w:r>
      <w:proofErr w:type="spellEnd"/>
      <w:r w:rsidRPr="0000446F">
        <w:rPr>
          <w:rFonts w:ascii="Arial" w:hAnsi="Arial" w:cs="Arial"/>
        </w:rPr>
        <w:t xml:space="preserve"> is therefore upheld, and since this decision dispose</w:t>
      </w:r>
      <w:r>
        <w:rPr>
          <w:rFonts w:ascii="Arial" w:hAnsi="Arial" w:cs="Arial"/>
        </w:rPr>
        <w:t>s</w:t>
      </w:r>
      <w:r w:rsidRPr="0000446F">
        <w:rPr>
          <w:rFonts w:ascii="Arial" w:hAnsi="Arial" w:cs="Arial"/>
        </w:rPr>
        <w:t xml:space="preserve"> </w:t>
      </w:r>
      <w:r>
        <w:rPr>
          <w:rFonts w:ascii="Arial" w:hAnsi="Arial" w:cs="Arial"/>
        </w:rPr>
        <w:t>o</w:t>
      </w:r>
      <w:r w:rsidRPr="0000446F">
        <w:rPr>
          <w:rFonts w:ascii="Arial" w:hAnsi="Arial" w:cs="Arial"/>
        </w:rPr>
        <w:t>f the whole cause of action, the action is dismissed, but without costs.</w:t>
      </w: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rPr>
      </w:pPr>
    </w:p>
    <w:p w:rsidR="00294A98" w:rsidRPr="0000446F" w:rsidRDefault="00294A98" w:rsidP="00294A98">
      <w:pPr>
        <w:jc w:val="both"/>
        <w:rPr>
          <w:rFonts w:ascii="Arial" w:hAnsi="Arial" w:cs="Arial"/>
          <w:b/>
        </w:rPr>
      </w:pPr>
      <w:r w:rsidRPr="0000446F">
        <w:rPr>
          <w:rFonts w:ascii="Arial" w:hAnsi="Arial" w:cs="Arial"/>
          <w:b/>
        </w:rPr>
        <w:t>Record:  Civil Side No 8 of 1997</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D14C6"/>
    <w:multiLevelType w:val="hybridMultilevel"/>
    <w:tmpl w:val="46ACC48C"/>
    <w:lvl w:ilvl="0" w:tplc="BEF8E1C8">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A98"/>
    <w:rsid w:val="000A4006"/>
    <w:rsid w:val="00156AE5"/>
    <w:rsid w:val="001A0374"/>
    <w:rsid w:val="00294A98"/>
    <w:rsid w:val="00295F25"/>
    <w:rsid w:val="00697E75"/>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9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2014-01-21T04:41:00Z</cp:lastPrinted>
  <dcterms:created xsi:type="dcterms:W3CDTF">2014-01-21T04:41:00Z</dcterms:created>
  <dcterms:modified xsi:type="dcterms:W3CDTF">2014-01-21T04:42:00Z</dcterms:modified>
</cp:coreProperties>
</file>