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FF" w:rsidRDefault="008059FF" w:rsidP="008059FF">
      <w:pPr>
        <w:jc w:val="center"/>
        <w:rPr>
          <w:rFonts w:ascii="Arial" w:hAnsi="Arial" w:cs="Arial"/>
          <w:b/>
          <w:bCs/>
        </w:rPr>
      </w:pPr>
      <w:r w:rsidRPr="0000446F">
        <w:rPr>
          <w:rFonts w:ascii="Arial" w:hAnsi="Arial" w:cs="Arial"/>
          <w:b/>
          <w:bCs/>
        </w:rPr>
        <w:t>Jensen v Hoareau</w:t>
      </w:r>
    </w:p>
    <w:p w:rsidR="008059FF" w:rsidRPr="0000446F" w:rsidRDefault="008059FF" w:rsidP="008059FF">
      <w:pPr>
        <w:jc w:val="center"/>
        <w:rPr>
          <w:rFonts w:ascii="Arial" w:hAnsi="Arial" w:cs="Arial"/>
          <w:b/>
          <w:bCs/>
        </w:rPr>
      </w:pPr>
      <w:r>
        <w:rPr>
          <w:rFonts w:ascii="Arial" w:hAnsi="Arial" w:cs="Arial"/>
          <w:b/>
          <w:bCs/>
        </w:rPr>
        <w:t>(1998) SLR 84</w:t>
      </w:r>
    </w:p>
    <w:p w:rsidR="008059FF" w:rsidRPr="0000446F" w:rsidRDefault="008059FF" w:rsidP="008059FF">
      <w:pPr>
        <w:jc w:val="both"/>
        <w:rPr>
          <w:rFonts w:ascii="Arial" w:hAnsi="Arial" w:cs="Arial"/>
          <w:b/>
          <w:bCs/>
          <w:u w:val="single"/>
        </w:rPr>
      </w:pPr>
    </w:p>
    <w:p w:rsidR="008059FF" w:rsidRPr="0000446F" w:rsidRDefault="008059FF" w:rsidP="008059FF">
      <w:pPr>
        <w:jc w:val="both"/>
        <w:rPr>
          <w:rFonts w:ascii="Arial" w:hAnsi="Arial" w:cs="Arial"/>
          <w:b/>
          <w:bCs/>
          <w:u w:val="single"/>
        </w:rPr>
      </w:pPr>
    </w:p>
    <w:p w:rsidR="008059FF" w:rsidRPr="0000446F" w:rsidRDefault="008059FF" w:rsidP="008059FF">
      <w:pPr>
        <w:jc w:val="both"/>
        <w:rPr>
          <w:rFonts w:ascii="Arial" w:hAnsi="Arial" w:cs="Arial"/>
        </w:rPr>
      </w:pPr>
      <w:proofErr w:type="spellStart"/>
      <w:r w:rsidRPr="0000446F">
        <w:rPr>
          <w:rFonts w:ascii="Arial" w:hAnsi="Arial" w:cs="Arial"/>
        </w:rPr>
        <w:t>Ramniklal</w:t>
      </w:r>
      <w:proofErr w:type="spellEnd"/>
      <w:r w:rsidRPr="0000446F">
        <w:rPr>
          <w:rFonts w:ascii="Arial" w:hAnsi="Arial" w:cs="Arial"/>
        </w:rPr>
        <w:t xml:space="preserve"> VALABHJI for the Plaintiff</w:t>
      </w:r>
    </w:p>
    <w:p w:rsidR="008059FF" w:rsidRPr="0000446F" w:rsidRDefault="008059FF" w:rsidP="008059FF">
      <w:pPr>
        <w:jc w:val="both"/>
        <w:rPr>
          <w:rFonts w:ascii="Arial" w:hAnsi="Arial" w:cs="Arial"/>
        </w:rPr>
      </w:pPr>
      <w:proofErr w:type="spellStart"/>
      <w:r w:rsidRPr="0000446F">
        <w:rPr>
          <w:rFonts w:ascii="Arial" w:hAnsi="Arial" w:cs="Arial"/>
        </w:rPr>
        <w:t>Pesi</w:t>
      </w:r>
      <w:proofErr w:type="spellEnd"/>
      <w:r w:rsidRPr="0000446F">
        <w:rPr>
          <w:rFonts w:ascii="Arial" w:hAnsi="Arial" w:cs="Arial"/>
        </w:rPr>
        <w:t xml:space="preserve"> PARDIWALLA for the Defendant</w:t>
      </w:r>
    </w:p>
    <w:p w:rsidR="008059FF" w:rsidRPr="0000446F" w:rsidRDefault="008059FF" w:rsidP="008059FF">
      <w:pPr>
        <w:jc w:val="both"/>
        <w:rPr>
          <w:rFonts w:ascii="Arial" w:hAnsi="Arial" w:cs="Arial"/>
        </w:rPr>
      </w:pPr>
    </w:p>
    <w:p w:rsidR="008059FF" w:rsidRPr="0000446F" w:rsidRDefault="008059FF" w:rsidP="008059FF">
      <w:pPr>
        <w:rPr>
          <w:rFonts w:ascii="Arial" w:hAnsi="Arial" w:cs="Arial"/>
          <w:b/>
          <w:bCs/>
        </w:rPr>
      </w:pPr>
      <w:r w:rsidRPr="0000446F">
        <w:rPr>
          <w:rFonts w:ascii="Arial" w:hAnsi="Arial" w:cs="Arial"/>
          <w:b/>
          <w:bCs/>
        </w:rPr>
        <w:t xml:space="preserve">Ruling delivered on </w:t>
      </w:r>
      <w:r w:rsidRPr="0000446F">
        <w:rPr>
          <w:rFonts w:ascii="Arial" w:hAnsi="Arial" w:cs="Arial"/>
          <w:b/>
        </w:rPr>
        <w:t>9</w:t>
      </w:r>
      <w:r w:rsidRPr="0000446F">
        <w:rPr>
          <w:rFonts w:ascii="Arial" w:hAnsi="Arial" w:cs="Arial"/>
          <w:b/>
          <w:vertAlign w:val="superscript"/>
        </w:rPr>
        <w:t>th</w:t>
      </w:r>
      <w:r w:rsidRPr="0000446F">
        <w:rPr>
          <w:rFonts w:ascii="Arial" w:hAnsi="Arial" w:cs="Arial"/>
          <w:b/>
        </w:rPr>
        <w:t xml:space="preserve"> day of March, 1998 by:</w:t>
      </w:r>
    </w:p>
    <w:p w:rsidR="008059FF" w:rsidRPr="0000446F" w:rsidRDefault="008059FF" w:rsidP="008059FF">
      <w:pPr>
        <w:jc w:val="both"/>
        <w:rPr>
          <w:rFonts w:ascii="Arial" w:hAnsi="Arial" w:cs="Arial"/>
        </w:rPr>
      </w:pPr>
    </w:p>
    <w:p w:rsidR="008059FF" w:rsidRPr="0000446F" w:rsidRDefault="008059FF" w:rsidP="008059FF">
      <w:pPr>
        <w:jc w:val="both"/>
        <w:rPr>
          <w:rFonts w:ascii="Arial" w:hAnsi="Arial" w:cs="Arial"/>
        </w:rPr>
      </w:pPr>
      <w:r w:rsidRPr="0000446F">
        <w:rPr>
          <w:rFonts w:ascii="Arial" w:hAnsi="Arial" w:cs="Arial"/>
          <w:b/>
        </w:rPr>
        <w:t xml:space="preserve">PERERA J: </w:t>
      </w:r>
      <w:r w:rsidRPr="0000446F">
        <w:rPr>
          <w:rFonts w:ascii="Arial" w:hAnsi="Arial" w:cs="Arial"/>
        </w:rPr>
        <w:t xml:space="preserve"> The </w:t>
      </w:r>
      <w:r>
        <w:rPr>
          <w:rFonts w:ascii="Arial" w:hAnsi="Arial" w:cs="Arial"/>
        </w:rPr>
        <w:t>p</w:t>
      </w:r>
      <w:r w:rsidRPr="0000446F">
        <w:rPr>
          <w:rFonts w:ascii="Arial" w:hAnsi="Arial" w:cs="Arial"/>
        </w:rPr>
        <w:t>laintiff</w:t>
      </w:r>
      <w:r>
        <w:rPr>
          <w:rFonts w:ascii="Arial" w:hAnsi="Arial" w:cs="Arial"/>
        </w:rPr>
        <w:t>,</w:t>
      </w:r>
      <w:r w:rsidRPr="0000446F">
        <w:rPr>
          <w:rFonts w:ascii="Arial" w:hAnsi="Arial" w:cs="Arial"/>
        </w:rPr>
        <w:t xml:space="preserve"> who is a non</w:t>
      </w:r>
      <w:r>
        <w:rPr>
          <w:rFonts w:ascii="Arial" w:hAnsi="Arial" w:cs="Arial"/>
        </w:rPr>
        <w:t>–</w:t>
      </w:r>
      <w:r w:rsidRPr="0000446F">
        <w:rPr>
          <w:rFonts w:ascii="Arial" w:hAnsi="Arial" w:cs="Arial"/>
        </w:rPr>
        <w:t>resident</w:t>
      </w:r>
      <w:r>
        <w:rPr>
          <w:rFonts w:ascii="Arial" w:hAnsi="Arial" w:cs="Arial"/>
        </w:rPr>
        <w:t>,</w:t>
      </w:r>
      <w:r w:rsidRPr="0000446F">
        <w:rPr>
          <w:rFonts w:ascii="Arial" w:hAnsi="Arial" w:cs="Arial"/>
        </w:rPr>
        <w:t xml:space="preserve"> sues the </w:t>
      </w:r>
      <w:r>
        <w:rPr>
          <w:rFonts w:ascii="Arial" w:hAnsi="Arial" w:cs="Arial"/>
        </w:rPr>
        <w:t>d</w:t>
      </w:r>
      <w:r w:rsidRPr="0000446F">
        <w:rPr>
          <w:rFonts w:ascii="Arial" w:hAnsi="Arial" w:cs="Arial"/>
        </w:rPr>
        <w:t xml:space="preserve">efendant for the recovery of US dollars 14,276 which he avers was granted as a loan while he was a visitor to Seychelles in 1993. The </w:t>
      </w:r>
      <w:r>
        <w:rPr>
          <w:rFonts w:ascii="Arial" w:hAnsi="Arial" w:cs="Arial"/>
        </w:rPr>
        <w:t>d</w:t>
      </w:r>
      <w:r w:rsidRPr="0000446F">
        <w:rPr>
          <w:rFonts w:ascii="Arial" w:hAnsi="Arial" w:cs="Arial"/>
        </w:rPr>
        <w:t xml:space="preserve">efendant in her </w:t>
      </w:r>
      <w:proofErr w:type="spellStart"/>
      <w:r w:rsidRPr="0000446F">
        <w:rPr>
          <w:rFonts w:ascii="Arial" w:hAnsi="Arial" w:cs="Arial"/>
        </w:rPr>
        <w:t>defence</w:t>
      </w:r>
      <w:proofErr w:type="spellEnd"/>
      <w:r w:rsidRPr="0000446F">
        <w:rPr>
          <w:rFonts w:ascii="Arial" w:hAnsi="Arial" w:cs="Arial"/>
        </w:rPr>
        <w:t xml:space="preserve"> has averred that that sum was given to her as a donation or gift.</w:t>
      </w:r>
    </w:p>
    <w:p w:rsidR="008059FF" w:rsidRPr="0000446F" w:rsidRDefault="008059FF" w:rsidP="008059FF">
      <w:pPr>
        <w:jc w:val="both"/>
        <w:rPr>
          <w:rFonts w:ascii="Arial" w:hAnsi="Arial" w:cs="Arial"/>
        </w:rPr>
      </w:pPr>
    </w:p>
    <w:p w:rsidR="008059FF" w:rsidRPr="0000446F" w:rsidRDefault="008059FF" w:rsidP="008059FF">
      <w:pPr>
        <w:jc w:val="both"/>
        <w:rPr>
          <w:rFonts w:ascii="Arial" w:hAnsi="Arial" w:cs="Arial"/>
        </w:rPr>
      </w:pPr>
      <w:r w:rsidRPr="0000446F">
        <w:rPr>
          <w:rFonts w:ascii="Arial" w:hAnsi="Arial" w:cs="Arial"/>
        </w:rPr>
        <w:t xml:space="preserve">The instant ruling concerns an ex-parte application made by </w:t>
      </w:r>
      <w:proofErr w:type="spellStart"/>
      <w:r w:rsidRPr="0000446F">
        <w:rPr>
          <w:rFonts w:ascii="Arial" w:hAnsi="Arial" w:cs="Arial"/>
        </w:rPr>
        <w:t>Mr</w:t>
      </w:r>
      <w:proofErr w:type="spellEnd"/>
      <w:r w:rsidRPr="0000446F">
        <w:rPr>
          <w:rFonts w:ascii="Arial" w:hAnsi="Arial" w:cs="Arial"/>
        </w:rPr>
        <w:t xml:space="preserve"> Valabhji, </w:t>
      </w:r>
      <w:r>
        <w:rPr>
          <w:rFonts w:ascii="Arial" w:hAnsi="Arial" w:cs="Arial"/>
        </w:rPr>
        <w:t>c</w:t>
      </w:r>
      <w:r w:rsidRPr="0000446F">
        <w:rPr>
          <w:rFonts w:ascii="Arial" w:hAnsi="Arial" w:cs="Arial"/>
        </w:rPr>
        <w:t xml:space="preserve">ounsel for the </w:t>
      </w:r>
      <w:r>
        <w:rPr>
          <w:rFonts w:ascii="Arial" w:hAnsi="Arial" w:cs="Arial"/>
        </w:rPr>
        <w:t>p</w:t>
      </w:r>
      <w:r w:rsidRPr="0000446F">
        <w:rPr>
          <w:rFonts w:ascii="Arial" w:hAnsi="Arial" w:cs="Arial"/>
        </w:rPr>
        <w:t>laintiff</w:t>
      </w:r>
      <w:r>
        <w:rPr>
          <w:rFonts w:ascii="Arial" w:hAnsi="Arial" w:cs="Arial"/>
        </w:rPr>
        <w:t>,</w:t>
      </w:r>
      <w:r w:rsidRPr="0000446F">
        <w:rPr>
          <w:rFonts w:ascii="Arial" w:hAnsi="Arial" w:cs="Arial"/>
        </w:rPr>
        <w:t xml:space="preserve"> under </w:t>
      </w:r>
      <w:r>
        <w:rPr>
          <w:rFonts w:ascii="Arial" w:hAnsi="Arial" w:cs="Arial"/>
        </w:rPr>
        <w:t>s</w:t>
      </w:r>
      <w:r w:rsidRPr="0000446F">
        <w:rPr>
          <w:rFonts w:ascii="Arial" w:hAnsi="Arial" w:cs="Arial"/>
        </w:rPr>
        <w:t xml:space="preserve">ection 163 of the Seychelles Code of Civil Procedure (Cap 213). It has been averred that since the </w:t>
      </w:r>
      <w:r>
        <w:rPr>
          <w:rFonts w:ascii="Arial" w:hAnsi="Arial" w:cs="Arial"/>
        </w:rPr>
        <w:t>d</w:t>
      </w:r>
      <w:r w:rsidRPr="0000446F">
        <w:rPr>
          <w:rFonts w:ascii="Arial" w:hAnsi="Arial" w:cs="Arial"/>
        </w:rPr>
        <w:t xml:space="preserve">efendant has admitted the claim as a gift unsubstantiated by any document, summons should be issued on her to appear in </w:t>
      </w:r>
      <w:r>
        <w:rPr>
          <w:rFonts w:ascii="Arial" w:hAnsi="Arial" w:cs="Arial"/>
        </w:rPr>
        <w:t>c</w:t>
      </w:r>
      <w:r w:rsidRPr="0000446F">
        <w:rPr>
          <w:rFonts w:ascii="Arial" w:hAnsi="Arial" w:cs="Arial"/>
        </w:rPr>
        <w:t xml:space="preserve">ourt to be examined on her personal answers "concerning all aspects of the case and particularly the claim of US dollars 14,276". </w:t>
      </w:r>
    </w:p>
    <w:p w:rsidR="008059FF" w:rsidRPr="0000446F" w:rsidRDefault="008059FF" w:rsidP="008059FF">
      <w:pPr>
        <w:jc w:val="both"/>
        <w:rPr>
          <w:rFonts w:ascii="Arial" w:hAnsi="Arial" w:cs="Arial"/>
        </w:rPr>
      </w:pPr>
    </w:p>
    <w:p w:rsidR="008059FF" w:rsidRPr="0000446F" w:rsidRDefault="008059FF" w:rsidP="008059FF">
      <w:pPr>
        <w:jc w:val="both"/>
        <w:rPr>
          <w:rFonts w:ascii="Arial" w:hAnsi="Arial" w:cs="Arial"/>
        </w:rPr>
      </w:pPr>
      <w:r w:rsidRPr="0000446F">
        <w:rPr>
          <w:rFonts w:ascii="Arial" w:hAnsi="Arial" w:cs="Arial"/>
        </w:rPr>
        <w:t>Although the application was titled "ex-</w:t>
      </w:r>
      <w:proofErr w:type="spellStart"/>
      <w:r w:rsidRPr="0000446F">
        <w:rPr>
          <w:rFonts w:ascii="Arial" w:hAnsi="Arial" w:cs="Arial"/>
        </w:rPr>
        <w:t>parte"it</w:t>
      </w:r>
      <w:proofErr w:type="spellEnd"/>
      <w:r w:rsidRPr="0000446F">
        <w:rPr>
          <w:rFonts w:ascii="Arial" w:hAnsi="Arial" w:cs="Arial"/>
        </w:rPr>
        <w:t xml:space="preserve"> had been served on the </w:t>
      </w:r>
      <w:r>
        <w:rPr>
          <w:rFonts w:ascii="Arial" w:hAnsi="Arial" w:cs="Arial"/>
        </w:rPr>
        <w:t>a</w:t>
      </w:r>
      <w:r w:rsidRPr="0000446F">
        <w:rPr>
          <w:rFonts w:ascii="Arial" w:hAnsi="Arial" w:cs="Arial"/>
        </w:rPr>
        <w:t xml:space="preserve">ttorney for the </w:t>
      </w:r>
      <w:r>
        <w:rPr>
          <w:rFonts w:ascii="Arial" w:hAnsi="Arial" w:cs="Arial"/>
        </w:rPr>
        <w:t>d</w:t>
      </w:r>
      <w:r w:rsidRPr="0000446F">
        <w:rPr>
          <w:rFonts w:ascii="Arial" w:hAnsi="Arial" w:cs="Arial"/>
        </w:rPr>
        <w:t xml:space="preserve">efendant as the </w:t>
      </w:r>
      <w:r>
        <w:rPr>
          <w:rFonts w:ascii="Arial" w:hAnsi="Arial" w:cs="Arial"/>
        </w:rPr>
        <w:t>a</w:t>
      </w:r>
      <w:r w:rsidRPr="0000446F">
        <w:rPr>
          <w:rFonts w:ascii="Arial" w:hAnsi="Arial" w:cs="Arial"/>
        </w:rPr>
        <w:t xml:space="preserve">ttorney for the </w:t>
      </w:r>
      <w:r>
        <w:rPr>
          <w:rFonts w:ascii="Arial" w:hAnsi="Arial" w:cs="Arial"/>
        </w:rPr>
        <w:t>p</w:t>
      </w:r>
      <w:r w:rsidRPr="0000446F">
        <w:rPr>
          <w:rFonts w:ascii="Arial" w:hAnsi="Arial" w:cs="Arial"/>
        </w:rPr>
        <w:t xml:space="preserve">laintiff had endorsed on the application "to be served on </w:t>
      </w:r>
      <w:r>
        <w:rPr>
          <w:rFonts w:ascii="Arial" w:hAnsi="Arial" w:cs="Arial"/>
        </w:rPr>
        <w:t>d</w:t>
      </w:r>
      <w:r w:rsidRPr="0000446F">
        <w:rPr>
          <w:rFonts w:ascii="Arial" w:hAnsi="Arial" w:cs="Arial"/>
        </w:rPr>
        <w:t xml:space="preserve">efendant's </w:t>
      </w:r>
      <w:r>
        <w:rPr>
          <w:rFonts w:ascii="Arial" w:hAnsi="Arial" w:cs="Arial"/>
        </w:rPr>
        <w:t>a</w:t>
      </w:r>
      <w:r w:rsidRPr="0000446F">
        <w:rPr>
          <w:rFonts w:ascii="Arial" w:hAnsi="Arial" w:cs="Arial"/>
        </w:rPr>
        <w:t xml:space="preserve">ttorney </w:t>
      </w: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Pesi</w:t>
      </w:r>
      <w:proofErr w:type="spellEnd"/>
      <w:r w:rsidRPr="0000446F">
        <w:rPr>
          <w:rFonts w:ascii="Arial" w:hAnsi="Arial" w:cs="Arial"/>
        </w:rPr>
        <w:t xml:space="preserve"> </w:t>
      </w:r>
      <w:proofErr w:type="spellStart"/>
      <w:r w:rsidRPr="0000446F">
        <w:rPr>
          <w:rFonts w:ascii="Arial" w:hAnsi="Arial" w:cs="Arial"/>
        </w:rPr>
        <w:t>Pardiwalla</w:t>
      </w:r>
      <w:proofErr w:type="spellEnd"/>
      <w:r w:rsidRPr="0000446F">
        <w:rPr>
          <w:rFonts w:ascii="Arial" w:hAnsi="Arial" w:cs="Arial"/>
        </w:rPr>
        <w:t xml:space="preserve">, Victoria".  Hence the matter was heard </w:t>
      </w:r>
      <w:r w:rsidRPr="00BC0A99">
        <w:rPr>
          <w:rFonts w:ascii="Arial" w:hAnsi="Arial" w:cs="Arial"/>
        </w:rPr>
        <w:t xml:space="preserve">inter </w:t>
      </w:r>
      <w:proofErr w:type="spellStart"/>
      <w:r w:rsidRPr="00BC0A99">
        <w:rPr>
          <w:rFonts w:ascii="Arial" w:hAnsi="Arial" w:cs="Arial"/>
        </w:rPr>
        <w:t>partes</w:t>
      </w:r>
      <w:proofErr w:type="spellEnd"/>
      <w:r w:rsidRPr="0000446F">
        <w:rPr>
          <w:rFonts w:ascii="Arial" w:hAnsi="Arial" w:cs="Arial"/>
        </w:rPr>
        <w:t>.</w:t>
      </w:r>
    </w:p>
    <w:p w:rsidR="008059FF" w:rsidRPr="0000446F" w:rsidRDefault="008059FF" w:rsidP="008059FF">
      <w:pPr>
        <w:jc w:val="both"/>
        <w:rPr>
          <w:rFonts w:ascii="Arial" w:hAnsi="Arial" w:cs="Arial"/>
        </w:rPr>
      </w:pPr>
    </w:p>
    <w:p w:rsidR="008059FF" w:rsidRPr="0000446F" w:rsidRDefault="008059FF" w:rsidP="008059FF">
      <w:pPr>
        <w:jc w:val="both"/>
        <w:rPr>
          <w:rFonts w:ascii="Arial" w:hAnsi="Arial" w:cs="Arial"/>
        </w:rPr>
      </w:pPr>
      <w:r w:rsidRPr="0000446F">
        <w:rPr>
          <w:rFonts w:ascii="Arial" w:hAnsi="Arial" w:cs="Arial"/>
        </w:rPr>
        <w:t>Section 163 provides that –</w:t>
      </w:r>
    </w:p>
    <w:p w:rsidR="008059FF" w:rsidRPr="0000446F" w:rsidRDefault="008059FF" w:rsidP="008059FF">
      <w:pPr>
        <w:jc w:val="both"/>
        <w:rPr>
          <w:rFonts w:ascii="Arial" w:hAnsi="Arial" w:cs="Arial"/>
        </w:rPr>
      </w:pPr>
    </w:p>
    <w:p w:rsidR="008059FF" w:rsidRPr="0000446F" w:rsidRDefault="008059FF" w:rsidP="008059FF">
      <w:pPr>
        <w:ind w:left="720" w:right="684"/>
        <w:jc w:val="both"/>
        <w:rPr>
          <w:rFonts w:ascii="Arial" w:hAnsi="Arial" w:cs="Arial"/>
        </w:rPr>
      </w:pPr>
      <w:r w:rsidRPr="0000446F">
        <w:rPr>
          <w:rFonts w:ascii="Arial" w:hAnsi="Arial" w:cs="Arial"/>
        </w:rPr>
        <w:t xml:space="preserve">Whenever a party is desirous of obtaining the personal answers not upon oath of the adverse party, he may apply to the judge in </w:t>
      </w:r>
      <w:r>
        <w:rPr>
          <w:rFonts w:ascii="Arial" w:hAnsi="Arial" w:cs="Arial"/>
        </w:rPr>
        <w:t>c</w:t>
      </w:r>
      <w:r w:rsidRPr="0000446F">
        <w:rPr>
          <w:rFonts w:ascii="Arial" w:hAnsi="Arial" w:cs="Arial"/>
        </w:rPr>
        <w:t xml:space="preserve">ourt on the day fixed for the </w:t>
      </w:r>
      <w:r>
        <w:rPr>
          <w:rFonts w:ascii="Arial" w:hAnsi="Arial" w:cs="Arial"/>
        </w:rPr>
        <w:t>d</w:t>
      </w:r>
      <w:r w:rsidRPr="0000446F">
        <w:rPr>
          <w:rFonts w:ascii="Arial" w:hAnsi="Arial" w:cs="Arial"/>
        </w:rPr>
        <w:t xml:space="preserve">efendant to file his statement of </w:t>
      </w:r>
      <w:proofErr w:type="spellStart"/>
      <w:r w:rsidRPr="0000446F">
        <w:rPr>
          <w:rFonts w:ascii="Arial" w:hAnsi="Arial" w:cs="Arial"/>
        </w:rPr>
        <w:t>defence</w:t>
      </w:r>
      <w:proofErr w:type="spellEnd"/>
      <w:r w:rsidRPr="0000446F">
        <w:rPr>
          <w:rFonts w:ascii="Arial" w:hAnsi="Arial" w:cs="Arial"/>
        </w:rPr>
        <w:t xml:space="preserve"> or prior thereto, or he may petition the </w:t>
      </w:r>
      <w:r>
        <w:rPr>
          <w:rFonts w:ascii="Arial" w:hAnsi="Arial" w:cs="Arial"/>
        </w:rPr>
        <w:t>c</w:t>
      </w:r>
      <w:r w:rsidRPr="0000446F">
        <w:rPr>
          <w:rFonts w:ascii="Arial" w:hAnsi="Arial" w:cs="Arial"/>
        </w:rPr>
        <w:t xml:space="preserve">ourt </w:t>
      </w:r>
      <w:r w:rsidRPr="0000446F">
        <w:rPr>
          <w:rFonts w:ascii="Arial" w:hAnsi="Arial" w:cs="Arial"/>
          <w:u w:val="single"/>
        </w:rPr>
        <w:t>ex parte</w:t>
      </w:r>
      <w:r w:rsidRPr="0000446F">
        <w:rPr>
          <w:rFonts w:ascii="Arial" w:hAnsi="Arial" w:cs="Arial"/>
        </w:rPr>
        <w:t xml:space="preserve"> at any time prior to the day fixed for the hearing of the cause or matter to obtain the attendance of such adverse party, and the </w:t>
      </w:r>
      <w:r>
        <w:rPr>
          <w:rFonts w:ascii="Arial" w:hAnsi="Arial" w:cs="Arial"/>
        </w:rPr>
        <w:t>c</w:t>
      </w:r>
      <w:r w:rsidRPr="0000446F">
        <w:rPr>
          <w:rFonts w:ascii="Arial" w:hAnsi="Arial" w:cs="Arial"/>
        </w:rPr>
        <w:t xml:space="preserve">ourt on sufficient ground being shown shall make an order granting the application or petition. And the party having obtained such order shall serve a summons, together with a copy of the order, on the adverse party to appear in </w:t>
      </w:r>
      <w:r>
        <w:rPr>
          <w:rFonts w:ascii="Arial" w:hAnsi="Arial" w:cs="Arial"/>
        </w:rPr>
        <w:t>c</w:t>
      </w:r>
      <w:r w:rsidRPr="0000446F">
        <w:rPr>
          <w:rFonts w:ascii="Arial" w:hAnsi="Arial" w:cs="Arial"/>
        </w:rPr>
        <w:t>ourt on the day stated therein.</w:t>
      </w:r>
    </w:p>
    <w:p w:rsidR="008059FF" w:rsidRPr="0000446F" w:rsidRDefault="008059FF" w:rsidP="008059FF">
      <w:pPr>
        <w:ind w:left="1985" w:right="2846"/>
        <w:jc w:val="both"/>
        <w:rPr>
          <w:rFonts w:ascii="Arial" w:hAnsi="Arial" w:cs="Arial"/>
        </w:rPr>
      </w:pPr>
    </w:p>
    <w:p w:rsidR="008059FF" w:rsidRPr="0000446F" w:rsidRDefault="008059FF" w:rsidP="008059FF">
      <w:pPr>
        <w:jc w:val="both"/>
        <w:rPr>
          <w:rFonts w:ascii="Arial" w:hAnsi="Arial" w:cs="Arial"/>
        </w:rPr>
      </w:pPr>
      <w:proofErr w:type="gramStart"/>
      <w:r w:rsidRPr="0000446F">
        <w:rPr>
          <w:rFonts w:ascii="Arial" w:hAnsi="Arial" w:cs="Arial"/>
        </w:rPr>
        <w:t xml:space="preserve">In the supporting affidavit to the application </w:t>
      </w:r>
      <w:proofErr w:type="spellStart"/>
      <w:r w:rsidRPr="0000446F">
        <w:rPr>
          <w:rFonts w:ascii="Arial" w:hAnsi="Arial" w:cs="Arial"/>
        </w:rPr>
        <w:t>Mr</w:t>
      </w:r>
      <w:proofErr w:type="spellEnd"/>
      <w:r w:rsidRPr="0000446F">
        <w:rPr>
          <w:rFonts w:ascii="Arial" w:hAnsi="Arial" w:cs="Arial"/>
        </w:rPr>
        <w:t xml:space="preserve"> Valabhji, </w:t>
      </w:r>
      <w:r>
        <w:rPr>
          <w:rFonts w:ascii="Arial" w:hAnsi="Arial" w:cs="Arial"/>
        </w:rPr>
        <w:t>a</w:t>
      </w:r>
      <w:r w:rsidRPr="0000446F">
        <w:rPr>
          <w:rFonts w:ascii="Arial" w:hAnsi="Arial" w:cs="Arial"/>
        </w:rPr>
        <w:t xml:space="preserve">ttorney for the </w:t>
      </w:r>
      <w:r>
        <w:rPr>
          <w:rFonts w:ascii="Arial" w:hAnsi="Arial" w:cs="Arial"/>
        </w:rPr>
        <w:t>p</w:t>
      </w:r>
      <w:r w:rsidRPr="0000446F">
        <w:rPr>
          <w:rFonts w:ascii="Arial" w:hAnsi="Arial" w:cs="Arial"/>
        </w:rPr>
        <w:t>laintiff</w:t>
      </w:r>
      <w:r>
        <w:rPr>
          <w:rFonts w:ascii="Arial" w:hAnsi="Arial" w:cs="Arial"/>
        </w:rPr>
        <w:t>.</w:t>
      </w:r>
      <w:proofErr w:type="gramEnd"/>
      <w:r w:rsidRPr="0000446F">
        <w:rPr>
          <w:rFonts w:ascii="Arial" w:hAnsi="Arial" w:cs="Arial"/>
        </w:rPr>
        <w:t xml:space="preserve"> </w:t>
      </w:r>
      <w:proofErr w:type="gramStart"/>
      <w:r w:rsidRPr="0000446F">
        <w:rPr>
          <w:rFonts w:ascii="Arial" w:hAnsi="Arial" w:cs="Arial"/>
        </w:rPr>
        <w:t>has</w:t>
      </w:r>
      <w:proofErr w:type="gramEnd"/>
      <w:r w:rsidRPr="0000446F">
        <w:rPr>
          <w:rFonts w:ascii="Arial" w:hAnsi="Arial" w:cs="Arial"/>
        </w:rPr>
        <w:t xml:space="preserve"> averred –</w:t>
      </w:r>
    </w:p>
    <w:p w:rsidR="008059FF" w:rsidRPr="0000446F" w:rsidRDefault="008059FF" w:rsidP="008059FF">
      <w:pPr>
        <w:jc w:val="both"/>
        <w:rPr>
          <w:rFonts w:ascii="Arial" w:hAnsi="Arial" w:cs="Arial"/>
        </w:rPr>
      </w:pPr>
    </w:p>
    <w:p w:rsidR="008059FF" w:rsidRPr="0000446F" w:rsidRDefault="008059FF" w:rsidP="008059FF">
      <w:pPr>
        <w:ind w:left="720" w:right="684"/>
        <w:jc w:val="both"/>
        <w:rPr>
          <w:rFonts w:ascii="Arial" w:hAnsi="Arial" w:cs="Arial"/>
        </w:rPr>
      </w:pPr>
      <w:r w:rsidRPr="0000446F">
        <w:rPr>
          <w:rFonts w:ascii="Arial" w:hAnsi="Arial" w:cs="Arial"/>
        </w:rPr>
        <w:t>2.</w:t>
      </w:r>
      <w:r w:rsidRPr="0000446F">
        <w:rPr>
          <w:rFonts w:ascii="Arial" w:hAnsi="Arial" w:cs="Arial"/>
        </w:rPr>
        <w:tab/>
        <w:t xml:space="preserve">That my client will not be able to travel to Seychelles for the hearing of the case on the 11 July 1997. </w:t>
      </w:r>
    </w:p>
    <w:p w:rsidR="008059FF" w:rsidRPr="0000446F" w:rsidRDefault="008059FF" w:rsidP="008059FF">
      <w:pPr>
        <w:ind w:left="720" w:right="684"/>
        <w:jc w:val="both"/>
        <w:rPr>
          <w:rFonts w:ascii="Arial" w:hAnsi="Arial" w:cs="Arial"/>
        </w:rPr>
      </w:pPr>
    </w:p>
    <w:p w:rsidR="008059FF" w:rsidRPr="0000446F" w:rsidRDefault="008059FF" w:rsidP="008059FF">
      <w:pPr>
        <w:ind w:left="720" w:right="684"/>
        <w:jc w:val="both"/>
        <w:rPr>
          <w:rFonts w:ascii="Arial" w:hAnsi="Arial" w:cs="Arial"/>
        </w:rPr>
      </w:pPr>
      <w:r w:rsidRPr="0000446F">
        <w:rPr>
          <w:rFonts w:ascii="Arial" w:hAnsi="Arial" w:cs="Arial"/>
        </w:rPr>
        <w:t xml:space="preserve">3. That it is necessary that the </w:t>
      </w:r>
      <w:r>
        <w:rPr>
          <w:rFonts w:ascii="Arial" w:hAnsi="Arial" w:cs="Arial"/>
        </w:rPr>
        <w:t>d</w:t>
      </w:r>
      <w:r w:rsidRPr="0000446F">
        <w:rPr>
          <w:rFonts w:ascii="Arial" w:hAnsi="Arial" w:cs="Arial"/>
        </w:rPr>
        <w:t>efendant be examined on her personal answers before we proceed with the case proper.</w:t>
      </w:r>
    </w:p>
    <w:p w:rsidR="008059FF" w:rsidRPr="0000446F" w:rsidRDefault="008059FF" w:rsidP="008059FF">
      <w:pPr>
        <w:jc w:val="both"/>
        <w:rPr>
          <w:rFonts w:ascii="Arial" w:hAnsi="Arial" w:cs="Arial"/>
        </w:rPr>
      </w:pPr>
    </w:p>
    <w:p w:rsidR="008059FF" w:rsidRPr="0000446F" w:rsidRDefault="008059FF" w:rsidP="008059FF">
      <w:pPr>
        <w:jc w:val="both"/>
        <w:rPr>
          <w:rFonts w:ascii="Arial" w:hAnsi="Arial" w:cs="Arial"/>
        </w:rPr>
      </w:pPr>
      <w:proofErr w:type="spellStart"/>
      <w:r w:rsidRPr="0000446F">
        <w:rPr>
          <w:rFonts w:ascii="Arial" w:hAnsi="Arial" w:cs="Arial"/>
        </w:rPr>
        <w:t>Mr</w:t>
      </w:r>
      <w:proofErr w:type="spellEnd"/>
      <w:r w:rsidRPr="0000446F">
        <w:rPr>
          <w:rFonts w:ascii="Arial" w:hAnsi="Arial" w:cs="Arial"/>
        </w:rPr>
        <w:t xml:space="preserve"> </w:t>
      </w:r>
      <w:proofErr w:type="spellStart"/>
      <w:r w:rsidRPr="0000446F">
        <w:rPr>
          <w:rFonts w:ascii="Arial" w:hAnsi="Arial" w:cs="Arial"/>
        </w:rPr>
        <w:t>Pardiwalla</w:t>
      </w:r>
      <w:proofErr w:type="spellEnd"/>
      <w:r w:rsidRPr="0000446F">
        <w:rPr>
          <w:rFonts w:ascii="Arial" w:hAnsi="Arial" w:cs="Arial"/>
        </w:rPr>
        <w:t xml:space="preserve"> submitted that the only reason adduced for making the application was the inability of the </w:t>
      </w:r>
      <w:r>
        <w:rPr>
          <w:rFonts w:ascii="Arial" w:hAnsi="Arial" w:cs="Arial"/>
        </w:rPr>
        <w:t>p</w:t>
      </w:r>
      <w:r w:rsidRPr="0000446F">
        <w:rPr>
          <w:rFonts w:ascii="Arial" w:hAnsi="Arial" w:cs="Arial"/>
        </w:rPr>
        <w:t xml:space="preserve">laintiff to attend </w:t>
      </w:r>
      <w:r>
        <w:rPr>
          <w:rFonts w:ascii="Arial" w:hAnsi="Arial" w:cs="Arial"/>
        </w:rPr>
        <w:t>c</w:t>
      </w:r>
      <w:r w:rsidRPr="0000446F">
        <w:rPr>
          <w:rFonts w:ascii="Arial" w:hAnsi="Arial" w:cs="Arial"/>
        </w:rPr>
        <w:t xml:space="preserve">ourt on a particular day for the hearing, and that was not a valid reason for ordering summons on the </w:t>
      </w:r>
      <w:r>
        <w:rPr>
          <w:rFonts w:ascii="Arial" w:hAnsi="Arial" w:cs="Arial"/>
        </w:rPr>
        <w:t>d</w:t>
      </w:r>
      <w:r w:rsidRPr="0000446F">
        <w:rPr>
          <w:rFonts w:ascii="Arial" w:hAnsi="Arial" w:cs="Arial"/>
        </w:rPr>
        <w:t>efendant.</w:t>
      </w:r>
    </w:p>
    <w:p w:rsidR="008059FF" w:rsidRPr="0000446F" w:rsidRDefault="008059FF" w:rsidP="008059FF">
      <w:pPr>
        <w:jc w:val="both"/>
        <w:rPr>
          <w:rFonts w:ascii="Arial" w:hAnsi="Arial" w:cs="Arial"/>
        </w:rPr>
      </w:pPr>
    </w:p>
    <w:p w:rsidR="008059FF" w:rsidRPr="0000446F" w:rsidRDefault="008059FF" w:rsidP="008059FF">
      <w:pPr>
        <w:jc w:val="both"/>
        <w:rPr>
          <w:rFonts w:ascii="Arial" w:hAnsi="Arial" w:cs="Arial"/>
        </w:rPr>
      </w:pPr>
      <w:proofErr w:type="spellStart"/>
      <w:r w:rsidRPr="0000446F">
        <w:rPr>
          <w:rFonts w:ascii="Arial" w:hAnsi="Arial" w:cs="Arial"/>
        </w:rPr>
        <w:t>Mr</w:t>
      </w:r>
      <w:proofErr w:type="spellEnd"/>
      <w:r w:rsidRPr="0000446F">
        <w:rPr>
          <w:rFonts w:ascii="Arial" w:hAnsi="Arial" w:cs="Arial"/>
        </w:rPr>
        <w:t xml:space="preserve"> Valabhji in reply submitted that the </w:t>
      </w:r>
      <w:r>
        <w:rPr>
          <w:rFonts w:ascii="Arial" w:hAnsi="Arial" w:cs="Arial"/>
        </w:rPr>
        <w:t>p</w:t>
      </w:r>
      <w:r w:rsidRPr="0000446F">
        <w:rPr>
          <w:rFonts w:ascii="Arial" w:hAnsi="Arial" w:cs="Arial"/>
        </w:rPr>
        <w:t xml:space="preserve">laintiff was a foreigner and that he cannot come to Seychelles for various reasons. He further submitted that on the basis of the pleadings the </w:t>
      </w:r>
      <w:r>
        <w:rPr>
          <w:rFonts w:ascii="Arial" w:hAnsi="Arial" w:cs="Arial"/>
        </w:rPr>
        <w:t>p</w:t>
      </w:r>
      <w:r w:rsidRPr="0000446F">
        <w:rPr>
          <w:rFonts w:ascii="Arial" w:hAnsi="Arial" w:cs="Arial"/>
        </w:rPr>
        <w:t xml:space="preserve">laintiff has to prove that there was a loan and the </w:t>
      </w:r>
      <w:r>
        <w:rPr>
          <w:rFonts w:ascii="Arial" w:hAnsi="Arial" w:cs="Arial"/>
        </w:rPr>
        <w:t>d</w:t>
      </w:r>
      <w:r w:rsidRPr="0000446F">
        <w:rPr>
          <w:rFonts w:ascii="Arial" w:hAnsi="Arial" w:cs="Arial"/>
        </w:rPr>
        <w:t xml:space="preserve">efendant would have to rebut it on the basis of a gift. He therefore maintained that he had a right to call the </w:t>
      </w:r>
      <w:r>
        <w:rPr>
          <w:rFonts w:ascii="Arial" w:hAnsi="Arial" w:cs="Arial"/>
        </w:rPr>
        <w:t>d</w:t>
      </w:r>
      <w:r w:rsidRPr="0000446F">
        <w:rPr>
          <w:rFonts w:ascii="Arial" w:hAnsi="Arial" w:cs="Arial"/>
        </w:rPr>
        <w:t>efendant on personal answers.</w:t>
      </w:r>
    </w:p>
    <w:p w:rsidR="008059FF" w:rsidRPr="0000446F" w:rsidRDefault="008059FF" w:rsidP="008059FF">
      <w:pPr>
        <w:jc w:val="both"/>
        <w:rPr>
          <w:rFonts w:ascii="Arial" w:hAnsi="Arial" w:cs="Arial"/>
        </w:rPr>
      </w:pPr>
    </w:p>
    <w:p w:rsidR="008059FF" w:rsidRPr="0000446F" w:rsidRDefault="008059FF" w:rsidP="008059FF">
      <w:pPr>
        <w:jc w:val="both"/>
        <w:rPr>
          <w:rFonts w:ascii="Arial" w:hAnsi="Arial" w:cs="Arial"/>
        </w:rPr>
      </w:pPr>
      <w:r w:rsidRPr="0000446F">
        <w:rPr>
          <w:rFonts w:ascii="Arial" w:hAnsi="Arial" w:cs="Arial"/>
        </w:rPr>
        <w:t xml:space="preserve">In the case of </w:t>
      </w:r>
      <w:r w:rsidRPr="00BC0A99">
        <w:rPr>
          <w:rFonts w:ascii="Arial" w:hAnsi="Arial" w:cs="Arial"/>
          <w:i/>
        </w:rPr>
        <w:t xml:space="preserve">Chez </w:t>
      </w:r>
      <w:proofErr w:type="spellStart"/>
      <w:r w:rsidRPr="00BC0A99">
        <w:rPr>
          <w:rFonts w:ascii="Arial" w:hAnsi="Arial" w:cs="Arial"/>
          <w:i/>
        </w:rPr>
        <w:t>Deenu</w:t>
      </w:r>
      <w:proofErr w:type="spellEnd"/>
      <w:r w:rsidRPr="00BC0A99">
        <w:rPr>
          <w:rFonts w:ascii="Arial" w:hAnsi="Arial" w:cs="Arial"/>
          <w:i/>
        </w:rPr>
        <w:t xml:space="preserve"> v </w:t>
      </w:r>
      <w:proofErr w:type="spellStart"/>
      <w:r w:rsidRPr="00BC0A99">
        <w:rPr>
          <w:rFonts w:ascii="Arial" w:hAnsi="Arial" w:cs="Arial"/>
          <w:i/>
        </w:rPr>
        <w:t>Philibert</w:t>
      </w:r>
      <w:proofErr w:type="spellEnd"/>
      <w:r w:rsidRPr="00BC0A99">
        <w:rPr>
          <w:rFonts w:ascii="Arial" w:hAnsi="Arial" w:cs="Arial"/>
          <w:i/>
        </w:rPr>
        <w:t xml:space="preserve"> </w:t>
      </w:r>
      <w:proofErr w:type="spellStart"/>
      <w:r w:rsidRPr="00BC0A99">
        <w:rPr>
          <w:rFonts w:ascii="Arial" w:hAnsi="Arial" w:cs="Arial"/>
          <w:i/>
        </w:rPr>
        <w:t>Loizeau</w:t>
      </w:r>
      <w:proofErr w:type="spellEnd"/>
      <w:r w:rsidRPr="0000446F">
        <w:rPr>
          <w:rFonts w:ascii="Arial" w:hAnsi="Arial" w:cs="Arial"/>
        </w:rPr>
        <w:t xml:space="preserve"> (</w:t>
      </w:r>
      <w:r>
        <w:rPr>
          <w:rFonts w:ascii="Arial" w:hAnsi="Arial" w:cs="Arial"/>
        </w:rPr>
        <w:t xml:space="preserve">unreported) </w:t>
      </w:r>
      <w:r w:rsidRPr="0000446F">
        <w:rPr>
          <w:rFonts w:ascii="Arial" w:hAnsi="Arial" w:cs="Arial"/>
        </w:rPr>
        <w:t xml:space="preserve">CS 202/86 the </w:t>
      </w:r>
      <w:r>
        <w:rPr>
          <w:rFonts w:ascii="Arial" w:hAnsi="Arial" w:cs="Arial"/>
        </w:rPr>
        <w:t>p</w:t>
      </w:r>
      <w:r w:rsidRPr="0000446F">
        <w:rPr>
          <w:rFonts w:ascii="Arial" w:hAnsi="Arial" w:cs="Arial"/>
        </w:rPr>
        <w:t>laintiff, a merchant</w:t>
      </w:r>
      <w:r>
        <w:rPr>
          <w:rFonts w:ascii="Arial" w:hAnsi="Arial" w:cs="Arial"/>
        </w:rPr>
        <w:t>,</w:t>
      </w:r>
      <w:r w:rsidRPr="0000446F">
        <w:rPr>
          <w:rFonts w:ascii="Arial" w:hAnsi="Arial" w:cs="Arial"/>
        </w:rPr>
        <w:t xml:space="preserve"> claimed R17,449.13 in respect of goods supplied to the </w:t>
      </w:r>
      <w:r>
        <w:rPr>
          <w:rFonts w:ascii="Arial" w:hAnsi="Arial" w:cs="Arial"/>
        </w:rPr>
        <w:t>d</w:t>
      </w:r>
      <w:r w:rsidRPr="0000446F">
        <w:rPr>
          <w:rFonts w:ascii="Arial" w:hAnsi="Arial" w:cs="Arial"/>
        </w:rPr>
        <w:t xml:space="preserve">efendant. The </w:t>
      </w:r>
      <w:r>
        <w:rPr>
          <w:rFonts w:ascii="Arial" w:hAnsi="Arial" w:cs="Arial"/>
        </w:rPr>
        <w:t>d</w:t>
      </w:r>
      <w:r w:rsidRPr="0000446F">
        <w:rPr>
          <w:rFonts w:ascii="Arial" w:hAnsi="Arial" w:cs="Arial"/>
        </w:rPr>
        <w:t xml:space="preserve">efendant in his </w:t>
      </w:r>
      <w:proofErr w:type="spellStart"/>
      <w:r w:rsidRPr="0000446F">
        <w:rPr>
          <w:rFonts w:ascii="Arial" w:hAnsi="Arial" w:cs="Arial"/>
        </w:rPr>
        <w:t>defence</w:t>
      </w:r>
      <w:proofErr w:type="spellEnd"/>
      <w:r w:rsidRPr="0000446F">
        <w:rPr>
          <w:rFonts w:ascii="Arial" w:hAnsi="Arial" w:cs="Arial"/>
        </w:rPr>
        <w:t xml:space="preserve"> denied that he was indebted to the </w:t>
      </w:r>
      <w:r>
        <w:rPr>
          <w:rFonts w:ascii="Arial" w:hAnsi="Arial" w:cs="Arial"/>
        </w:rPr>
        <w:t>p</w:t>
      </w:r>
      <w:r w:rsidRPr="0000446F">
        <w:rPr>
          <w:rFonts w:ascii="Arial" w:hAnsi="Arial" w:cs="Arial"/>
        </w:rPr>
        <w:t xml:space="preserve">laintiff in the sum claimed of at all.  Counsel for the </w:t>
      </w:r>
      <w:r>
        <w:rPr>
          <w:rFonts w:ascii="Arial" w:hAnsi="Arial" w:cs="Arial"/>
        </w:rPr>
        <w:t>p</w:t>
      </w:r>
      <w:r w:rsidRPr="0000446F">
        <w:rPr>
          <w:rFonts w:ascii="Arial" w:hAnsi="Arial" w:cs="Arial"/>
        </w:rPr>
        <w:t xml:space="preserve">laintiff in making an application to examine the </w:t>
      </w:r>
      <w:r>
        <w:rPr>
          <w:rFonts w:ascii="Arial" w:hAnsi="Arial" w:cs="Arial"/>
        </w:rPr>
        <w:t>d</w:t>
      </w:r>
      <w:r w:rsidRPr="0000446F">
        <w:rPr>
          <w:rFonts w:ascii="Arial" w:hAnsi="Arial" w:cs="Arial"/>
        </w:rPr>
        <w:t xml:space="preserve">efendant on his personal answers submitted that the </w:t>
      </w:r>
      <w:proofErr w:type="spellStart"/>
      <w:r w:rsidRPr="0000446F">
        <w:rPr>
          <w:rFonts w:ascii="Arial" w:hAnsi="Arial" w:cs="Arial"/>
        </w:rPr>
        <w:t>defence</w:t>
      </w:r>
      <w:proofErr w:type="spellEnd"/>
      <w:r w:rsidRPr="0000446F">
        <w:rPr>
          <w:rFonts w:ascii="Arial" w:hAnsi="Arial" w:cs="Arial"/>
        </w:rPr>
        <w:t xml:space="preserve"> was a total denial of indebtedness which indicated that there were no transactions between the </w:t>
      </w:r>
      <w:r>
        <w:rPr>
          <w:rFonts w:ascii="Arial" w:hAnsi="Arial" w:cs="Arial"/>
        </w:rPr>
        <w:t>p</w:t>
      </w:r>
      <w:r w:rsidRPr="0000446F">
        <w:rPr>
          <w:rFonts w:ascii="Arial" w:hAnsi="Arial" w:cs="Arial"/>
        </w:rPr>
        <w:t xml:space="preserve">laintiff and the </w:t>
      </w:r>
      <w:r>
        <w:rPr>
          <w:rFonts w:ascii="Arial" w:hAnsi="Arial" w:cs="Arial"/>
        </w:rPr>
        <w:t>d</w:t>
      </w:r>
      <w:r w:rsidRPr="0000446F">
        <w:rPr>
          <w:rFonts w:ascii="Arial" w:hAnsi="Arial" w:cs="Arial"/>
        </w:rPr>
        <w:t xml:space="preserve">efendant and also that they did not know each other. The </w:t>
      </w:r>
      <w:r>
        <w:rPr>
          <w:rFonts w:ascii="Arial" w:hAnsi="Arial" w:cs="Arial"/>
        </w:rPr>
        <w:t>l</w:t>
      </w:r>
      <w:r w:rsidRPr="0000446F">
        <w:rPr>
          <w:rFonts w:ascii="Arial" w:hAnsi="Arial" w:cs="Arial"/>
        </w:rPr>
        <w:t xml:space="preserve">earned Chief Justice Seaton rejected the application on the basis that the </w:t>
      </w:r>
      <w:r>
        <w:rPr>
          <w:rFonts w:ascii="Arial" w:hAnsi="Arial" w:cs="Arial"/>
        </w:rPr>
        <w:t>p</w:t>
      </w:r>
      <w:r w:rsidRPr="0000446F">
        <w:rPr>
          <w:rFonts w:ascii="Arial" w:hAnsi="Arial" w:cs="Arial"/>
        </w:rPr>
        <w:t xml:space="preserve">laintiff must first adduce some prima facie evidence before he could call on the </w:t>
      </w:r>
      <w:r>
        <w:rPr>
          <w:rFonts w:ascii="Arial" w:hAnsi="Arial" w:cs="Arial"/>
        </w:rPr>
        <w:t>r</w:t>
      </w:r>
      <w:r w:rsidRPr="0000446F">
        <w:rPr>
          <w:rFonts w:ascii="Arial" w:hAnsi="Arial" w:cs="Arial"/>
        </w:rPr>
        <w:t>espondent for his personal answers.</w:t>
      </w:r>
    </w:p>
    <w:p w:rsidR="008059FF" w:rsidRPr="0000446F" w:rsidRDefault="008059FF" w:rsidP="008059FF">
      <w:pPr>
        <w:jc w:val="both"/>
        <w:rPr>
          <w:rFonts w:ascii="Arial" w:hAnsi="Arial" w:cs="Arial"/>
        </w:rPr>
      </w:pPr>
    </w:p>
    <w:p w:rsidR="008059FF" w:rsidRPr="0000446F" w:rsidRDefault="008059FF" w:rsidP="008059FF">
      <w:pPr>
        <w:jc w:val="both"/>
        <w:rPr>
          <w:rFonts w:ascii="Arial" w:hAnsi="Arial" w:cs="Arial"/>
        </w:rPr>
      </w:pPr>
      <w:r w:rsidRPr="0000446F">
        <w:rPr>
          <w:rFonts w:ascii="Arial" w:hAnsi="Arial" w:cs="Arial"/>
        </w:rPr>
        <w:t xml:space="preserve">The Court of Appeal (SCA Appeal No. 17 of 1987) set aside that ruling. </w:t>
      </w:r>
      <w:proofErr w:type="spellStart"/>
      <w:r w:rsidRPr="0000446F">
        <w:rPr>
          <w:rFonts w:ascii="Arial" w:hAnsi="Arial" w:cs="Arial"/>
        </w:rPr>
        <w:t>Goburdhun</w:t>
      </w:r>
      <w:proofErr w:type="spellEnd"/>
      <w:r w:rsidRPr="0000446F">
        <w:rPr>
          <w:rFonts w:ascii="Arial" w:hAnsi="Arial" w:cs="Arial"/>
        </w:rPr>
        <w:t xml:space="preserve"> JA stated thus –</w:t>
      </w:r>
    </w:p>
    <w:p w:rsidR="008059FF" w:rsidRPr="0000446F" w:rsidRDefault="008059FF" w:rsidP="008059FF">
      <w:pPr>
        <w:jc w:val="both"/>
        <w:rPr>
          <w:rFonts w:ascii="Arial" w:hAnsi="Arial" w:cs="Arial"/>
        </w:rPr>
      </w:pPr>
    </w:p>
    <w:p w:rsidR="008059FF" w:rsidRPr="0000446F" w:rsidRDefault="008059FF" w:rsidP="008059FF">
      <w:pPr>
        <w:ind w:left="720" w:right="684"/>
        <w:jc w:val="both"/>
        <w:rPr>
          <w:rFonts w:ascii="Arial" w:hAnsi="Arial" w:cs="Arial"/>
        </w:rPr>
      </w:pPr>
      <w:r w:rsidRPr="0000446F">
        <w:rPr>
          <w:rFonts w:ascii="Arial" w:hAnsi="Arial" w:cs="Arial"/>
        </w:rPr>
        <w:t xml:space="preserve">The right of a party to examine his opponent on his personal answers should not be taken away from the party </w:t>
      </w:r>
      <w:r w:rsidRPr="0000446F">
        <w:rPr>
          <w:rFonts w:ascii="Arial" w:hAnsi="Arial" w:cs="Arial"/>
          <w:u w:val="single"/>
        </w:rPr>
        <w:t>except on strong grounds</w:t>
      </w:r>
      <w:r w:rsidRPr="0000446F">
        <w:rPr>
          <w:rFonts w:ascii="Arial" w:hAnsi="Arial" w:cs="Arial"/>
        </w:rPr>
        <w:t xml:space="preserve"> ………. </w:t>
      </w:r>
    </w:p>
    <w:p w:rsidR="008059FF" w:rsidRPr="0000446F" w:rsidRDefault="008059FF" w:rsidP="008059FF">
      <w:pPr>
        <w:ind w:left="720" w:right="684"/>
        <w:jc w:val="both"/>
        <w:rPr>
          <w:rFonts w:ascii="Arial" w:hAnsi="Arial" w:cs="Arial"/>
        </w:rPr>
      </w:pPr>
    </w:p>
    <w:p w:rsidR="008059FF" w:rsidRPr="0000446F" w:rsidRDefault="008059FF" w:rsidP="008059FF">
      <w:pPr>
        <w:ind w:left="720" w:right="684"/>
        <w:jc w:val="both"/>
        <w:rPr>
          <w:rFonts w:ascii="Arial" w:hAnsi="Arial" w:cs="Arial"/>
        </w:rPr>
      </w:pPr>
      <w:r w:rsidRPr="0000446F">
        <w:rPr>
          <w:rFonts w:ascii="Arial" w:hAnsi="Arial" w:cs="Arial"/>
        </w:rPr>
        <w:t xml:space="preserve">The purpose of calling a </w:t>
      </w:r>
      <w:r>
        <w:rPr>
          <w:rFonts w:ascii="Arial" w:hAnsi="Arial" w:cs="Arial"/>
        </w:rPr>
        <w:t>d</w:t>
      </w:r>
      <w:r w:rsidRPr="0000446F">
        <w:rPr>
          <w:rFonts w:ascii="Arial" w:hAnsi="Arial" w:cs="Arial"/>
        </w:rPr>
        <w:t xml:space="preserve">efendant on his personal answers is to obtain admissions from him or evidence which would destroy his case or strengthen that of the party calling him. Of course if a motion to call a party on his personal answers is unreasonable the Court has </w:t>
      </w:r>
      <w:proofErr w:type="gramStart"/>
      <w:r w:rsidRPr="0000446F">
        <w:rPr>
          <w:rFonts w:ascii="Arial" w:hAnsi="Arial" w:cs="Arial"/>
        </w:rPr>
        <w:t>a discretion</w:t>
      </w:r>
      <w:proofErr w:type="gramEnd"/>
      <w:r w:rsidRPr="0000446F">
        <w:rPr>
          <w:rFonts w:ascii="Arial" w:hAnsi="Arial" w:cs="Arial"/>
        </w:rPr>
        <w:t xml:space="preserve"> to disallow it.</w:t>
      </w:r>
    </w:p>
    <w:p w:rsidR="008059FF" w:rsidRPr="0000446F" w:rsidRDefault="008059FF" w:rsidP="008059FF">
      <w:pPr>
        <w:ind w:right="2846"/>
        <w:jc w:val="both"/>
        <w:rPr>
          <w:rFonts w:ascii="Arial" w:hAnsi="Arial" w:cs="Arial"/>
        </w:rPr>
      </w:pPr>
    </w:p>
    <w:p w:rsidR="008059FF" w:rsidRPr="0000446F" w:rsidRDefault="008059FF" w:rsidP="008059FF">
      <w:pPr>
        <w:ind w:right="2846"/>
        <w:jc w:val="both"/>
        <w:rPr>
          <w:rFonts w:ascii="Arial" w:hAnsi="Arial" w:cs="Arial"/>
        </w:rPr>
      </w:pPr>
      <w:proofErr w:type="spellStart"/>
      <w:r w:rsidRPr="0000446F">
        <w:rPr>
          <w:rFonts w:ascii="Arial" w:hAnsi="Arial" w:cs="Arial"/>
        </w:rPr>
        <w:t>D'Arifat</w:t>
      </w:r>
      <w:proofErr w:type="spellEnd"/>
      <w:r w:rsidRPr="0000446F">
        <w:rPr>
          <w:rFonts w:ascii="Arial" w:hAnsi="Arial" w:cs="Arial"/>
        </w:rPr>
        <w:t xml:space="preserve"> JA observed that –</w:t>
      </w:r>
    </w:p>
    <w:p w:rsidR="008059FF" w:rsidRPr="0000446F" w:rsidRDefault="008059FF" w:rsidP="008059FF">
      <w:pPr>
        <w:ind w:right="2846"/>
        <w:jc w:val="both"/>
        <w:rPr>
          <w:rFonts w:ascii="Arial" w:hAnsi="Arial" w:cs="Arial"/>
        </w:rPr>
      </w:pPr>
    </w:p>
    <w:p w:rsidR="008059FF" w:rsidRPr="0000446F" w:rsidRDefault="008059FF" w:rsidP="008059FF">
      <w:pPr>
        <w:ind w:left="720" w:right="684"/>
        <w:jc w:val="both"/>
        <w:rPr>
          <w:rFonts w:ascii="Arial" w:hAnsi="Arial" w:cs="Arial"/>
        </w:rPr>
      </w:pPr>
      <w:r w:rsidRPr="0000446F">
        <w:rPr>
          <w:rFonts w:ascii="Arial" w:hAnsi="Arial" w:cs="Arial"/>
        </w:rPr>
        <w:t>The parties to a civil action have a right to know the legal pretentions of their opponents and more specially the averments on which they rely to prove their case.</w:t>
      </w:r>
    </w:p>
    <w:p w:rsidR="008059FF" w:rsidRPr="0000446F" w:rsidRDefault="008059FF" w:rsidP="008059FF">
      <w:pPr>
        <w:jc w:val="both"/>
        <w:rPr>
          <w:rFonts w:ascii="Arial" w:hAnsi="Arial" w:cs="Arial"/>
        </w:rPr>
      </w:pPr>
    </w:p>
    <w:p w:rsidR="008059FF" w:rsidRPr="0000446F" w:rsidRDefault="008059FF" w:rsidP="008059FF">
      <w:pPr>
        <w:jc w:val="both"/>
        <w:rPr>
          <w:rFonts w:ascii="Arial" w:hAnsi="Arial" w:cs="Arial"/>
        </w:rPr>
      </w:pPr>
      <w:r w:rsidRPr="0000446F">
        <w:rPr>
          <w:rFonts w:ascii="Arial" w:hAnsi="Arial" w:cs="Arial"/>
        </w:rPr>
        <w:t xml:space="preserve">In the case of </w:t>
      </w:r>
      <w:r w:rsidRPr="00BC0A99">
        <w:rPr>
          <w:rFonts w:ascii="Arial" w:hAnsi="Arial" w:cs="Arial"/>
          <w:i/>
        </w:rPr>
        <w:t xml:space="preserve">Re </w:t>
      </w:r>
      <w:proofErr w:type="spellStart"/>
      <w:r w:rsidRPr="00BC0A99">
        <w:rPr>
          <w:rFonts w:ascii="Arial" w:hAnsi="Arial" w:cs="Arial"/>
          <w:i/>
        </w:rPr>
        <w:t>Kassamally</w:t>
      </w:r>
      <w:proofErr w:type="spellEnd"/>
      <w:r w:rsidRPr="00BC0A99">
        <w:rPr>
          <w:rFonts w:ascii="Arial" w:hAnsi="Arial" w:cs="Arial"/>
          <w:i/>
        </w:rPr>
        <w:t xml:space="preserve"> </w:t>
      </w:r>
      <w:proofErr w:type="spellStart"/>
      <w:r w:rsidRPr="00BC0A99">
        <w:rPr>
          <w:rFonts w:ascii="Arial" w:hAnsi="Arial" w:cs="Arial"/>
          <w:i/>
        </w:rPr>
        <w:t>Esmael</w:t>
      </w:r>
      <w:proofErr w:type="spellEnd"/>
      <w:r w:rsidRPr="0000446F">
        <w:rPr>
          <w:rFonts w:ascii="Arial" w:hAnsi="Arial" w:cs="Arial"/>
        </w:rPr>
        <w:t xml:space="preserve"> 1941 MR 20 it was held that the right to examine a party on personal answer</w:t>
      </w:r>
      <w:r>
        <w:rPr>
          <w:rFonts w:ascii="Arial" w:hAnsi="Arial" w:cs="Arial"/>
        </w:rPr>
        <w:t>,</w:t>
      </w:r>
      <w:r w:rsidRPr="0000446F">
        <w:rPr>
          <w:rFonts w:ascii="Arial" w:hAnsi="Arial" w:cs="Arial"/>
        </w:rPr>
        <w:t xml:space="preserve"> being a legal right, could be denied </w:t>
      </w:r>
      <w:r>
        <w:rPr>
          <w:rFonts w:ascii="Arial" w:hAnsi="Arial" w:cs="Arial"/>
        </w:rPr>
        <w:t xml:space="preserve">only </w:t>
      </w:r>
      <w:r w:rsidRPr="0000446F">
        <w:rPr>
          <w:rFonts w:ascii="Arial" w:hAnsi="Arial" w:cs="Arial"/>
        </w:rPr>
        <w:t xml:space="preserve">on strong grounds such as where the physical attendance of the </w:t>
      </w:r>
      <w:r>
        <w:rPr>
          <w:rFonts w:ascii="Arial" w:hAnsi="Arial" w:cs="Arial"/>
        </w:rPr>
        <w:t>d</w:t>
      </w:r>
      <w:r w:rsidRPr="0000446F">
        <w:rPr>
          <w:rFonts w:ascii="Arial" w:hAnsi="Arial" w:cs="Arial"/>
        </w:rPr>
        <w:t>efendant is impossible or dangerous to life, or if it is proved that the person to be examined is in no way concerned with the issue. There are no such grounds in the instant case.</w:t>
      </w:r>
    </w:p>
    <w:p w:rsidR="008059FF" w:rsidRPr="0000446F" w:rsidRDefault="008059FF" w:rsidP="008059FF">
      <w:pPr>
        <w:jc w:val="both"/>
        <w:rPr>
          <w:rFonts w:ascii="Arial" w:hAnsi="Arial" w:cs="Arial"/>
        </w:rPr>
      </w:pPr>
    </w:p>
    <w:p w:rsidR="008059FF" w:rsidRPr="0000446F" w:rsidRDefault="008059FF" w:rsidP="008059FF">
      <w:pPr>
        <w:jc w:val="both"/>
        <w:rPr>
          <w:rFonts w:ascii="Arial" w:hAnsi="Arial" w:cs="Arial"/>
        </w:rPr>
      </w:pPr>
      <w:r w:rsidRPr="0000446F">
        <w:rPr>
          <w:rFonts w:ascii="Arial" w:hAnsi="Arial" w:cs="Arial"/>
        </w:rPr>
        <w:t xml:space="preserve">The </w:t>
      </w:r>
      <w:r>
        <w:rPr>
          <w:rFonts w:ascii="Arial" w:hAnsi="Arial" w:cs="Arial"/>
        </w:rPr>
        <w:t>d</w:t>
      </w:r>
      <w:r w:rsidRPr="0000446F">
        <w:rPr>
          <w:rFonts w:ascii="Arial" w:hAnsi="Arial" w:cs="Arial"/>
        </w:rPr>
        <w:t xml:space="preserve">efendant had in her </w:t>
      </w:r>
      <w:proofErr w:type="spellStart"/>
      <w:r w:rsidRPr="0000446F">
        <w:rPr>
          <w:rFonts w:ascii="Arial" w:hAnsi="Arial" w:cs="Arial"/>
        </w:rPr>
        <w:t>defence</w:t>
      </w:r>
      <w:proofErr w:type="spellEnd"/>
      <w:r w:rsidRPr="0000446F">
        <w:rPr>
          <w:rFonts w:ascii="Arial" w:hAnsi="Arial" w:cs="Arial"/>
        </w:rPr>
        <w:t xml:space="preserve"> admitted receiving a total of US dollars 14,276 from </w:t>
      </w:r>
      <w:r w:rsidRPr="0000446F">
        <w:rPr>
          <w:rFonts w:ascii="Arial" w:hAnsi="Arial" w:cs="Arial"/>
        </w:rPr>
        <w:lastRenderedPageBreak/>
        <w:t xml:space="preserve">the </w:t>
      </w:r>
      <w:r>
        <w:rPr>
          <w:rFonts w:ascii="Arial" w:hAnsi="Arial" w:cs="Arial"/>
        </w:rPr>
        <w:t>p</w:t>
      </w:r>
      <w:r w:rsidRPr="0000446F">
        <w:rPr>
          <w:rFonts w:ascii="Arial" w:hAnsi="Arial" w:cs="Arial"/>
        </w:rPr>
        <w:t xml:space="preserve">laintiff as a donation, but not as a loan. The </w:t>
      </w:r>
      <w:r>
        <w:rPr>
          <w:rFonts w:ascii="Arial" w:hAnsi="Arial" w:cs="Arial"/>
        </w:rPr>
        <w:t>p</w:t>
      </w:r>
      <w:r w:rsidRPr="0000446F">
        <w:rPr>
          <w:rFonts w:ascii="Arial" w:hAnsi="Arial" w:cs="Arial"/>
        </w:rPr>
        <w:t xml:space="preserve">laintiff in such circumstances has the right to call the </w:t>
      </w:r>
      <w:r>
        <w:rPr>
          <w:rFonts w:ascii="Arial" w:hAnsi="Arial" w:cs="Arial"/>
        </w:rPr>
        <w:t>d</w:t>
      </w:r>
      <w:r w:rsidRPr="0000446F">
        <w:rPr>
          <w:rFonts w:ascii="Arial" w:hAnsi="Arial" w:cs="Arial"/>
        </w:rPr>
        <w:t xml:space="preserve">efendant on her personal answers to obtain admissions from her or evidence which could destroy her case or strengthen his own case.  Such a procedure is not unreasonable </w:t>
      </w:r>
      <w:r>
        <w:rPr>
          <w:rFonts w:ascii="Arial" w:hAnsi="Arial" w:cs="Arial"/>
        </w:rPr>
        <w:t xml:space="preserve">nor does it </w:t>
      </w:r>
      <w:r w:rsidRPr="0000446F">
        <w:rPr>
          <w:rFonts w:ascii="Arial" w:hAnsi="Arial" w:cs="Arial"/>
        </w:rPr>
        <w:t xml:space="preserve">give any unfair advantage to the </w:t>
      </w:r>
      <w:r>
        <w:rPr>
          <w:rFonts w:ascii="Arial" w:hAnsi="Arial" w:cs="Arial"/>
        </w:rPr>
        <w:t>p</w:t>
      </w:r>
      <w:r w:rsidRPr="0000446F">
        <w:rPr>
          <w:rFonts w:ascii="Arial" w:hAnsi="Arial" w:cs="Arial"/>
        </w:rPr>
        <w:t xml:space="preserve">laintiff as such evidence is not given on oath and as under </w:t>
      </w:r>
      <w:r>
        <w:rPr>
          <w:rFonts w:ascii="Arial" w:hAnsi="Arial" w:cs="Arial"/>
        </w:rPr>
        <w:t>s</w:t>
      </w:r>
      <w:r w:rsidRPr="0000446F">
        <w:rPr>
          <w:rFonts w:ascii="Arial" w:hAnsi="Arial" w:cs="Arial"/>
        </w:rPr>
        <w:t xml:space="preserve">ection 4 of the </w:t>
      </w:r>
      <w:r>
        <w:rPr>
          <w:rFonts w:ascii="Arial" w:hAnsi="Arial" w:cs="Arial"/>
        </w:rPr>
        <w:t>E</w:t>
      </w:r>
      <w:r w:rsidRPr="0000446F">
        <w:rPr>
          <w:rFonts w:ascii="Arial" w:hAnsi="Arial" w:cs="Arial"/>
        </w:rPr>
        <w:t xml:space="preserve">vidence Act, the </w:t>
      </w:r>
      <w:r>
        <w:rPr>
          <w:rFonts w:ascii="Arial" w:hAnsi="Arial" w:cs="Arial"/>
        </w:rPr>
        <w:t>d</w:t>
      </w:r>
      <w:r w:rsidRPr="0000446F">
        <w:rPr>
          <w:rFonts w:ascii="Arial" w:hAnsi="Arial" w:cs="Arial"/>
        </w:rPr>
        <w:t xml:space="preserve">efendant's </w:t>
      </w:r>
      <w:r>
        <w:rPr>
          <w:rFonts w:ascii="Arial" w:hAnsi="Arial" w:cs="Arial"/>
        </w:rPr>
        <w:t>c</w:t>
      </w:r>
      <w:r w:rsidRPr="0000446F">
        <w:rPr>
          <w:rFonts w:ascii="Arial" w:hAnsi="Arial" w:cs="Arial"/>
        </w:rPr>
        <w:t xml:space="preserve">ounsel has the right to examine his own client to correct any ambiguity arising from the answers given.  There are therefore sufficient grounds for ordering summons on the </w:t>
      </w:r>
      <w:r>
        <w:rPr>
          <w:rFonts w:ascii="Arial" w:hAnsi="Arial" w:cs="Arial"/>
        </w:rPr>
        <w:t>d</w:t>
      </w:r>
      <w:r w:rsidRPr="0000446F">
        <w:rPr>
          <w:rFonts w:ascii="Arial" w:hAnsi="Arial" w:cs="Arial"/>
        </w:rPr>
        <w:t xml:space="preserve">efendant. Accordingly, </w:t>
      </w:r>
      <w:r>
        <w:rPr>
          <w:rFonts w:ascii="Arial" w:hAnsi="Arial" w:cs="Arial"/>
        </w:rPr>
        <w:t xml:space="preserve">the </w:t>
      </w:r>
      <w:r w:rsidRPr="0000446F">
        <w:rPr>
          <w:rFonts w:ascii="Arial" w:hAnsi="Arial" w:cs="Arial"/>
        </w:rPr>
        <w:t xml:space="preserve">Court makes </w:t>
      </w:r>
      <w:r>
        <w:rPr>
          <w:rFonts w:ascii="Arial" w:hAnsi="Arial" w:cs="Arial"/>
        </w:rPr>
        <w:t xml:space="preserve">an </w:t>
      </w:r>
      <w:r w:rsidRPr="0000446F">
        <w:rPr>
          <w:rFonts w:ascii="Arial" w:hAnsi="Arial" w:cs="Arial"/>
        </w:rPr>
        <w:t xml:space="preserve">order that summons be issued on the </w:t>
      </w:r>
      <w:r>
        <w:rPr>
          <w:rFonts w:ascii="Arial" w:hAnsi="Arial" w:cs="Arial"/>
        </w:rPr>
        <w:t>d</w:t>
      </w:r>
      <w:r w:rsidRPr="0000446F">
        <w:rPr>
          <w:rFonts w:ascii="Arial" w:hAnsi="Arial" w:cs="Arial"/>
        </w:rPr>
        <w:t xml:space="preserve">efendant to appear in </w:t>
      </w:r>
      <w:r>
        <w:rPr>
          <w:rFonts w:ascii="Arial" w:hAnsi="Arial" w:cs="Arial"/>
        </w:rPr>
        <w:t>c</w:t>
      </w:r>
      <w:r w:rsidRPr="0000446F">
        <w:rPr>
          <w:rFonts w:ascii="Arial" w:hAnsi="Arial" w:cs="Arial"/>
        </w:rPr>
        <w:t>ourt at the next date of hearing, to be examined on her personal answers.</w:t>
      </w:r>
    </w:p>
    <w:p w:rsidR="008059FF" w:rsidRPr="0000446F" w:rsidRDefault="008059FF" w:rsidP="008059FF">
      <w:pPr>
        <w:jc w:val="both"/>
        <w:rPr>
          <w:rFonts w:ascii="Arial" w:hAnsi="Arial" w:cs="Arial"/>
        </w:rPr>
      </w:pPr>
    </w:p>
    <w:p w:rsidR="008059FF" w:rsidRPr="0000446F" w:rsidRDefault="008059FF" w:rsidP="008059FF">
      <w:pPr>
        <w:jc w:val="both"/>
        <w:rPr>
          <w:rFonts w:ascii="Arial" w:hAnsi="Arial" w:cs="Arial"/>
        </w:rPr>
      </w:pPr>
      <w:r w:rsidRPr="0000446F">
        <w:rPr>
          <w:rFonts w:ascii="Arial" w:hAnsi="Arial" w:cs="Arial"/>
        </w:rPr>
        <w:t>Ruling made accordingly.</w:t>
      </w:r>
    </w:p>
    <w:p w:rsidR="008059FF" w:rsidRPr="0000446F" w:rsidRDefault="008059FF" w:rsidP="008059FF">
      <w:pPr>
        <w:jc w:val="center"/>
        <w:rPr>
          <w:rFonts w:ascii="Arial" w:hAnsi="Arial" w:cs="Arial"/>
        </w:rPr>
      </w:pPr>
    </w:p>
    <w:p w:rsidR="008059FF" w:rsidRPr="0000446F" w:rsidRDefault="008059FF" w:rsidP="008059FF">
      <w:pPr>
        <w:jc w:val="both"/>
        <w:rPr>
          <w:rFonts w:ascii="Arial" w:hAnsi="Arial" w:cs="Arial"/>
        </w:rPr>
      </w:pPr>
    </w:p>
    <w:p w:rsidR="008059FF" w:rsidRPr="0000446F" w:rsidRDefault="008059FF" w:rsidP="008059FF">
      <w:pPr>
        <w:rPr>
          <w:rFonts w:ascii="Arial" w:hAnsi="Arial" w:cs="Arial"/>
          <w:b/>
          <w:bCs/>
        </w:rPr>
      </w:pPr>
      <w:r w:rsidRPr="0000446F">
        <w:rPr>
          <w:rFonts w:ascii="Arial" w:hAnsi="Arial" w:cs="Arial"/>
          <w:b/>
          <w:bCs/>
        </w:rPr>
        <w:t>Record:  Civil Side No 379 of 1996</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50A53"/>
    <w:multiLevelType w:val="hybridMultilevel"/>
    <w:tmpl w:val="8AC052A6"/>
    <w:lvl w:ilvl="0" w:tplc="43B26804">
      <w:start w:val="1"/>
      <w:numFmt w:val="lowerRoman"/>
      <w:lvlText w:val="(%1)"/>
      <w:lvlJc w:val="left"/>
      <w:pPr>
        <w:tabs>
          <w:tab w:val="num" w:pos="360"/>
        </w:tabs>
        <w:ind w:left="360" w:hanging="360"/>
      </w:pPr>
      <w:rPr>
        <w:rFonts w:ascii="Arial" w:eastAsia="Times New Roman" w:hAnsi="Arial" w:cs="Arial"/>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9FF"/>
    <w:rsid w:val="000A4006"/>
    <w:rsid w:val="00156AE5"/>
    <w:rsid w:val="001A0374"/>
    <w:rsid w:val="006D36C9"/>
    <w:rsid w:val="00725760"/>
    <w:rsid w:val="0076170E"/>
    <w:rsid w:val="008059FF"/>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F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2014-01-21T04:32:00Z</dcterms:created>
  <dcterms:modified xsi:type="dcterms:W3CDTF">2014-01-21T04:32:00Z</dcterms:modified>
</cp:coreProperties>
</file>