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86" w:rsidRDefault="001E7E39" w:rsidP="00A54B86">
      <w:pPr>
        <w:jc w:val="center"/>
        <w:rPr>
          <w:rFonts w:ascii="Arial" w:hAnsi="Arial" w:cs="Arial"/>
          <w:b/>
          <w:iCs/>
        </w:rPr>
      </w:pPr>
      <w:r w:rsidRPr="001E7E39">
        <w:rPr>
          <w:rFonts w:ascii="Arial" w:hAnsi="Arial" w:cs="Arial"/>
          <w:b/>
          <w:iCs/>
          <w:noProof/>
        </w:rPr>
        <w:pict>
          <v:shapetype id="_x0000_t202" coordsize="21600,21600" o:spt="202" path="m,l,21600r21600,l21600,xe">
            <v:stroke joinstyle="miter"/>
            <v:path gradientshapeok="t" o:connecttype="rect"/>
          </v:shapetype>
          <v:shape id="_x0000_s1030" type="#_x0000_t202" style="position:absolute;left:0;text-align:left;margin-left:335.65pt;margin-top:-3.45pt;width:30pt;height:531.55pt;z-index:251664384;mso-height-percent:200;mso-height-percent:200;mso-width-relative:margin;mso-height-relative:margin" stroked="f" strokecolor="white [3212]">
            <v:textbox style="mso-next-textbox:#_x0000_s1030;mso-fit-shape-to-text:t">
              <w:txbxContent>
                <w:p w:rsidR="00A54B86" w:rsidRPr="00FF49DF" w:rsidRDefault="00A54B86" w:rsidP="00A54B86">
                  <w:pPr>
                    <w:rPr>
                      <w:rFonts w:ascii="Arial" w:hAnsi="Arial" w:cs="Arial"/>
                      <w:b/>
                      <w:i/>
                      <w:lang w:val="en-NZ"/>
                    </w:rPr>
                  </w:pPr>
                </w:p>
              </w:txbxContent>
            </v:textbox>
          </v:shape>
        </w:pict>
      </w:r>
      <w:proofErr w:type="spellStart"/>
      <w:r w:rsidR="00A54B86" w:rsidRPr="0080672C">
        <w:rPr>
          <w:rFonts w:ascii="Arial" w:hAnsi="Arial" w:cs="Arial"/>
          <w:b/>
          <w:iCs/>
        </w:rPr>
        <w:t>Sinon</w:t>
      </w:r>
      <w:proofErr w:type="spellEnd"/>
      <w:r w:rsidR="00A54B86" w:rsidRPr="0080672C">
        <w:rPr>
          <w:rFonts w:ascii="Arial" w:hAnsi="Arial" w:cs="Arial"/>
          <w:b/>
          <w:iCs/>
        </w:rPr>
        <w:t xml:space="preserve"> v Ward</w:t>
      </w:r>
    </w:p>
    <w:p w:rsidR="00A54B86" w:rsidRPr="0080672C" w:rsidRDefault="00A54B86" w:rsidP="00EE71C1">
      <w:pPr>
        <w:jc w:val="center"/>
        <w:rPr>
          <w:rFonts w:ascii="Arial" w:hAnsi="Arial" w:cs="Arial"/>
          <w:b/>
          <w:iCs/>
        </w:rPr>
      </w:pPr>
      <w:r>
        <w:rPr>
          <w:rFonts w:ascii="Arial" w:hAnsi="Arial" w:cs="Arial"/>
          <w:b/>
          <w:iCs/>
        </w:rPr>
        <w:t>(1999) S</w:t>
      </w:r>
      <w:r w:rsidR="00EE71C1">
        <w:rPr>
          <w:rFonts w:ascii="Arial" w:hAnsi="Arial" w:cs="Arial"/>
          <w:b/>
          <w:iCs/>
        </w:rPr>
        <w:t>L</w:t>
      </w:r>
      <w:r>
        <w:rPr>
          <w:rFonts w:ascii="Arial" w:hAnsi="Arial" w:cs="Arial"/>
          <w:b/>
          <w:iCs/>
        </w:rPr>
        <w:t>R 130</w:t>
      </w:r>
    </w:p>
    <w:p w:rsidR="00A54B86" w:rsidRPr="0080672C" w:rsidRDefault="00A54B86" w:rsidP="00A54B86">
      <w:pPr>
        <w:jc w:val="both"/>
        <w:rPr>
          <w:rFonts w:ascii="Arial" w:hAnsi="Arial" w:cs="Arial"/>
          <w:iCs/>
          <w:u w:val="single"/>
        </w:rPr>
      </w:pPr>
    </w:p>
    <w:p w:rsidR="00A54B86" w:rsidRPr="0080672C" w:rsidRDefault="00A54B86" w:rsidP="00A54B86">
      <w:pPr>
        <w:jc w:val="both"/>
        <w:rPr>
          <w:rFonts w:ascii="Arial" w:hAnsi="Arial" w:cs="Arial"/>
          <w:iCs/>
        </w:rPr>
      </w:pPr>
    </w:p>
    <w:p w:rsidR="00A54B86" w:rsidRPr="0080672C" w:rsidRDefault="00A54B86" w:rsidP="00A54B86">
      <w:pPr>
        <w:jc w:val="both"/>
        <w:rPr>
          <w:rFonts w:ascii="Arial" w:hAnsi="Arial" w:cs="Arial"/>
          <w:iCs/>
        </w:rPr>
      </w:pPr>
      <w:r w:rsidRPr="0080672C">
        <w:rPr>
          <w:rFonts w:ascii="Arial" w:hAnsi="Arial" w:cs="Arial"/>
          <w:iCs/>
        </w:rPr>
        <w:t xml:space="preserve">Antony </w:t>
      </w:r>
      <w:r>
        <w:rPr>
          <w:rFonts w:ascii="Arial" w:hAnsi="Arial" w:cs="Arial"/>
          <w:iCs/>
        </w:rPr>
        <w:t>DERJ</w:t>
      </w:r>
      <w:r w:rsidRPr="0080672C">
        <w:rPr>
          <w:rFonts w:ascii="Arial" w:hAnsi="Arial" w:cs="Arial"/>
          <w:iCs/>
        </w:rPr>
        <w:t xml:space="preserve">ACQUES for the </w:t>
      </w:r>
      <w:r>
        <w:rPr>
          <w:rFonts w:ascii="Arial" w:hAnsi="Arial" w:cs="Arial"/>
          <w:iCs/>
        </w:rPr>
        <w:t>a</w:t>
      </w:r>
      <w:r w:rsidRPr="0080672C">
        <w:rPr>
          <w:rFonts w:ascii="Arial" w:hAnsi="Arial" w:cs="Arial"/>
          <w:iCs/>
        </w:rPr>
        <w:t>ppellant</w:t>
      </w:r>
    </w:p>
    <w:p w:rsidR="00A54B86" w:rsidRPr="0080672C" w:rsidRDefault="00A54B86" w:rsidP="00A54B86">
      <w:pPr>
        <w:jc w:val="both"/>
        <w:rPr>
          <w:rFonts w:ascii="Arial" w:hAnsi="Arial" w:cs="Arial"/>
          <w:iCs/>
        </w:rPr>
      </w:pPr>
      <w:r w:rsidRPr="0080672C">
        <w:rPr>
          <w:rFonts w:ascii="Arial" w:hAnsi="Arial" w:cs="Arial"/>
          <w:iCs/>
        </w:rPr>
        <w:t xml:space="preserve">Philippe BOULLE for the </w:t>
      </w:r>
      <w:r>
        <w:rPr>
          <w:rFonts w:ascii="Arial" w:hAnsi="Arial" w:cs="Arial"/>
          <w:iCs/>
        </w:rPr>
        <w:t>r</w:t>
      </w:r>
      <w:r w:rsidRPr="0080672C">
        <w:rPr>
          <w:rFonts w:ascii="Arial" w:hAnsi="Arial" w:cs="Arial"/>
          <w:iCs/>
        </w:rPr>
        <w:t>espondent</w:t>
      </w:r>
    </w:p>
    <w:p w:rsidR="00A54B86" w:rsidRPr="0080672C" w:rsidRDefault="00A54B86" w:rsidP="00A54B86">
      <w:pPr>
        <w:jc w:val="both"/>
        <w:rPr>
          <w:rFonts w:ascii="Arial" w:hAnsi="Arial" w:cs="Arial"/>
          <w:iCs/>
          <w:u w:val="single"/>
        </w:rPr>
      </w:pPr>
    </w:p>
    <w:p w:rsidR="00A54B86" w:rsidRPr="0080672C" w:rsidRDefault="00A54B86" w:rsidP="00A54B86">
      <w:pPr>
        <w:rPr>
          <w:rFonts w:ascii="Arial" w:hAnsi="Arial" w:cs="Arial"/>
          <w:b/>
          <w:iCs/>
        </w:rPr>
      </w:pPr>
      <w:r w:rsidRPr="0080672C">
        <w:rPr>
          <w:rFonts w:ascii="Arial" w:hAnsi="Arial" w:cs="Arial"/>
          <w:b/>
          <w:iCs/>
        </w:rPr>
        <w:t>Judgment delivered on 26</w:t>
      </w:r>
      <w:r w:rsidRPr="0080672C">
        <w:rPr>
          <w:rFonts w:ascii="Arial" w:hAnsi="Arial" w:cs="Arial"/>
          <w:b/>
          <w:bCs/>
          <w:iCs/>
        </w:rPr>
        <w:t xml:space="preserve"> April 1999 by:</w:t>
      </w:r>
    </w:p>
    <w:p w:rsidR="00A54B86" w:rsidRPr="0080672C" w:rsidRDefault="00A54B86" w:rsidP="00A54B86">
      <w:pPr>
        <w:jc w:val="both"/>
        <w:rPr>
          <w:rFonts w:ascii="Arial" w:hAnsi="Arial" w:cs="Arial"/>
          <w:iCs/>
          <w:u w:val="single"/>
        </w:rPr>
      </w:pPr>
    </w:p>
    <w:p w:rsidR="00A54B86" w:rsidRPr="0080672C" w:rsidRDefault="00A54B86" w:rsidP="00A54B86">
      <w:pPr>
        <w:jc w:val="both"/>
        <w:rPr>
          <w:rFonts w:ascii="Arial" w:hAnsi="Arial" w:cs="Arial"/>
          <w:iCs/>
        </w:rPr>
      </w:pPr>
      <w:r w:rsidRPr="0080672C">
        <w:rPr>
          <w:rFonts w:ascii="Arial" w:hAnsi="Arial" w:cs="Arial"/>
          <w:b/>
          <w:iCs/>
        </w:rPr>
        <w:t xml:space="preserve">PERERA J:  </w:t>
      </w:r>
      <w:r w:rsidRPr="0080672C">
        <w:rPr>
          <w:rFonts w:ascii="Arial" w:hAnsi="Arial" w:cs="Arial"/>
          <w:iCs/>
        </w:rPr>
        <w:t xml:space="preserve">The </w:t>
      </w:r>
      <w:r>
        <w:rPr>
          <w:rFonts w:ascii="Arial" w:hAnsi="Arial" w:cs="Arial"/>
          <w:iCs/>
        </w:rPr>
        <w:t>r</w:t>
      </w:r>
      <w:r w:rsidRPr="0080672C">
        <w:rPr>
          <w:rFonts w:ascii="Arial" w:hAnsi="Arial" w:cs="Arial"/>
          <w:iCs/>
        </w:rPr>
        <w:t xml:space="preserve">espondent applied to the Rent Board under </w:t>
      </w:r>
      <w:r>
        <w:rPr>
          <w:rFonts w:ascii="Arial" w:hAnsi="Arial" w:cs="Arial"/>
          <w:iCs/>
        </w:rPr>
        <w:t>s</w:t>
      </w:r>
      <w:r w:rsidRPr="0080672C">
        <w:rPr>
          <w:rFonts w:ascii="Arial" w:hAnsi="Arial" w:cs="Arial"/>
          <w:iCs/>
        </w:rPr>
        <w:t xml:space="preserve">ection 10(2) of the Control of Rent and Tenancy Agreements Act (Cap 47) for eviction of the </w:t>
      </w:r>
      <w:r>
        <w:rPr>
          <w:rFonts w:ascii="Arial" w:hAnsi="Arial" w:cs="Arial"/>
          <w:iCs/>
        </w:rPr>
        <w:t>a</w:t>
      </w:r>
      <w:r w:rsidRPr="0080672C">
        <w:rPr>
          <w:rFonts w:ascii="Arial" w:hAnsi="Arial" w:cs="Arial"/>
          <w:iCs/>
        </w:rPr>
        <w:t xml:space="preserve">ppellant.  It was averred that the </w:t>
      </w:r>
      <w:r>
        <w:rPr>
          <w:rFonts w:ascii="Arial" w:hAnsi="Arial" w:cs="Arial"/>
          <w:iCs/>
        </w:rPr>
        <w:t>r</w:t>
      </w:r>
      <w:r w:rsidRPr="0080672C">
        <w:rPr>
          <w:rFonts w:ascii="Arial" w:hAnsi="Arial" w:cs="Arial"/>
          <w:iCs/>
        </w:rPr>
        <w:t xml:space="preserve">espondent was the proprietor of a portion of land situated at Bougainville and that the dwelling house standing thereon was "let" to the </w:t>
      </w:r>
      <w:r>
        <w:rPr>
          <w:rFonts w:ascii="Arial" w:hAnsi="Arial" w:cs="Arial"/>
          <w:iCs/>
        </w:rPr>
        <w:t>a</w:t>
      </w:r>
      <w:r w:rsidRPr="0080672C">
        <w:rPr>
          <w:rFonts w:ascii="Arial" w:hAnsi="Arial" w:cs="Arial"/>
          <w:iCs/>
        </w:rPr>
        <w:t>ppellant who was engaged as a "General Supervisor of the property".  Eviction was sought on the ground that the said dwelling house was required for occupation by a person with whom, conditional upon housing accommodation being provided, a contract for employment had been entered.</w:t>
      </w:r>
    </w:p>
    <w:p w:rsidR="00A54B86" w:rsidRPr="0080672C" w:rsidRDefault="00A54B86" w:rsidP="00A54B86">
      <w:pPr>
        <w:jc w:val="both"/>
        <w:rPr>
          <w:rFonts w:ascii="Arial" w:hAnsi="Arial" w:cs="Arial"/>
          <w:iCs/>
        </w:rPr>
      </w:pPr>
    </w:p>
    <w:p w:rsidR="00A54B86" w:rsidRPr="0080672C" w:rsidRDefault="00A54B86" w:rsidP="00A54B86">
      <w:pPr>
        <w:jc w:val="both"/>
        <w:rPr>
          <w:rFonts w:ascii="Arial" w:hAnsi="Arial" w:cs="Arial"/>
          <w:iCs/>
        </w:rPr>
      </w:pPr>
      <w:r w:rsidRPr="0080672C">
        <w:rPr>
          <w:rFonts w:ascii="Arial" w:hAnsi="Arial" w:cs="Arial"/>
          <w:iCs/>
        </w:rPr>
        <w:t xml:space="preserve">The </w:t>
      </w:r>
      <w:r>
        <w:rPr>
          <w:rFonts w:ascii="Arial" w:hAnsi="Arial" w:cs="Arial"/>
          <w:iCs/>
        </w:rPr>
        <w:t>a</w:t>
      </w:r>
      <w:r w:rsidRPr="0080672C">
        <w:rPr>
          <w:rFonts w:ascii="Arial" w:hAnsi="Arial" w:cs="Arial"/>
          <w:iCs/>
        </w:rPr>
        <w:t xml:space="preserve">ppellant denied that he was engaged by the </w:t>
      </w:r>
      <w:r>
        <w:rPr>
          <w:rFonts w:ascii="Arial" w:hAnsi="Arial" w:cs="Arial"/>
          <w:iCs/>
        </w:rPr>
        <w:t>r</w:t>
      </w:r>
      <w:r w:rsidRPr="0080672C">
        <w:rPr>
          <w:rFonts w:ascii="Arial" w:hAnsi="Arial" w:cs="Arial"/>
          <w:iCs/>
        </w:rPr>
        <w:t xml:space="preserve">espondent as a "General Supervisor", and averred that consequent to looking after and caring for the </w:t>
      </w:r>
      <w:r>
        <w:rPr>
          <w:rFonts w:ascii="Arial" w:hAnsi="Arial" w:cs="Arial"/>
          <w:iCs/>
        </w:rPr>
        <w:t>r</w:t>
      </w:r>
      <w:r w:rsidRPr="0080672C">
        <w:rPr>
          <w:rFonts w:ascii="Arial" w:hAnsi="Arial" w:cs="Arial"/>
          <w:iCs/>
        </w:rPr>
        <w:t xml:space="preserve">espondent's aged </w:t>
      </w:r>
      <w:proofErr w:type="gramStart"/>
      <w:r w:rsidRPr="0080672C">
        <w:rPr>
          <w:rFonts w:ascii="Arial" w:hAnsi="Arial" w:cs="Arial"/>
          <w:iCs/>
        </w:rPr>
        <w:t>mother,</w:t>
      </w:r>
      <w:proofErr w:type="gramEnd"/>
      <w:r w:rsidRPr="0080672C">
        <w:rPr>
          <w:rFonts w:ascii="Arial" w:hAnsi="Arial" w:cs="Arial"/>
          <w:iCs/>
        </w:rPr>
        <w:t xml:space="preserve"> he was granted a </w:t>
      </w:r>
      <w:r>
        <w:rPr>
          <w:rFonts w:ascii="Arial" w:hAnsi="Arial" w:cs="Arial"/>
          <w:iCs/>
        </w:rPr>
        <w:t>l</w:t>
      </w:r>
      <w:r w:rsidRPr="0080672C">
        <w:rPr>
          <w:rFonts w:ascii="Arial" w:hAnsi="Arial" w:cs="Arial"/>
          <w:iCs/>
        </w:rPr>
        <w:t xml:space="preserve">ife </w:t>
      </w:r>
      <w:r>
        <w:rPr>
          <w:rFonts w:ascii="Arial" w:hAnsi="Arial" w:cs="Arial"/>
          <w:iCs/>
        </w:rPr>
        <w:t>t</w:t>
      </w:r>
      <w:r w:rsidRPr="0080672C">
        <w:rPr>
          <w:rFonts w:ascii="Arial" w:hAnsi="Arial" w:cs="Arial"/>
          <w:iCs/>
        </w:rPr>
        <w:t>enancy to occupy and enjoy the premises during his lifetime and that of his wife.</w:t>
      </w:r>
    </w:p>
    <w:p w:rsidR="00A54B86" w:rsidRPr="0080672C" w:rsidRDefault="00A54B86" w:rsidP="00A54B86">
      <w:pPr>
        <w:jc w:val="both"/>
        <w:rPr>
          <w:rFonts w:ascii="Arial" w:hAnsi="Arial" w:cs="Arial"/>
          <w:iCs/>
        </w:rPr>
      </w:pPr>
    </w:p>
    <w:p w:rsidR="00A54B86" w:rsidRPr="0080672C" w:rsidRDefault="00A54B86" w:rsidP="00A54B86">
      <w:pPr>
        <w:jc w:val="both"/>
        <w:rPr>
          <w:rFonts w:ascii="Arial" w:hAnsi="Arial" w:cs="Arial"/>
          <w:iCs/>
        </w:rPr>
      </w:pPr>
      <w:r w:rsidRPr="0080672C">
        <w:rPr>
          <w:rFonts w:ascii="Arial" w:hAnsi="Arial" w:cs="Arial"/>
          <w:iCs/>
        </w:rPr>
        <w:t xml:space="preserve">John Ward, the husband of the </w:t>
      </w:r>
      <w:r>
        <w:rPr>
          <w:rFonts w:ascii="Arial" w:hAnsi="Arial" w:cs="Arial"/>
          <w:iCs/>
        </w:rPr>
        <w:t>r</w:t>
      </w:r>
      <w:r w:rsidRPr="0080672C">
        <w:rPr>
          <w:rFonts w:ascii="Arial" w:hAnsi="Arial" w:cs="Arial"/>
          <w:iCs/>
        </w:rPr>
        <w:t xml:space="preserve">espondent testifying on the basis of a power of attorney admitted that the </w:t>
      </w:r>
      <w:r>
        <w:rPr>
          <w:rFonts w:ascii="Arial" w:hAnsi="Arial" w:cs="Arial"/>
          <w:iCs/>
        </w:rPr>
        <w:t>a</w:t>
      </w:r>
      <w:r w:rsidRPr="0080672C">
        <w:rPr>
          <w:rFonts w:ascii="Arial" w:hAnsi="Arial" w:cs="Arial"/>
          <w:iCs/>
        </w:rPr>
        <w:t xml:space="preserve">ppellant and his wife looked after and cared for the </w:t>
      </w:r>
      <w:r>
        <w:rPr>
          <w:rFonts w:ascii="Arial" w:hAnsi="Arial" w:cs="Arial"/>
          <w:iCs/>
        </w:rPr>
        <w:t>r</w:t>
      </w:r>
      <w:r w:rsidRPr="0080672C">
        <w:rPr>
          <w:rFonts w:ascii="Arial" w:hAnsi="Arial" w:cs="Arial"/>
          <w:iCs/>
        </w:rPr>
        <w:t xml:space="preserve">espondent's sickly and aged mother until her death in September 1995 and also </w:t>
      </w:r>
      <w:r>
        <w:rPr>
          <w:rFonts w:ascii="Arial" w:hAnsi="Arial" w:cs="Arial"/>
          <w:iCs/>
        </w:rPr>
        <w:t>looked</w:t>
      </w:r>
      <w:r w:rsidRPr="0080672C">
        <w:rPr>
          <w:rFonts w:ascii="Arial" w:hAnsi="Arial" w:cs="Arial"/>
          <w:iCs/>
        </w:rPr>
        <w:t xml:space="preserve"> after the property. In</w:t>
      </w:r>
      <w:r>
        <w:rPr>
          <w:rFonts w:ascii="Arial" w:hAnsi="Arial" w:cs="Arial"/>
          <w:iCs/>
        </w:rPr>
        <w:t xml:space="preserve"> </w:t>
      </w:r>
      <w:r w:rsidRPr="0080672C">
        <w:rPr>
          <w:rFonts w:ascii="Arial" w:hAnsi="Arial" w:cs="Arial"/>
          <w:iCs/>
        </w:rPr>
        <w:t>a last will dated 5</w:t>
      </w:r>
      <w:r w:rsidRPr="0080672C">
        <w:rPr>
          <w:rFonts w:ascii="Arial" w:hAnsi="Arial" w:cs="Arial"/>
          <w:iCs/>
          <w:vertAlign w:val="superscript"/>
        </w:rPr>
        <w:t>h</w:t>
      </w:r>
      <w:r w:rsidRPr="0080672C">
        <w:rPr>
          <w:rFonts w:ascii="Arial" w:hAnsi="Arial" w:cs="Arial"/>
          <w:iCs/>
        </w:rPr>
        <w:t xml:space="preserve"> June 1995 (P 2 B) she bequeathed all her movable land</w:t>
      </w:r>
      <w:r>
        <w:rPr>
          <w:rFonts w:ascii="Arial" w:hAnsi="Arial" w:cs="Arial"/>
          <w:iCs/>
        </w:rPr>
        <w:t xml:space="preserve"> and</w:t>
      </w:r>
      <w:r w:rsidRPr="0080672C">
        <w:rPr>
          <w:rFonts w:ascii="Arial" w:hAnsi="Arial" w:cs="Arial"/>
          <w:iCs/>
        </w:rPr>
        <w:t xml:space="preserve"> immovable property to the </w:t>
      </w:r>
      <w:r>
        <w:rPr>
          <w:rFonts w:ascii="Arial" w:hAnsi="Arial" w:cs="Arial"/>
          <w:iCs/>
        </w:rPr>
        <w:t>r</w:t>
      </w:r>
      <w:r w:rsidRPr="0080672C">
        <w:rPr>
          <w:rFonts w:ascii="Arial" w:hAnsi="Arial" w:cs="Arial"/>
          <w:iCs/>
        </w:rPr>
        <w:t xml:space="preserve">espondent, her daughter.  He denied that he was aware of any </w:t>
      </w:r>
      <w:proofErr w:type="spellStart"/>
      <w:r w:rsidRPr="0080672C">
        <w:rPr>
          <w:rFonts w:ascii="Arial" w:hAnsi="Arial" w:cs="Arial"/>
          <w:iCs/>
        </w:rPr>
        <w:t>usufructuary</w:t>
      </w:r>
      <w:proofErr w:type="spellEnd"/>
      <w:r w:rsidRPr="0080672C">
        <w:rPr>
          <w:rFonts w:ascii="Arial" w:hAnsi="Arial" w:cs="Arial"/>
          <w:iCs/>
        </w:rPr>
        <w:t xml:space="preserve"> right granted to the </w:t>
      </w:r>
      <w:r>
        <w:rPr>
          <w:rFonts w:ascii="Arial" w:hAnsi="Arial" w:cs="Arial"/>
          <w:iCs/>
        </w:rPr>
        <w:t>a</w:t>
      </w:r>
      <w:r w:rsidRPr="0080672C">
        <w:rPr>
          <w:rFonts w:ascii="Arial" w:hAnsi="Arial" w:cs="Arial"/>
          <w:iCs/>
        </w:rPr>
        <w:t>ppellant by his deceased mother</w:t>
      </w:r>
      <w:r>
        <w:rPr>
          <w:rFonts w:ascii="Arial" w:hAnsi="Arial" w:cs="Arial"/>
          <w:iCs/>
        </w:rPr>
        <w:t>-</w:t>
      </w:r>
      <w:r w:rsidRPr="0080672C">
        <w:rPr>
          <w:rFonts w:ascii="Arial" w:hAnsi="Arial" w:cs="Arial"/>
          <w:iCs/>
        </w:rPr>
        <w:t>in</w:t>
      </w:r>
      <w:r>
        <w:rPr>
          <w:rFonts w:ascii="Arial" w:hAnsi="Arial" w:cs="Arial"/>
          <w:iCs/>
        </w:rPr>
        <w:t>-</w:t>
      </w:r>
      <w:r w:rsidRPr="0080672C">
        <w:rPr>
          <w:rFonts w:ascii="Arial" w:hAnsi="Arial" w:cs="Arial"/>
          <w:iCs/>
        </w:rPr>
        <w:t>law over the dwelling house in dispute.</w:t>
      </w:r>
    </w:p>
    <w:p w:rsidR="00A54B86" w:rsidRPr="0080672C" w:rsidRDefault="00A54B86" w:rsidP="00A54B86">
      <w:pPr>
        <w:jc w:val="both"/>
        <w:rPr>
          <w:rFonts w:ascii="Arial" w:hAnsi="Arial" w:cs="Arial"/>
          <w:iCs/>
        </w:rPr>
      </w:pPr>
    </w:p>
    <w:p w:rsidR="00A54B86" w:rsidRPr="0080672C" w:rsidRDefault="00A54B86" w:rsidP="00A54B86">
      <w:pPr>
        <w:jc w:val="both"/>
        <w:rPr>
          <w:rFonts w:ascii="Arial" w:hAnsi="Arial" w:cs="Arial"/>
          <w:iCs/>
        </w:rPr>
      </w:pPr>
      <w:r w:rsidRPr="0080672C">
        <w:rPr>
          <w:rFonts w:ascii="Arial" w:hAnsi="Arial" w:cs="Arial"/>
          <w:iCs/>
        </w:rPr>
        <w:t xml:space="preserve">The </w:t>
      </w:r>
      <w:r>
        <w:rPr>
          <w:rFonts w:ascii="Arial" w:hAnsi="Arial" w:cs="Arial"/>
          <w:iCs/>
        </w:rPr>
        <w:t>a</w:t>
      </w:r>
      <w:r w:rsidRPr="0080672C">
        <w:rPr>
          <w:rFonts w:ascii="Arial" w:hAnsi="Arial" w:cs="Arial"/>
          <w:iCs/>
        </w:rPr>
        <w:t xml:space="preserve">ppellant continues to be in occupation of that house.  On 20 May 1996, the </w:t>
      </w:r>
      <w:r>
        <w:rPr>
          <w:rFonts w:ascii="Arial" w:hAnsi="Arial" w:cs="Arial"/>
          <w:iCs/>
        </w:rPr>
        <w:t>r</w:t>
      </w:r>
      <w:r w:rsidRPr="0080672C">
        <w:rPr>
          <w:rFonts w:ascii="Arial" w:hAnsi="Arial" w:cs="Arial"/>
          <w:iCs/>
        </w:rPr>
        <w:t xml:space="preserve">espondent transferred </w:t>
      </w:r>
      <w:r>
        <w:rPr>
          <w:rFonts w:ascii="Arial" w:hAnsi="Arial" w:cs="Arial"/>
          <w:iCs/>
        </w:rPr>
        <w:t>p</w:t>
      </w:r>
      <w:r w:rsidRPr="0080672C">
        <w:rPr>
          <w:rFonts w:ascii="Arial" w:hAnsi="Arial" w:cs="Arial"/>
          <w:iCs/>
        </w:rPr>
        <w:t xml:space="preserve">arcel T 1636 which adjoins </w:t>
      </w:r>
      <w:r>
        <w:rPr>
          <w:rFonts w:ascii="Arial" w:hAnsi="Arial" w:cs="Arial"/>
          <w:iCs/>
        </w:rPr>
        <w:t>p</w:t>
      </w:r>
      <w:r w:rsidRPr="0080672C">
        <w:rPr>
          <w:rFonts w:ascii="Arial" w:hAnsi="Arial" w:cs="Arial"/>
          <w:iCs/>
        </w:rPr>
        <w:t>arcel T 1637</w:t>
      </w:r>
      <w:r>
        <w:rPr>
          <w:rFonts w:ascii="Arial" w:hAnsi="Arial" w:cs="Arial"/>
          <w:iCs/>
        </w:rPr>
        <w:t>,</w:t>
      </w:r>
      <w:r w:rsidRPr="0080672C">
        <w:rPr>
          <w:rFonts w:ascii="Arial" w:hAnsi="Arial" w:cs="Arial"/>
          <w:iCs/>
        </w:rPr>
        <w:t xml:space="preserve"> </w:t>
      </w:r>
      <w:proofErr w:type="spellStart"/>
      <w:r w:rsidRPr="0080672C">
        <w:rPr>
          <w:rFonts w:ascii="Arial" w:hAnsi="Arial" w:cs="Arial"/>
          <w:iCs/>
        </w:rPr>
        <w:t>whereon</w:t>
      </w:r>
      <w:proofErr w:type="spellEnd"/>
      <w:r w:rsidRPr="0080672C">
        <w:rPr>
          <w:rFonts w:ascii="Arial" w:hAnsi="Arial" w:cs="Arial"/>
          <w:iCs/>
        </w:rPr>
        <w:t xml:space="preserve"> the dwelling house in dispute is situated, to the </w:t>
      </w:r>
      <w:r>
        <w:rPr>
          <w:rFonts w:ascii="Arial" w:hAnsi="Arial" w:cs="Arial"/>
          <w:iCs/>
        </w:rPr>
        <w:t>a</w:t>
      </w:r>
      <w:r w:rsidRPr="0080672C">
        <w:rPr>
          <w:rFonts w:ascii="Arial" w:hAnsi="Arial" w:cs="Arial"/>
          <w:iCs/>
        </w:rPr>
        <w:t>ppellant for a sum of R29</w:t>
      </w:r>
      <w:proofErr w:type="gramStart"/>
      <w:r w:rsidRPr="0080672C">
        <w:rPr>
          <w:rFonts w:ascii="Arial" w:hAnsi="Arial" w:cs="Arial"/>
          <w:iCs/>
        </w:rPr>
        <w:t>,000</w:t>
      </w:r>
      <w:proofErr w:type="gramEnd"/>
      <w:r w:rsidRPr="0080672C">
        <w:rPr>
          <w:rFonts w:ascii="Arial" w:hAnsi="Arial" w:cs="Arial"/>
          <w:iCs/>
        </w:rPr>
        <w:t xml:space="preserve">, which admittedly is a nominal figure. The deed of transfer recites </w:t>
      </w:r>
      <w:r w:rsidRPr="00051414">
        <w:rPr>
          <w:rFonts w:ascii="Arial" w:hAnsi="Arial" w:cs="Arial"/>
          <w:iCs/>
        </w:rPr>
        <w:t>inter alia</w:t>
      </w:r>
      <w:r w:rsidRPr="00C41925">
        <w:rPr>
          <w:rFonts w:ascii="Arial" w:hAnsi="Arial" w:cs="Arial"/>
          <w:iCs/>
          <w:u w:val="single"/>
        </w:rPr>
        <w:t xml:space="preserve"> </w:t>
      </w:r>
      <w:r w:rsidRPr="0080672C">
        <w:rPr>
          <w:rFonts w:ascii="Arial" w:hAnsi="Arial" w:cs="Arial"/>
          <w:iCs/>
        </w:rPr>
        <w:t>as follows.</w:t>
      </w:r>
    </w:p>
    <w:p w:rsidR="00A54B86" w:rsidRPr="0080672C" w:rsidRDefault="00A54B86" w:rsidP="00A54B86">
      <w:pPr>
        <w:jc w:val="both"/>
        <w:rPr>
          <w:rFonts w:ascii="Arial" w:hAnsi="Arial" w:cs="Arial"/>
          <w:i/>
          <w:iCs/>
        </w:rPr>
      </w:pPr>
    </w:p>
    <w:p w:rsidR="00A54B86" w:rsidRPr="00051414" w:rsidRDefault="00A54B86" w:rsidP="00A54B86">
      <w:pPr>
        <w:ind w:left="720" w:right="684"/>
        <w:jc w:val="both"/>
        <w:rPr>
          <w:rFonts w:ascii="Arial" w:hAnsi="Arial" w:cs="Arial"/>
          <w:iCs/>
        </w:rPr>
      </w:pPr>
      <w:r w:rsidRPr="00051414">
        <w:rPr>
          <w:rFonts w:ascii="Arial" w:hAnsi="Arial" w:cs="Arial"/>
          <w:iCs/>
        </w:rPr>
        <w:t xml:space="preserve">This transfer is being effected in complete and total settlement of </w:t>
      </w:r>
      <w:proofErr w:type="spellStart"/>
      <w:r w:rsidRPr="00051414">
        <w:rPr>
          <w:rFonts w:ascii="Arial" w:hAnsi="Arial" w:cs="Arial"/>
          <w:iCs/>
        </w:rPr>
        <w:t>Mr</w:t>
      </w:r>
      <w:proofErr w:type="spellEnd"/>
      <w:r w:rsidRPr="00051414">
        <w:rPr>
          <w:rFonts w:ascii="Arial" w:hAnsi="Arial" w:cs="Arial"/>
          <w:iCs/>
        </w:rPr>
        <w:t xml:space="preserve"> and Mrs </w:t>
      </w:r>
      <w:proofErr w:type="spellStart"/>
      <w:r w:rsidRPr="00051414">
        <w:rPr>
          <w:rFonts w:ascii="Arial" w:hAnsi="Arial" w:cs="Arial"/>
          <w:iCs/>
        </w:rPr>
        <w:t>Sinon's</w:t>
      </w:r>
      <w:proofErr w:type="spellEnd"/>
      <w:r w:rsidRPr="00051414">
        <w:rPr>
          <w:rFonts w:ascii="Arial" w:hAnsi="Arial" w:cs="Arial"/>
          <w:iCs/>
        </w:rPr>
        <w:t xml:space="preserve"> care and kindness to the late Mrs </w:t>
      </w:r>
      <w:proofErr w:type="spellStart"/>
      <w:r w:rsidRPr="00051414">
        <w:rPr>
          <w:rFonts w:ascii="Arial" w:hAnsi="Arial" w:cs="Arial"/>
          <w:iCs/>
        </w:rPr>
        <w:t>Herta</w:t>
      </w:r>
      <w:proofErr w:type="spellEnd"/>
      <w:r w:rsidRPr="00051414">
        <w:rPr>
          <w:rFonts w:ascii="Arial" w:hAnsi="Arial" w:cs="Arial"/>
          <w:iCs/>
        </w:rPr>
        <w:t xml:space="preserve"> </w:t>
      </w:r>
      <w:proofErr w:type="spellStart"/>
      <w:proofErr w:type="gramStart"/>
      <w:r w:rsidRPr="00051414">
        <w:rPr>
          <w:rFonts w:ascii="Arial" w:hAnsi="Arial" w:cs="Arial"/>
          <w:iCs/>
        </w:rPr>
        <w:t>Nazari</w:t>
      </w:r>
      <w:proofErr w:type="spellEnd"/>
      <w:r w:rsidRPr="00051414">
        <w:rPr>
          <w:rFonts w:ascii="Arial" w:hAnsi="Arial" w:cs="Arial"/>
          <w:iCs/>
        </w:rPr>
        <w:t xml:space="preserve"> .</w:t>
      </w:r>
      <w:proofErr w:type="gramEnd"/>
    </w:p>
    <w:p w:rsidR="00A54B86" w:rsidRPr="0080672C" w:rsidRDefault="00A54B86" w:rsidP="00A54B86">
      <w:pPr>
        <w:jc w:val="both"/>
        <w:rPr>
          <w:rFonts w:ascii="Arial" w:hAnsi="Arial" w:cs="Arial"/>
          <w:i/>
          <w:iCs/>
        </w:rPr>
      </w:pPr>
    </w:p>
    <w:p w:rsidR="00A54B86" w:rsidRPr="0080672C" w:rsidRDefault="00A54B86" w:rsidP="00A54B86">
      <w:pPr>
        <w:jc w:val="both"/>
        <w:rPr>
          <w:rFonts w:ascii="Arial" w:hAnsi="Arial" w:cs="Arial"/>
          <w:iCs/>
        </w:rPr>
      </w:pPr>
      <w:r w:rsidRPr="00E44631">
        <w:rPr>
          <w:rFonts w:ascii="Arial" w:hAnsi="Arial" w:cs="Arial"/>
          <w:iCs/>
        </w:rPr>
        <w:t>The Rent Board did not find on the evidence that the mother of the respondent had an intention to permit the appellant and his wife to occupy the premises until her death in</w:t>
      </w:r>
      <w:r w:rsidRPr="0080672C">
        <w:rPr>
          <w:rFonts w:ascii="Arial" w:hAnsi="Arial" w:cs="Arial"/>
          <w:iCs/>
        </w:rPr>
        <w:t xml:space="preserve"> consideration of the services rendered.  There was nothing in her last will to that effect. Hence the transfer of </w:t>
      </w:r>
      <w:r>
        <w:rPr>
          <w:rFonts w:ascii="Arial" w:hAnsi="Arial" w:cs="Arial"/>
          <w:iCs/>
        </w:rPr>
        <w:t>p</w:t>
      </w:r>
      <w:r w:rsidRPr="0080672C">
        <w:rPr>
          <w:rFonts w:ascii="Arial" w:hAnsi="Arial" w:cs="Arial"/>
          <w:iCs/>
        </w:rPr>
        <w:t xml:space="preserve">arcel T 1636 by the </w:t>
      </w:r>
      <w:r>
        <w:rPr>
          <w:rFonts w:ascii="Arial" w:hAnsi="Arial" w:cs="Arial"/>
          <w:iCs/>
        </w:rPr>
        <w:t>r</w:t>
      </w:r>
      <w:r w:rsidRPr="0080672C">
        <w:rPr>
          <w:rFonts w:ascii="Arial" w:hAnsi="Arial" w:cs="Arial"/>
          <w:iCs/>
        </w:rPr>
        <w:t xml:space="preserve">espondent as executrix of the estate operated as a "complete and total settlement" of any obligation the deceased person may have had.  The </w:t>
      </w:r>
      <w:r>
        <w:rPr>
          <w:rFonts w:ascii="Arial" w:hAnsi="Arial" w:cs="Arial"/>
          <w:iCs/>
        </w:rPr>
        <w:t>a</w:t>
      </w:r>
      <w:r w:rsidRPr="0080672C">
        <w:rPr>
          <w:rFonts w:ascii="Arial" w:hAnsi="Arial" w:cs="Arial"/>
          <w:iCs/>
        </w:rPr>
        <w:t xml:space="preserve">ppellant does not claim that the late Mrs </w:t>
      </w:r>
      <w:proofErr w:type="spellStart"/>
      <w:r w:rsidRPr="0080672C">
        <w:rPr>
          <w:rFonts w:ascii="Arial" w:hAnsi="Arial" w:cs="Arial"/>
          <w:iCs/>
        </w:rPr>
        <w:t>Nazari</w:t>
      </w:r>
      <w:proofErr w:type="spellEnd"/>
      <w:r w:rsidRPr="0080672C">
        <w:rPr>
          <w:rFonts w:ascii="Arial" w:hAnsi="Arial" w:cs="Arial"/>
          <w:iCs/>
        </w:rPr>
        <w:t xml:space="preserve"> intended to transfer a parcel of land in addition to the alleged promise to permit him to occupy the </w:t>
      </w:r>
      <w:r w:rsidRPr="0080672C">
        <w:rPr>
          <w:rFonts w:ascii="Arial" w:hAnsi="Arial" w:cs="Arial"/>
          <w:iCs/>
        </w:rPr>
        <w:lastRenderedPageBreak/>
        <w:t xml:space="preserve">premises until death.  On the same basis, in the absence of evidence it is unreasonable to believe that the executrix transferred that parcel of land in addition to whatever occupational rights that her deceased mother may have granted or promised to the </w:t>
      </w:r>
      <w:r>
        <w:rPr>
          <w:rFonts w:ascii="Arial" w:hAnsi="Arial" w:cs="Arial"/>
          <w:iCs/>
        </w:rPr>
        <w:t>a</w:t>
      </w:r>
      <w:r w:rsidRPr="0080672C">
        <w:rPr>
          <w:rFonts w:ascii="Arial" w:hAnsi="Arial" w:cs="Arial"/>
          <w:iCs/>
        </w:rPr>
        <w:t xml:space="preserve">ppellant.  The </w:t>
      </w:r>
      <w:proofErr w:type="spellStart"/>
      <w:r w:rsidRPr="0080672C">
        <w:rPr>
          <w:rFonts w:ascii="Arial" w:hAnsi="Arial" w:cs="Arial"/>
          <w:iCs/>
        </w:rPr>
        <w:t>ppellant</w:t>
      </w:r>
      <w:proofErr w:type="spellEnd"/>
      <w:r w:rsidRPr="0080672C">
        <w:rPr>
          <w:rFonts w:ascii="Arial" w:hAnsi="Arial" w:cs="Arial"/>
          <w:iCs/>
        </w:rPr>
        <w:t xml:space="preserve"> testified that he had lost a writ</w:t>
      </w:r>
      <w:r>
        <w:rPr>
          <w:rFonts w:ascii="Arial" w:hAnsi="Arial" w:cs="Arial"/>
          <w:iCs/>
        </w:rPr>
        <w:t>ten document</w:t>
      </w:r>
      <w:r w:rsidRPr="0080672C">
        <w:rPr>
          <w:rFonts w:ascii="Arial" w:hAnsi="Arial" w:cs="Arial"/>
          <w:iCs/>
        </w:rPr>
        <w:t xml:space="preserve"> creating a </w:t>
      </w:r>
      <w:r>
        <w:rPr>
          <w:rFonts w:ascii="Arial" w:hAnsi="Arial" w:cs="Arial"/>
          <w:iCs/>
        </w:rPr>
        <w:t>l</w:t>
      </w:r>
      <w:r w:rsidRPr="0080672C">
        <w:rPr>
          <w:rFonts w:ascii="Arial" w:hAnsi="Arial" w:cs="Arial"/>
          <w:iCs/>
        </w:rPr>
        <w:t xml:space="preserve">ife </w:t>
      </w:r>
      <w:r>
        <w:rPr>
          <w:rFonts w:ascii="Arial" w:hAnsi="Arial" w:cs="Arial"/>
          <w:iCs/>
        </w:rPr>
        <w:t>t</w:t>
      </w:r>
      <w:r w:rsidRPr="0080672C">
        <w:rPr>
          <w:rFonts w:ascii="Arial" w:hAnsi="Arial" w:cs="Arial"/>
          <w:iCs/>
        </w:rPr>
        <w:t xml:space="preserve">enancy in his </w:t>
      </w:r>
      <w:proofErr w:type="spellStart"/>
      <w:r w:rsidRPr="0080672C">
        <w:rPr>
          <w:rFonts w:ascii="Arial" w:hAnsi="Arial" w:cs="Arial"/>
          <w:iCs/>
        </w:rPr>
        <w:t>favour</w:t>
      </w:r>
      <w:proofErr w:type="spellEnd"/>
      <w:r w:rsidRPr="0080672C">
        <w:rPr>
          <w:rFonts w:ascii="Arial" w:hAnsi="Arial" w:cs="Arial"/>
          <w:iCs/>
        </w:rPr>
        <w:t xml:space="preserve"> by the late Mrs </w:t>
      </w:r>
      <w:proofErr w:type="spellStart"/>
      <w:r w:rsidRPr="0080672C">
        <w:rPr>
          <w:rFonts w:ascii="Arial" w:hAnsi="Arial" w:cs="Arial"/>
          <w:iCs/>
        </w:rPr>
        <w:t>Nazari</w:t>
      </w:r>
      <w:proofErr w:type="spellEnd"/>
      <w:r w:rsidRPr="0080672C">
        <w:rPr>
          <w:rFonts w:ascii="Arial" w:hAnsi="Arial" w:cs="Arial"/>
          <w:iCs/>
        </w:rPr>
        <w:t>.  The Board was justified, in the circumstances of the case, to reject that evidence.</w:t>
      </w:r>
    </w:p>
    <w:p w:rsidR="00A54B86" w:rsidRPr="0080672C" w:rsidRDefault="001E7E39" w:rsidP="00A54B86">
      <w:pPr>
        <w:jc w:val="both"/>
        <w:rPr>
          <w:rFonts w:ascii="Arial" w:hAnsi="Arial" w:cs="Arial"/>
          <w:iCs/>
        </w:rPr>
      </w:pPr>
      <w:r w:rsidRPr="001E7E39">
        <w:rPr>
          <w:rFonts w:ascii="Arial" w:hAnsi="Arial" w:cs="Arial"/>
          <w:iCs/>
          <w:noProof/>
        </w:rPr>
        <w:pict>
          <v:shape id="_x0000_s1027" type="#_x0000_t202" style="position:absolute;left:0;text-align:left;margin-left:-30.35pt;margin-top:-17.1pt;width:30pt;height:531.55pt;z-index:251661312;mso-height-percent:200;mso-height-percent:200;mso-width-relative:margin;mso-height-relative:margin" stroked="f" strokecolor="white [3212]">
            <v:textbox style="mso-next-textbox:#_x0000_s1027;mso-fit-shape-to-text:t">
              <w:txbxContent>
                <w:p w:rsidR="00A54B86" w:rsidRPr="00FF49DF" w:rsidRDefault="00A54B86" w:rsidP="00A54B86">
                  <w:pPr>
                    <w:rPr>
                      <w:rFonts w:ascii="Arial" w:hAnsi="Arial" w:cs="Arial"/>
                      <w:b/>
                      <w:i/>
                      <w:lang w:val="en-NZ"/>
                    </w:rPr>
                  </w:pPr>
                </w:p>
              </w:txbxContent>
            </v:textbox>
          </v:shape>
        </w:pict>
      </w:r>
    </w:p>
    <w:p w:rsidR="00A54B86" w:rsidRPr="0080672C" w:rsidRDefault="00A54B86" w:rsidP="00A54B86">
      <w:pPr>
        <w:jc w:val="both"/>
        <w:rPr>
          <w:rFonts w:ascii="Arial" w:hAnsi="Arial" w:cs="Arial"/>
          <w:iCs/>
        </w:rPr>
      </w:pPr>
      <w:r w:rsidRPr="0080672C">
        <w:rPr>
          <w:rFonts w:ascii="Arial" w:hAnsi="Arial" w:cs="Arial"/>
          <w:iCs/>
        </w:rPr>
        <w:t xml:space="preserve">The </w:t>
      </w:r>
      <w:r>
        <w:rPr>
          <w:rFonts w:ascii="Arial" w:hAnsi="Arial" w:cs="Arial"/>
          <w:iCs/>
        </w:rPr>
        <w:t>r</w:t>
      </w:r>
      <w:r w:rsidRPr="0080672C">
        <w:rPr>
          <w:rFonts w:ascii="Arial" w:hAnsi="Arial" w:cs="Arial"/>
          <w:iCs/>
        </w:rPr>
        <w:t xml:space="preserve">espondent testified that the </w:t>
      </w:r>
      <w:r>
        <w:rPr>
          <w:rFonts w:ascii="Arial" w:hAnsi="Arial" w:cs="Arial"/>
          <w:iCs/>
        </w:rPr>
        <w:t>a</w:t>
      </w:r>
      <w:r w:rsidRPr="0080672C">
        <w:rPr>
          <w:rFonts w:ascii="Arial" w:hAnsi="Arial" w:cs="Arial"/>
          <w:iCs/>
        </w:rPr>
        <w:t xml:space="preserve">ppellant was given time to build a house on </w:t>
      </w:r>
      <w:r>
        <w:rPr>
          <w:rFonts w:ascii="Arial" w:hAnsi="Arial" w:cs="Arial"/>
          <w:iCs/>
        </w:rPr>
        <w:t>p</w:t>
      </w:r>
      <w:r w:rsidRPr="0080672C">
        <w:rPr>
          <w:rFonts w:ascii="Arial" w:hAnsi="Arial" w:cs="Arial"/>
          <w:iCs/>
        </w:rPr>
        <w:t xml:space="preserve">arcel T 1636 and vacate the present premises.  Subsequently the </w:t>
      </w:r>
      <w:r>
        <w:rPr>
          <w:rFonts w:ascii="Arial" w:hAnsi="Arial" w:cs="Arial"/>
          <w:iCs/>
        </w:rPr>
        <w:t>r</w:t>
      </w:r>
      <w:r w:rsidRPr="0080672C">
        <w:rPr>
          <w:rFonts w:ascii="Arial" w:hAnsi="Arial" w:cs="Arial"/>
          <w:iCs/>
        </w:rPr>
        <w:t xml:space="preserve">espondent by letter dated 24July 1997 (exhibit P3) sent through her lawyer, gave the </w:t>
      </w:r>
      <w:r>
        <w:rPr>
          <w:rFonts w:ascii="Arial" w:hAnsi="Arial" w:cs="Arial"/>
          <w:iCs/>
        </w:rPr>
        <w:t>a</w:t>
      </w:r>
      <w:r w:rsidRPr="0080672C">
        <w:rPr>
          <w:rFonts w:ascii="Arial" w:hAnsi="Arial" w:cs="Arial"/>
          <w:iCs/>
        </w:rPr>
        <w:t xml:space="preserve">ppellant notice to quit the premises within two months.  The </w:t>
      </w:r>
      <w:r>
        <w:rPr>
          <w:rFonts w:ascii="Arial" w:hAnsi="Arial" w:cs="Arial"/>
          <w:iCs/>
        </w:rPr>
        <w:t>a</w:t>
      </w:r>
      <w:r w:rsidRPr="0080672C">
        <w:rPr>
          <w:rFonts w:ascii="Arial" w:hAnsi="Arial" w:cs="Arial"/>
          <w:iCs/>
        </w:rPr>
        <w:t>ppellant by letter dated 17 September 1997 (exhibit P4) refused to vacate the premises claiming that he has a right of occupation until death.  He offered to buy the entire property for R800</w:t>
      </w:r>
      <w:proofErr w:type="gramStart"/>
      <w:r>
        <w:rPr>
          <w:rFonts w:ascii="Arial" w:hAnsi="Arial" w:cs="Arial"/>
          <w:iCs/>
        </w:rPr>
        <w:t>,</w:t>
      </w:r>
      <w:r w:rsidRPr="0080672C">
        <w:rPr>
          <w:rFonts w:ascii="Arial" w:hAnsi="Arial" w:cs="Arial"/>
          <w:iCs/>
        </w:rPr>
        <w:t>000</w:t>
      </w:r>
      <w:proofErr w:type="gramEnd"/>
      <w:r w:rsidRPr="0080672C">
        <w:rPr>
          <w:rFonts w:ascii="Arial" w:hAnsi="Arial" w:cs="Arial"/>
          <w:iCs/>
        </w:rPr>
        <w:t xml:space="preserve">.  The </w:t>
      </w:r>
      <w:r>
        <w:rPr>
          <w:rFonts w:ascii="Arial" w:hAnsi="Arial" w:cs="Arial"/>
          <w:iCs/>
        </w:rPr>
        <w:t>r</w:t>
      </w:r>
      <w:r w:rsidRPr="0080672C">
        <w:rPr>
          <w:rFonts w:ascii="Arial" w:hAnsi="Arial" w:cs="Arial"/>
          <w:iCs/>
        </w:rPr>
        <w:t xml:space="preserve">espondent replied by letter dated 26 September 1997 (exhibit P6) indicating that she had no intention to sell the property.  The </w:t>
      </w:r>
      <w:r>
        <w:rPr>
          <w:rFonts w:ascii="Arial" w:hAnsi="Arial" w:cs="Arial"/>
          <w:iCs/>
        </w:rPr>
        <w:t>a</w:t>
      </w:r>
      <w:r w:rsidRPr="0080672C">
        <w:rPr>
          <w:rFonts w:ascii="Arial" w:hAnsi="Arial" w:cs="Arial"/>
          <w:iCs/>
        </w:rPr>
        <w:t>ppellant however persisted and by letter dated 31 October 1997 (exhibit P5) offered a sum of R1</w:t>
      </w:r>
      <w:proofErr w:type="gramStart"/>
      <w:r w:rsidRPr="0080672C">
        <w:rPr>
          <w:rFonts w:ascii="Arial" w:hAnsi="Arial" w:cs="Arial"/>
          <w:iCs/>
        </w:rPr>
        <w:t>,000,000</w:t>
      </w:r>
      <w:proofErr w:type="gramEnd"/>
      <w:r w:rsidRPr="0080672C">
        <w:rPr>
          <w:rFonts w:ascii="Arial" w:hAnsi="Arial" w:cs="Arial"/>
          <w:iCs/>
        </w:rPr>
        <w:t xml:space="preserve"> (one million) to purchase parcels T 1637 and T 1166. The Cadast</w:t>
      </w:r>
      <w:r>
        <w:rPr>
          <w:rFonts w:ascii="Arial" w:hAnsi="Arial" w:cs="Arial"/>
          <w:iCs/>
        </w:rPr>
        <w:t>r</w:t>
      </w:r>
      <w:r w:rsidRPr="0080672C">
        <w:rPr>
          <w:rFonts w:ascii="Arial" w:hAnsi="Arial" w:cs="Arial"/>
          <w:iCs/>
        </w:rPr>
        <w:t xml:space="preserve">al Survey (exhibit P7) shows that these two parcels adjoin P 1636 which is now owned by the </w:t>
      </w:r>
      <w:r>
        <w:rPr>
          <w:rFonts w:ascii="Arial" w:hAnsi="Arial" w:cs="Arial"/>
          <w:iCs/>
        </w:rPr>
        <w:t>a</w:t>
      </w:r>
      <w:r w:rsidRPr="0080672C">
        <w:rPr>
          <w:rFonts w:ascii="Arial" w:hAnsi="Arial" w:cs="Arial"/>
          <w:iCs/>
        </w:rPr>
        <w:t xml:space="preserve">ppellant. According to the evidence the entire land is about 60 acres in extent, and the market value is about R2 million.  It has thereon a main dwelling house, and two other units of dwelling accommodation.  The </w:t>
      </w:r>
      <w:r>
        <w:rPr>
          <w:rFonts w:ascii="Arial" w:hAnsi="Arial" w:cs="Arial"/>
          <w:iCs/>
        </w:rPr>
        <w:t>a</w:t>
      </w:r>
      <w:r w:rsidRPr="0080672C">
        <w:rPr>
          <w:rFonts w:ascii="Arial" w:hAnsi="Arial" w:cs="Arial"/>
          <w:iCs/>
        </w:rPr>
        <w:t xml:space="preserve">ppellant is in occupation of both those units, paying no rent.  He has also extended the dwelling house by encroaching on a portion of the eastern boundary of parcel T 1636 now owned by him, without permission or authority of the </w:t>
      </w:r>
      <w:r>
        <w:rPr>
          <w:rFonts w:ascii="Arial" w:hAnsi="Arial" w:cs="Arial"/>
          <w:iCs/>
        </w:rPr>
        <w:t>r</w:t>
      </w:r>
      <w:r w:rsidRPr="0080672C">
        <w:rPr>
          <w:rFonts w:ascii="Arial" w:hAnsi="Arial" w:cs="Arial"/>
          <w:iCs/>
        </w:rPr>
        <w:t>espondent (exhibit D1).</w:t>
      </w:r>
    </w:p>
    <w:p w:rsidR="00A54B86" w:rsidRPr="0080672C" w:rsidRDefault="00A54B86" w:rsidP="00A54B86">
      <w:pPr>
        <w:jc w:val="both"/>
        <w:rPr>
          <w:rFonts w:ascii="Arial" w:hAnsi="Arial" w:cs="Arial"/>
          <w:iCs/>
        </w:rPr>
      </w:pPr>
    </w:p>
    <w:p w:rsidR="00A54B86" w:rsidRPr="0080672C" w:rsidRDefault="00A54B86" w:rsidP="00A54B86">
      <w:pPr>
        <w:jc w:val="both"/>
        <w:rPr>
          <w:rFonts w:ascii="Arial" w:hAnsi="Arial" w:cs="Arial"/>
          <w:iCs/>
        </w:rPr>
      </w:pPr>
      <w:r w:rsidRPr="0080672C">
        <w:rPr>
          <w:rFonts w:ascii="Arial" w:hAnsi="Arial" w:cs="Arial"/>
          <w:iCs/>
        </w:rPr>
        <w:t xml:space="preserve">On an evaluation of the oral and documentary evidence, the Rent Board decided that the </w:t>
      </w:r>
      <w:r>
        <w:rPr>
          <w:rFonts w:ascii="Arial" w:hAnsi="Arial" w:cs="Arial"/>
          <w:iCs/>
        </w:rPr>
        <w:t>a</w:t>
      </w:r>
      <w:r w:rsidRPr="0080672C">
        <w:rPr>
          <w:rFonts w:ascii="Arial" w:hAnsi="Arial" w:cs="Arial"/>
          <w:iCs/>
        </w:rPr>
        <w:t xml:space="preserve">ppellant had no </w:t>
      </w:r>
      <w:r>
        <w:rPr>
          <w:rFonts w:ascii="Arial" w:hAnsi="Arial" w:cs="Arial"/>
          <w:iCs/>
        </w:rPr>
        <w:t>l</w:t>
      </w:r>
      <w:r w:rsidRPr="0080672C">
        <w:rPr>
          <w:rFonts w:ascii="Arial" w:hAnsi="Arial" w:cs="Arial"/>
          <w:iCs/>
        </w:rPr>
        <w:t xml:space="preserve">ife </w:t>
      </w:r>
      <w:r>
        <w:rPr>
          <w:rFonts w:ascii="Arial" w:hAnsi="Arial" w:cs="Arial"/>
          <w:iCs/>
        </w:rPr>
        <w:t>t</w:t>
      </w:r>
      <w:r w:rsidRPr="0080672C">
        <w:rPr>
          <w:rFonts w:ascii="Arial" w:hAnsi="Arial" w:cs="Arial"/>
          <w:iCs/>
        </w:rPr>
        <w:t>enancy in the premises in suit, and that whatever right he had to occupy the premises had now ceased.  They therefore ordered eviction on or before 31 December 1998.</w:t>
      </w:r>
    </w:p>
    <w:p w:rsidR="00A54B86" w:rsidRPr="0080672C" w:rsidRDefault="00A54B86" w:rsidP="00A54B86">
      <w:pPr>
        <w:jc w:val="both"/>
        <w:rPr>
          <w:rFonts w:ascii="Arial" w:hAnsi="Arial" w:cs="Arial"/>
          <w:iCs/>
        </w:rPr>
      </w:pPr>
    </w:p>
    <w:p w:rsidR="00A54B86" w:rsidRPr="0080672C" w:rsidRDefault="00A54B86" w:rsidP="00A54B86">
      <w:pPr>
        <w:jc w:val="both"/>
        <w:rPr>
          <w:rFonts w:ascii="Arial" w:hAnsi="Arial" w:cs="Arial"/>
          <w:iCs/>
        </w:rPr>
      </w:pPr>
      <w:r w:rsidRPr="0080672C">
        <w:rPr>
          <w:rFonts w:ascii="Arial" w:hAnsi="Arial" w:cs="Arial"/>
          <w:iCs/>
        </w:rPr>
        <w:t xml:space="preserve">As ground </w:t>
      </w:r>
      <w:r>
        <w:rPr>
          <w:rFonts w:ascii="Arial" w:hAnsi="Arial" w:cs="Arial"/>
          <w:iCs/>
        </w:rPr>
        <w:t>1</w:t>
      </w:r>
      <w:r w:rsidRPr="0080672C">
        <w:rPr>
          <w:rFonts w:ascii="Arial" w:hAnsi="Arial" w:cs="Arial"/>
          <w:iCs/>
        </w:rPr>
        <w:t xml:space="preserve"> of this appeal, it was contended that the Rent Board did not have jurisdiction to determine this case. It was contended by </w:t>
      </w:r>
      <w:r>
        <w:rPr>
          <w:rFonts w:ascii="Arial" w:hAnsi="Arial" w:cs="Arial"/>
          <w:iCs/>
        </w:rPr>
        <w:t>c</w:t>
      </w:r>
      <w:r w:rsidRPr="0080672C">
        <w:rPr>
          <w:rFonts w:ascii="Arial" w:hAnsi="Arial" w:cs="Arial"/>
          <w:iCs/>
        </w:rPr>
        <w:t xml:space="preserve">ounsel for the </w:t>
      </w:r>
      <w:r>
        <w:rPr>
          <w:rFonts w:ascii="Arial" w:hAnsi="Arial" w:cs="Arial"/>
          <w:iCs/>
        </w:rPr>
        <w:t>a</w:t>
      </w:r>
      <w:r w:rsidRPr="0080672C">
        <w:rPr>
          <w:rFonts w:ascii="Arial" w:hAnsi="Arial" w:cs="Arial"/>
          <w:iCs/>
        </w:rPr>
        <w:t xml:space="preserve">ppellant that by extending the dwelling house, the </w:t>
      </w:r>
      <w:r>
        <w:rPr>
          <w:rFonts w:ascii="Arial" w:hAnsi="Arial" w:cs="Arial"/>
          <w:iCs/>
        </w:rPr>
        <w:t>a</w:t>
      </w:r>
      <w:r w:rsidRPr="0080672C">
        <w:rPr>
          <w:rFonts w:ascii="Arial" w:hAnsi="Arial" w:cs="Arial"/>
          <w:iCs/>
        </w:rPr>
        <w:t>ppellant had acquired an interest in the premises and hence an application for eviction could not have been determined until that interest had been adjudicated upon.  The Rent Board came to the following finding on this issue.</w:t>
      </w:r>
    </w:p>
    <w:p w:rsidR="00A54B86" w:rsidRPr="0080672C" w:rsidRDefault="00A54B86" w:rsidP="00A54B86">
      <w:pPr>
        <w:jc w:val="both"/>
        <w:rPr>
          <w:rFonts w:ascii="Arial" w:hAnsi="Arial" w:cs="Arial"/>
          <w:i/>
          <w:iCs/>
        </w:rPr>
      </w:pPr>
    </w:p>
    <w:p w:rsidR="00A54B86" w:rsidRPr="00051414" w:rsidRDefault="00A54B86" w:rsidP="00A54B86">
      <w:pPr>
        <w:ind w:left="720" w:right="684"/>
        <w:jc w:val="both"/>
        <w:rPr>
          <w:rFonts w:ascii="Arial" w:hAnsi="Arial" w:cs="Arial"/>
          <w:iCs/>
        </w:rPr>
      </w:pPr>
      <w:r w:rsidRPr="00051414">
        <w:rPr>
          <w:rFonts w:ascii="Arial" w:hAnsi="Arial" w:cs="Arial"/>
          <w:iCs/>
        </w:rPr>
        <w:t xml:space="preserve">On the basis of the evidence, we are satisfied that the </w:t>
      </w:r>
      <w:r>
        <w:rPr>
          <w:rFonts w:ascii="Arial" w:hAnsi="Arial" w:cs="Arial"/>
          <w:iCs/>
        </w:rPr>
        <w:t>r</w:t>
      </w:r>
      <w:r w:rsidRPr="00051414">
        <w:rPr>
          <w:rFonts w:ascii="Arial" w:hAnsi="Arial" w:cs="Arial"/>
          <w:iCs/>
        </w:rPr>
        <w:t xml:space="preserve">espondent has slightly extended the structure of the cottage onto the adjacent land of his own, crossing the boundary line as show in exhibit DI.  He has done so unlawfully, without permission from the </w:t>
      </w:r>
      <w:r>
        <w:rPr>
          <w:rFonts w:ascii="Arial" w:hAnsi="Arial" w:cs="Arial"/>
          <w:iCs/>
        </w:rPr>
        <w:t>a</w:t>
      </w:r>
      <w:r w:rsidRPr="00051414">
        <w:rPr>
          <w:rFonts w:ascii="Arial" w:hAnsi="Arial" w:cs="Arial"/>
          <w:iCs/>
        </w:rPr>
        <w:t xml:space="preserve">pplicant.  This deliberate </w:t>
      </w:r>
      <w:r>
        <w:rPr>
          <w:rFonts w:ascii="Arial" w:hAnsi="Arial" w:cs="Arial"/>
          <w:iCs/>
        </w:rPr>
        <w:t>a</w:t>
      </w:r>
      <w:r w:rsidRPr="00051414">
        <w:rPr>
          <w:rFonts w:ascii="Arial" w:hAnsi="Arial" w:cs="Arial"/>
          <w:iCs/>
        </w:rPr>
        <w:t xml:space="preserve">ct of encroachment by the </w:t>
      </w:r>
      <w:r>
        <w:rPr>
          <w:rFonts w:ascii="Arial" w:hAnsi="Arial" w:cs="Arial"/>
          <w:iCs/>
        </w:rPr>
        <w:t>r</w:t>
      </w:r>
      <w:r w:rsidRPr="00051414">
        <w:rPr>
          <w:rFonts w:ascii="Arial" w:hAnsi="Arial" w:cs="Arial"/>
          <w:iCs/>
        </w:rPr>
        <w:t xml:space="preserve">espondent cannot provide him any protection in law against eviction. We find this </w:t>
      </w:r>
      <w:r>
        <w:rPr>
          <w:rFonts w:ascii="Arial" w:hAnsi="Arial" w:cs="Arial"/>
          <w:iCs/>
        </w:rPr>
        <w:t>a</w:t>
      </w:r>
      <w:r w:rsidRPr="00051414">
        <w:rPr>
          <w:rFonts w:ascii="Arial" w:hAnsi="Arial" w:cs="Arial"/>
          <w:iCs/>
        </w:rPr>
        <w:t xml:space="preserve">ct of extension is illegal and ill motivated to create a </w:t>
      </w:r>
      <w:r>
        <w:rPr>
          <w:rFonts w:ascii="Arial" w:hAnsi="Arial" w:cs="Arial"/>
          <w:iCs/>
        </w:rPr>
        <w:t>p</w:t>
      </w:r>
      <w:r w:rsidRPr="00051414">
        <w:rPr>
          <w:rFonts w:ascii="Arial" w:hAnsi="Arial" w:cs="Arial"/>
          <w:iCs/>
        </w:rPr>
        <w:t xml:space="preserve">seudo right for the </w:t>
      </w:r>
      <w:r>
        <w:rPr>
          <w:rFonts w:ascii="Arial" w:hAnsi="Arial" w:cs="Arial"/>
          <w:iCs/>
        </w:rPr>
        <w:t>r</w:t>
      </w:r>
      <w:r w:rsidRPr="00051414">
        <w:rPr>
          <w:rFonts w:ascii="Arial" w:hAnsi="Arial" w:cs="Arial"/>
          <w:iCs/>
        </w:rPr>
        <w:t xml:space="preserve">espondent in order to perpetuate his stay in the cottage. In any event an illegal </w:t>
      </w:r>
      <w:r>
        <w:rPr>
          <w:rFonts w:ascii="Arial" w:hAnsi="Arial" w:cs="Arial"/>
          <w:iCs/>
        </w:rPr>
        <w:t>a</w:t>
      </w:r>
      <w:r w:rsidRPr="00051414">
        <w:rPr>
          <w:rFonts w:ascii="Arial" w:hAnsi="Arial" w:cs="Arial"/>
          <w:iCs/>
        </w:rPr>
        <w:t xml:space="preserve">ct can in no way </w:t>
      </w:r>
      <w:proofErr w:type="spellStart"/>
      <w:r w:rsidRPr="00051414">
        <w:rPr>
          <w:rFonts w:ascii="Arial" w:hAnsi="Arial" w:cs="Arial"/>
          <w:iCs/>
        </w:rPr>
        <w:t>metamorph</w:t>
      </w:r>
      <w:r>
        <w:rPr>
          <w:rFonts w:ascii="Arial" w:hAnsi="Arial" w:cs="Arial"/>
          <w:iCs/>
        </w:rPr>
        <w:t>i</w:t>
      </w:r>
      <w:r w:rsidRPr="00051414">
        <w:rPr>
          <w:rFonts w:ascii="Arial" w:hAnsi="Arial" w:cs="Arial"/>
          <w:iCs/>
        </w:rPr>
        <w:t>se</w:t>
      </w:r>
      <w:proofErr w:type="spellEnd"/>
      <w:r w:rsidRPr="00051414">
        <w:rPr>
          <w:rFonts w:ascii="Arial" w:hAnsi="Arial" w:cs="Arial"/>
          <w:iCs/>
        </w:rPr>
        <w:t xml:space="preserve"> into a legal right for the benefit of the perpetrator.</w:t>
      </w:r>
    </w:p>
    <w:p w:rsidR="00A54B86" w:rsidRPr="0080672C" w:rsidRDefault="00A54B86" w:rsidP="00A54B86">
      <w:pPr>
        <w:jc w:val="both"/>
        <w:rPr>
          <w:rFonts w:ascii="Arial" w:hAnsi="Arial" w:cs="Arial"/>
          <w:i/>
          <w:iCs/>
        </w:rPr>
      </w:pPr>
    </w:p>
    <w:p w:rsidR="00A54B86" w:rsidRPr="0080672C" w:rsidRDefault="00A54B86" w:rsidP="00A54B86">
      <w:pPr>
        <w:jc w:val="both"/>
        <w:rPr>
          <w:rFonts w:ascii="Arial" w:hAnsi="Arial" w:cs="Arial"/>
          <w:iCs/>
        </w:rPr>
      </w:pPr>
      <w:r w:rsidRPr="0080672C">
        <w:rPr>
          <w:rFonts w:ascii="Arial" w:hAnsi="Arial" w:cs="Arial"/>
          <w:iCs/>
        </w:rPr>
        <w:t xml:space="preserve">It is settled law that a certain set of facts must exist before the Rent Board has </w:t>
      </w:r>
      <w:r w:rsidRPr="0080672C">
        <w:rPr>
          <w:rFonts w:ascii="Arial" w:hAnsi="Arial" w:cs="Arial"/>
          <w:iCs/>
        </w:rPr>
        <w:lastRenderedPageBreak/>
        <w:t xml:space="preserve">jurisdiction.  Hence it can inquire into the facts in order to decide whether or not it has jurisdiction.  Where the issue of ownership of the premises arises, the board has jurisdiction to determine that only as a collateral issue. In the case of </w:t>
      </w:r>
      <w:proofErr w:type="spellStart"/>
      <w:r w:rsidRPr="00051414">
        <w:rPr>
          <w:rFonts w:ascii="Arial" w:hAnsi="Arial" w:cs="Arial"/>
          <w:i/>
          <w:iCs/>
        </w:rPr>
        <w:t>Sidna</w:t>
      </w:r>
      <w:proofErr w:type="spellEnd"/>
      <w:r w:rsidRPr="00051414">
        <w:rPr>
          <w:rFonts w:ascii="Arial" w:hAnsi="Arial" w:cs="Arial"/>
          <w:i/>
          <w:iCs/>
        </w:rPr>
        <w:t xml:space="preserve"> </w:t>
      </w:r>
      <w:proofErr w:type="spellStart"/>
      <w:r w:rsidRPr="00051414">
        <w:rPr>
          <w:rFonts w:ascii="Arial" w:hAnsi="Arial" w:cs="Arial"/>
          <w:i/>
          <w:iCs/>
        </w:rPr>
        <w:t>Monnaie</w:t>
      </w:r>
      <w:proofErr w:type="spellEnd"/>
      <w:r w:rsidRPr="00051414">
        <w:rPr>
          <w:rFonts w:ascii="Arial" w:hAnsi="Arial" w:cs="Arial"/>
          <w:i/>
          <w:iCs/>
        </w:rPr>
        <w:t xml:space="preserve"> v </w:t>
      </w:r>
      <w:proofErr w:type="spellStart"/>
      <w:r w:rsidRPr="00051414">
        <w:rPr>
          <w:rFonts w:ascii="Arial" w:hAnsi="Arial" w:cs="Arial"/>
          <w:i/>
          <w:iCs/>
        </w:rPr>
        <w:t>Manoharan</w:t>
      </w:r>
      <w:proofErr w:type="spellEnd"/>
      <w:r w:rsidRPr="00051414">
        <w:rPr>
          <w:rFonts w:ascii="Arial" w:hAnsi="Arial" w:cs="Arial"/>
          <w:i/>
          <w:iCs/>
        </w:rPr>
        <w:t xml:space="preserve"> Pillay </w:t>
      </w:r>
      <w:r w:rsidRPr="0080672C">
        <w:rPr>
          <w:rFonts w:ascii="Arial" w:hAnsi="Arial" w:cs="Arial"/>
          <w:iCs/>
        </w:rPr>
        <w:t>(</w:t>
      </w:r>
      <w:r>
        <w:rPr>
          <w:rFonts w:ascii="Arial" w:hAnsi="Arial" w:cs="Arial"/>
          <w:iCs/>
        </w:rPr>
        <w:t xml:space="preserve">unreported) </w:t>
      </w:r>
      <w:r w:rsidRPr="0080672C">
        <w:rPr>
          <w:rFonts w:ascii="Arial" w:hAnsi="Arial" w:cs="Arial"/>
          <w:iCs/>
        </w:rPr>
        <w:t>Civil Appeal 6</w:t>
      </w:r>
      <w:r>
        <w:rPr>
          <w:rFonts w:ascii="Arial" w:hAnsi="Arial" w:cs="Arial"/>
          <w:iCs/>
        </w:rPr>
        <w:t>/</w:t>
      </w:r>
      <w:r w:rsidRPr="0080672C">
        <w:rPr>
          <w:rFonts w:ascii="Arial" w:hAnsi="Arial" w:cs="Arial"/>
          <w:iCs/>
        </w:rPr>
        <w:t xml:space="preserve">1994 the Rent Board had, in considering whether a </w:t>
      </w:r>
      <w:proofErr w:type="spellStart"/>
      <w:r w:rsidRPr="0080672C">
        <w:rPr>
          <w:rFonts w:ascii="Arial" w:hAnsi="Arial" w:cs="Arial"/>
          <w:iCs/>
        </w:rPr>
        <w:t>lessor</w:t>
      </w:r>
      <w:proofErr w:type="spellEnd"/>
      <w:r w:rsidRPr="0080672C">
        <w:rPr>
          <w:rFonts w:ascii="Arial" w:hAnsi="Arial" w:cs="Arial"/>
          <w:iCs/>
        </w:rPr>
        <w:t xml:space="preserve"> and lessee relationship existed, proceeded to the realms of contractual law and determined that there was a promise to sell between the parties. That finding was held by this Court to </w:t>
      </w:r>
      <w:r w:rsidRPr="00051414">
        <w:rPr>
          <w:rFonts w:ascii="Arial" w:hAnsi="Arial" w:cs="Arial"/>
          <w:iCs/>
        </w:rPr>
        <w:t>be</w:t>
      </w:r>
      <w:r>
        <w:rPr>
          <w:rFonts w:ascii="Arial" w:hAnsi="Arial" w:cs="Arial"/>
          <w:iCs/>
        </w:rPr>
        <w:t xml:space="preserve"> </w:t>
      </w:r>
      <w:r w:rsidRPr="00051414">
        <w:rPr>
          <w:rFonts w:ascii="Arial" w:hAnsi="Arial" w:cs="Arial"/>
          <w:iCs/>
        </w:rPr>
        <w:t xml:space="preserve">ultra </w:t>
      </w:r>
      <w:proofErr w:type="spellStart"/>
      <w:r w:rsidRPr="00051414">
        <w:rPr>
          <w:rFonts w:ascii="Arial" w:hAnsi="Arial" w:cs="Arial"/>
          <w:iCs/>
        </w:rPr>
        <w:t>vires</w:t>
      </w:r>
      <w:proofErr w:type="spellEnd"/>
      <w:r w:rsidRPr="0080672C">
        <w:rPr>
          <w:rFonts w:ascii="Arial" w:hAnsi="Arial" w:cs="Arial"/>
          <w:iCs/>
        </w:rPr>
        <w:t xml:space="preserve"> the powers and jurisdiction of the Rent Board. Similarly in the case of </w:t>
      </w:r>
      <w:r w:rsidRPr="00051414">
        <w:rPr>
          <w:rFonts w:ascii="Arial" w:hAnsi="Arial" w:cs="Arial"/>
          <w:i/>
          <w:iCs/>
        </w:rPr>
        <w:t xml:space="preserve">May Emilie Richard v Joseph Pillay </w:t>
      </w:r>
      <w:r w:rsidRPr="0080672C">
        <w:rPr>
          <w:rFonts w:ascii="Arial" w:hAnsi="Arial" w:cs="Arial"/>
          <w:iCs/>
        </w:rPr>
        <w:t>(</w:t>
      </w:r>
      <w:r>
        <w:rPr>
          <w:rFonts w:ascii="Arial" w:hAnsi="Arial" w:cs="Arial"/>
          <w:iCs/>
        </w:rPr>
        <w:t xml:space="preserve">unreported) </w:t>
      </w:r>
      <w:r w:rsidRPr="0080672C">
        <w:rPr>
          <w:rFonts w:ascii="Arial" w:hAnsi="Arial" w:cs="Arial"/>
          <w:iCs/>
        </w:rPr>
        <w:t>Civil Appeal 4</w:t>
      </w:r>
      <w:r>
        <w:rPr>
          <w:rFonts w:ascii="Arial" w:hAnsi="Arial" w:cs="Arial"/>
          <w:iCs/>
        </w:rPr>
        <w:t>/</w:t>
      </w:r>
      <w:r w:rsidRPr="0080672C">
        <w:rPr>
          <w:rFonts w:ascii="Arial" w:hAnsi="Arial" w:cs="Arial"/>
          <w:iCs/>
        </w:rPr>
        <w:t>1996 the Rent Board</w:t>
      </w:r>
      <w:r>
        <w:rPr>
          <w:rFonts w:ascii="Arial" w:hAnsi="Arial" w:cs="Arial"/>
          <w:iCs/>
        </w:rPr>
        <w:t>,</w:t>
      </w:r>
      <w:r w:rsidRPr="0080672C">
        <w:rPr>
          <w:rFonts w:ascii="Arial" w:hAnsi="Arial" w:cs="Arial"/>
          <w:iCs/>
        </w:rPr>
        <w:t xml:space="preserve"> in inquiring into the facts to decide whether it had jurisdiction, made a finding under </w:t>
      </w:r>
      <w:r>
        <w:rPr>
          <w:rFonts w:ascii="Arial" w:hAnsi="Arial" w:cs="Arial"/>
          <w:iCs/>
        </w:rPr>
        <w:t>a</w:t>
      </w:r>
      <w:r w:rsidRPr="0080672C">
        <w:rPr>
          <w:rFonts w:ascii="Arial" w:hAnsi="Arial" w:cs="Arial"/>
          <w:iCs/>
        </w:rPr>
        <w:t>rticle 555 of the Civil Code and ordered the occupier of the premises to "</w:t>
      </w:r>
      <w:proofErr w:type="spellStart"/>
      <w:r w:rsidRPr="0080672C">
        <w:rPr>
          <w:rFonts w:ascii="Arial" w:hAnsi="Arial" w:cs="Arial"/>
          <w:iCs/>
        </w:rPr>
        <w:t>emove</w:t>
      </w:r>
      <w:proofErr w:type="spellEnd"/>
      <w:r w:rsidRPr="0080672C">
        <w:rPr>
          <w:rFonts w:ascii="Arial" w:hAnsi="Arial" w:cs="Arial"/>
          <w:iCs/>
        </w:rPr>
        <w:t xml:space="preserve"> and take away the structure.  This Court held that the board had acted </w:t>
      </w:r>
      <w:r w:rsidRPr="00051414">
        <w:rPr>
          <w:rFonts w:ascii="Arial" w:hAnsi="Arial" w:cs="Arial"/>
          <w:iCs/>
        </w:rPr>
        <w:t xml:space="preserve">ultra </w:t>
      </w:r>
      <w:proofErr w:type="spellStart"/>
      <w:r w:rsidRPr="00051414">
        <w:rPr>
          <w:rFonts w:ascii="Arial" w:hAnsi="Arial" w:cs="Arial"/>
          <w:iCs/>
        </w:rPr>
        <w:t>vires</w:t>
      </w:r>
      <w:proofErr w:type="spellEnd"/>
      <w:r w:rsidRPr="00051414">
        <w:rPr>
          <w:rFonts w:ascii="Arial" w:hAnsi="Arial" w:cs="Arial"/>
          <w:iCs/>
        </w:rPr>
        <w:t xml:space="preserve"> </w:t>
      </w:r>
      <w:r w:rsidRPr="0080672C">
        <w:rPr>
          <w:rFonts w:ascii="Arial" w:hAnsi="Arial" w:cs="Arial"/>
          <w:iCs/>
        </w:rPr>
        <w:t>its powers.</w:t>
      </w:r>
    </w:p>
    <w:p w:rsidR="00A54B86" w:rsidRPr="0080672C" w:rsidRDefault="00A54B86" w:rsidP="00A54B86">
      <w:pPr>
        <w:jc w:val="both"/>
        <w:rPr>
          <w:rFonts w:ascii="Arial" w:hAnsi="Arial" w:cs="Arial"/>
          <w:iCs/>
        </w:rPr>
      </w:pPr>
    </w:p>
    <w:p w:rsidR="00A54B86" w:rsidRPr="0080672C" w:rsidRDefault="001E7E39" w:rsidP="00A54B86">
      <w:pPr>
        <w:jc w:val="both"/>
        <w:rPr>
          <w:rFonts w:ascii="Arial" w:hAnsi="Arial" w:cs="Arial"/>
          <w:iCs/>
        </w:rPr>
      </w:pPr>
      <w:r w:rsidRPr="001E7E39">
        <w:rPr>
          <w:rFonts w:ascii="Arial" w:hAnsi="Arial" w:cs="Arial"/>
          <w:iCs/>
          <w:noProof/>
        </w:rPr>
        <w:pict>
          <v:shape id="_x0000_s1028" type="#_x0000_t202" style="position:absolute;left:0;text-align:left;margin-left:-30.35pt;margin-top:-4.05pt;width:30pt;height:531.55pt;z-index:251662336;mso-height-percent:200;mso-height-percent:200;mso-width-relative:margin;mso-height-relative:margin" stroked="f" strokecolor="white [3212]">
            <v:textbox style="mso-next-textbox:#_x0000_s1028;mso-fit-shape-to-text:t">
              <w:txbxContent>
                <w:p w:rsidR="00A54B86" w:rsidRPr="00FF49DF" w:rsidRDefault="00A54B86" w:rsidP="00A54B86">
                  <w:pPr>
                    <w:rPr>
                      <w:rFonts w:ascii="Arial" w:hAnsi="Arial" w:cs="Arial"/>
                      <w:b/>
                      <w:i/>
                      <w:lang w:val="en-NZ"/>
                    </w:rPr>
                  </w:pPr>
                </w:p>
              </w:txbxContent>
            </v:textbox>
          </v:shape>
        </w:pict>
      </w:r>
      <w:r w:rsidR="00A54B86" w:rsidRPr="0080672C">
        <w:rPr>
          <w:rFonts w:ascii="Arial" w:hAnsi="Arial" w:cs="Arial"/>
          <w:iCs/>
        </w:rPr>
        <w:t xml:space="preserve">The facts of the instant case are somewhat different.  The </w:t>
      </w:r>
      <w:r w:rsidR="00A54B86">
        <w:rPr>
          <w:rFonts w:ascii="Arial" w:hAnsi="Arial" w:cs="Arial"/>
          <w:iCs/>
        </w:rPr>
        <w:t>a</w:t>
      </w:r>
      <w:r w:rsidR="00A54B86" w:rsidRPr="0080672C">
        <w:rPr>
          <w:rFonts w:ascii="Arial" w:hAnsi="Arial" w:cs="Arial"/>
          <w:iCs/>
        </w:rPr>
        <w:t xml:space="preserve">ppellant does not deny that the dwelling house </w:t>
      </w:r>
      <w:r w:rsidR="00A54B86">
        <w:rPr>
          <w:rFonts w:ascii="Arial" w:hAnsi="Arial" w:cs="Arial"/>
          <w:iCs/>
        </w:rPr>
        <w:t>h</w:t>
      </w:r>
      <w:r w:rsidR="00A54B86" w:rsidRPr="0080672C">
        <w:rPr>
          <w:rFonts w:ascii="Arial" w:hAnsi="Arial" w:cs="Arial"/>
          <w:iCs/>
        </w:rPr>
        <w:t>e occupies free of rent</w:t>
      </w:r>
      <w:r w:rsidR="00A54B86">
        <w:rPr>
          <w:rFonts w:ascii="Arial" w:hAnsi="Arial" w:cs="Arial"/>
          <w:iCs/>
        </w:rPr>
        <w:t>,</w:t>
      </w:r>
      <w:r w:rsidR="00A54B86" w:rsidRPr="0080672C">
        <w:rPr>
          <w:rFonts w:ascii="Arial" w:hAnsi="Arial" w:cs="Arial"/>
          <w:iCs/>
        </w:rPr>
        <w:t xml:space="preserve"> and </w:t>
      </w:r>
      <w:r w:rsidR="00A54B86">
        <w:rPr>
          <w:rFonts w:ascii="Arial" w:hAnsi="Arial" w:cs="Arial"/>
          <w:iCs/>
        </w:rPr>
        <w:t>p</w:t>
      </w:r>
      <w:r w:rsidR="00A54B86" w:rsidRPr="0080672C">
        <w:rPr>
          <w:rFonts w:ascii="Arial" w:hAnsi="Arial" w:cs="Arial"/>
          <w:iCs/>
        </w:rPr>
        <w:t>arcel T 1637 on which it is situated</w:t>
      </w:r>
      <w:r w:rsidR="00A54B86">
        <w:rPr>
          <w:rFonts w:ascii="Arial" w:hAnsi="Arial" w:cs="Arial"/>
          <w:iCs/>
        </w:rPr>
        <w:t>,</w:t>
      </w:r>
      <w:r w:rsidR="00A54B86" w:rsidRPr="0080672C">
        <w:rPr>
          <w:rFonts w:ascii="Arial" w:hAnsi="Arial" w:cs="Arial"/>
          <w:iCs/>
        </w:rPr>
        <w:t xml:space="preserve"> are owned by the </w:t>
      </w:r>
      <w:r w:rsidR="00A54B86">
        <w:rPr>
          <w:rFonts w:ascii="Arial" w:hAnsi="Arial" w:cs="Arial"/>
          <w:iCs/>
        </w:rPr>
        <w:t>r</w:t>
      </w:r>
      <w:r w:rsidR="00A54B86" w:rsidRPr="0080672C">
        <w:rPr>
          <w:rFonts w:ascii="Arial" w:hAnsi="Arial" w:cs="Arial"/>
          <w:iCs/>
        </w:rPr>
        <w:t xml:space="preserve">espondent. In ground 2 of the memorandum of appeal, the </w:t>
      </w:r>
      <w:r w:rsidR="00A54B86">
        <w:rPr>
          <w:rFonts w:ascii="Arial" w:hAnsi="Arial" w:cs="Arial"/>
          <w:iCs/>
        </w:rPr>
        <w:t>a</w:t>
      </w:r>
      <w:r w:rsidR="00A54B86" w:rsidRPr="0080672C">
        <w:rPr>
          <w:rFonts w:ascii="Arial" w:hAnsi="Arial" w:cs="Arial"/>
          <w:iCs/>
        </w:rPr>
        <w:t xml:space="preserve">ppellant submits that he has an interest beyond that of a lessee in the said house and hence should not be considered merely as a lessee. It was therefore contended that the Rent Board ought not to have proceeded with the application for eviction and referred the parties to seek their remedy before the Supreme Court which alone had the jurisdiction to determine a matter falling under </w:t>
      </w:r>
      <w:r w:rsidR="00A54B86">
        <w:rPr>
          <w:rFonts w:ascii="Arial" w:hAnsi="Arial" w:cs="Arial"/>
          <w:iCs/>
        </w:rPr>
        <w:t>a</w:t>
      </w:r>
      <w:r w:rsidR="00A54B86" w:rsidRPr="0080672C">
        <w:rPr>
          <w:rFonts w:ascii="Arial" w:hAnsi="Arial" w:cs="Arial"/>
          <w:iCs/>
        </w:rPr>
        <w:t xml:space="preserve">rticle 555 of the Civil Code.  This contention is misconceived.  The Rent Board did not make any order under </w:t>
      </w:r>
      <w:r w:rsidR="00A54B86">
        <w:rPr>
          <w:rFonts w:ascii="Arial" w:hAnsi="Arial" w:cs="Arial"/>
          <w:iCs/>
        </w:rPr>
        <w:t>a</w:t>
      </w:r>
      <w:r w:rsidR="00A54B86" w:rsidRPr="0080672C">
        <w:rPr>
          <w:rFonts w:ascii="Arial" w:hAnsi="Arial" w:cs="Arial"/>
          <w:iCs/>
        </w:rPr>
        <w:t xml:space="preserve">rticle 555 of the Civil Code as it did in the case of </w:t>
      </w:r>
      <w:r w:rsidR="00A54B86" w:rsidRPr="00051414">
        <w:rPr>
          <w:rFonts w:ascii="Arial" w:hAnsi="Arial" w:cs="Arial"/>
          <w:i/>
          <w:iCs/>
        </w:rPr>
        <w:t>Richard v Pillay</w:t>
      </w:r>
      <w:r w:rsidR="00A54B86" w:rsidRPr="00051414">
        <w:rPr>
          <w:rFonts w:ascii="Arial" w:hAnsi="Arial" w:cs="Arial"/>
          <w:iCs/>
        </w:rPr>
        <w:t xml:space="preserve"> </w:t>
      </w:r>
      <w:r w:rsidR="00A54B86" w:rsidRPr="0080672C">
        <w:rPr>
          <w:rFonts w:ascii="Arial" w:hAnsi="Arial" w:cs="Arial"/>
          <w:iCs/>
        </w:rPr>
        <w:t xml:space="preserve">(supra).  It merely made a finding of fact on a collateral issue only for the purpose of ascertaining whether it has jurisdiction to entertain the application for eviction. Both parties admit that an extension has been made to the dwelling house owned by the </w:t>
      </w:r>
      <w:r w:rsidR="00A54B86">
        <w:rPr>
          <w:rFonts w:ascii="Arial" w:hAnsi="Arial" w:cs="Arial"/>
          <w:iCs/>
        </w:rPr>
        <w:t>r</w:t>
      </w:r>
      <w:r w:rsidR="00A54B86" w:rsidRPr="0080672C">
        <w:rPr>
          <w:rFonts w:ascii="Arial" w:hAnsi="Arial" w:cs="Arial"/>
          <w:iCs/>
        </w:rPr>
        <w:t xml:space="preserve">espondent.  The board correctly held that the </w:t>
      </w:r>
      <w:r w:rsidR="00A54B86">
        <w:rPr>
          <w:rFonts w:ascii="Arial" w:hAnsi="Arial" w:cs="Arial"/>
          <w:iCs/>
        </w:rPr>
        <w:t>a</w:t>
      </w:r>
      <w:r w:rsidR="00A54B86" w:rsidRPr="0080672C">
        <w:rPr>
          <w:rFonts w:ascii="Arial" w:hAnsi="Arial" w:cs="Arial"/>
          <w:iCs/>
        </w:rPr>
        <w:t xml:space="preserve">ppellant could not alter his position as a "lessee" (in the extended sense of a person enjoying the use and occupation of a dwelling house for which an indemnity is payable or not), by creating a right of his own to evade the jurisdiction of the Rent Board and the applicability of the Rent Act. Hence grounds </w:t>
      </w:r>
      <w:r w:rsidR="00A54B86">
        <w:rPr>
          <w:rFonts w:ascii="Arial" w:hAnsi="Arial" w:cs="Arial"/>
          <w:iCs/>
        </w:rPr>
        <w:t>1</w:t>
      </w:r>
      <w:r w:rsidR="00A54B86" w:rsidRPr="0080672C">
        <w:rPr>
          <w:rFonts w:ascii="Arial" w:hAnsi="Arial" w:cs="Arial"/>
          <w:iCs/>
        </w:rPr>
        <w:t xml:space="preserve"> and 2 fail.</w:t>
      </w:r>
    </w:p>
    <w:p w:rsidR="00A54B86" w:rsidRPr="0080672C" w:rsidRDefault="00A54B86" w:rsidP="00A54B86">
      <w:pPr>
        <w:jc w:val="both"/>
        <w:rPr>
          <w:rFonts w:ascii="Arial" w:hAnsi="Arial" w:cs="Arial"/>
          <w:i/>
          <w:iCs/>
        </w:rPr>
      </w:pPr>
      <w:r w:rsidRPr="0080672C">
        <w:rPr>
          <w:rFonts w:ascii="Arial" w:hAnsi="Arial" w:cs="Arial"/>
          <w:iCs/>
        </w:rPr>
        <w:t xml:space="preserve">In ground 3, it is contended that the </w:t>
      </w:r>
      <w:r>
        <w:rPr>
          <w:rFonts w:ascii="Arial" w:hAnsi="Arial" w:cs="Arial"/>
          <w:iCs/>
        </w:rPr>
        <w:t>B</w:t>
      </w:r>
      <w:r w:rsidRPr="0080672C">
        <w:rPr>
          <w:rFonts w:ascii="Arial" w:hAnsi="Arial" w:cs="Arial"/>
          <w:iCs/>
        </w:rPr>
        <w:t>oard failed to consider the reas</w:t>
      </w:r>
      <w:r>
        <w:rPr>
          <w:rFonts w:ascii="Arial" w:hAnsi="Arial" w:cs="Arial"/>
          <w:iCs/>
        </w:rPr>
        <w:t>onableness</w:t>
      </w:r>
      <w:r w:rsidRPr="0080672C">
        <w:rPr>
          <w:rFonts w:ascii="Arial" w:hAnsi="Arial" w:cs="Arial"/>
          <w:iCs/>
        </w:rPr>
        <w:t xml:space="preserve"> of the </w:t>
      </w:r>
      <w:r>
        <w:rPr>
          <w:rFonts w:ascii="Arial" w:hAnsi="Arial" w:cs="Arial"/>
          <w:iCs/>
        </w:rPr>
        <w:t>r</w:t>
      </w:r>
      <w:r w:rsidRPr="0080672C">
        <w:rPr>
          <w:rFonts w:ascii="Arial" w:hAnsi="Arial" w:cs="Arial"/>
          <w:iCs/>
        </w:rPr>
        <w:t xml:space="preserve">espondent's application for eviction.  Though not stated, the application was based on </w:t>
      </w:r>
      <w:r>
        <w:rPr>
          <w:rFonts w:ascii="Arial" w:hAnsi="Arial" w:cs="Arial"/>
          <w:iCs/>
        </w:rPr>
        <w:t>s</w:t>
      </w:r>
      <w:r w:rsidRPr="0080672C">
        <w:rPr>
          <w:rFonts w:ascii="Arial" w:hAnsi="Arial" w:cs="Arial"/>
          <w:iCs/>
        </w:rPr>
        <w:t>ection 10(2</w:t>
      </w:r>
      <w:proofErr w:type="gramStart"/>
      <w:r w:rsidRPr="0080672C">
        <w:rPr>
          <w:rFonts w:ascii="Arial" w:hAnsi="Arial" w:cs="Arial"/>
          <w:iCs/>
        </w:rPr>
        <w:t>)(</w:t>
      </w:r>
      <w:proofErr w:type="gramEnd"/>
      <w:r w:rsidRPr="0080672C">
        <w:rPr>
          <w:rFonts w:ascii="Arial" w:hAnsi="Arial" w:cs="Arial"/>
          <w:iCs/>
        </w:rPr>
        <w:t>f) of the said Act, which reads as follows</w:t>
      </w:r>
      <w:r w:rsidRPr="0080672C">
        <w:rPr>
          <w:rFonts w:ascii="Arial" w:hAnsi="Arial" w:cs="Arial"/>
          <w:i/>
          <w:iCs/>
        </w:rPr>
        <w:noBreakHyphen/>
      </w:r>
    </w:p>
    <w:p w:rsidR="00A54B86" w:rsidRPr="0080672C" w:rsidRDefault="00A54B86" w:rsidP="00A54B86">
      <w:pPr>
        <w:jc w:val="both"/>
        <w:rPr>
          <w:rFonts w:ascii="Arial" w:hAnsi="Arial" w:cs="Arial"/>
        </w:rPr>
      </w:pPr>
    </w:p>
    <w:p w:rsidR="00A54B86" w:rsidRPr="00051414" w:rsidRDefault="00A54B86" w:rsidP="00A54B86">
      <w:pPr>
        <w:ind w:left="720" w:right="684"/>
        <w:jc w:val="both"/>
        <w:rPr>
          <w:rFonts w:ascii="Arial" w:hAnsi="Arial" w:cs="Arial"/>
          <w:iCs/>
          <w:u w:val="single"/>
        </w:rPr>
      </w:pPr>
      <w:r w:rsidRPr="00051414">
        <w:rPr>
          <w:rFonts w:ascii="Arial" w:hAnsi="Arial" w:cs="Arial"/>
          <w:iCs/>
        </w:rPr>
        <w:t xml:space="preserve">The dwelling house is reasonably required by the </w:t>
      </w:r>
      <w:proofErr w:type="spellStart"/>
      <w:r w:rsidRPr="00051414">
        <w:rPr>
          <w:rFonts w:ascii="Arial" w:hAnsi="Arial" w:cs="Arial"/>
          <w:iCs/>
        </w:rPr>
        <w:t>lessor</w:t>
      </w:r>
      <w:proofErr w:type="spellEnd"/>
      <w:r w:rsidRPr="00051414">
        <w:rPr>
          <w:rFonts w:ascii="Arial" w:hAnsi="Arial" w:cs="Arial"/>
          <w:iCs/>
        </w:rPr>
        <w:t xml:space="preserve"> for occupation as a residence for some person engaged in his employment or with whom conditional on housing accommodation being provided, a </w:t>
      </w:r>
      <w:r w:rsidRPr="00051414">
        <w:rPr>
          <w:rFonts w:ascii="Arial" w:hAnsi="Arial" w:cs="Arial"/>
          <w:iCs/>
          <w:u w:val="single"/>
        </w:rPr>
        <w:t xml:space="preserve">contract for such employment has been entered into </w:t>
      </w:r>
      <w:r w:rsidRPr="00051414">
        <w:rPr>
          <w:rFonts w:ascii="Arial" w:hAnsi="Arial" w:cs="Arial"/>
          <w:iCs/>
        </w:rPr>
        <w:t xml:space="preserve">and the lessee was in employment of the </w:t>
      </w:r>
      <w:proofErr w:type="spellStart"/>
      <w:r w:rsidRPr="00051414">
        <w:rPr>
          <w:rFonts w:ascii="Arial" w:hAnsi="Arial" w:cs="Arial"/>
          <w:iCs/>
        </w:rPr>
        <w:t>lessor</w:t>
      </w:r>
      <w:proofErr w:type="spellEnd"/>
      <w:r w:rsidRPr="00051414">
        <w:rPr>
          <w:rFonts w:ascii="Arial" w:hAnsi="Arial" w:cs="Arial"/>
          <w:iCs/>
        </w:rPr>
        <w:t xml:space="preserve"> or a former </w:t>
      </w:r>
      <w:proofErr w:type="spellStart"/>
      <w:r w:rsidRPr="00051414">
        <w:rPr>
          <w:rFonts w:ascii="Arial" w:hAnsi="Arial" w:cs="Arial"/>
          <w:iCs/>
        </w:rPr>
        <w:t>lessor</w:t>
      </w:r>
      <w:proofErr w:type="spellEnd"/>
      <w:r w:rsidRPr="00051414">
        <w:rPr>
          <w:rFonts w:ascii="Arial" w:hAnsi="Arial" w:cs="Arial"/>
          <w:iCs/>
        </w:rPr>
        <w:t xml:space="preserve"> and the dwelling house was </w:t>
      </w:r>
      <w:proofErr w:type="spellStart"/>
      <w:r w:rsidRPr="00051414">
        <w:rPr>
          <w:rFonts w:ascii="Arial" w:hAnsi="Arial" w:cs="Arial"/>
          <w:iCs/>
        </w:rPr>
        <w:t>let</w:t>
      </w:r>
      <w:proofErr w:type="spellEnd"/>
      <w:r w:rsidRPr="00051414">
        <w:rPr>
          <w:rFonts w:ascii="Arial" w:hAnsi="Arial" w:cs="Arial"/>
          <w:iCs/>
        </w:rPr>
        <w:t xml:space="preserve"> to him in consequence of that employment and </w:t>
      </w:r>
      <w:r w:rsidRPr="00051414">
        <w:rPr>
          <w:rFonts w:ascii="Arial" w:hAnsi="Arial" w:cs="Arial"/>
          <w:iCs/>
          <w:u w:val="single"/>
        </w:rPr>
        <w:t>he has ceased to be in that employment.</w:t>
      </w:r>
    </w:p>
    <w:p w:rsidR="00A54B86" w:rsidRPr="0080672C" w:rsidRDefault="001E7E39" w:rsidP="00A54B86">
      <w:pPr>
        <w:jc w:val="both"/>
        <w:rPr>
          <w:rFonts w:ascii="Arial" w:hAnsi="Arial" w:cs="Arial"/>
          <w:i/>
          <w:iCs/>
        </w:rPr>
      </w:pPr>
      <w:r w:rsidRPr="001E7E39">
        <w:rPr>
          <w:rFonts w:ascii="Arial" w:hAnsi="Arial" w:cs="Arial"/>
          <w:i/>
          <w:iCs/>
          <w:noProof/>
        </w:rPr>
        <w:pict>
          <v:shape id="_x0000_s1033" type="#_x0000_t202" style="position:absolute;left:0;text-align:left;margin-left:335.65pt;margin-top:-44.85pt;width:30pt;height:531.55pt;z-index:251667456;mso-height-percent:200;mso-height-percent:200;mso-width-relative:margin;mso-height-relative:margin" stroked="f" strokecolor="white [3212]">
            <v:textbox style="mso-next-textbox:#_x0000_s1033;mso-fit-shape-to-text:t">
              <w:txbxContent>
                <w:p w:rsidR="00A54B86" w:rsidRPr="00FF49DF" w:rsidRDefault="00A54B86" w:rsidP="00A54B86">
                  <w:pPr>
                    <w:rPr>
                      <w:rFonts w:ascii="Arial" w:hAnsi="Arial" w:cs="Arial"/>
                      <w:b/>
                      <w:i/>
                      <w:lang w:val="en-NZ"/>
                    </w:rPr>
                  </w:pPr>
                </w:p>
              </w:txbxContent>
            </v:textbox>
          </v:shape>
        </w:pict>
      </w:r>
    </w:p>
    <w:p w:rsidR="00A54B86" w:rsidRPr="0080672C" w:rsidRDefault="00A54B86" w:rsidP="00A54B86">
      <w:pPr>
        <w:jc w:val="both"/>
        <w:rPr>
          <w:rFonts w:ascii="Arial" w:hAnsi="Arial" w:cs="Arial"/>
          <w:iCs/>
        </w:rPr>
      </w:pPr>
      <w:r w:rsidRPr="0080672C">
        <w:rPr>
          <w:rFonts w:ascii="Arial" w:hAnsi="Arial" w:cs="Arial"/>
          <w:iCs/>
        </w:rPr>
        <w:t xml:space="preserve">The </w:t>
      </w:r>
      <w:r>
        <w:rPr>
          <w:rFonts w:ascii="Arial" w:hAnsi="Arial" w:cs="Arial"/>
          <w:iCs/>
        </w:rPr>
        <w:t>a</w:t>
      </w:r>
      <w:r w:rsidRPr="0080672C">
        <w:rPr>
          <w:rFonts w:ascii="Arial" w:hAnsi="Arial" w:cs="Arial"/>
          <w:iCs/>
        </w:rPr>
        <w:t xml:space="preserve">ppellant in his </w:t>
      </w:r>
      <w:proofErr w:type="spellStart"/>
      <w:r w:rsidRPr="0080672C">
        <w:rPr>
          <w:rFonts w:ascii="Arial" w:hAnsi="Arial" w:cs="Arial"/>
          <w:iCs/>
        </w:rPr>
        <w:t>defence</w:t>
      </w:r>
      <w:proofErr w:type="spellEnd"/>
      <w:r w:rsidRPr="0080672C">
        <w:rPr>
          <w:rFonts w:ascii="Arial" w:hAnsi="Arial" w:cs="Arial"/>
          <w:iCs/>
        </w:rPr>
        <w:t xml:space="preserve"> denied that he was engaged as a general supervisor to look after the </w:t>
      </w:r>
      <w:r>
        <w:rPr>
          <w:rFonts w:ascii="Arial" w:hAnsi="Arial" w:cs="Arial"/>
          <w:iCs/>
        </w:rPr>
        <w:t>r</w:t>
      </w:r>
      <w:r w:rsidRPr="0080672C">
        <w:rPr>
          <w:rFonts w:ascii="Arial" w:hAnsi="Arial" w:cs="Arial"/>
          <w:iCs/>
        </w:rPr>
        <w:t xml:space="preserve">espondent's property. He claimed that by a verbal agreement, he and his wife were given right of occupation of the dwelling house for life in lieu of remuneration for services rendered by looking after and caring for the aged parents of the </w:t>
      </w:r>
      <w:r>
        <w:rPr>
          <w:rFonts w:ascii="Arial" w:hAnsi="Arial" w:cs="Arial"/>
          <w:iCs/>
        </w:rPr>
        <w:t>r</w:t>
      </w:r>
      <w:r w:rsidRPr="0080672C">
        <w:rPr>
          <w:rFonts w:ascii="Arial" w:hAnsi="Arial" w:cs="Arial"/>
          <w:iCs/>
        </w:rPr>
        <w:t xml:space="preserve">espondent, </w:t>
      </w:r>
      <w:r w:rsidRPr="0080672C">
        <w:rPr>
          <w:rFonts w:ascii="Arial" w:hAnsi="Arial" w:cs="Arial"/>
          <w:iCs/>
        </w:rPr>
        <w:lastRenderedPageBreak/>
        <w:t xml:space="preserve">who are now both dead. As already held, the </w:t>
      </w:r>
      <w:r>
        <w:rPr>
          <w:rFonts w:ascii="Arial" w:hAnsi="Arial" w:cs="Arial"/>
          <w:iCs/>
        </w:rPr>
        <w:t>a</w:t>
      </w:r>
      <w:r w:rsidRPr="0080672C">
        <w:rPr>
          <w:rFonts w:ascii="Arial" w:hAnsi="Arial" w:cs="Arial"/>
          <w:iCs/>
        </w:rPr>
        <w:t xml:space="preserve">ppellant failed to establish a </w:t>
      </w:r>
      <w:r>
        <w:rPr>
          <w:rFonts w:ascii="Arial" w:hAnsi="Arial" w:cs="Arial"/>
          <w:iCs/>
        </w:rPr>
        <w:t>l</w:t>
      </w:r>
      <w:r w:rsidRPr="0080672C">
        <w:rPr>
          <w:rFonts w:ascii="Arial" w:hAnsi="Arial" w:cs="Arial"/>
          <w:iCs/>
        </w:rPr>
        <w:t xml:space="preserve">ife </w:t>
      </w:r>
      <w:r>
        <w:rPr>
          <w:rFonts w:ascii="Arial" w:hAnsi="Arial" w:cs="Arial"/>
          <w:iCs/>
        </w:rPr>
        <w:t>t</w:t>
      </w:r>
      <w:r w:rsidRPr="0080672C">
        <w:rPr>
          <w:rFonts w:ascii="Arial" w:hAnsi="Arial" w:cs="Arial"/>
          <w:iCs/>
        </w:rPr>
        <w:t xml:space="preserve">enancy.  Hence, it was, at best, a service tenancy, and the subsequent transfer of parcel T 1636 to the </w:t>
      </w:r>
      <w:r>
        <w:rPr>
          <w:rFonts w:ascii="Arial" w:hAnsi="Arial" w:cs="Arial"/>
          <w:iCs/>
        </w:rPr>
        <w:t>a</w:t>
      </w:r>
      <w:r w:rsidRPr="0080672C">
        <w:rPr>
          <w:rFonts w:ascii="Arial" w:hAnsi="Arial" w:cs="Arial"/>
          <w:iCs/>
        </w:rPr>
        <w:t xml:space="preserve">ppellant "in complete and total settlement" of the </w:t>
      </w:r>
      <w:r>
        <w:rPr>
          <w:rFonts w:ascii="Arial" w:hAnsi="Arial" w:cs="Arial"/>
          <w:iCs/>
        </w:rPr>
        <w:t>a</w:t>
      </w:r>
      <w:r w:rsidRPr="0080672C">
        <w:rPr>
          <w:rFonts w:ascii="Arial" w:hAnsi="Arial" w:cs="Arial"/>
          <w:iCs/>
        </w:rPr>
        <w:t xml:space="preserve">ppellant and his wife's "care and kindness to" the deceased parents of the </w:t>
      </w:r>
      <w:r>
        <w:rPr>
          <w:rFonts w:ascii="Arial" w:hAnsi="Arial" w:cs="Arial"/>
          <w:iCs/>
        </w:rPr>
        <w:t>r</w:t>
      </w:r>
      <w:r w:rsidRPr="0080672C">
        <w:rPr>
          <w:rFonts w:ascii="Arial" w:hAnsi="Arial" w:cs="Arial"/>
          <w:iCs/>
        </w:rPr>
        <w:t xml:space="preserve">espondent, establishes that the service </w:t>
      </w:r>
      <w:r>
        <w:rPr>
          <w:rFonts w:ascii="Arial" w:hAnsi="Arial" w:cs="Arial"/>
          <w:iCs/>
        </w:rPr>
        <w:t>t</w:t>
      </w:r>
      <w:r w:rsidRPr="0080672C">
        <w:rPr>
          <w:rFonts w:ascii="Arial" w:hAnsi="Arial" w:cs="Arial"/>
          <w:iCs/>
        </w:rPr>
        <w:t xml:space="preserve">enancy has ceased and that the </w:t>
      </w:r>
      <w:r>
        <w:rPr>
          <w:rFonts w:ascii="Arial" w:hAnsi="Arial" w:cs="Arial"/>
          <w:iCs/>
        </w:rPr>
        <w:t>a</w:t>
      </w:r>
      <w:r w:rsidRPr="0080672C">
        <w:rPr>
          <w:rFonts w:ascii="Arial" w:hAnsi="Arial" w:cs="Arial"/>
          <w:iCs/>
        </w:rPr>
        <w:t xml:space="preserve">ppellant has no "contract" with the </w:t>
      </w:r>
      <w:r>
        <w:rPr>
          <w:rFonts w:ascii="Arial" w:hAnsi="Arial" w:cs="Arial"/>
          <w:iCs/>
        </w:rPr>
        <w:t>r</w:t>
      </w:r>
      <w:r w:rsidRPr="0080672C">
        <w:rPr>
          <w:rFonts w:ascii="Arial" w:hAnsi="Arial" w:cs="Arial"/>
          <w:iCs/>
        </w:rPr>
        <w:t>espondent to continue to occupy the premises.</w:t>
      </w:r>
    </w:p>
    <w:p w:rsidR="00A54B86" w:rsidRPr="0080672C" w:rsidRDefault="00A54B86" w:rsidP="00A54B86">
      <w:pPr>
        <w:jc w:val="both"/>
        <w:rPr>
          <w:rFonts w:ascii="Arial" w:hAnsi="Arial" w:cs="Arial"/>
          <w:iCs/>
        </w:rPr>
      </w:pPr>
    </w:p>
    <w:p w:rsidR="00A54B86" w:rsidRPr="0080672C" w:rsidRDefault="00A54B86" w:rsidP="00A54B86">
      <w:pPr>
        <w:jc w:val="both"/>
        <w:rPr>
          <w:rFonts w:ascii="Arial" w:hAnsi="Arial" w:cs="Arial"/>
          <w:iCs/>
        </w:rPr>
      </w:pPr>
      <w:r w:rsidRPr="0080672C">
        <w:rPr>
          <w:rFonts w:ascii="Arial" w:hAnsi="Arial" w:cs="Arial"/>
          <w:iCs/>
        </w:rPr>
        <w:t xml:space="preserve">The </w:t>
      </w:r>
      <w:r>
        <w:rPr>
          <w:rFonts w:ascii="Arial" w:hAnsi="Arial" w:cs="Arial"/>
          <w:iCs/>
        </w:rPr>
        <w:t>r</w:t>
      </w:r>
      <w:r w:rsidRPr="0080672C">
        <w:rPr>
          <w:rFonts w:ascii="Arial" w:hAnsi="Arial" w:cs="Arial"/>
          <w:iCs/>
        </w:rPr>
        <w:t xml:space="preserve">espondent testified that he has engaged one Robert </w:t>
      </w:r>
      <w:proofErr w:type="spellStart"/>
      <w:r w:rsidRPr="0080672C">
        <w:rPr>
          <w:rFonts w:ascii="Arial" w:hAnsi="Arial" w:cs="Arial"/>
          <w:iCs/>
        </w:rPr>
        <w:t>Bason</w:t>
      </w:r>
      <w:proofErr w:type="spellEnd"/>
      <w:r w:rsidRPr="0080672C">
        <w:rPr>
          <w:rFonts w:ascii="Arial" w:hAnsi="Arial" w:cs="Arial"/>
          <w:iCs/>
        </w:rPr>
        <w:t xml:space="preserve"> as a caretaker on condition that he could occupy the cottage presently occupied by the </w:t>
      </w:r>
      <w:proofErr w:type="spellStart"/>
      <w:r>
        <w:rPr>
          <w:rFonts w:ascii="Arial" w:hAnsi="Arial" w:cs="Arial"/>
          <w:iCs/>
        </w:rPr>
        <w:t>s</w:t>
      </w:r>
      <w:r w:rsidRPr="0080672C">
        <w:rPr>
          <w:rFonts w:ascii="Arial" w:hAnsi="Arial" w:cs="Arial"/>
          <w:iCs/>
        </w:rPr>
        <w:t>ppellant</w:t>
      </w:r>
      <w:proofErr w:type="spellEnd"/>
      <w:r w:rsidRPr="0080672C">
        <w:rPr>
          <w:rFonts w:ascii="Arial" w:hAnsi="Arial" w:cs="Arial"/>
          <w:iCs/>
        </w:rPr>
        <w:t xml:space="preserve">, free of rent and for a monthly salary of R400.  Robert </w:t>
      </w:r>
      <w:proofErr w:type="spellStart"/>
      <w:r w:rsidRPr="0080672C">
        <w:rPr>
          <w:rFonts w:ascii="Arial" w:hAnsi="Arial" w:cs="Arial"/>
          <w:iCs/>
        </w:rPr>
        <w:t>Bason</w:t>
      </w:r>
      <w:proofErr w:type="spellEnd"/>
      <w:r w:rsidRPr="0080672C">
        <w:rPr>
          <w:rFonts w:ascii="Arial" w:hAnsi="Arial" w:cs="Arial"/>
          <w:iCs/>
        </w:rPr>
        <w:t xml:space="preserve"> (Pw2) corroborated the evidence of the </w:t>
      </w:r>
      <w:r>
        <w:rPr>
          <w:rFonts w:ascii="Arial" w:hAnsi="Arial" w:cs="Arial"/>
          <w:iCs/>
        </w:rPr>
        <w:t>r</w:t>
      </w:r>
      <w:r w:rsidRPr="0080672C">
        <w:rPr>
          <w:rFonts w:ascii="Arial" w:hAnsi="Arial" w:cs="Arial"/>
          <w:iCs/>
        </w:rPr>
        <w:t>espondent and stated that he has been engaged as the caretaker. The board on a consideration of the evidence stated thus –</w:t>
      </w:r>
    </w:p>
    <w:p w:rsidR="00A54B86" w:rsidRPr="0080672C" w:rsidRDefault="00A54B86" w:rsidP="00A54B86">
      <w:pPr>
        <w:jc w:val="both"/>
        <w:rPr>
          <w:rFonts w:ascii="Arial" w:hAnsi="Arial" w:cs="Arial"/>
          <w:i/>
          <w:iCs/>
        </w:rPr>
      </w:pPr>
    </w:p>
    <w:p w:rsidR="00A54B86" w:rsidRPr="00051414" w:rsidRDefault="00A54B86" w:rsidP="00A54B86">
      <w:pPr>
        <w:ind w:left="720" w:right="684"/>
        <w:jc w:val="both"/>
        <w:rPr>
          <w:rFonts w:ascii="Arial" w:hAnsi="Arial" w:cs="Arial"/>
          <w:iCs/>
        </w:rPr>
      </w:pPr>
      <w:r w:rsidRPr="00051414">
        <w:rPr>
          <w:rFonts w:ascii="Arial" w:hAnsi="Arial" w:cs="Arial"/>
          <w:iCs/>
        </w:rPr>
        <w:t>We are satisfied on a prep</w:t>
      </w:r>
      <w:r>
        <w:rPr>
          <w:rFonts w:ascii="Arial" w:hAnsi="Arial" w:cs="Arial"/>
          <w:iCs/>
        </w:rPr>
        <w:t>o</w:t>
      </w:r>
      <w:r w:rsidRPr="00051414">
        <w:rPr>
          <w:rFonts w:ascii="Arial" w:hAnsi="Arial" w:cs="Arial"/>
          <w:iCs/>
        </w:rPr>
        <w:t xml:space="preserve">nderance of probabilities that the </w:t>
      </w:r>
      <w:r>
        <w:rPr>
          <w:rFonts w:ascii="Arial" w:hAnsi="Arial" w:cs="Arial"/>
          <w:iCs/>
        </w:rPr>
        <w:t>a</w:t>
      </w:r>
      <w:r w:rsidRPr="00051414">
        <w:rPr>
          <w:rFonts w:ascii="Arial" w:hAnsi="Arial" w:cs="Arial"/>
          <w:iCs/>
        </w:rPr>
        <w:t xml:space="preserve">pplicant reasonably and bona fide requires the cottage to house her employee in her estate with whom the </w:t>
      </w:r>
      <w:r>
        <w:rPr>
          <w:rFonts w:ascii="Arial" w:hAnsi="Arial" w:cs="Arial"/>
          <w:iCs/>
        </w:rPr>
        <w:t>a</w:t>
      </w:r>
      <w:r w:rsidRPr="00051414">
        <w:rPr>
          <w:rFonts w:ascii="Arial" w:hAnsi="Arial" w:cs="Arial"/>
          <w:iCs/>
        </w:rPr>
        <w:t>pplicant has entered into a contract of employment with condition of housing accommodation being provided in pursuance of such employment.</w:t>
      </w:r>
    </w:p>
    <w:p w:rsidR="00A54B86" w:rsidRPr="0080672C" w:rsidRDefault="00A54B86" w:rsidP="00A54B86">
      <w:pPr>
        <w:jc w:val="both"/>
        <w:rPr>
          <w:rFonts w:ascii="Arial" w:hAnsi="Arial" w:cs="Arial"/>
          <w:i/>
          <w:iCs/>
        </w:rPr>
      </w:pPr>
    </w:p>
    <w:p w:rsidR="00A54B86" w:rsidRPr="0080672C" w:rsidRDefault="00A54B86" w:rsidP="00A54B86">
      <w:pPr>
        <w:jc w:val="both"/>
        <w:rPr>
          <w:rFonts w:ascii="Arial" w:hAnsi="Arial" w:cs="Arial"/>
          <w:iCs/>
        </w:rPr>
      </w:pPr>
      <w:r w:rsidRPr="0080672C">
        <w:rPr>
          <w:rFonts w:ascii="Arial" w:hAnsi="Arial" w:cs="Arial"/>
          <w:iCs/>
        </w:rPr>
        <w:t xml:space="preserve">In the case of </w:t>
      </w:r>
      <w:proofErr w:type="spellStart"/>
      <w:r w:rsidRPr="00051414">
        <w:rPr>
          <w:rFonts w:ascii="Arial" w:hAnsi="Arial" w:cs="Arial"/>
          <w:i/>
          <w:iCs/>
        </w:rPr>
        <w:t>Dubel</w:t>
      </w:r>
      <w:proofErr w:type="spellEnd"/>
      <w:r w:rsidRPr="00051414">
        <w:rPr>
          <w:rFonts w:ascii="Arial" w:hAnsi="Arial" w:cs="Arial"/>
          <w:i/>
          <w:iCs/>
        </w:rPr>
        <w:t xml:space="preserve"> v Bossy</w:t>
      </w:r>
      <w:r w:rsidRPr="00051414">
        <w:rPr>
          <w:rFonts w:ascii="Arial" w:hAnsi="Arial" w:cs="Arial"/>
          <w:iCs/>
        </w:rPr>
        <w:t xml:space="preserve"> </w:t>
      </w:r>
      <w:r w:rsidRPr="0080672C">
        <w:rPr>
          <w:rFonts w:ascii="Arial" w:hAnsi="Arial" w:cs="Arial"/>
          <w:iCs/>
        </w:rPr>
        <w:t>(1973) S</w:t>
      </w:r>
      <w:r>
        <w:rPr>
          <w:rFonts w:ascii="Arial" w:hAnsi="Arial" w:cs="Arial"/>
          <w:iCs/>
        </w:rPr>
        <w:t>L</w:t>
      </w:r>
      <w:r w:rsidRPr="0080672C">
        <w:rPr>
          <w:rFonts w:ascii="Arial" w:hAnsi="Arial" w:cs="Arial"/>
          <w:iCs/>
        </w:rPr>
        <w:t xml:space="preserve">R 385, </w:t>
      </w:r>
      <w:proofErr w:type="spellStart"/>
      <w:r w:rsidRPr="0080672C">
        <w:rPr>
          <w:rFonts w:ascii="Arial" w:hAnsi="Arial" w:cs="Arial"/>
          <w:iCs/>
        </w:rPr>
        <w:t>Sauzier</w:t>
      </w:r>
      <w:proofErr w:type="spellEnd"/>
      <w:r w:rsidRPr="0080672C">
        <w:rPr>
          <w:rFonts w:ascii="Arial" w:hAnsi="Arial" w:cs="Arial"/>
          <w:iCs/>
        </w:rPr>
        <w:t xml:space="preserve"> J gave a strict interpretation to paragraph (f) of </w:t>
      </w:r>
      <w:r>
        <w:rPr>
          <w:rFonts w:ascii="Arial" w:hAnsi="Arial" w:cs="Arial"/>
          <w:iCs/>
        </w:rPr>
        <w:t>s</w:t>
      </w:r>
      <w:r w:rsidRPr="0080672C">
        <w:rPr>
          <w:rFonts w:ascii="Arial" w:hAnsi="Arial" w:cs="Arial"/>
          <w:iCs/>
        </w:rPr>
        <w:t xml:space="preserve">ection 10(2) and held that "there must be a subsisting contract of employment between the </w:t>
      </w:r>
      <w:proofErr w:type="spellStart"/>
      <w:r w:rsidRPr="0080672C">
        <w:rPr>
          <w:rFonts w:ascii="Arial" w:hAnsi="Arial" w:cs="Arial"/>
          <w:iCs/>
        </w:rPr>
        <w:t>lessor</w:t>
      </w:r>
      <w:proofErr w:type="spellEnd"/>
      <w:r w:rsidRPr="0080672C">
        <w:rPr>
          <w:rFonts w:ascii="Arial" w:hAnsi="Arial" w:cs="Arial"/>
          <w:iCs/>
        </w:rPr>
        <w:t xml:space="preserve"> and some person before the provisions of paragraph (f) of </w:t>
      </w:r>
      <w:r>
        <w:rPr>
          <w:rFonts w:ascii="Arial" w:hAnsi="Arial" w:cs="Arial"/>
          <w:iCs/>
        </w:rPr>
        <w:t>s</w:t>
      </w:r>
      <w:r w:rsidRPr="0080672C">
        <w:rPr>
          <w:rFonts w:ascii="Arial" w:hAnsi="Arial" w:cs="Arial"/>
          <w:iCs/>
        </w:rPr>
        <w:t xml:space="preserve">ection 10(2) of the ordinance may be invoked as a ground of eviction".  In that case, the succeeding employee had not yet been appointed, and the </w:t>
      </w:r>
      <w:proofErr w:type="spellStart"/>
      <w:r w:rsidRPr="0080672C">
        <w:rPr>
          <w:rFonts w:ascii="Arial" w:hAnsi="Arial" w:cs="Arial"/>
          <w:iCs/>
        </w:rPr>
        <w:t>lessor</w:t>
      </w:r>
      <w:proofErr w:type="spellEnd"/>
      <w:r w:rsidRPr="0080672C">
        <w:rPr>
          <w:rFonts w:ascii="Arial" w:hAnsi="Arial" w:cs="Arial"/>
          <w:iCs/>
        </w:rPr>
        <w:t xml:space="preserve"> in his testimony stated "I have to employ somebody to work the property.  I can't until the </w:t>
      </w:r>
      <w:r>
        <w:rPr>
          <w:rFonts w:ascii="Arial" w:hAnsi="Arial" w:cs="Arial"/>
          <w:iCs/>
        </w:rPr>
        <w:t>a</w:t>
      </w:r>
      <w:r w:rsidRPr="0080672C">
        <w:rPr>
          <w:rFonts w:ascii="Arial" w:hAnsi="Arial" w:cs="Arial"/>
          <w:iCs/>
        </w:rPr>
        <w:t xml:space="preserve">ppellant moves out of the house". The essence of the ground contained in paragraph (f) is to grant relief to a </w:t>
      </w:r>
      <w:proofErr w:type="spellStart"/>
      <w:r w:rsidRPr="0080672C">
        <w:rPr>
          <w:rFonts w:ascii="Arial" w:hAnsi="Arial" w:cs="Arial"/>
          <w:iCs/>
        </w:rPr>
        <w:t>lessor</w:t>
      </w:r>
      <w:proofErr w:type="spellEnd"/>
      <w:r w:rsidRPr="0080672C">
        <w:rPr>
          <w:rFonts w:ascii="Arial" w:hAnsi="Arial" w:cs="Arial"/>
          <w:iCs/>
        </w:rPr>
        <w:t>, who is also an employer</w:t>
      </w:r>
      <w:r>
        <w:rPr>
          <w:rFonts w:ascii="Arial" w:hAnsi="Arial" w:cs="Arial"/>
          <w:iCs/>
        </w:rPr>
        <w:t>,</w:t>
      </w:r>
      <w:r w:rsidRPr="0080672C">
        <w:rPr>
          <w:rFonts w:ascii="Arial" w:hAnsi="Arial" w:cs="Arial"/>
          <w:iCs/>
        </w:rPr>
        <w:t xml:space="preserve"> to obtain possession of a house let to an employee whose employment has been terminated.  For that purpose there should necessarily be a nexus between employment and housing as part of the contract. In such circumstances the contract of tenancy ends with the termination of employment, and hence the employer should be able to obtain vacant possession of the premises to accommodate the succeeding employee with a similar condition regarding accommodation.</w:t>
      </w:r>
    </w:p>
    <w:p w:rsidR="00A54B86" w:rsidRPr="0080672C" w:rsidRDefault="001E7E39" w:rsidP="00A54B86">
      <w:pPr>
        <w:jc w:val="both"/>
        <w:rPr>
          <w:rFonts w:ascii="Arial" w:hAnsi="Arial" w:cs="Arial"/>
          <w:iCs/>
        </w:rPr>
      </w:pPr>
      <w:r w:rsidRPr="001E7E39">
        <w:rPr>
          <w:rFonts w:ascii="Arial" w:hAnsi="Arial" w:cs="Arial"/>
          <w:iCs/>
          <w:noProof/>
        </w:rPr>
        <w:pict>
          <v:shape id="_x0000_s1029" type="#_x0000_t202" style="position:absolute;left:0;text-align:left;margin-left:-31.1pt;margin-top:-224.1pt;width:30pt;height:531.55pt;z-index:251663360;mso-height-percent:200;mso-height-percent:200;mso-width-relative:margin;mso-height-relative:margin" stroked="f" strokecolor="white [3212]">
            <v:textbox style="mso-next-textbox:#_x0000_s1029;mso-fit-shape-to-text:t">
              <w:txbxContent>
                <w:p w:rsidR="00A54B86" w:rsidRPr="00FF49DF" w:rsidRDefault="00A54B86" w:rsidP="00A54B86">
                  <w:pPr>
                    <w:rPr>
                      <w:rFonts w:ascii="Arial" w:hAnsi="Arial" w:cs="Arial"/>
                      <w:b/>
                      <w:i/>
                      <w:lang w:val="en-NZ"/>
                    </w:rPr>
                  </w:pPr>
                </w:p>
              </w:txbxContent>
            </v:textbox>
          </v:shape>
        </w:pict>
      </w:r>
    </w:p>
    <w:p w:rsidR="00A54B86" w:rsidRPr="0080672C" w:rsidRDefault="00A54B86" w:rsidP="00A54B86">
      <w:pPr>
        <w:jc w:val="both"/>
        <w:rPr>
          <w:rFonts w:ascii="Arial" w:hAnsi="Arial" w:cs="Arial"/>
          <w:iCs/>
        </w:rPr>
      </w:pPr>
      <w:r w:rsidRPr="0080672C">
        <w:rPr>
          <w:rFonts w:ascii="Arial" w:hAnsi="Arial" w:cs="Arial"/>
          <w:iCs/>
        </w:rPr>
        <w:t xml:space="preserve">In the </w:t>
      </w:r>
      <w:proofErr w:type="spellStart"/>
      <w:r w:rsidRPr="00051414">
        <w:rPr>
          <w:rFonts w:ascii="Arial" w:hAnsi="Arial" w:cs="Arial"/>
          <w:i/>
          <w:iCs/>
        </w:rPr>
        <w:t>Dubel</w:t>
      </w:r>
      <w:proofErr w:type="spellEnd"/>
      <w:r w:rsidRPr="00051414">
        <w:rPr>
          <w:rFonts w:ascii="Arial" w:hAnsi="Arial" w:cs="Arial"/>
          <w:iCs/>
        </w:rPr>
        <w:t xml:space="preserve"> case </w:t>
      </w:r>
      <w:r w:rsidRPr="0080672C">
        <w:rPr>
          <w:rFonts w:ascii="Arial" w:hAnsi="Arial" w:cs="Arial"/>
          <w:iCs/>
        </w:rPr>
        <w:t xml:space="preserve">(supra), the Court allowed the appeal thereby permitting the lessee whose employment had been admittedly terminated to continue in occupation of the premises merely because the </w:t>
      </w:r>
      <w:proofErr w:type="spellStart"/>
      <w:r w:rsidRPr="0080672C">
        <w:rPr>
          <w:rFonts w:ascii="Arial" w:hAnsi="Arial" w:cs="Arial"/>
          <w:iCs/>
        </w:rPr>
        <w:t>lessor</w:t>
      </w:r>
      <w:proofErr w:type="spellEnd"/>
      <w:r w:rsidRPr="0080672C">
        <w:rPr>
          <w:rFonts w:ascii="Arial" w:hAnsi="Arial" w:cs="Arial"/>
          <w:iCs/>
        </w:rPr>
        <w:t xml:space="preserve"> employer had not yet employed a successor. With respect, that was an interpretation which was grossly inconsistent with the rationale of the provisions of </w:t>
      </w:r>
      <w:r>
        <w:rPr>
          <w:rFonts w:ascii="Arial" w:hAnsi="Arial" w:cs="Arial"/>
          <w:iCs/>
        </w:rPr>
        <w:t>s</w:t>
      </w:r>
      <w:r w:rsidRPr="0080672C">
        <w:rPr>
          <w:rFonts w:ascii="Arial" w:hAnsi="Arial" w:cs="Arial"/>
          <w:iCs/>
        </w:rPr>
        <w:t xml:space="preserve">ection 10(2), especially as the </w:t>
      </w:r>
      <w:proofErr w:type="spellStart"/>
      <w:r w:rsidRPr="0080672C">
        <w:rPr>
          <w:rFonts w:ascii="Arial" w:hAnsi="Arial" w:cs="Arial"/>
          <w:iCs/>
        </w:rPr>
        <w:t>lessor</w:t>
      </w:r>
      <w:proofErr w:type="spellEnd"/>
      <w:r w:rsidRPr="0080672C">
        <w:rPr>
          <w:rFonts w:ascii="Arial" w:hAnsi="Arial" w:cs="Arial"/>
          <w:iCs/>
        </w:rPr>
        <w:t xml:space="preserve"> may not have had any other ground under </w:t>
      </w:r>
      <w:r>
        <w:rPr>
          <w:rFonts w:ascii="Arial" w:hAnsi="Arial" w:cs="Arial"/>
          <w:iCs/>
        </w:rPr>
        <w:t>s</w:t>
      </w:r>
      <w:r w:rsidRPr="0080672C">
        <w:rPr>
          <w:rFonts w:ascii="Arial" w:hAnsi="Arial" w:cs="Arial"/>
          <w:iCs/>
        </w:rPr>
        <w:t xml:space="preserve">ection 10(2) to evict a person who had been a lessee only because he was his employee, and the </w:t>
      </w:r>
      <w:proofErr w:type="spellStart"/>
      <w:r w:rsidRPr="0080672C">
        <w:rPr>
          <w:rFonts w:ascii="Arial" w:hAnsi="Arial" w:cs="Arial"/>
          <w:iCs/>
        </w:rPr>
        <w:t>lessor</w:t>
      </w:r>
      <w:proofErr w:type="spellEnd"/>
      <w:r w:rsidRPr="0080672C">
        <w:rPr>
          <w:rFonts w:ascii="Arial" w:hAnsi="Arial" w:cs="Arial"/>
          <w:iCs/>
        </w:rPr>
        <w:t xml:space="preserve"> - lessee relationship had ceased, and a succeeding employee may not accept employment until he is assured of housing accommodation.</w:t>
      </w:r>
    </w:p>
    <w:p w:rsidR="00A54B86" w:rsidRPr="0080672C" w:rsidRDefault="00A54B86" w:rsidP="00A54B86">
      <w:pPr>
        <w:jc w:val="both"/>
        <w:rPr>
          <w:rFonts w:ascii="Arial" w:hAnsi="Arial" w:cs="Arial"/>
          <w:iCs/>
        </w:rPr>
      </w:pPr>
    </w:p>
    <w:p w:rsidR="00A54B86" w:rsidRPr="0080672C" w:rsidRDefault="00A54B86" w:rsidP="00A54B86">
      <w:pPr>
        <w:jc w:val="both"/>
        <w:rPr>
          <w:rFonts w:ascii="Arial" w:hAnsi="Arial" w:cs="Arial"/>
          <w:iCs/>
        </w:rPr>
      </w:pPr>
      <w:r w:rsidRPr="0080672C">
        <w:rPr>
          <w:rFonts w:ascii="Arial" w:hAnsi="Arial" w:cs="Arial"/>
          <w:iCs/>
        </w:rPr>
        <w:t xml:space="preserve">In the instant case, the nexus between the </w:t>
      </w:r>
      <w:r>
        <w:rPr>
          <w:rFonts w:ascii="Arial" w:hAnsi="Arial" w:cs="Arial"/>
          <w:iCs/>
        </w:rPr>
        <w:t>a</w:t>
      </w:r>
      <w:r w:rsidRPr="0080672C">
        <w:rPr>
          <w:rFonts w:ascii="Arial" w:hAnsi="Arial" w:cs="Arial"/>
          <w:iCs/>
        </w:rPr>
        <w:t xml:space="preserve">ppellant and the </w:t>
      </w:r>
      <w:r>
        <w:rPr>
          <w:rFonts w:ascii="Arial" w:hAnsi="Arial" w:cs="Arial"/>
          <w:iCs/>
        </w:rPr>
        <w:t>t</w:t>
      </w:r>
      <w:r w:rsidRPr="0080672C">
        <w:rPr>
          <w:rFonts w:ascii="Arial" w:hAnsi="Arial" w:cs="Arial"/>
          <w:iCs/>
        </w:rPr>
        <w:t xml:space="preserve">enancy was the care and support he and his wife gave the aged parents of the </w:t>
      </w:r>
      <w:r>
        <w:rPr>
          <w:rFonts w:ascii="Arial" w:hAnsi="Arial" w:cs="Arial"/>
          <w:iCs/>
        </w:rPr>
        <w:t>r</w:t>
      </w:r>
      <w:r w:rsidRPr="0080672C">
        <w:rPr>
          <w:rFonts w:ascii="Arial" w:hAnsi="Arial" w:cs="Arial"/>
          <w:iCs/>
        </w:rPr>
        <w:t xml:space="preserve">espondent. That nexus ended with their deaths.  The </w:t>
      </w:r>
      <w:r>
        <w:rPr>
          <w:rFonts w:ascii="Arial" w:hAnsi="Arial" w:cs="Arial"/>
          <w:iCs/>
        </w:rPr>
        <w:t>r</w:t>
      </w:r>
      <w:r w:rsidRPr="0080672C">
        <w:rPr>
          <w:rFonts w:ascii="Arial" w:hAnsi="Arial" w:cs="Arial"/>
          <w:iCs/>
        </w:rPr>
        <w:t xml:space="preserve">espondent as an </w:t>
      </w:r>
      <w:r>
        <w:rPr>
          <w:rFonts w:ascii="Arial" w:hAnsi="Arial" w:cs="Arial"/>
          <w:iCs/>
        </w:rPr>
        <w:t>a</w:t>
      </w:r>
      <w:r w:rsidRPr="0080672C">
        <w:rPr>
          <w:rFonts w:ascii="Arial" w:hAnsi="Arial" w:cs="Arial"/>
          <w:iCs/>
        </w:rPr>
        <w:t xml:space="preserve">ct of gratitude transferred a parcel of land </w:t>
      </w:r>
      <w:r w:rsidRPr="0080672C">
        <w:rPr>
          <w:rFonts w:ascii="Arial" w:hAnsi="Arial" w:cs="Arial"/>
          <w:iCs/>
        </w:rPr>
        <w:lastRenderedPageBreak/>
        <w:t>adjacent to the cottage they are occupying and gave them sufficient time to build a house of their own. They do not seem to be in such indigent circumstances, as they offered to purchase the entire property for 1 million rupees. There is no</w:t>
      </w:r>
      <w:r>
        <w:rPr>
          <w:rFonts w:ascii="Arial" w:hAnsi="Arial" w:cs="Arial"/>
          <w:iCs/>
        </w:rPr>
        <w:t xml:space="preserve"> legal justification for the appe</w:t>
      </w:r>
      <w:r w:rsidRPr="0080672C">
        <w:rPr>
          <w:rFonts w:ascii="Arial" w:hAnsi="Arial" w:cs="Arial"/>
          <w:iCs/>
        </w:rPr>
        <w:t xml:space="preserve">llant to continue in occupation of the dwelling house of </w:t>
      </w:r>
      <w:r>
        <w:rPr>
          <w:rFonts w:ascii="Arial" w:hAnsi="Arial" w:cs="Arial"/>
          <w:iCs/>
        </w:rPr>
        <w:t>p</w:t>
      </w:r>
      <w:r w:rsidRPr="0080672C">
        <w:rPr>
          <w:rFonts w:ascii="Arial" w:hAnsi="Arial" w:cs="Arial"/>
          <w:iCs/>
        </w:rPr>
        <w:t xml:space="preserve">arcel T 1637.  The </w:t>
      </w:r>
      <w:r>
        <w:rPr>
          <w:rFonts w:ascii="Arial" w:hAnsi="Arial" w:cs="Arial"/>
          <w:iCs/>
        </w:rPr>
        <w:t>B</w:t>
      </w:r>
      <w:r w:rsidRPr="0080672C">
        <w:rPr>
          <w:rFonts w:ascii="Arial" w:hAnsi="Arial" w:cs="Arial"/>
          <w:iCs/>
        </w:rPr>
        <w:t xml:space="preserve">oard was satisfied that the </w:t>
      </w:r>
      <w:r>
        <w:rPr>
          <w:rFonts w:ascii="Arial" w:hAnsi="Arial" w:cs="Arial"/>
          <w:iCs/>
        </w:rPr>
        <w:t>r</w:t>
      </w:r>
      <w:r w:rsidRPr="0080672C">
        <w:rPr>
          <w:rFonts w:ascii="Arial" w:hAnsi="Arial" w:cs="Arial"/>
          <w:iCs/>
        </w:rPr>
        <w:t xml:space="preserve">espondent had employed one Robert </w:t>
      </w:r>
      <w:proofErr w:type="spellStart"/>
      <w:r w:rsidRPr="0080672C">
        <w:rPr>
          <w:rFonts w:ascii="Arial" w:hAnsi="Arial" w:cs="Arial"/>
          <w:iCs/>
        </w:rPr>
        <w:t>Bason</w:t>
      </w:r>
      <w:proofErr w:type="spellEnd"/>
      <w:r w:rsidRPr="0080672C">
        <w:rPr>
          <w:rFonts w:ascii="Arial" w:hAnsi="Arial" w:cs="Arial"/>
          <w:iCs/>
        </w:rPr>
        <w:t xml:space="preserve"> as a caretaker of the property on payment of a monthly salary and on condition that accommodation would be provided</w:t>
      </w:r>
      <w:r>
        <w:rPr>
          <w:rFonts w:ascii="Arial" w:hAnsi="Arial" w:cs="Arial"/>
          <w:iCs/>
        </w:rPr>
        <w:t>,</w:t>
      </w:r>
      <w:r w:rsidRPr="0080672C">
        <w:rPr>
          <w:rFonts w:ascii="Arial" w:hAnsi="Arial" w:cs="Arial"/>
          <w:iCs/>
        </w:rPr>
        <w:t xml:space="preserve"> as the </w:t>
      </w:r>
      <w:r>
        <w:rPr>
          <w:rFonts w:ascii="Arial" w:hAnsi="Arial" w:cs="Arial"/>
          <w:iCs/>
        </w:rPr>
        <w:t>a</w:t>
      </w:r>
      <w:r w:rsidRPr="0080672C">
        <w:rPr>
          <w:rFonts w:ascii="Arial" w:hAnsi="Arial" w:cs="Arial"/>
          <w:iCs/>
        </w:rPr>
        <w:t xml:space="preserve">ppellant's services were in any case unsatisfactory. This case should therefore be distinguished from the </w:t>
      </w:r>
      <w:proofErr w:type="spellStart"/>
      <w:r w:rsidRPr="00051414">
        <w:rPr>
          <w:rFonts w:ascii="Arial" w:hAnsi="Arial" w:cs="Arial"/>
          <w:i/>
          <w:iCs/>
        </w:rPr>
        <w:t>Dubel</w:t>
      </w:r>
      <w:proofErr w:type="spellEnd"/>
      <w:r w:rsidRPr="00051414">
        <w:rPr>
          <w:rFonts w:ascii="Arial" w:hAnsi="Arial" w:cs="Arial"/>
          <w:iCs/>
        </w:rPr>
        <w:t xml:space="preserve"> case </w:t>
      </w:r>
      <w:r w:rsidRPr="0080672C">
        <w:rPr>
          <w:rFonts w:ascii="Arial" w:hAnsi="Arial" w:cs="Arial"/>
          <w:iCs/>
        </w:rPr>
        <w:t>(supra). The Court accepts the findings of facts made by the board on that issue.</w:t>
      </w:r>
    </w:p>
    <w:p w:rsidR="00A54B86" w:rsidRPr="0080672C" w:rsidRDefault="00A54B86" w:rsidP="00A54B86">
      <w:pPr>
        <w:jc w:val="both"/>
        <w:rPr>
          <w:rFonts w:ascii="Arial" w:hAnsi="Arial" w:cs="Arial"/>
          <w:iCs/>
        </w:rPr>
      </w:pPr>
    </w:p>
    <w:p w:rsidR="00A54B86" w:rsidRPr="0080672C" w:rsidRDefault="00A54B86" w:rsidP="00A54B86">
      <w:pPr>
        <w:jc w:val="both"/>
        <w:rPr>
          <w:rFonts w:ascii="Arial" w:hAnsi="Arial" w:cs="Arial"/>
          <w:iCs/>
        </w:rPr>
      </w:pPr>
      <w:r w:rsidRPr="0080672C">
        <w:rPr>
          <w:rFonts w:ascii="Arial" w:hAnsi="Arial" w:cs="Arial"/>
          <w:iCs/>
        </w:rPr>
        <w:t xml:space="preserve">The </w:t>
      </w:r>
      <w:r>
        <w:rPr>
          <w:rFonts w:ascii="Arial" w:hAnsi="Arial" w:cs="Arial"/>
          <w:iCs/>
        </w:rPr>
        <w:t>B</w:t>
      </w:r>
      <w:r w:rsidRPr="0080672C">
        <w:rPr>
          <w:rFonts w:ascii="Arial" w:hAnsi="Arial" w:cs="Arial"/>
          <w:iCs/>
        </w:rPr>
        <w:t xml:space="preserve">oard further noted that the question of a balance of hardship need not be considered under the proviso to </w:t>
      </w:r>
      <w:r>
        <w:rPr>
          <w:rFonts w:ascii="Arial" w:hAnsi="Arial" w:cs="Arial"/>
          <w:iCs/>
        </w:rPr>
        <w:t>s</w:t>
      </w:r>
      <w:r w:rsidRPr="0080672C">
        <w:rPr>
          <w:rFonts w:ascii="Arial" w:hAnsi="Arial" w:cs="Arial"/>
          <w:iCs/>
        </w:rPr>
        <w:t xml:space="preserve">ection 10(2) of the Act in the case of an eviction under </w:t>
      </w:r>
      <w:r>
        <w:rPr>
          <w:rFonts w:ascii="Arial" w:hAnsi="Arial" w:cs="Arial"/>
          <w:iCs/>
        </w:rPr>
        <w:t>s</w:t>
      </w:r>
      <w:r w:rsidRPr="0080672C">
        <w:rPr>
          <w:rFonts w:ascii="Arial" w:hAnsi="Arial" w:cs="Arial"/>
          <w:iCs/>
        </w:rPr>
        <w:t>ection 10(2) as in the instan</w:t>
      </w:r>
      <w:r>
        <w:rPr>
          <w:rFonts w:ascii="Arial" w:hAnsi="Arial" w:cs="Arial"/>
          <w:iCs/>
        </w:rPr>
        <w:t>t</w:t>
      </w:r>
      <w:r w:rsidRPr="0080672C">
        <w:rPr>
          <w:rFonts w:ascii="Arial" w:hAnsi="Arial" w:cs="Arial"/>
          <w:iCs/>
        </w:rPr>
        <w:t xml:space="preserve"> case, but proceeded to give two months time to vacate, in the interest of justice. This Court finds no justification to interfere </w:t>
      </w:r>
      <w:proofErr w:type="gramStart"/>
      <w:r w:rsidRPr="0080672C">
        <w:rPr>
          <w:rFonts w:ascii="Arial" w:hAnsi="Arial" w:cs="Arial"/>
          <w:iCs/>
        </w:rPr>
        <w:t>with that finding of fact nor</w:t>
      </w:r>
      <w:proofErr w:type="gramEnd"/>
      <w:r w:rsidRPr="0080672C">
        <w:rPr>
          <w:rFonts w:ascii="Arial" w:hAnsi="Arial" w:cs="Arial"/>
          <w:iCs/>
        </w:rPr>
        <w:t xml:space="preserve"> with the order made for eviction. Grounds 3 and 4 therefore fail.</w:t>
      </w:r>
    </w:p>
    <w:p w:rsidR="00A54B86" w:rsidRPr="0080672C" w:rsidRDefault="00A54B86" w:rsidP="00A54B86">
      <w:pPr>
        <w:jc w:val="both"/>
        <w:rPr>
          <w:rFonts w:ascii="Arial" w:hAnsi="Arial" w:cs="Arial"/>
          <w:iCs/>
        </w:rPr>
      </w:pPr>
    </w:p>
    <w:p w:rsidR="00A54B86" w:rsidRPr="0080672C" w:rsidRDefault="00A54B86" w:rsidP="00A54B86">
      <w:pPr>
        <w:jc w:val="both"/>
        <w:rPr>
          <w:rFonts w:ascii="Arial" w:hAnsi="Arial" w:cs="Arial"/>
          <w:iCs/>
        </w:rPr>
      </w:pPr>
      <w:r w:rsidRPr="0080672C">
        <w:rPr>
          <w:rFonts w:ascii="Arial" w:hAnsi="Arial" w:cs="Arial"/>
          <w:iCs/>
        </w:rPr>
        <w:t>The appeal is accordingly dismissed with costs.</w:t>
      </w:r>
    </w:p>
    <w:p w:rsidR="00A54B86" w:rsidRPr="0080672C" w:rsidRDefault="00A54B86" w:rsidP="00A54B86">
      <w:pPr>
        <w:jc w:val="both"/>
        <w:rPr>
          <w:rFonts w:ascii="Arial" w:hAnsi="Arial" w:cs="Arial"/>
          <w:iCs/>
        </w:rPr>
      </w:pPr>
    </w:p>
    <w:p w:rsidR="00A54B86" w:rsidRPr="0080672C" w:rsidRDefault="00A54B86" w:rsidP="00A54B86">
      <w:pPr>
        <w:rPr>
          <w:rFonts w:ascii="Arial" w:hAnsi="Arial" w:cs="Arial"/>
          <w:iCs/>
          <w:u w:val="single"/>
        </w:rPr>
      </w:pPr>
    </w:p>
    <w:p w:rsidR="00A54B86" w:rsidRPr="0080672C" w:rsidRDefault="00A54B86" w:rsidP="00A54B86">
      <w:pPr>
        <w:rPr>
          <w:rFonts w:ascii="Arial" w:hAnsi="Arial" w:cs="Arial"/>
          <w:b/>
          <w:iCs/>
        </w:rPr>
      </w:pPr>
      <w:r w:rsidRPr="0080672C">
        <w:rPr>
          <w:rFonts w:ascii="Arial" w:hAnsi="Arial" w:cs="Arial"/>
          <w:b/>
          <w:iCs/>
        </w:rPr>
        <w:t xml:space="preserve">Record:  </w:t>
      </w:r>
      <w:r>
        <w:rPr>
          <w:rFonts w:ascii="Arial" w:hAnsi="Arial" w:cs="Arial"/>
          <w:b/>
          <w:iCs/>
        </w:rPr>
        <w:t>Court of Appeal (</w:t>
      </w:r>
      <w:r w:rsidRPr="0080672C">
        <w:rPr>
          <w:rFonts w:ascii="Arial" w:hAnsi="Arial" w:cs="Arial"/>
          <w:b/>
          <w:iCs/>
        </w:rPr>
        <w:t>Civil No 11 of 1998</w:t>
      </w:r>
      <w:r>
        <w:rPr>
          <w:rFonts w:ascii="Arial" w:hAnsi="Arial" w:cs="Arial"/>
          <w:b/>
          <w:iCs/>
        </w:rPr>
        <w:t>)</w:t>
      </w:r>
    </w:p>
    <w:sectPr w:rsidR="00A54B86" w:rsidRPr="0080672C"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A4CB0"/>
    <w:multiLevelType w:val="hybridMultilevel"/>
    <w:tmpl w:val="A4AE16F2"/>
    <w:lvl w:ilvl="0" w:tplc="BE8A5C1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B86"/>
    <w:rsid w:val="000A4006"/>
    <w:rsid w:val="00156AE5"/>
    <w:rsid w:val="001A0374"/>
    <w:rsid w:val="001E7E39"/>
    <w:rsid w:val="00637430"/>
    <w:rsid w:val="006D36C9"/>
    <w:rsid w:val="00725760"/>
    <w:rsid w:val="00982DDD"/>
    <w:rsid w:val="00A54B86"/>
    <w:rsid w:val="00AB43FA"/>
    <w:rsid w:val="00AD75CD"/>
    <w:rsid w:val="00D40D14"/>
    <w:rsid w:val="00E629B2"/>
    <w:rsid w:val="00EE71C1"/>
    <w:rsid w:val="00F516DD"/>
    <w:rsid w:val="00F62EB8"/>
    <w:rsid w:val="00F77486"/>
    <w:rsid w:val="00FC4EBD"/>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8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11782</Characters>
  <Application>Microsoft Office Word</Application>
  <DocSecurity>0</DocSecurity>
  <Lines>98</Lines>
  <Paragraphs>27</Paragraphs>
  <ScaleCrop>false</ScaleCrop>
  <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cp:lastPrinted>2014-01-16T10:57:00Z</cp:lastPrinted>
  <dcterms:created xsi:type="dcterms:W3CDTF">2014-01-16T10:57:00Z</dcterms:created>
  <dcterms:modified xsi:type="dcterms:W3CDTF">2014-01-16T10:57:00Z</dcterms:modified>
</cp:coreProperties>
</file>