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7FE" w:rsidRPr="002A4B9F" w:rsidRDefault="007917FE" w:rsidP="007917FE">
      <w:pPr>
        <w:shd w:val="clear" w:color="auto" w:fill="FFFFFF"/>
        <w:tabs>
          <w:tab w:val="left" w:pos="6672"/>
        </w:tabs>
        <w:ind w:left="29"/>
        <w:contextualSpacing/>
        <w:jc w:val="center"/>
        <w:rPr>
          <w:rFonts w:ascii="Arial" w:hAnsi="Arial" w:cs="Arial"/>
          <w:color w:val="000000"/>
        </w:rPr>
      </w:pPr>
      <w:proofErr w:type="spellStart"/>
      <w:r>
        <w:rPr>
          <w:rFonts w:ascii="Arial" w:hAnsi="Arial" w:cs="Arial"/>
          <w:b/>
          <w:bCs/>
          <w:color w:val="000000"/>
        </w:rPr>
        <w:t>Krishnamart</w:t>
      </w:r>
      <w:proofErr w:type="spellEnd"/>
      <w:r>
        <w:rPr>
          <w:rFonts w:ascii="Arial" w:hAnsi="Arial" w:cs="Arial"/>
          <w:b/>
          <w:bCs/>
          <w:color w:val="000000"/>
        </w:rPr>
        <w:t xml:space="preserve"> &amp; Co (Pty) </w:t>
      </w:r>
      <w:r>
        <w:rPr>
          <w:rFonts w:ascii="Arial" w:hAnsi="Arial" w:cs="Arial"/>
          <w:b/>
          <w:color w:val="000000"/>
        </w:rPr>
        <w:t>Ltd v</w:t>
      </w:r>
    </w:p>
    <w:p w:rsidR="007917FE" w:rsidRDefault="007917FE" w:rsidP="007917FE">
      <w:pPr>
        <w:shd w:val="clear" w:color="auto" w:fill="FFFFFF"/>
        <w:tabs>
          <w:tab w:val="left" w:pos="6672"/>
        </w:tabs>
        <w:ind w:left="29"/>
        <w:contextualSpacing/>
        <w:jc w:val="center"/>
        <w:rPr>
          <w:rFonts w:ascii="Arial" w:hAnsi="Arial" w:cs="Arial"/>
          <w:b/>
          <w:color w:val="000000"/>
        </w:rPr>
      </w:pPr>
      <w:r>
        <w:rPr>
          <w:rFonts w:ascii="Arial" w:hAnsi="Arial" w:cs="Arial"/>
          <w:b/>
          <w:bCs/>
          <w:color w:val="000000"/>
        </w:rPr>
        <w:t xml:space="preserve">Harry </w:t>
      </w:r>
      <w:proofErr w:type="spellStart"/>
      <w:r>
        <w:rPr>
          <w:rFonts w:ascii="Arial" w:hAnsi="Arial" w:cs="Arial"/>
          <w:b/>
          <w:bCs/>
          <w:color w:val="000000"/>
        </w:rPr>
        <w:t>Savy</w:t>
      </w:r>
      <w:proofErr w:type="spellEnd"/>
      <w:r>
        <w:rPr>
          <w:rFonts w:ascii="Arial" w:hAnsi="Arial" w:cs="Arial"/>
          <w:b/>
          <w:bCs/>
          <w:color w:val="000000"/>
        </w:rPr>
        <w:t xml:space="preserve"> </w:t>
      </w:r>
      <w:r>
        <w:rPr>
          <w:rFonts w:ascii="Arial" w:hAnsi="Arial" w:cs="Arial"/>
          <w:b/>
          <w:color w:val="000000"/>
        </w:rPr>
        <w:t>Insurance Co Ltd</w:t>
      </w:r>
    </w:p>
    <w:p w:rsidR="007917FE" w:rsidRPr="002A4B9F" w:rsidRDefault="007917FE" w:rsidP="007917FE">
      <w:pPr>
        <w:shd w:val="clear" w:color="auto" w:fill="FFFFFF"/>
        <w:tabs>
          <w:tab w:val="left" w:pos="6672"/>
        </w:tabs>
        <w:ind w:left="29"/>
        <w:contextualSpacing/>
        <w:jc w:val="center"/>
        <w:rPr>
          <w:rFonts w:ascii="Arial" w:hAnsi="Arial" w:cs="Arial"/>
          <w:b/>
          <w:color w:val="000000"/>
        </w:rPr>
      </w:pPr>
      <w:r>
        <w:rPr>
          <w:rFonts w:ascii="Arial" w:hAnsi="Arial" w:cs="Arial"/>
          <w:b/>
          <w:color w:val="000000"/>
        </w:rPr>
        <w:t>(2000) SLR 46</w:t>
      </w:r>
    </w:p>
    <w:p w:rsidR="007917FE" w:rsidRPr="002A4B9F" w:rsidRDefault="007917FE" w:rsidP="007917FE">
      <w:pPr>
        <w:shd w:val="clear" w:color="auto" w:fill="FFFFFF"/>
        <w:tabs>
          <w:tab w:val="left" w:pos="6672"/>
        </w:tabs>
        <w:ind w:left="29"/>
        <w:contextualSpacing/>
        <w:jc w:val="both"/>
        <w:rPr>
          <w:rFonts w:ascii="Arial" w:hAnsi="Arial" w:cs="Arial"/>
          <w:b/>
          <w:color w:val="000000"/>
        </w:rPr>
      </w:pPr>
    </w:p>
    <w:p w:rsidR="007917FE" w:rsidRPr="002A4B9F" w:rsidRDefault="007917FE" w:rsidP="007917FE">
      <w:pPr>
        <w:shd w:val="clear" w:color="auto" w:fill="FFFFFF"/>
        <w:ind w:left="19" w:right="11"/>
        <w:contextualSpacing/>
        <w:jc w:val="both"/>
        <w:rPr>
          <w:rFonts w:ascii="Arial" w:hAnsi="Arial" w:cs="Arial"/>
          <w:i/>
          <w:iCs/>
          <w:color w:val="000000"/>
        </w:rPr>
      </w:pPr>
    </w:p>
    <w:p w:rsidR="007917FE" w:rsidRPr="002A4B9F" w:rsidRDefault="007917FE" w:rsidP="007917FE">
      <w:pPr>
        <w:shd w:val="clear" w:color="auto" w:fill="FFFFFF"/>
        <w:ind w:left="19" w:right="11"/>
        <w:contextualSpacing/>
        <w:rPr>
          <w:rFonts w:ascii="Arial" w:hAnsi="Arial" w:cs="Arial"/>
          <w:iCs/>
          <w:color w:val="000000"/>
        </w:rPr>
      </w:pPr>
      <w:r>
        <w:rPr>
          <w:rFonts w:ascii="Arial" w:hAnsi="Arial" w:cs="Arial"/>
          <w:color w:val="000000"/>
        </w:rPr>
        <w:t xml:space="preserve">Antony </w:t>
      </w:r>
      <w:proofErr w:type="spellStart"/>
      <w:r>
        <w:rPr>
          <w:rFonts w:ascii="Arial" w:hAnsi="Arial" w:cs="Arial"/>
          <w:color w:val="000000"/>
        </w:rPr>
        <w:t>Derjacques</w:t>
      </w:r>
      <w:proofErr w:type="spellEnd"/>
      <w:r>
        <w:rPr>
          <w:rFonts w:ascii="Arial" w:hAnsi="Arial" w:cs="Arial"/>
          <w:color w:val="000000"/>
        </w:rPr>
        <w:t xml:space="preserve"> for the plaintiff </w:t>
      </w:r>
    </w:p>
    <w:p w:rsidR="007917FE" w:rsidRPr="002A4B9F" w:rsidRDefault="007917FE" w:rsidP="007917FE">
      <w:pPr>
        <w:shd w:val="clear" w:color="auto" w:fill="FFFFFF"/>
        <w:ind w:left="19" w:right="11"/>
        <w:contextualSpacing/>
        <w:rPr>
          <w:rFonts w:ascii="Arial" w:hAnsi="Arial" w:cs="Arial"/>
          <w:iCs/>
          <w:color w:val="000000"/>
        </w:rPr>
      </w:pPr>
      <w:r>
        <w:rPr>
          <w:rFonts w:ascii="Arial" w:hAnsi="Arial" w:cs="Arial"/>
          <w:color w:val="000000"/>
        </w:rPr>
        <w:t>Francis Chang Sam for the defendant</w:t>
      </w:r>
    </w:p>
    <w:p w:rsidR="007917FE" w:rsidRPr="002A4B9F" w:rsidRDefault="007917FE" w:rsidP="007917FE">
      <w:pPr>
        <w:shd w:val="clear" w:color="auto" w:fill="FFFFFF"/>
        <w:ind w:left="19" w:right="11"/>
        <w:contextualSpacing/>
        <w:rPr>
          <w:rFonts w:ascii="Arial" w:hAnsi="Arial" w:cs="Arial"/>
          <w:i/>
          <w:iCs/>
          <w:color w:val="000000"/>
        </w:rPr>
      </w:pPr>
    </w:p>
    <w:p w:rsidR="007917FE" w:rsidRPr="002A4B9F" w:rsidRDefault="007917FE" w:rsidP="007917FE">
      <w:pPr>
        <w:shd w:val="clear" w:color="auto" w:fill="FFFFFF"/>
        <w:ind w:right="11"/>
        <w:contextualSpacing/>
        <w:rPr>
          <w:rFonts w:ascii="Arial" w:hAnsi="Arial" w:cs="Arial"/>
          <w:b/>
        </w:rPr>
      </w:pPr>
      <w:r>
        <w:rPr>
          <w:rFonts w:ascii="Arial" w:hAnsi="Arial" w:cs="Arial"/>
          <w:b/>
          <w:color w:val="000000"/>
        </w:rPr>
        <w:t>Ruling delivered on 14 January 2000 by:</w:t>
      </w:r>
    </w:p>
    <w:p w:rsidR="007917FE" w:rsidRPr="002A4B9F" w:rsidRDefault="007917FE" w:rsidP="007917FE">
      <w:pPr>
        <w:shd w:val="clear" w:color="auto" w:fill="FFFFFF"/>
        <w:ind w:left="19" w:right="11"/>
        <w:contextualSpacing/>
        <w:jc w:val="both"/>
        <w:rPr>
          <w:rFonts w:ascii="Arial" w:hAnsi="Arial" w:cs="Arial"/>
          <w:i/>
          <w:iCs/>
          <w:color w:val="000000"/>
        </w:rPr>
      </w:pPr>
    </w:p>
    <w:p w:rsidR="007917FE" w:rsidRPr="002A4B9F" w:rsidRDefault="007917FE" w:rsidP="007917FE">
      <w:pPr>
        <w:shd w:val="clear" w:color="auto" w:fill="FFFFFF"/>
        <w:contextualSpacing/>
        <w:jc w:val="both"/>
        <w:rPr>
          <w:rFonts w:ascii="Arial" w:hAnsi="Arial" w:cs="Arial"/>
          <w:i/>
          <w:iCs/>
          <w:color w:val="000000"/>
        </w:rPr>
      </w:pPr>
      <w:r>
        <w:rPr>
          <w:rFonts w:ascii="Arial" w:hAnsi="Arial" w:cs="Arial"/>
          <w:b/>
          <w:bCs/>
          <w:color w:val="000000"/>
        </w:rPr>
        <w:t>ALLEEAR CJ:</w:t>
      </w:r>
      <w:r>
        <w:rPr>
          <w:rFonts w:ascii="Arial" w:hAnsi="Arial" w:cs="Arial"/>
          <w:bCs/>
          <w:color w:val="000000"/>
        </w:rPr>
        <w:t xml:space="preserve">  </w:t>
      </w:r>
      <w:r>
        <w:rPr>
          <w:rFonts w:ascii="Arial" w:hAnsi="Arial" w:cs="Arial"/>
          <w:color w:val="000000"/>
        </w:rPr>
        <w:t>In the present action the Supreme Court, in its judgment of 28 March 1999 found the defendant liable to make good the plaintiff’s loss which resulted in a fire at the commercial complex owned by the plaintiff.</w:t>
      </w:r>
    </w:p>
    <w:p w:rsidR="007917FE" w:rsidRPr="002A4B9F" w:rsidRDefault="007917FE" w:rsidP="007917FE">
      <w:pPr>
        <w:shd w:val="clear" w:color="auto" w:fill="FFFFFF"/>
        <w:ind w:left="19" w:right="11"/>
        <w:contextualSpacing/>
        <w:jc w:val="both"/>
        <w:rPr>
          <w:rFonts w:ascii="Arial" w:hAnsi="Arial" w:cs="Arial"/>
        </w:rPr>
      </w:pPr>
    </w:p>
    <w:p w:rsidR="007917FE" w:rsidRPr="002A4B9F" w:rsidRDefault="007917FE" w:rsidP="007917FE">
      <w:pPr>
        <w:shd w:val="clear" w:color="auto" w:fill="FFFFFF"/>
        <w:ind w:left="19" w:right="11"/>
        <w:contextualSpacing/>
        <w:jc w:val="both"/>
        <w:rPr>
          <w:rFonts w:ascii="Arial" w:hAnsi="Arial" w:cs="Arial"/>
          <w:i/>
          <w:iCs/>
          <w:color w:val="000000"/>
        </w:rPr>
      </w:pPr>
      <w:r>
        <w:rPr>
          <w:rFonts w:ascii="Arial" w:hAnsi="Arial" w:cs="Arial"/>
          <w:color w:val="000000"/>
        </w:rPr>
        <w:t xml:space="preserve">An appeal was lodged to the Seychelles Court of Appeal against the said judgment of the Supreme Court. At the hearing of the appeal, </w:t>
      </w:r>
      <w:proofErr w:type="spellStart"/>
      <w:r>
        <w:rPr>
          <w:rFonts w:ascii="Arial" w:hAnsi="Arial" w:cs="Arial"/>
          <w:color w:val="000000"/>
        </w:rPr>
        <w:t>Hamid</w:t>
      </w:r>
      <w:proofErr w:type="spellEnd"/>
      <w:r>
        <w:rPr>
          <w:rFonts w:ascii="Arial" w:hAnsi="Arial" w:cs="Arial"/>
          <w:color w:val="000000"/>
        </w:rPr>
        <w:t xml:space="preserve"> </w:t>
      </w:r>
      <w:proofErr w:type="spellStart"/>
      <w:r>
        <w:rPr>
          <w:rFonts w:ascii="Arial" w:hAnsi="Arial" w:cs="Arial"/>
          <w:color w:val="000000"/>
        </w:rPr>
        <w:t>Moolan</w:t>
      </w:r>
      <w:proofErr w:type="spellEnd"/>
      <w:r>
        <w:rPr>
          <w:rFonts w:ascii="Arial" w:hAnsi="Arial" w:cs="Arial"/>
          <w:color w:val="000000"/>
        </w:rPr>
        <w:t xml:space="preserve"> Q.C. conceded that there was a contract to provide an insurance cover by the defendant company to the plaintiff, but sought to canvass an issue not pleaded, namely that the plaintiff was in breach of the "contract of insurance." It would appear that </w:t>
      </w:r>
      <w:proofErr w:type="spellStart"/>
      <w:r>
        <w:rPr>
          <w:rFonts w:ascii="Arial" w:hAnsi="Arial" w:cs="Arial"/>
          <w:color w:val="000000"/>
        </w:rPr>
        <w:t>Hamid</w:t>
      </w:r>
      <w:proofErr w:type="spellEnd"/>
      <w:r>
        <w:rPr>
          <w:rFonts w:ascii="Arial" w:hAnsi="Arial" w:cs="Arial"/>
          <w:color w:val="000000"/>
        </w:rPr>
        <w:t xml:space="preserve"> </w:t>
      </w:r>
      <w:proofErr w:type="spellStart"/>
      <w:r>
        <w:rPr>
          <w:rFonts w:ascii="Arial" w:hAnsi="Arial" w:cs="Arial"/>
          <w:color w:val="000000"/>
        </w:rPr>
        <w:t>Moolan</w:t>
      </w:r>
      <w:proofErr w:type="spellEnd"/>
      <w:r>
        <w:rPr>
          <w:rFonts w:ascii="Arial" w:hAnsi="Arial" w:cs="Arial"/>
          <w:color w:val="000000"/>
        </w:rPr>
        <w:t xml:space="preserve"> Q.C. was unable to prevail upon the Seychelles Court of Appeal to accede to his viewpoint.</w:t>
      </w:r>
    </w:p>
    <w:p w:rsidR="007917FE" w:rsidRPr="002A4B9F" w:rsidRDefault="007917FE" w:rsidP="007917FE">
      <w:pPr>
        <w:shd w:val="clear" w:color="auto" w:fill="FFFFFF"/>
        <w:ind w:left="19" w:right="11" w:firstLine="706"/>
        <w:contextualSpacing/>
        <w:jc w:val="both"/>
        <w:rPr>
          <w:rFonts w:ascii="Arial" w:hAnsi="Arial" w:cs="Arial"/>
        </w:rPr>
      </w:pPr>
    </w:p>
    <w:p w:rsidR="007917FE" w:rsidRPr="002A4B9F" w:rsidRDefault="007917FE" w:rsidP="007917FE">
      <w:pPr>
        <w:shd w:val="clear" w:color="auto" w:fill="FFFFFF"/>
        <w:ind w:left="19" w:right="11"/>
        <w:contextualSpacing/>
        <w:jc w:val="both"/>
        <w:rPr>
          <w:rFonts w:ascii="Arial" w:hAnsi="Arial" w:cs="Arial"/>
          <w:i/>
          <w:iCs/>
          <w:color w:val="000000"/>
        </w:rPr>
      </w:pPr>
      <w:r>
        <w:rPr>
          <w:rFonts w:ascii="Arial" w:hAnsi="Arial" w:cs="Arial"/>
          <w:color w:val="000000"/>
        </w:rPr>
        <w:t xml:space="preserve">It will be recalled that in his statement of </w:t>
      </w:r>
      <w:proofErr w:type="spellStart"/>
      <w:r>
        <w:rPr>
          <w:rFonts w:ascii="Arial" w:hAnsi="Arial" w:cs="Arial"/>
          <w:color w:val="000000"/>
        </w:rPr>
        <w:t>defence</w:t>
      </w:r>
      <w:proofErr w:type="spellEnd"/>
      <w:r>
        <w:rPr>
          <w:rFonts w:ascii="Arial" w:hAnsi="Arial" w:cs="Arial"/>
          <w:color w:val="000000"/>
        </w:rPr>
        <w:t xml:space="preserve">, paragraph 6, the defendant had stated: </w:t>
      </w:r>
    </w:p>
    <w:p w:rsidR="007917FE" w:rsidRPr="002A4B9F" w:rsidRDefault="007917FE" w:rsidP="007917FE">
      <w:pPr>
        <w:shd w:val="clear" w:color="auto" w:fill="FFFFFF"/>
        <w:ind w:left="19" w:right="11" w:firstLine="715"/>
        <w:contextualSpacing/>
        <w:jc w:val="both"/>
        <w:rPr>
          <w:rFonts w:ascii="Arial" w:hAnsi="Arial" w:cs="Arial"/>
        </w:rPr>
      </w:pPr>
    </w:p>
    <w:p w:rsidR="007917FE" w:rsidRPr="0023617D" w:rsidRDefault="007917FE" w:rsidP="007917FE">
      <w:pPr>
        <w:shd w:val="clear" w:color="auto" w:fill="FFFFFF"/>
        <w:ind w:left="540" w:right="504"/>
        <w:contextualSpacing/>
        <w:jc w:val="both"/>
        <w:rPr>
          <w:rFonts w:ascii="Arial" w:hAnsi="Arial" w:cs="Arial"/>
        </w:rPr>
      </w:pPr>
      <w:r w:rsidRPr="0023617D">
        <w:rPr>
          <w:rFonts w:ascii="Arial" w:hAnsi="Arial" w:cs="Arial"/>
          <w:color w:val="000000"/>
        </w:rPr>
        <w:t xml:space="preserve">As regards paragraph 9 of </w:t>
      </w:r>
      <w:r w:rsidRPr="0023617D">
        <w:rPr>
          <w:rFonts w:ascii="Arial" w:hAnsi="Arial" w:cs="Arial"/>
          <w:bCs/>
          <w:color w:val="000000"/>
        </w:rPr>
        <w:t xml:space="preserve">the plaint, defendant </w:t>
      </w:r>
      <w:r w:rsidRPr="0023617D">
        <w:rPr>
          <w:rFonts w:ascii="Arial" w:hAnsi="Arial" w:cs="Arial"/>
          <w:color w:val="000000"/>
        </w:rPr>
        <w:t xml:space="preserve">has </w:t>
      </w:r>
      <w:r w:rsidRPr="0023617D">
        <w:rPr>
          <w:rFonts w:ascii="Arial" w:hAnsi="Arial" w:cs="Arial"/>
          <w:bCs/>
          <w:color w:val="000000"/>
        </w:rPr>
        <w:t xml:space="preserve">never been </w:t>
      </w:r>
      <w:r w:rsidRPr="0023617D">
        <w:rPr>
          <w:rFonts w:ascii="Arial" w:hAnsi="Arial" w:cs="Arial"/>
          <w:color w:val="000000"/>
        </w:rPr>
        <w:t>requested to issue any Fire or Special Perils Policy and did not</w:t>
      </w:r>
      <w:r w:rsidRPr="0023617D">
        <w:rPr>
          <w:rFonts w:ascii="Arial" w:hAnsi="Arial" w:cs="Arial"/>
        </w:rPr>
        <w:t xml:space="preserve"> </w:t>
      </w:r>
      <w:r w:rsidRPr="0023617D">
        <w:rPr>
          <w:rFonts w:ascii="Arial" w:hAnsi="Arial" w:cs="Arial"/>
          <w:color w:val="000000"/>
        </w:rPr>
        <w:t>therefore do so.</w:t>
      </w:r>
    </w:p>
    <w:p w:rsidR="007917FE" w:rsidRPr="002A4B9F" w:rsidRDefault="007917FE" w:rsidP="007917FE">
      <w:pPr>
        <w:shd w:val="clear" w:color="auto" w:fill="FFFFFF"/>
        <w:ind w:left="34" w:firstLine="562"/>
        <w:contextualSpacing/>
        <w:jc w:val="both"/>
        <w:rPr>
          <w:rFonts w:ascii="Arial" w:hAnsi="Arial" w:cs="Arial"/>
          <w:i/>
          <w:color w:val="000000"/>
        </w:rPr>
      </w:pPr>
    </w:p>
    <w:p w:rsidR="007917FE" w:rsidRPr="002A4B9F" w:rsidRDefault="007917FE" w:rsidP="007917FE">
      <w:pPr>
        <w:shd w:val="clear" w:color="auto" w:fill="FFFFFF"/>
        <w:ind w:left="34"/>
        <w:contextualSpacing/>
        <w:jc w:val="both"/>
        <w:rPr>
          <w:rFonts w:ascii="Arial" w:hAnsi="Arial" w:cs="Arial"/>
          <w:i/>
          <w:color w:val="000000"/>
        </w:rPr>
      </w:pPr>
      <w:r>
        <w:rPr>
          <w:rFonts w:ascii="Arial" w:hAnsi="Arial" w:cs="Arial"/>
          <w:color w:val="000000"/>
        </w:rPr>
        <w:t xml:space="preserve">In paragraph 8 of the statement of </w:t>
      </w:r>
      <w:proofErr w:type="spellStart"/>
      <w:r>
        <w:rPr>
          <w:rFonts w:ascii="Arial" w:hAnsi="Arial" w:cs="Arial"/>
          <w:color w:val="000000"/>
        </w:rPr>
        <w:t>defence</w:t>
      </w:r>
      <w:proofErr w:type="spellEnd"/>
      <w:r>
        <w:rPr>
          <w:rFonts w:ascii="Arial" w:hAnsi="Arial" w:cs="Arial"/>
          <w:color w:val="000000"/>
        </w:rPr>
        <w:t xml:space="preserve"> it had further been averred by the defendant that:</w:t>
      </w:r>
    </w:p>
    <w:p w:rsidR="007917FE" w:rsidRPr="002A4B9F" w:rsidRDefault="007917FE" w:rsidP="007917FE">
      <w:pPr>
        <w:shd w:val="clear" w:color="auto" w:fill="FFFFFF"/>
        <w:ind w:left="34" w:firstLine="562"/>
        <w:contextualSpacing/>
        <w:jc w:val="both"/>
        <w:rPr>
          <w:rFonts w:ascii="Arial" w:hAnsi="Arial" w:cs="Arial"/>
          <w:i/>
        </w:rPr>
      </w:pPr>
    </w:p>
    <w:p w:rsidR="007917FE" w:rsidRPr="0023617D" w:rsidRDefault="007917FE" w:rsidP="007917FE">
      <w:pPr>
        <w:shd w:val="clear" w:color="auto" w:fill="FFFFFF"/>
        <w:tabs>
          <w:tab w:val="left" w:pos="4445"/>
        </w:tabs>
        <w:ind w:left="540" w:right="504"/>
        <w:contextualSpacing/>
        <w:jc w:val="both"/>
        <w:rPr>
          <w:rFonts w:ascii="Arial" w:hAnsi="Arial" w:cs="Arial"/>
          <w:color w:val="000000"/>
        </w:rPr>
      </w:pPr>
      <w:r>
        <w:rPr>
          <w:rFonts w:ascii="Arial" w:hAnsi="Arial" w:cs="Arial"/>
          <w:color w:val="000000"/>
        </w:rPr>
        <w:t>D</w:t>
      </w:r>
      <w:r w:rsidRPr="0023617D">
        <w:rPr>
          <w:rFonts w:ascii="Arial" w:hAnsi="Arial" w:cs="Arial"/>
          <w:color w:val="000000"/>
        </w:rPr>
        <w:t>efendant denies paragraph 11 of</w:t>
      </w:r>
      <w:r w:rsidRPr="0023617D">
        <w:rPr>
          <w:rFonts w:ascii="Arial" w:hAnsi="Arial" w:cs="Arial"/>
          <w:iCs/>
          <w:color w:val="000000"/>
        </w:rPr>
        <w:t xml:space="preserve"> </w:t>
      </w:r>
      <w:r w:rsidRPr="0023617D">
        <w:rPr>
          <w:rFonts w:ascii="Arial" w:hAnsi="Arial" w:cs="Arial"/>
          <w:color w:val="000000"/>
        </w:rPr>
        <w:t>the plaint, specifically denies that the alleged peril or loss was covered by defendant or that there was any insurance contract</w:t>
      </w:r>
      <w:r w:rsidRPr="0023617D">
        <w:rPr>
          <w:rFonts w:ascii="Arial" w:hAnsi="Arial" w:cs="Arial"/>
          <w:iCs/>
          <w:color w:val="000000"/>
        </w:rPr>
        <w:t xml:space="preserve"> </w:t>
      </w:r>
      <w:r w:rsidRPr="0023617D">
        <w:rPr>
          <w:rFonts w:ascii="Arial" w:hAnsi="Arial" w:cs="Arial"/>
          <w:color w:val="000000"/>
        </w:rPr>
        <w:t>between plaintiff and defendant in</w:t>
      </w:r>
      <w:r w:rsidRPr="0023617D">
        <w:rPr>
          <w:rFonts w:ascii="Arial" w:hAnsi="Arial" w:cs="Arial"/>
          <w:iCs/>
          <w:color w:val="000000"/>
        </w:rPr>
        <w:t xml:space="preserve"> r</w:t>
      </w:r>
      <w:r w:rsidRPr="0023617D">
        <w:rPr>
          <w:rFonts w:ascii="Arial" w:hAnsi="Arial" w:cs="Arial"/>
          <w:color w:val="000000"/>
        </w:rPr>
        <w:t>espect thereof.</w:t>
      </w:r>
    </w:p>
    <w:p w:rsidR="007917FE" w:rsidRPr="002A4B9F" w:rsidRDefault="007917FE" w:rsidP="007917FE">
      <w:pPr>
        <w:shd w:val="clear" w:color="auto" w:fill="FFFFFF"/>
        <w:tabs>
          <w:tab w:val="left" w:pos="4445"/>
        </w:tabs>
        <w:ind w:left="540" w:right="504"/>
        <w:contextualSpacing/>
        <w:jc w:val="both"/>
        <w:rPr>
          <w:rFonts w:ascii="Arial" w:hAnsi="Arial" w:cs="Arial"/>
          <w:i/>
          <w:color w:val="000000"/>
        </w:rPr>
      </w:pPr>
    </w:p>
    <w:p w:rsidR="007917FE" w:rsidRPr="002A4B9F" w:rsidRDefault="007917FE" w:rsidP="007917FE">
      <w:pPr>
        <w:shd w:val="clear" w:color="auto" w:fill="FFFFFF"/>
        <w:tabs>
          <w:tab w:val="left" w:pos="5194"/>
        </w:tabs>
        <w:contextualSpacing/>
        <w:jc w:val="both"/>
        <w:rPr>
          <w:rFonts w:ascii="Arial" w:hAnsi="Arial" w:cs="Arial"/>
          <w:i/>
          <w:color w:val="000000"/>
        </w:rPr>
      </w:pPr>
      <w:r>
        <w:rPr>
          <w:rFonts w:ascii="Arial" w:hAnsi="Arial" w:cs="Arial"/>
          <w:color w:val="000000"/>
        </w:rPr>
        <w:t>In light of the above, liability was denied by the defendant</w:t>
      </w:r>
      <w:r>
        <w:rPr>
          <w:rFonts w:ascii="Arial" w:hAnsi="Arial" w:cs="Arial"/>
          <w:i/>
          <w:color w:val="000000"/>
        </w:rPr>
        <w:t xml:space="preserve"> </w:t>
      </w:r>
      <w:r>
        <w:rPr>
          <w:rFonts w:ascii="Arial" w:hAnsi="Arial" w:cs="Arial"/>
          <w:color w:val="000000"/>
        </w:rPr>
        <w:t xml:space="preserve">who prayed for the dismissal of the plaintiff’s action with costs. The defendant did not aver in his statement of </w:t>
      </w:r>
      <w:proofErr w:type="spellStart"/>
      <w:r>
        <w:rPr>
          <w:rFonts w:ascii="Arial" w:hAnsi="Arial" w:cs="Arial"/>
          <w:color w:val="000000"/>
        </w:rPr>
        <w:t>defence</w:t>
      </w:r>
      <w:proofErr w:type="spellEnd"/>
      <w:r>
        <w:rPr>
          <w:rFonts w:ascii="Arial" w:hAnsi="Arial" w:cs="Arial"/>
          <w:color w:val="000000"/>
        </w:rPr>
        <w:t xml:space="preserve"> that, "in the alternative, if there was a contract of insurance between the parties, the plaintiff was in breach of the terms of the said contract."</w:t>
      </w:r>
    </w:p>
    <w:p w:rsidR="007917FE" w:rsidRPr="002A4B9F" w:rsidRDefault="007917FE" w:rsidP="007917FE">
      <w:pPr>
        <w:shd w:val="clear" w:color="auto" w:fill="FFFFFF"/>
        <w:tabs>
          <w:tab w:val="left" w:pos="5194"/>
        </w:tabs>
        <w:contextualSpacing/>
        <w:jc w:val="both"/>
        <w:rPr>
          <w:rFonts w:ascii="Arial" w:hAnsi="Arial" w:cs="Arial"/>
          <w:i/>
        </w:rPr>
      </w:pPr>
    </w:p>
    <w:p w:rsidR="007917FE" w:rsidRPr="002A4B9F" w:rsidRDefault="007917FE" w:rsidP="007917FE">
      <w:pPr>
        <w:shd w:val="clear" w:color="auto" w:fill="FFFFFF"/>
        <w:contextualSpacing/>
        <w:jc w:val="both"/>
        <w:rPr>
          <w:rFonts w:ascii="Arial" w:hAnsi="Arial" w:cs="Arial"/>
          <w:i/>
          <w:color w:val="000000"/>
        </w:rPr>
      </w:pPr>
      <w:r>
        <w:rPr>
          <w:rFonts w:ascii="Arial" w:hAnsi="Arial" w:cs="Arial"/>
          <w:color w:val="000000"/>
        </w:rPr>
        <w:t xml:space="preserve">On the day the plaintiff’s witness David Grant, a quantity surveyor, was about to depose, Mr. Chang Sam, who had replaced Mr. </w:t>
      </w:r>
      <w:proofErr w:type="spellStart"/>
      <w:r>
        <w:rPr>
          <w:rFonts w:ascii="Arial" w:hAnsi="Arial" w:cs="Arial"/>
          <w:color w:val="000000"/>
        </w:rPr>
        <w:t>Valabhji</w:t>
      </w:r>
      <w:proofErr w:type="spellEnd"/>
      <w:r>
        <w:rPr>
          <w:rFonts w:ascii="Arial" w:hAnsi="Arial" w:cs="Arial"/>
          <w:color w:val="000000"/>
        </w:rPr>
        <w:t xml:space="preserve"> as defendant's counsel raised a preliminary objection to the effect that since the plaintiff was in breach of the terms of the insurance policy, the court could not hear evidence on the issue of quantum. As David Grant had come from England specifically to depose in the case, the court took his testimony, but reserved the ruling on the preliminary objection of Mr. F. Chang Sam. If the objection of Mr. Chang Sam finds </w:t>
      </w:r>
      <w:proofErr w:type="spellStart"/>
      <w:r>
        <w:rPr>
          <w:rFonts w:ascii="Arial" w:hAnsi="Arial" w:cs="Arial"/>
          <w:color w:val="000000"/>
        </w:rPr>
        <w:t>favour</w:t>
      </w:r>
      <w:proofErr w:type="spellEnd"/>
      <w:r>
        <w:rPr>
          <w:rFonts w:ascii="Arial" w:hAnsi="Arial" w:cs="Arial"/>
          <w:color w:val="000000"/>
        </w:rPr>
        <w:t xml:space="preserve"> with this court, it goes without saying that </w:t>
      </w:r>
      <w:r>
        <w:rPr>
          <w:rFonts w:ascii="Arial" w:hAnsi="Arial" w:cs="Arial"/>
          <w:color w:val="000000"/>
        </w:rPr>
        <w:lastRenderedPageBreak/>
        <w:t>the question of quantum of damages to be awarded will not arise.</w:t>
      </w:r>
    </w:p>
    <w:p w:rsidR="007917FE" w:rsidRPr="002A4B9F" w:rsidRDefault="007917FE" w:rsidP="007917FE">
      <w:pPr>
        <w:shd w:val="clear" w:color="auto" w:fill="FFFFFF"/>
        <w:ind w:firstLine="571"/>
        <w:contextualSpacing/>
        <w:jc w:val="both"/>
        <w:rPr>
          <w:rFonts w:ascii="Arial" w:hAnsi="Arial" w:cs="Arial"/>
          <w:i/>
          <w:color w:val="000000"/>
        </w:rPr>
      </w:pPr>
    </w:p>
    <w:p w:rsidR="007917FE" w:rsidRPr="002A4B9F" w:rsidRDefault="007917FE" w:rsidP="007917FE">
      <w:pPr>
        <w:shd w:val="clear" w:color="auto" w:fill="FFFFFF"/>
        <w:contextualSpacing/>
        <w:rPr>
          <w:rFonts w:ascii="Arial" w:hAnsi="Arial" w:cs="Arial"/>
          <w:color w:val="000000"/>
        </w:rPr>
      </w:pPr>
      <w:r>
        <w:rPr>
          <w:rFonts w:ascii="Arial" w:hAnsi="Arial" w:cs="Arial"/>
          <w:color w:val="000000"/>
        </w:rPr>
        <w:t>Section 75 of the Seychelles Code of Civil Procedure provides:</w:t>
      </w:r>
    </w:p>
    <w:p w:rsidR="007917FE" w:rsidRPr="002A4B9F" w:rsidRDefault="007917FE" w:rsidP="007917FE">
      <w:pPr>
        <w:shd w:val="clear" w:color="auto" w:fill="FFFFFF"/>
        <w:ind w:left="600" w:right="641"/>
        <w:contextualSpacing/>
        <w:rPr>
          <w:rFonts w:ascii="Arial" w:hAnsi="Arial" w:cs="Arial"/>
        </w:rPr>
      </w:pPr>
    </w:p>
    <w:p w:rsidR="007917FE" w:rsidRPr="0023617D" w:rsidRDefault="007917FE" w:rsidP="007917FE">
      <w:pPr>
        <w:shd w:val="clear" w:color="auto" w:fill="FFFFFF"/>
        <w:ind w:left="360" w:right="504"/>
        <w:contextualSpacing/>
        <w:jc w:val="both"/>
        <w:rPr>
          <w:rFonts w:ascii="Arial" w:hAnsi="Arial" w:cs="Arial"/>
          <w:b/>
        </w:rPr>
      </w:pPr>
      <w:r w:rsidRPr="0023617D">
        <w:rPr>
          <w:rFonts w:ascii="Arial" w:hAnsi="Arial" w:cs="Arial"/>
          <w:color w:val="000000"/>
        </w:rPr>
        <w:t xml:space="preserve">The statement of </w:t>
      </w:r>
      <w:proofErr w:type="spellStart"/>
      <w:r w:rsidRPr="0023617D">
        <w:rPr>
          <w:rFonts w:ascii="Arial" w:hAnsi="Arial" w:cs="Arial"/>
          <w:color w:val="000000"/>
        </w:rPr>
        <w:t>defence</w:t>
      </w:r>
      <w:proofErr w:type="spellEnd"/>
      <w:r w:rsidRPr="0023617D">
        <w:rPr>
          <w:rFonts w:ascii="Arial" w:hAnsi="Arial" w:cs="Arial"/>
          <w:color w:val="000000"/>
        </w:rPr>
        <w:t xml:space="preserve"> </w:t>
      </w:r>
      <w:r w:rsidRPr="0023617D">
        <w:rPr>
          <w:rFonts w:ascii="Arial" w:hAnsi="Arial" w:cs="Arial"/>
          <w:color w:val="000000"/>
          <w:u w:val="single"/>
        </w:rPr>
        <w:t>must</w:t>
      </w:r>
      <w:r w:rsidRPr="0023617D">
        <w:rPr>
          <w:rFonts w:ascii="Arial" w:hAnsi="Arial" w:cs="Arial"/>
          <w:iCs/>
          <w:color w:val="000000"/>
          <w:u w:val="single"/>
        </w:rPr>
        <w:t xml:space="preserve"> </w:t>
      </w:r>
      <w:r w:rsidRPr="0023617D">
        <w:rPr>
          <w:rFonts w:ascii="Arial" w:hAnsi="Arial" w:cs="Arial"/>
          <w:color w:val="000000"/>
          <w:u w:val="single"/>
        </w:rPr>
        <w:t>contain a clear and distinct</w:t>
      </w:r>
      <w:r w:rsidRPr="0023617D">
        <w:rPr>
          <w:rFonts w:ascii="Arial" w:hAnsi="Arial" w:cs="Arial"/>
          <w:iCs/>
          <w:color w:val="000000"/>
          <w:u w:val="single"/>
        </w:rPr>
        <w:t xml:space="preserve"> </w:t>
      </w:r>
      <w:r w:rsidRPr="0023617D">
        <w:rPr>
          <w:rFonts w:ascii="Arial" w:hAnsi="Arial" w:cs="Arial"/>
          <w:color w:val="000000"/>
        </w:rPr>
        <w:t>statement of the material facts on</w:t>
      </w:r>
      <w:r w:rsidRPr="0023617D">
        <w:rPr>
          <w:rFonts w:ascii="Arial" w:hAnsi="Arial" w:cs="Arial"/>
          <w:iCs/>
          <w:color w:val="000000"/>
        </w:rPr>
        <w:t xml:space="preserve"> </w:t>
      </w:r>
      <w:r w:rsidRPr="0023617D">
        <w:rPr>
          <w:rFonts w:ascii="Arial" w:hAnsi="Arial" w:cs="Arial"/>
          <w:color w:val="000000"/>
          <w:u w:val="single"/>
        </w:rPr>
        <w:t>which the defendant relies to meet</w:t>
      </w:r>
      <w:r w:rsidRPr="0023617D">
        <w:rPr>
          <w:rFonts w:ascii="Arial" w:hAnsi="Arial" w:cs="Arial"/>
          <w:iCs/>
          <w:color w:val="000000"/>
          <w:u w:val="single"/>
        </w:rPr>
        <w:t xml:space="preserve"> </w:t>
      </w:r>
      <w:r w:rsidRPr="0023617D">
        <w:rPr>
          <w:rFonts w:ascii="Arial" w:hAnsi="Arial" w:cs="Arial"/>
          <w:color w:val="000000"/>
          <w:u w:val="single"/>
        </w:rPr>
        <w:t>the claim</w:t>
      </w:r>
      <w:proofErr w:type="gramStart"/>
      <w:r w:rsidRPr="0023617D">
        <w:rPr>
          <w:rFonts w:ascii="Arial" w:hAnsi="Arial" w:cs="Arial"/>
          <w:color w:val="000000"/>
          <w:u w:val="single"/>
        </w:rPr>
        <w:t>,</w:t>
      </w:r>
      <w:r w:rsidRPr="0023617D">
        <w:rPr>
          <w:rFonts w:ascii="Arial" w:hAnsi="Arial" w:cs="Arial"/>
          <w:color w:val="000000"/>
        </w:rPr>
        <w:t xml:space="preserve"> </w:t>
      </w:r>
      <w:r w:rsidRPr="0023617D">
        <w:rPr>
          <w:rFonts w:ascii="Arial" w:hAnsi="Arial" w:cs="Arial"/>
          <w:iCs/>
          <w:color w:val="000000"/>
        </w:rPr>
        <w:t xml:space="preserve"> </w:t>
      </w:r>
      <w:r w:rsidRPr="0023617D">
        <w:rPr>
          <w:rFonts w:ascii="Arial" w:hAnsi="Arial" w:cs="Arial"/>
          <w:color w:val="000000"/>
        </w:rPr>
        <w:t>A</w:t>
      </w:r>
      <w:proofErr w:type="gramEnd"/>
      <w:r w:rsidRPr="0023617D">
        <w:rPr>
          <w:rFonts w:ascii="Arial" w:hAnsi="Arial" w:cs="Arial"/>
          <w:color w:val="000000"/>
        </w:rPr>
        <w:t xml:space="preserve"> mere general denial of</w:t>
      </w:r>
      <w:r w:rsidRPr="0023617D">
        <w:rPr>
          <w:rFonts w:ascii="Arial" w:hAnsi="Arial" w:cs="Arial"/>
          <w:iCs/>
          <w:color w:val="000000"/>
        </w:rPr>
        <w:t xml:space="preserve"> </w:t>
      </w:r>
      <w:r w:rsidRPr="0023617D">
        <w:rPr>
          <w:rFonts w:ascii="Arial" w:hAnsi="Arial" w:cs="Arial"/>
          <w:color w:val="000000"/>
        </w:rPr>
        <w:t>the plaintiff’s claim is not</w:t>
      </w:r>
      <w:r w:rsidRPr="0023617D">
        <w:rPr>
          <w:rFonts w:ascii="Arial" w:hAnsi="Arial" w:cs="Arial"/>
          <w:iCs/>
          <w:color w:val="000000"/>
        </w:rPr>
        <w:t xml:space="preserve"> </w:t>
      </w:r>
      <w:r w:rsidRPr="0023617D">
        <w:rPr>
          <w:rFonts w:ascii="Arial" w:hAnsi="Arial" w:cs="Arial"/>
          <w:color w:val="000000"/>
        </w:rPr>
        <w:t>sufficient. Material facts alleged in</w:t>
      </w:r>
      <w:r w:rsidRPr="0023617D">
        <w:rPr>
          <w:rFonts w:ascii="Arial" w:hAnsi="Arial" w:cs="Arial"/>
          <w:iCs/>
          <w:color w:val="000000"/>
        </w:rPr>
        <w:t xml:space="preserve"> </w:t>
      </w:r>
      <w:r w:rsidRPr="0023617D">
        <w:rPr>
          <w:rFonts w:ascii="Arial" w:hAnsi="Arial" w:cs="Arial"/>
          <w:color w:val="000000"/>
        </w:rPr>
        <w:t>the plaint must be distinctly</w:t>
      </w:r>
      <w:r w:rsidRPr="0023617D">
        <w:rPr>
          <w:rFonts w:ascii="Arial" w:hAnsi="Arial" w:cs="Arial"/>
          <w:iCs/>
          <w:color w:val="000000"/>
        </w:rPr>
        <w:t xml:space="preserve"> </w:t>
      </w:r>
      <w:r w:rsidRPr="0023617D">
        <w:rPr>
          <w:rFonts w:ascii="Arial" w:hAnsi="Arial" w:cs="Arial"/>
          <w:color w:val="000000"/>
        </w:rPr>
        <w:t>denied or they will be taken to be</w:t>
      </w:r>
      <w:r w:rsidRPr="0023617D">
        <w:rPr>
          <w:rFonts w:ascii="Arial" w:hAnsi="Arial" w:cs="Arial"/>
          <w:iCs/>
          <w:color w:val="000000"/>
        </w:rPr>
        <w:t xml:space="preserve"> </w:t>
      </w:r>
      <w:r w:rsidRPr="0023617D">
        <w:rPr>
          <w:rFonts w:ascii="Arial" w:hAnsi="Arial" w:cs="Arial"/>
          <w:color w:val="000000"/>
        </w:rPr>
        <w:t>admitted</w:t>
      </w:r>
      <w:r w:rsidRPr="0023617D">
        <w:rPr>
          <w:rFonts w:ascii="Arial" w:hAnsi="Arial" w:cs="Arial"/>
          <w:b/>
          <w:color w:val="000000"/>
        </w:rPr>
        <w:t xml:space="preserve">,” </w:t>
      </w:r>
      <w:r w:rsidRPr="0023617D">
        <w:rPr>
          <w:rFonts w:ascii="Arial" w:hAnsi="Arial" w:cs="Arial"/>
          <w:color w:val="000000"/>
        </w:rPr>
        <w:t>(Emphasis added).</w:t>
      </w:r>
    </w:p>
    <w:p w:rsidR="007917FE" w:rsidRPr="002A4B9F" w:rsidRDefault="007917FE" w:rsidP="007917FE">
      <w:pPr>
        <w:shd w:val="clear" w:color="auto" w:fill="FFFFFF"/>
        <w:ind w:left="5" w:firstLine="566"/>
        <w:contextualSpacing/>
        <w:jc w:val="both"/>
        <w:rPr>
          <w:rFonts w:ascii="Arial" w:hAnsi="Arial" w:cs="Arial"/>
          <w:i/>
          <w:color w:val="000000"/>
        </w:rPr>
      </w:pPr>
    </w:p>
    <w:p w:rsidR="007917FE" w:rsidRPr="002A4B9F" w:rsidRDefault="007917FE" w:rsidP="007917FE">
      <w:pPr>
        <w:shd w:val="clear" w:color="auto" w:fill="FFFFFF"/>
        <w:ind w:left="5"/>
        <w:contextualSpacing/>
        <w:jc w:val="both"/>
        <w:rPr>
          <w:rFonts w:ascii="Arial" w:hAnsi="Arial" w:cs="Arial"/>
          <w:b/>
          <w:i/>
          <w:color w:val="000000"/>
        </w:rPr>
      </w:pPr>
      <w:r>
        <w:rPr>
          <w:rFonts w:ascii="Arial" w:hAnsi="Arial" w:cs="Arial"/>
          <w:color w:val="000000"/>
        </w:rPr>
        <w:t xml:space="preserve">It is a procedural requirement that each party must state the whole of its case in the pleadings. The material facts on which the party intends to rely must be pleaded. If a </w:t>
      </w:r>
      <w:proofErr w:type="spellStart"/>
      <w:r>
        <w:rPr>
          <w:rFonts w:ascii="Arial" w:hAnsi="Arial" w:cs="Arial"/>
          <w:color w:val="000000"/>
        </w:rPr>
        <w:t>defence</w:t>
      </w:r>
      <w:proofErr w:type="spellEnd"/>
      <w:r>
        <w:rPr>
          <w:rFonts w:ascii="Arial" w:hAnsi="Arial" w:cs="Arial"/>
          <w:color w:val="000000"/>
        </w:rPr>
        <w:t xml:space="preserve"> is not raised in the pleadings, it may not be considered.  In civil litigation, each party must state its whole case and must plead all facts which he intends to rely upon. Otherwise, he cannot at the trial, give evidence of facts not pleaded. For instance, a </w:t>
      </w:r>
      <w:proofErr w:type="spellStart"/>
      <w:r>
        <w:rPr>
          <w:rFonts w:ascii="Arial" w:hAnsi="Arial" w:cs="Arial"/>
          <w:color w:val="000000"/>
        </w:rPr>
        <w:t>defence</w:t>
      </w:r>
      <w:proofErr w:type="spellEnd"/>
      <w:r>
        <w:rPr>
          <w:rFonts w:ascii="Arial" w:hAnsi="Arial" w:cs="Arial"/>
          <w:color w:val="000000"/>
        </w:rPr>
        <w:t xml:space="preserve"> of an act by a third party in a motor vehicle collision case not having been </w:t>
      </w:r>
      <w:proofErr w:type="gramStart"/>
      <w:r>
        <w:rPr>
          <w:rFonts w:ascii="Arial" w:hAnsi="Arial" w:cs="Arial"/>
          <w:color w:val="000000"/>
        </w:rPr>
        <w:t>pleaded,</w:t>
      </w:r>
      <w:proofErr w:type="gramEnd"/>
      <w:r>
        <w:rPr>
          <w:rFonts w:ascii="Arial" w:hAnsi="Arial" w:cs="Arial"/>
          <w:color w:val="000000"/>
        </w:rPr>
        <w:t xml:space="preserve"> cannot be considered. (Vide </w:t>
      </w:r>
      <w:r w:rsidRPr="00221F7B">
        <w:rPr>
          <w:rFonts w:ascii="Arial" w:hAnsi="Arial" w:cs="Arial"/>
          <w:color w:val="000000"/>
        </w:rPr>
        <w:t xml:space="preserve">case </w:t>
      </w:r>
      <w:proofErr w:type="spellStart"/>
      <w:r w:rsidRPr="00221F7B">
        <w:rPr>
          <w:rFonts w:ascii="Arial" w:hAnsi="Arial" w:cs="Arial"/>
          <w:i/>
          <w:color w:val="000000"/>
        </w:rPr>
        <w:t>Tirant</w:t>
      </w:r>
      <w:proofErr w:type="spellEnd"/>
      <w:r w:rsidRPr="00221F7B">
        <w:rPr>
          <w:rFonts w:ascii="Arial" w:hAnsi="Arial" w:cs="Arial"/>
          <w:i/>
          <w:color w:val="000000"/>
        </w:rPr>
        <w:t xml:space="preserve"> v Banana</w:t>
      </w:r>
      <w:r w:rsidRPr="00221F7B">
        <w:rPr>
          <w:rFonts w:ascii="Arial" w:hAnsi="Arial" w:cs="Arial"/>
          <w:color w:val="000000"/>
        </w:rPr>
        <w:t xml:space="preserve"> (1977).</w:t>
      </w:r>
    </w:p>
    <w:p w:rsidR="007917FE" w:rsidRPr="002A4B9F" w:rsidRDefault="007917FE" w:rsidP="007917FE">
      <w:pPr>
        <w:shd w:val="clear" w:color="auto" w:fill="FFFFFF"/>
        <w:ind w:left="5" w:firstLine="566"/>
        <w:contextualSpacing/>
        <w:jc w:val="both"/>
        <w:rPr>
          <w:rFonts w:ascii="Arial" w:hAnsi="Arial" w:cs="Arial"/>
          <w:b/>
          <w:i/>
        </w:rPr>
      </w:pPr>
    </w:p>
    <w:p w:rsidR="007917FE" w:rsidRPr="002A4B9F" w:rsidRDefault="007917FE" w:rsidP="007917FE">
      <w:pPr>
        <w:shd w:val="clear" w:color="auto" w:fill="FFFFFF"/>
        <w:tabs>
          <w:tab w:val="left" w:pos="3389"/>
        </w:tabs>
        <w:contextualSpacing/>
        <w:rPr>
          <w:rFonts w:ascii="Arial" w:hAnsi="Arial" w:cs="Arial"/>
          <w:i/>
          <w:color w:val="000000"/>
        </w:rPr>
      </w:pPr>
      <w:r>
        <w:rPr>
          <w:rFonts w:ascii="Arial" w:hAnsi="Arial" w:cs="Arial"/>
          <w:color w:val="000000"/>
        </w:rPr>
        <w:t xml:space="preserve">In </w:t>
      </w:r>
      <w:r w:rsidRPr="00221F7B">
        <w:rPr>
          <w:rFonts w:ascii="Arial" w:hAnsi="Arial" w:cs="Arial"/>
          <w:i/>
          <w:color w:val="000000"/>
        </w:rPr>
        <w:t>Charlie v Francois</w:t>
      </w:r>
      <w:r w:rsidRPr="00221F7B">
        <w:rPr>
          <w:rFonts w:ascii="Arial" w:hAnsi="Arial" w:cs="Arial"/>
          <w:color w:val="000000"/>
        </w:rPr>
        <w:t xml:space="preserve"> 1995 SCAR,</w:t>
      </w:r>
      <w:r>
        <w:rPr>
          <w:rFonts w:ascii="Arial" w:hAnsi="Arial" w:cs="Arial"/>
          <w:color w:val="000000"/>
        </w:rPr>
        <w:t xml:space="preserve"> it was held that:</w:t>
      </w:r>
    </w:p>
    <w:p w:rsidR="007917FE" w:rsidRPr="002A4B9F" w:rsidRDefault="007917FE" w:rsidP="007917FE">
      <w:pPr>
        <w:shd w:val="clear" w:color="auto" w:fill="FFFFFF"/>
        <w:tabs>
          <w:tab w:val="left" w:pos="3389"/>
        </w:tabs>
        <w:ind w:left="576" w:right="670"/>
        <w:contextualSpacing/>
        <w:rPr>
          <w:rFonts w:ascii="Arial" w:hAnsi="Arial" w:cs="Arial"/>
          <w:i/>
        </w:rPr>
      </w:pPr>
    </w:p>
    <w:p w:rsidR="007917FE" w:rsidRPr="0023617D" w:rsidRDefault="007917FE" w:rsidP="007917FE">
      <w:pPr>
        <w:shd w:val="clear" w:color="auto" w:fill="FFFFFF"/>
        <w:tabs>
          <w:tab w:val="left" w:pos="3854"/>
        </w:tabs>
        <w:ind w:left="576" w:right="670"/>
        <w:contextualSpacing/>
        <w:jc w:val="both"/>
        <w:rPr>
          <w:rFonts w:ascii="Arial" w:hAnsi="Arial" w:cs="Arial"/>
        </w:rPr>
      </w:pPr>
      <w:r w:rsidRPr="0023617D">
        <w:rPr>
          <w:rFonts w:ascii="Arial" w:hAnsi="Arial" w:cs="Arial"/>
          <w:color w:val="000000"/>
        </w:rPr>
        <w:t>The system of civil justice does</w:t>
      </w:r>
      <w:r w:rsidRPr="0023617D">
        <w:rPr>
          <w:rFonts w:ascii="Arial" w:hAnsi="Arial" w:cs="Arial"/>
          <w:iCs/>
          <w:color w:val="000000"/>
        </w:rPr>
        <w:t xml:space="preserve"> </w:t>
      </w:r>
      <w:r w:rsidRPr="0023617D">
        <w:rPr>
          <w:rFonts w:ascii="Arial" w:hAnsi="Arial" w:cs="Arial"/>
          <w:color w:val="000000"/>
        </w:rPr>
        <w:t>not permit the Court to formulate a</w:t>
      </w:r>
      <w:r w:rsidRPr="0023617D">
        <w:rPr>
          <w:rFonts w:ascii="Arial" w:hAnsi="Arial" w:cs="Arial"/>
          <w:iCs/>
          <w:color w:val="000000"/>
        </w:rPr>
        <w:t xml:space="preserve"> </w:t>
      </w:r>
      <w:r w:rsidRPr="0023617D">
        <w:rPr>
          <w:rFonts w:ascii="Arial" w:hAnsi="Arial" w:cs="Arial"/>
          <w:color w:val="000000"/>
        </w:rPr>
        <w:t>case for a party after listening to</w:t>
      </w:r>
      <w:r w:rsidRPr="0023617D">
        <w:rPr>
          <w:rFonts w:ascii="Arial" w:hAnsi="Arial" w:cs="Arial"/>
          <w:iCs/>
          <w:color w:val="000000"/>
        </w:rPr>
        <w:t xml:space="preserve"> </w:t>
      </w:r>
      <w:r w:rsidRPr="0023617D">
        <w:rPr>
          <w:rFonts w:ascii="Arial" w:hAnsi="Arial" w:cs="Arial"/>
          <w:color w:val="000000"/>
        </w:rPr>
        <w:t>the evidence and to grant relief not</w:t>
      </w:r>
      <w:r w:rsidRPr="0023617D">
        <w:rPr>
          <w:rFonts w:ascii="Arial" w:hAnsi="Arial" w:cs="Arial"/>
          <w:iCs/>
          <w:color w:val="000000"/>
        </w:rPr>
        <w:t xml:space="preserve"> </w:t>
      </w:r>
      <w:r w:rsidRPr="0023617D">
        <w:rPr>
          <w:rFonts w:ascii="Arial" w:hAnsi="Arial" w:cs="Arial"/>
          <w:color w:val="000000"/>
        </w:rPr>
        <w:t>sought in the pleadings.</w:t>
      </w:r>
    </w:p>
    <w:p w:rsidR="007917FE" w:rsidRPr="002A4B9F" w:rsidRDefault="007917FE" w:rsidP="007917FE">
      <w:pPr>
        <w:shd w:val="clear" w:color="auto" w:fill="FFFFFF"/>
        <w:ind w:left="571"/>
        <w:contextualSpacing/>
        <w:rPr>
          <w:rFonts w:ascii="Arial" w:hAnsi="Arial" w:cs="Arial"/>
          <w:i/>
          <w:color w:val="000000"/>
        </w:rPr>
      </w:pPr>
    </w:p>
    <w:p w:rsidR="007917FE" w:rsidRPr="002A4B9F" w:rsidRDefault="007917FE" w:rsidP="007917FE">
      <w:pPr>
        <w:shd w:val="clear" w:color="auto" w:fill="FFFFFF"/>
        <w:contextualSpacing/>
        <w:rPr>
          <w:rFonts w:ascii="Arial" w:hAnsi="Arial" w:cs="Arial"/>
          <w:i/>
        </w:rPr>
      </w:pPr>
      <w:r>
        <w:rPr>
          <w:rFonts w:ascii="Arial" w:hAnsi="Arial" w:cs="Arial"/>
          <w:color w:val="000000"/>
        </w:rPr>
        <w:t xml:space="preserve">In the Mauritian case of </w:t>
      </w:r>
      <w:proofErr w:type="spellStart"/>
      <w:r w:rsidRPr="00221F7B">
        <w:rPr>
          <w:rFonts w:ascii="Arial" w:hAnsi="Arial" w:cs="Arial"/>
          <w:i/>
          <w:color w:val="000000"/>
        </w:rPr>
        <w:t>Ramjan</w:t>
      </w:r>
      <w:proofErr w:type="spellEnd"/>
      <w:r w:rsidRPr="00221F7B">
        <w:rPr>
          <w:rFonts w:ascii="Arial" w:hAnsi="Arial" w:cs="Arial"/>
          <w:i/>
          <w:color w:val="000000"/>
        </w:rPr>
        <w:t xml:space="preserve"> v </w:t>
      </w:r>
      <w:proofErr w:type="spellStart"/>
      <w:r w:rsidRPr="00221F7B">
        <w:rPr>
          <w:rFonts w:ascii="Arial" w:hAnsi="Arial" w:cs="Arial"/>
          <w:i/>
          <w:color w:val="000000"/>
        </w:rPr>
        <w:t>Kaudeer</w:t>
      </w:r>
      <w:proofErr w:type="spellEnd"/>
      <w:r>
        <w:rPr>
          <w:rFonts w:ascii="Arial" w:hAnsi="Arial" w:cs="Arial"/>
          <w:b/>
          <w:color w:val="000000"/>
        </w:rPr>
        <w:t xml:space="preserve"> </w:t>
      </w:r>
      <w:r w:rsidRPr="00221F7B">
        <w:rPr>
          <w:rFonts w:ascii="Arial" w:hAnsi="Arial" w:cs="Arial"/>
          <w:color w:val="000000"/>
        </w:rPr>
        <w:t>1981 MR 411,</w:t>
      </w:r>
      <w:r>
        <w:rPr>
          <w:rFonts w:ascii="Arial" w:hAnsi="Arial" w:cs="Arial"/>
          <w:b/>
          <w:color w:val="000000"/>
        </w:rPr>
        <w:t xml:space="preserve"> </w:t>
      </w:r>
      <w:r>
        <w:rPr>
          <w:rFonts w:ascii="Arial" w:hAnsi="Arial" w:cs="Arial"/>
          <w:color w:val="000000"/>
        </w:rPr>
        <w:t>Supreme Court judgment 387, it was held:</w:t>
      </w:r>
    </w:p>
    <w:p w:rsidR="007917FE" w:rsidRPr="002A4B9F" w:rsidRDefault="007917FE" w:rsidP="007917FE">
      <w:pPr>
        <w:shd w:val="clear" w:color="auto" w:fill="FFFFFF"/>
        <w:contextualSpacing/>
        <w:jc w:val="right"/>
        <w:rPr>
          <w:rFonts w:ascii="Arial" w:hAnsi="Arial" w:cs="Arial"/>
        </w:rPr>
      </w:pPr>
    </w:p>
    <w:p w:rsidR="007917FE" w:rsidRPr="0023617D" w:rsidRDefault="007917FE" w:rsidP="007917FE">
      <w:pPr>
        <w:shd w:val="clear" w:color="auto" w:fill="FFFFFF"/>
        <w:ind w:left="567" w:right="670"/>
        <w:contextualSpacing/>
        <w:jc w:val="both"/>
        <w:rPr>
          <w:rFonts w:ascii="Arial" w:hAnsi="Arial" w:cs="Arial"/>
          <w:b/>
          <w:color w:val="000000"/>
        </w:rPr>
      </w:pPr>
      <w:r w:rsidRPr="0023617D">
        <w:rPr>
          <w:rFonts w:ascii="Arial" w:hAnsi="Arial" w:cs="Arial"/>
          <w:color w:val="000000"/>
        </w:rPr>
        <w:t xml:space="preserve">Where the pleadings aver a </w:t>
      </w:r>
      <w:r w:rsidRPr="0023617D">
        <w:rPr>
          <w:rFonts w:ascii="Arial" w:hAnsi="Arial" w:cs="Arial"/>
          <w:color w:val="000000"/>
          <w:vertAlign w:val="superscript"/>
        </w:rPr>
        <w:t>“</w:t>
      </w:r>
      <w:proofErr w:type="spellStart"/>
      <w:r w:rsidRPr="0023617D">
        <w:rPr>
          <w:rFonts w:ascii="Arial" w:hAnsi="Arial" w:cs="Arial"/>
          <w:color w:val="000000"/>
        </w:rPr>
        <w:t>faute</w:t>
      </w:r>
      <w:proofErr w:type="spellEnd"/>
      <w:r w:rsidRPr="0023617D">
        <w:rPr>
          <w:rFonts w:ascii="Arial" w:hAnsi="Arial" w:cs="Arial"/>
          <w:color w:val="000000"/>
          <w:vertAlign w:val="superscript"/>
        </w:rPr>
        <w:t>”</w:t>
      </w:r>
      <w:r w:rsidRPr="0023617D">
        <w:rPr>
          <w:rFonts w:ascii="Arial" w:hAnsi="Arial" w:cs="Arial"/>
          <w:iCs/>
          <w:color w:val="000000"/>
          <w:vertAlign w:val="superscript"/>
        </w:rPr>
        <w:t xml:space="preserve"> </w:t>
      </w:r>
      <w:r w:rsidRPr="0023617D">
        <w:rPr>
          <w:rFonts w:ascii="Arial" w:hAnsi="Arial" w:cs="Arial"/>
          <w:color w:val="000000"/>
        </w:rPr>
        <w:t>and the action for damages is thus</w:t>
      </w:r>
      <w:r w:rsidRPr="0023617D">
        <w:rPr>
          <w:rFonts w:ascii="Arial" w:hAnsi="Arial" w:cs="Arial"/>
          <w:iCs/>
          <w:color w:val="000000"/>
        </w:rPr>
        <w:t xml:space="preserve"> </w:t>
      </w:r>
      <w:r w:rsidRPr="0023617D">
        <w:rPr>
          <w:rFonts w:ascii="Arial" w:hAnsi="Arial" w:cs="Arial"/>
          <w:color w:val="000000"/>
        </w:rPr>
        <w:t>based on Article 1382 Code Nap,</w:t>
      </w:r>
      <w:r w:rsidRPr="0023617D">
        <w:rPr>
          <w:rFonts w:ascii="Arial" w:hAnsi="Arial" w:cs="Arial"/>
          <w:iCs/>
          <w:color w:val="000000"/>
        </w:rPr>
        <w:t xml:space="preserve"> </w:t>
      </w:r>
      <w:r w:rsidRPr="0023617D">
        <w:rPr>
          <w:rFonts w:ascii="Arial" w:hAnsi="Arial" w:cs="Arial"/>
          <w:color w:val="000000"/>
        </w:rPr>
        <w:t>the Court cannot go outside the</w:t>
      </w:r>
      <w:r w:rsidRPr="0023617D">
        <w:rPr>
          <w:rFonts w:ascii="Arial" w:hAnsi="Arial" w:cs="Arial"/>
          <w:iCs/>
          <w:color w:val="000000"/>
        </w:rPr>
        <w:t xml:space="preserve"> </w:t>
      </w:r>
      <w:r w:rsidRPr="0023617D">
        <w:rPr>
          <w:rFonts w:ascii="Arial" w:hAnsi="Arial" w:cs="Arial"/>
          <w:color w:val="000000"/>
        </w:rPr>
        <w:t>pleadings and award damages</w:t>
      </w:r>
      <w:r w:rsidRPr="0023617D">
        <w:rPr>
          <w:rFonts w:ascii="Arial" w:hAnsi="Arial" w:cs="Arial"/>
          <w:iCs/>
          <w:color w:val="000000"/>
        </w:rPr>
        <w:t xml:space="preserve"> </w:t>
      </w:r>
      <w:r w:rsidRPr="0023617D">
        <w:rPr>
          <w:rFonts w:ascii="Arial" w:hAnsi="Arial" w:cs="Arial"/>
          <w:color w:val="000000"/>
        </w:rPr>
        <w:t>under Article 1384 - Code Nap, on ground of ‘</w:t>
      </w:r>
      <w:proofErr w:type="spellStart"/>
      <w:r w:rsidRPr="0023617D">
        <w:rPr>
          <w:rFonts w:ascii="Arial" w:hAnsi="Arial" w:cs="Arial"/>
          <w:color w:val="000000"/>
        </w:rPr>
        <w:t>responsabilité</w:t>
      </w:r>
      <w:proofErr w:type="spellEnd"/>
      <w:r w:rsidRPr="0023617D">
        <w:rPr>
          <w:rFonts w:ascii="Arial" w:hAnsi="Arial" w:cs="Arial"/>
          <w:color w:val="000000"/>
        </w:rPr>
        <w:t xml:space="preserve"> du</w:t>
      </w:r>
      <w:r w:rsidRPr="0023617D">
        <w:rPr>
          <w:rFonts w:ascii="Arial" w:hAnsi="Arial" w:cs="Arial"/>
          <w:iCs/>
          <w:color w:val="000000"/>
        </w:rPr>
        <w:t xml:space="preserve"> </w:t>
      </w:r>
      <w:r w:rsidRPr="0023617D">
        <w:rPr>
          <w:rFonts w:ascii="Arial" w:hAnsi="Arial" w:cs="Arial"/>
          <w:color w:val="000000"/>
        </w:rPr>
        <w:t xml:space="preserve">fait de la chose'. </w:t>
      </w:r>
    </w:p>
    <w:p w:rsidR="007917FE" w:rsidRPr="0023617D" w:rsidRDefault="007917FE" w:rsidP="007917FE">
      <w:pPr>
        <w:shd w:val="clear" w:color="auto" w:fill="FFFFFF"/>
        <w:ind w:left="720" w:right="641"/>
        <w:contextualSpacing/>
        <w:rPr>
          <w:rFonts w:ascii="Arial" w:hAnsi="Arial" w:cs="Arial"/>
          <w:b/>
          <w:color w:val="000000"/>
        </w:rPr>
      </w:pPr>
    </w:p>
    <w:p w:rsidR="007917FE" w:rsidRPr="002A4B9F" w:rsidRDefault="007917FE" w:rsidP="007917FE">
      <w:pPr>
        <w:shd w:val="clear" w:color="auto" w:fill="FFFFFF"/>
        <w:ind w:right="11"/>
        <w:contextualSpacing/>
        <w:rPr>
          <w:rFonts w:ascii="Arial" w:hAnsi="Arial" w:cs="Arial"/>
        </w:rPr>
      </w:pPr>
      <w:r>
        <w:rPr>
          <w:rFonts w:ascii="Arial" w:hAnsi="Arial" w:cs="Arial"/>
        </w:rPr>
        <w:t xml:space="preserve">In </w:t>
      </w:r>
      <w:proofErr w:type="spellStart"/>
      <w:r w:rsidRPr="00221F7B">
        <w:rPr>
          <w:rFonts w:ascii="Arial" w:hAnsi="Arial" w:cs="Arial"/>
          <w:i/>
        </w:rPr>
        <w:t>Bessin</w:t>
      </w:r>
      <w:proofErr w:type="spellEnd"/>
      <w:r w:rsidRPr="00221F7B">
        <w:rPr>
          <w:rFonts w:ascii="Arial" w:hAnsi="Arial" w:cs="Arial"/>
          <w:i/>
        </w:rPr>
        <w:t xml:space="preserve"> v Attorney General</w:t>
      </w:r>
      <w:r w:rsidRPr="00221F7B">
        <w:rPr>
          <w:rFonts w:ascii="Arial" w:hAnsi="Arial" w:cs="Arial"/>
        </w:rPr>
        <w:t>, 1936-1955,</w:t>
      </w:r>
      <w:r>
        <w:rPr>
          <w:rFonts w:ascii="Arial" w:hAnsi="Arial" w:cs="Arial"/>
        </w:rPr>
        <w:t xml:space="preserve"> it was held:</w:t>
      </w:r>
    </w:p>
    <w:p w:rsidR="007917FE" w:rsidRPr="002A4B9F" w:rsidRDefault="007917FE" w:rsidP="007917FE">
      <w:pPr>
        <w:shd w:val="clear" w:color="auto" w:fill="FFFFFF"/>
        <w:ind w:left="720" w:right="641"/>
        <w:contextualSpacing/>
        <w:rPr>
          <w:rFonts w:ascii="Arial" w:hAnsi="Arial" w:cs="Arial"/>
        </w:rPr>
      </w:pPr>
    </w:p>
    <w:p w:rsidR="007917FE" w:rsidRPr="0023617D" w:rsidRDefault="007917FE" w:rsidP="007917FE">
      <w:pPr>
        <w:shd w:val="clear" w:color="auto" w:fill="FFFFFF"/>
        <w:tabs>
          <w:tab w:val="left" w:pos="567"/>
        </w:tabs>
        <w:ind w:left="567" w:right="670"/>
        <w:contextualSpacing/>
        <w:jc w:val="both"/>
        <w:rPr>
          <w:rFonts w:ascii="Arial" w:hAnsi="Arial" w:cs="Arial"/>
        </w:rPr>
      </w:pPr>
      <w:r w:rsidRPr="0023617D">
        <w:rPr>
          <w:rFonts w:ascii="Arial" w:hAnsi="Arial" w:cs="Arial"/>
        </w:rPr>
        <w:t>The Court hearing such an application must limit itself to the allegations contained in the pleadings and no extraneous evidence was admissible to support the application.</w:t>
      </w:r>
    </w:p>
    <w:p w:rsidR="007917FE" w:rsidRPr="002A4B9F" w:rsidRDefault="007917FE" w:rsidP="007917FE">
      <w:pPr>
        <w:shd w:val="clear" w:color="auto" w:fill="FFFFFF"/>
        <w:tabs>
          <w:tab w:val="left" w:pos="6254"/>
        </w:tabs>
        <w:ind w:right="-652"/>
        <w:contextualSpacing/>
        <w:jc w:val="both"/>
        <w:rPr>
          <w:rFonts w:ascii="Arial" w:hAnsi="Arial" w:cs="Arial"/>
          <w:i/>
        </w:rPr>
      </w:pPr>
    </w:p>
    <w:p w:rsidR="007917FE" w:rsidRPr="002A4B9F" w:rsidRDefault="007917FE" w:rsidP="007917FE">
      <w:pPr>
        <w:shd w:val="clear" w:color="auto" w:fill="FFFFFF"/>
        <w:tabs>
          <w:tab w:val="left" w:pos="6254"/>
        </w:tabs>
        <w:ind w:right="11"/>
        <w:contextualSpacing/>
        <w:jc w:val="both"/>
        <w:rPr>
          <w:rFonts w:ascii="Arial" w:hAnsi="Arial" w:cs="Arial"/>
          <w:i/>
          <w:color w:val="000000"/>
        </w:rPr>
      </w:pPr>
      <w:r>
        <w:rPr>
          <w:rFonts w:ascii="Arial" w:hAnsi="Arial" w:cs="Arial"/>
          <w:color w:val="000000"/>
        </w:rPr>
        <w:t xml:space="preserve">In my considered view based on law and authorities cited above, the denial by the defendant in his statement of </w:t>
      </w:r>
      <w:proofErr w:type="spellStart"/>
      <w:r>
        <w:rPr>
          <w:rFonts w:ascii="Arial" w:hAnsi="Arial" w:cs="Arial"/>
          <w:color w:val="000000"/>
        </w:rPr>
        <w:t>defence</w:t>
      </w:r>
      <w:proofErr w:type="spellEnd"/>
      <w:r>
        <w:rPr>
          <w:rFonts w:ascii="Arial" w:hAnsi="Arial" w:cs="Arial"/>
          <w:color w:val="000000"/>
        </w:rPr>
        <w:t>, paragraph 6, of the existence of the Fire and Special Perils Policy, does not permit him now to raise the issue of breach of the term of the Fire and Special Perils Policy.</w:t>
      </w:r>
    </w:p>
    <w:p w:rsidR="007917FE" w:rsidRPr="002A4B9F" w:rsidRDefault="007917FE" w:rsidP="007917FE">
      <w:pPr>
        <w:shd w:val="clear" w:color="auto" w:fill="FFFFFF"/>
        <w:tabs>
          <w:tab w:val="left" w:pos="6254"/>
        </w:tabs>
        <w:ind w:right="11"/>
        <w:contextualSpacing/>
        <w:jc w:val="center"/>
        <w:rPr>
          <w:rFonts w:ascii="Arial" w:hAnsi="Arial" w:cs="Arial"/>
          <w:b/>
          <w:i/>
        </w:rPr>
      </w:pPr>
    </w:p>
    <w:p w:rsidR="007917FE" w:rsidRPr="002A4B9F" w:rsidRDefault="007917FE" w:rsidP="007917FE">
      <w:pPr>
        <w:shd w:val="clear" w:color="auto" w:fill="FFFFFF"/>
        <w:ind w:right="11"/>
        <w:contextualSpacing/>
        <w:jc w:val="both"/>
        <w:rPr>
          <w:rFonts w:ascii="Arial" w:hAnsi="Arial" w:cs="Arial"/>
          <w:i/>
        </w:rPr>
      </w:pPr>
      <w:r>
        <w:rPr>
          <w:rFonts w:ascii="Arial" w:hAnsi="Arial" w:cs="Arial"/>
          <w:color w:val="000000"/>
        </w:rPr>
        <w:t xml:space="preserve">In the light of the above, the conclusion that I must necessarily reach one which did find </w:t>
      </w:r>
      <w:proofErr w:type="spellStart"/>
      <w:r>
        <w:rPr>
          <w:rFonts w:ascii="Arial" w:hAnsi="Arial" w:cs="Arial"/>
          <w:color w:val="000000"/>
        </w:rPr>
        <w:t>favour</w:t>
      </w:r>
      <w:proofErr w:type="spellEnd"/>
      <w:r>
        <w:rPr>
          <w:rFonts w:ascii="Arial" w:hAnsi="Arial" w:cs="Arial"/>
          <w:color w:val="000000"/>
        </w:rPr>
        <w:t xml:space="preserve"> with the Seychelles Court of Appeal must be that no party can rely upon an averment not made in the pleadings. The objection of counsel for the defendant is </w:t>
      </w:r>
      <w:r>
        <w:rPr>
          <w:rFonts w:ascii="Arial" w:hAnsi="Arial" w:cs="Arial"/>
          <w:color w:val="000000"/>
        </w:rPr>
        <w:lastRenderedPageBreak/>
        <w:t>without legal basis and cannot be entertained.</w:t>
      </w:r>
    </w:p>
    <w:p w:rsidR="007917FE" w:rsidRPr="002A4B9F" w:rsidRDefault="007917FE" w:rsidP="007917FE">
      <w:pPr>
        <w:shd w:val="clear" w:color="auto" w:fill="FFFFFF"/>
        <w:tabs>
          <w:tab w:val="left" w:pos="6480"/>
        </w:tabs>
        <w:ind w:left="571"/>
        <w:contextualSpacing/>
        <w:rPr>
          <w:rFonts w:ascii="Arial" w:hAnsi="Arial" w:cs="Arial"/>
          <w:color w:val="000000"/>
        </w:rPr>
      </w:pPr>
    </w:p>
    <w:p w:rsidR="007917FE" w:rsidRPr="002A4B9F" w:rsidRDefault="007917FE" w:rsidP="007917FE">
      <w:pPr>
        <w:shd w:val="clear" w:color="auto" w:fill="FFFFFF"/>
        <w:tabs>
          <w:tab w:val="left" w:pos="6672"/>
        </w:tabs>
        <w:ind w:left="29"/>
        <w:contextualSpacing/>
        <w:rPr>
          <w:rFonts w:ascii="Arial" w:hAnsi="Arial" w:cs="Arial"/>
          <w:b/>
          <w:color w:val="000000"/>
        </w:rPr>
      </w:pPr>
      <w:r>
        <w:rPr>
          <w:rFonts w:ascii="Arial" w:hAnsi="Arial" w:cs="Arial"/>
          <w:b/>
          <w:color w:val="000000"/>
        </w:rPr>
        <w:t>Record:  Civil Side No 97 of 1998</w:t>
      </w:r>
    </w:p>
    <w:p w:rsidR="00841F64" w:rsidRDefault="00841F64"/>
    <w:sectPr w:rsidR="00841F64" w:rsidSect="00841F6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78674F"/>
    <w:multiLevelType w:val="hybridMultilevel"/>
    <w:tmpl w:val="8A68613C"/>
    <w:lvl w:ilvl="0" w:tplc="A61AC724">
      <w:start w:val="1"/>
      <w:numFmt w:val="lowerRoman"/>
      <w:lvlText w:val="(%1)"/>
      <w:lvlJc w:val="left"/>
      <w:pPr>
        <w:ind w:left="360" w:hanging="360"/>
      </w:pPr>
      <w:rPr>
        <w:rFonts w:ascii="Arial" w:eastAsiaTheme="minorHAnsi" w:hAnsi="Arial" w:cs="Arial"/>
        <w:i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7917FE"/>
    <w:rsid w:val="007917FE"/>
    <w:rsid w:val="00841F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7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917FE"/>
    <w:pPr>
      <w:widowControl/>
      <w:autoSpaceDE/>
      <w:autoSpaceDN/>
      <w:adjustRightInd/>
      <w:spacing w:after="200" w:line="276" w:lineRule="auto"/>
      <w:ind w:left="720"/>
      <w:contextualSpacing/>
    </w:pPr>
    <w:rPr>
      <w:rFonts w:asciiTheme="majorHAnsi" w:eastAsiaTheme="minorHAnsi" w:hAnsiTheme="majorHAnsi" w:cstheme="majorBidi"/>
      <w:sz w:val="16"/>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728</Words>
  <Characters>4153</Characters>
  <Application>Microsoft Office Word</Application>
  <DocSecurity>0</DocSecurity>
  <Lines>34</Lines>
  <Paragraphs>9</Paragraphs>
  <ScaleCrop>false</ScaleCrop>
  <Company>Deftones</Company>
  <LinksUpToDate>false</LinksUpToDate>
  <CharactersWithSpaces>4872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2014-01-22T06:41:00Z</dcterms:created>
  <dcterms:modified xsi:type="dcterms:W3CDTF">2014-01-22T06:42:00Z</dcterms:modified>
</cp:coreProperties>
</file>