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1F" w:rsidRDefault="009E391F" w:rsidP="009E391F">
      <w:pPr>
        <w:shd w:val="clear" w:color="auto" w:fill="FFFFFF"/>
        <w:jc w:val="center"/>
        <w:rPr>
          <w:rFonts w:ascii="Arial" w:hAnsi="Arial" w:cs="Arial"/>
          <w:b/>
          <w:color w:val="000000"/>
        </w:rPr>
      </w:pPr>
      <w:r>
        <w:rPr>
          <w:rFonts w:ascii="Arial" w:hAnsi="Arial" w:cs="Arial"/>
          <w:b/>
          <w:color w:val="000000"/>
        </w:rPr>
        <w:t xml:space="preserve">Alcindor v </w:t>
      </w:r>
      <w:proofErr w:type="gramStart"/>
      <w:r>
        <w:rPr>
          <w:rFonts w:ascii="Arial" w:hAnsi="Arial" w:cs="Arial"/>
          <w:b/>
          <w:color w:val="000000"/>
        </w:rPr>
        <w:t>The</w:t>
      </w:r>
      <w:proofErr w:type="gramEnd"/>
      <w:r>
        <w:rPr>
          <w:rFonts w:ascii="Arial" w:hAnsi="Arial" w:cs="Arial"/>
          <w:b/>
          <w:color w:val="000000"/>
        </w:rPr>
        <w:t xml:space="preserve"> </w:t>
      </w:r>
      <w:r>
        <w:rPr>
          <w:rFonts w:ascii="Arial" w:hAnsi="Arial" w:cs="Arial"/>
          <w:b/>
          <w:bCs/>
          <w:color w:val="000000"/>
        </w:rPr>
        <w:t xml:space="preserve">Plantation Club Resort &amp; </w:t>
      </w:r>
      <w:r>
        <w:rPr>
          <w:rFonts w:ascii="Arial" w:hAnsi="Arial" w:cs="Arial"/>
          <w:b/>
          <w:color w:val="000000"/>
        </w:rPr>
        <w:t>Casino</w:t>
      </w:r>
    </w:p>
    <w:p w:rsidR="009E391F" w:rsidRPr="002A4B9F" w:rsidRDefault="009E391F" w:rsidP="009E391F">
      <w:pPr>
        <w:shd w:val="clear" w:color="auto" w:fill="FFFFFF"/>
        <w:jc w:val="center"/>
        <w:rPr>
          <w:rFonts w:ascii="Arial" w:hAnsi="Arial" w:cs="Arial"/>
          <w:b/>
        </w:rPr>
      </w:pPr>
      <w:r>
        <w:rPr>
          <w:rFonts w:ascii="Arial" w:hAnsi="Arial" w:cs="Arial"/>
          <w:b/>
          <w:color w:val="000000"/>
        </w:rPr>
        <w:t>(2000) SLR 155</w:t>
      </w:r>
    </w:p>
    <w:p w:rsidR="009E391F" w:rsidRPr="002A4B9F" w:rsidRDefault="009E391F" w:rsidP="009E391F">
      <w:pPr>
        <w:shd w:val="clear" w:color="auto" w:fill="FFFFFF"/>
        <w:tabs>
          <w:tab w:val="left" w:pos="6893"/>
        </w:tabs>
        <w:jc w:val="both"/>
        <w:rPr>
          <w:rFonts w:ascii="Arial" w:hAnsi="Arial" w:cs="Arial"/>
          <w:color w:val="000000"/>
        </w:rPr>
      </w:pPr>
    </w:p>
    <w:p w:rsidR="009E391F" w:rsidRPr="002A4B9F" w:rsidRDefault="009E391F" w:rsidP="009E391F">
      <w:pPr>
        <w:shd w:val="clear" w:color="auto" w:fill="FFFFFF"/>
        <w:tabs>
          <w:tab w:val="left" w:pos="6893"/>
        </w:tabs>
        <w:jc w:val="both"/>
        <w:rPr>
          <w:rFonts w:ascii="Arial" w:hAnsi="Arial" w:cs="Arial"/>
        </w:rPr>
      </w:pPr>
    </w:p>
    <w:p w:rsidR="009E391F" w:rsidRPr="002A4B9F" w:rsidRDefault="009E391F" w:rsidP="009E391F">
      <w:pPr>
        <w:shd w:val="clear" w:color="auto" w:fill="FFFFFF"/>
        <w:tabs>
          <w:tab w:val="left" w:pos="6893"/>
        </w:tabs>
        <w:rPr>
          <w:rFonts w:ascii="Arial" w:hAnsi="Arial" w:cs="Arial"/>
          <w:color w:val="000000"/>
        </w:rPr>
      </w:pPr>
      <w:r>
        <w:rPr>
          <w:rFonts w:ascii="Arial" w:hAnsi="Arial" w:cs="Arial"/>
          <w:color w:val="000000"/>
        </w:rPr>
        <w:t xml:space="preserve">Anthony Juliette for the plaintiff </w:t>
      </w:r>
    </w:p>
    <w:p w:rsidR="009E391F" w:rsidRPr="002A4B9F" w:rsidRDefault="009E391F" w:rsidP="009E391F">
      <w:pPr>
        <w:shd w:val="clear" w:color="auto" w:fill="FFFFFF"/>
        <w:tabs>
          <w:tab w:val="left" w:pos="6893"/>
        </w:tabs>
        <w:rPr>
          <w:rFonts w:ascii="Arial" w:hAnsi="Arial" w:cs="Arial"/>
        </w:rPr>
      </w:pPr>
      <w:r>
        <w:rPr>
          <w:rFonts w:ascii="Arial" w:hAnsi="Arial" w:cs="Arial"/>
          <w:color w:val="000000"/>
        </w:rPr>
        <w:t>Bernard Georges for the defendant</w:t>
      </w:r>
    </w:p>
    <w:p w:rsidR="009E391F" w:rsidRPr="002A4B9F" w:rsidRDefault="009E391F" w:rsidP="009E391F">
      <w:pPr>
        <w:shd w:val="clear" w:color="auto" w:fill="FFFFFF"/>
        <w:jc w:val="center"/>
        <w:rPr>
          <w:rFonts w:ascii="Arial" w:hAnsi="Arial" w:cs="Arial"/>
          <w:color w:val="000000"/>
        </w:rPr>
      </w:pPr>
    </w:p>
    <w:p w:rsidR="009E391F" w:rsidRPr="002A4B9F" w:rsidRDefault="009E391F" w:rsidP="009E391F">
      <w:pPr>
        <w:shd w:val="clear" w:color="auto" w:fill="FFFFFF"/>
        <w:jc w:val="both"/>
        <w:rPr>
          <w:rFonts w:ascii="Arial" w:hAnsi="Arial" w:cs="Arial"/>
          <w:b/>
        </w:rPr>
      </w:pPr>
      <w:r>
        <w:rPr>
          <w:rFonts w:ascii="Arial" w:hAnsi="Arial" w:cs="Arial"/>
          <w:b/>
          <w:color w:val="000000"/>
        </w:rPr>
        <w:t xml:space="preserve">Ruling on Plea in </w:t>
      </w:r>
      <w:proofErr w:type="spellStart"/>
      <w:r>
        <w:rPr>
          <w:rFonts w:ascii="Arial" w:hAnsi="Arial" w:cs="Arial"/>
          <w:b/>
          <w:color w:val="000000"/>
        </w:rPr>
        <w:t>Limine</w:t>
      </w:r>
      <w:proofErr w:type="spellEnd"/>
      <w:r>
        <w:rPr>
          <w:rFonts w:ascii="Arial" w:hAnsi="Arial" w:cs="Arial"/>
          <w:b/>
          <w:color w:val="000000"/>
        </w:rPr>
        <w:t xml:space="preserve"> </w:t>
      </w:r>
      <w:proofErr w:type="spellStart"/>
      <w:r>
        <w:rPr>
          <w:rFonts w:ascii="Arial" w:hAnsi="Arial" w:cs="Arial"/>
          <w:b/>
          <w:color w:val="000000"/>
        </w:rPr>
        <w:t>Litis</w:t>
      </w:r>
      <w:proofErr w:type="spellEnd"/>
      <w:r>
        <w:rPr>
          <w:rFonts w:ascii="Arial" w:hAnsi="Arial" w:cs="Arial"/>
          <w:b/>
          <w:color w:val="000000"/>
        </w:rPr>
        <w:t xml:space="preserve"> delivered on </w:t>
      </w:r>
      <w:r>
        <w:rPr>
          <w:rFonts w:ascii="Arial" w:hAnsi="Arial" w:cs="Arial"/>
          <w:b/>
          <w:iCs/>
          <w:color w:val="000000"/>
        </w:rPr>
        <w:t>11 October 2000 by:</w:t>
      </w:r>
    </w:p>
    <w:p w:rsidR="009E391F" w:rsidRPr="002A4B9F" w:rsidRDefault="009E391F" w:rsidP="009E391F">
      <w:pPr>
        <w:shd w:val="clear" w:color="auto" w:fill="FFFFFF"/>
        <w:rPr>
          <w:rFonts w:ascii="Arial" w:hAnsi="Arial" w:cs="Arial"/>
          <w:b/>
          <w:bCs/>
          <w:i/>
          <w:iCs/>
          <w:color w:val="000000"/>
        </w:rPr>
      </w:pPr>
    </w:p>
    <w:p w:rsidR="009E391F" w:rsidRPr="002A4B9F" w:rsidRDefault="009E391F" w:rsidP="009E391F">
      <w:pPr>
        <w:shd w:val="clear" w:color="auto" w:fill="FFFFFF"/>
        <w:jc w:val="both"/>
        <w:rPr>
          <w:rFonts w:ascii="Arial" w:hAnsi="Arial" w:cs="Arial"/>
          <w:iCs/>
          <w:color w:val="000000"/>
        </w:rPr>
      </w:pPr>
      <w:r>
        <w:rPr>
          <w:rFonts w:ascii="Arial" w:hAnsi="Arial" w:cs="Arial"/>
          <w:b/>
          <w:color w:val="000000"/>
        </w:rPr>
        <w:t>JUDDOO J:</w:t>
      </w:r>
      <w:r>
        <w:rPr>
          <w:rFonts w:ascii="Arial" w:hAnsi="Arial" w:cs="Arial"/>
          <w:color w:val="000000"/>
        </w:rPr>
        <w:t xml:space="preserve">  The plaintiff claims from the defendant, his former employer, loss and damages in the sum of R26,930 with interest and costs for prejudice suffered on account that an offence of breach of trust against him leading to the termination of his employment has not been proved.  The claim is resisted by the defendant company which has raised a plea in </w:t>
      </w:r>
      <w:proofErr w:type="spellStart"/>
      <w:r>
        <w:rPr>
          <w:rFonts w:ascii="Arial" w:hAnsi="Arial" w:cs="Arial"/>
          <w:color w:val="000000"/>
        </w:rPr>
        <w:t>limine</w:t>
      </w:r>
      <w:proofErr w:type="spellEnd"/>
      <w:r>
        <w:rPr>
          <w:rFonts w:ascii="Arial" w:hAnsi="Arial" w:cs="Arial"/>
          <w:color w:val="000000"/>
        </w:rPr>
        <w:t xml:space="preserve"> </w:t>
      </w:r>
      <w:proofErr w:type="spellStart"/>
      <w:r>
        <w:rPr>
          <w:rFonts w:ascii="Arial" w:hAnsi="Arial" w:cs="Arial"/>
          <w:color w:val="000000"/>
        </w:rPr>
        <w:t>litis</w:t>
      </w:r>
      <w:proofErr w:type="spellEnd"/>
      <w:r>
        <w:rPr>
          <w:rFonts w:ascii="Arial" w:hAnsi="Arial" w:cs="Arial"/>
          <w:color w:val="000000"/>
        </w:rPr>
        <w:t xml:space="preserve"> to the effect that this court </w:t>
      </w:r>
      <w:r w:rsidRPr="00221F7B">
        <w:rPr>
          <w:rFonts w:ascii="Arial" w:hAnsi="Arial" w:cs="Arial"/>
          <w:iCs/>
          <w:color w:val="000000"/>
        </w:rPr>
        <w:t xml:space="preserve">"has no jurisdiction to hear this matter, the </w:t>
      </w:r>
      <w:r>
        <w:rPr>
          <w:rFonts w:ascii="Arial" w:hAnsi="Arial" w:cs="Arial"/>
          <w:iCs/>
          <w:color w:val="000000"/>
        </w:rPr>
        <w:t>p</w:t>
      </w:r>
      <w:r w:rsidRPr="00221F7B">
        <w:rPr>
          <w:rFonts w:ascii="Arial" w:hAnsi="Arial" w:cs="Arial"/>
          <w:iCs/>
          <w:color w:val="000000"/>
        </w:rPr>
        <w:t>laintiff having opted to obtain relief under the Employment Act</w:t>
      </w:r>
      <w:r>
        <w:rPr>
          <w:rFonts w:ascii="Arial" w:hAnsi="Arial" w:cs="Arial"/>
          <w:iCs/>
          <w:color w:val="000000"/>
        </w:rPr>
        <w:t>.</w:t>
      </w:r>
      <w:r w:rsidRPr="00221F7B">
        <w:rPr>
          <w:rFonts w:ascii="Arial" w:hAnsi="Arial" w:cs="Arial"/>
          <w:iCs/>
          <w:color w:val="000000"/>
        </w:rPr>
        <w:t>”</w:t>
      </w:r>
    </w:p>
    <w:p w:rsidR="009E391F" w:rsidRPr="002A4B9F" w:rsidRDefault="009E391F" w:rsidP="009E391F">
      <w:pPr>
        <w:shd w:val="clear" w:color="auto" w:fill="FFFFFF"/>
        <w:ind w:firstLine="706"/>
        <w:jc w:val="both"/>
        <w:rPr>
          <w:rFonts w:ascii="Arial" w:hAnsi="Arial" w:cs="Arial"/>
          <w:color w:val="000000"/>
        </w:rPr>
      </w:pPr>
    </w:p>
    <w:p w:rsidR="009E391F" w:rsidRPr="002A4B9F" w:rsidRDefault="009E391F" w:rsidP="009E391F">
      <w:pPr>
        <w:shd w:val="clear" w:color="auto" w:fill="FFFFFF"/>
        <w:ind w:right="29"/>
        <w:jc w:val="both"/>
        <w:rPr>
          <w:rFonts w:ascii="Arial" w:hAnsi="Arial" w:cs="Arial"/>
        </w:rPr>
      </w:pPr>
      <w:r>
        <w:rPr>
          <w:rFonts w:ascii="Arial" w:hAnsi="Arial" w:cs="Arial"/>
          <w:color w:val="000000"/>
        </w:rPr>
        <w:t xml:space="preserve">It is not denied that the plaintiff terminated the employment of the defendant on 30 May 1997 on the </w:t>
      </w:r>
      <w:r w:rsidRPr="00221F7B">
        <w:rPr>
          <w:rFonts w:ascii="Arial" w:hAnsi="Arial" w:cs="Arial"/>
          <w:iCs/>
          <w:color w:val="000000"/>
        </w:rPr>
        <w:t>“ground of breach of trust</w:t>
      </w:r>
      <w:r>
        <w:rPr>
          <w:rFonts w:ascii="Arial" w:hAnsi="Arial" w:cs="Arial"/>
          <w:iCs/>
          <w:color w:val="000000"/>
        </w:rPr>
        <w:t>.</w:t>
      </w:r>
      <w:r w:rsidRPr="00221F7B">
        <w:rPr>
          <w:rFonts w:ascii="Arial" w:hAnsi="Arial" w:cs="Arial"/>
          <w:iCs/>
          <w:color w:val="000000"/>
        </w:rPr>
        <w:t>”</w:t>
      </w:r>
      <w:r>
        <w:rPr>
          <w:rFonts w:ascii="Arial" w:hAnsi="Arial" w:cs="Arial"/>
          <w:i/>
          <w:iCs/>
          <w:color w:val="000000"/>
        </w:rPr>
        <w:t xml:space="preserve"> </w:t>
      </w:r>
      <w:r>
        <w:rPr>
          <w:rFonts w:ascii="Arial" w:hAnsi="Arial" w:cs="Arial"/>
          <w:color w:val="000000"/>
        </w:rPr>
        <w:t>Subsequently, on 19 August 1997, the competent officer in the Ministry of Employment and Social Affairs ruled that the offence of breach of trust against the plaintiff had not been proved and ordered the defendant company to pay the plaintiff R3544.95 under the provisions of the Employment Act 1995.  The said sum has been paid as ordered. The plaintiff in the instant proceedings claims for prejudice suffered on account that the offence of breach of trust against him had not been proved and claims damages for loss of salary for 3 months</w:t>
      </w:r>
      <w:r>
        <w:rPr>
          <w:rFonts w:ascii="Arial" w:hAnsi="Arial" w:cs="Arial"/>
          <w:i/>
          <w:iCs/>
          <w:color w:val="000000"/>
        </w:rPr>
        <w:t xml:space="preserve"> </w:t>
      </w:r>
      <w:r>
        <w:rPr>
          <w:rFonts w:ascii="Arial" w:hAnsi="Arial" w:cs="Arial"/>
          <w:color w:val="000000"/>
        </w:rPr>
        <w:t>and moral damages.</w:t>
      </w:r>
    </w:p>
    <w:p w:rsidR="009E391F" w:rsidRPr="002A4B9F" w:rsidRDefault="009E391F" w:rsidP="009E391F">
      <w:pPr>
        <w:shd w:val="clear" w:color="auto" w:fill="FFFFFF"/>
        <w:rPr>
          <w:rFonts w:ascii="Arial" w:hAnsi="Arial" w:cs="Arial"/>
          <w:color w:val="000000"/>
        </w:rPr>
      </w:pPr>
    </w:p>
    <w:p w:rsidR="009E391F" w:rsidRPr="002A4B9F" w:rsidRDefault="009E391F" w:rsidP="009E391F">
      <w:pPr>
        <w:shd w:val="clear" w:color="auto" w:fill="FFFFFF"/>
        <w:rPr>
          <w:rFonts w:ascii="Arial" w:hAnsi="Arial" w:cs="Arial"/>
        </w:rPr>
      </w:pPr>
      <w:r>
        <w:rPr>
          <w:rFonts w:ascii="Arial" w:hAnsi="Arial" w:cs="Arial"/>
          <w:color w:val="000000"/>
        </w:rPr>
        <w:t>Under Article 1370(2) of the Civil Code:</w:t>
      </w:r>
    </w:p>
    <w:p w:rsidR="009E391F" w:rsidRPr="008A4A6C" w:rsidRDefault="009E391F" w:rsidP="009E391F">
      <w:pPr>
        <w:shd w:val="clear" w:color="auto" w:fill="FFFFFF"/>
        <w:rPr>
          <w:rFonts w:ascii="Arial" w:hAnsi="Arial" w:cs="Arial"/>
        </w:rPr>
      </w:pPr>
    </w:p>
    <w:p w:rsidR="009E391F" w:rsidRPr="008A4A6C" w:rsidRDefault="009E391F" w:rsidP="009E391F">
      <w:pPr>
        <w:shd w:val="clear" w:color="auto" w:fill="FFFFFF"/>
        <w:ind w:left="720" w:right="684"/>
        <w:rPr>
          <w:rFonts w:ascii="Arial" w:hAnsi="Arial" w:cs="Arial"/>
          <w:color w:val="000000"/>
        </w:rPr>
      </w:pPr>
      <w:r w:rsidRPr="008A4A6C">
        <w:rPr>
          <w:rFonts w:ascii="Arial" w:hAnsi="Arial" w:cs="Arial"/>
          <w:color w:val="000000"/>
        </w:rPr>
        <w:t xml:space="preserve">(2) When a person has a cause of action which may be founded either in contract or in </w:t>
      </w:r>
      <w:proofErr w:type="spellStart"/>
      <w:r w:rsidRPr="008A4A6C">
        <w:rPr>
          <w:rFonts w:ascii="Arial" w:hAnsi="Arial" w:cs="Arial"/>
          <w:color w:val="000000"/>
        </w:rPr>
        <w:t>delict</w:t>
      </w:r>
      <w:proofErr w:type="spellEnd"/>
      <w:r w:rsidRPr="008A4A6C">
        <w:rPr>
          <w:rFonts w:ascii="Arial" w:hAnsi="Arial" w:cs="Arial"/>
          <w:color w:val="000000"/>
        </w:rPr>
        <w:t>, he</w:t>
      </w:r>
      <w:r w:rsidRPr="008A4A6C">
        <w:rPr>
          <w:rFonts w:ascii="Arial" w:hAnsi="Arial" w:cs="Arial"/>
          <w:smallCaps/>
          <w:color w:val="000000"/>
        </w:rPr>
        <w:t xml:space="preserve"> </w:t>
      </w:r>
      <w:r w:rsidRPr="008A4A6C">
        <w:rPr>
          <w:rFonts w:ascii="Arial" w:hAnsi="Arial" w:cs="Arial"/>
          <w:color w:val="000000"/>
        </w:rPr>
        <w:t>may elect which cause of action to pursue.</w:t>
      </w:r>
    </w:p>
    <w:p w:rsidR="009E391F" w:rsidRPr="008A4A6C" w:rsidRDefault="009E391F" w:rsidP="009E391F">
      <w:pPr>
        <w:shd w:val="clear" w:color="auto" w:fill="FFFFFF"/>
        <w:ind w:left="720" w:right="684"/>
        <w:rPr>
          <w:rFonts w:ascii="Arial" w:hAnsi="Arial" w:cs="Arial"/>
        </w:rPr>
      </w:pPr>
      <w:r w:rsidRPr="008A4A6C">
        <w:rPr>
          <w:rFonts w:ascii="Arial" w:hAnsi="Arial" w:cs="Arial"/>
          <w:color w:val="000000"/>
        </w:rPr>
        <w:t>However if a law limits the liability to either of the two causes of action the plaintiff shall be bound to pursue the cause of action to which the law relates.  A plaintiff shall not be allowed to pursue both causes of action consequently.</w:t>
      </w:r>
    </w:p>
    <w:p w:rsidR="009E391F" w:rsidRPr="002A4B9F" w:rsidRDefault="009E391F" w:rsidP="009E391F">
      <w:pPr>
        <w:shd w:val="clear" w:color="auto" w:fill="FFFFFF"/>
        <w:ind w:left="29" w:right="24"/>
        <w:jc w:val="both"/>
        <w:rPr>
          <w:rFonts w:ascii="Arial" w:hAnsi="Arial" w:cs="Arial"/>
          <w:iCs/>
          <w:color w:val="000000"/>
        </w:rPr>
      </w:pPr>
      <w:r w:rsidRPr="0003694F">
        <w:rPr>
          <w:rFonts w:ascii="Arial" w:hAnsi="Arial" w:cs="Arial"/>
          <w:noProof/>
          <w:color w:val="000000"/>
        </w:rPr>
        <w:lastRenderedPageBreak/>
        <w:pict>
          <v:shapetype id="_x0000_t202" coordsize="21600,21600" o:spt="202" path="m,l,21600r21600,l21600,xe">
            <v:stroke joinstyle="miter"/>
            <v:path gradientshapeok="t" o:connecttype="rect"/>
          </v:shapetype>
          <v:shape id="_x0000_s1026" type="#_x0000_t202" style="position:absolute;left:0;text-align:left;margin-left:-30.35pt;margin-top:-31.15pt;width:30pt;height:531.55pt;z-index:251660288;mso-height-percent:200;mso-height-percent:200;mso-width-relative:margin;mso-height-relative:margin" stroked="f" strokecolor="white [3212]">
            <v:textbox style="mso-next-textbox:#_x0000_s1026;mso-fit-shape-to-text:t">
              <w:txbxContent>
                <w:p w:rsidR="009E391F" w:rsidRPr="00CF6C02" w:rsidRDefault="009E391F" w:rsidP="009E391F">
                  <w:pPr>
                    <w:rPr>
                      <w:rFonts w:ascii="Arial" w:hAnsi="Arial" w:cs="Arial"/>
                      <w:b/>
                      <w:i/>
                    </w:rPr>
                  </w:pPr>
                </w:p>
              </w:txbxContent>
            </v:textbox>
          </v:shape>
        </w:pict>
      </w:r>
      <w:r>
        <w:rPr>
          <w:rFonts w:ascii="Arial" w:hAnsi="Arial" w:cs="Arial"/>
          <w:iCs/>
          <w:color w:val="000000"/>
        </w:rPr>
        <w:t>Moreover, under section 4(3) of the Employment Act 1995 (prior to the amendment brought by Act No.8 of 1999):</w:t>
      </w:r>
    </w:p>
    <w:p w:rsidR="009E391F" w:rsidRPr="002A4B9F" w:rsidRDefault="009E391F" w:rsidP="009E391F">
      <w:pPr>
        <w:shd w:val="clear" w:color="auto" w:fill="FFFFFF"/>
        <w:ind w:left="29" w:right="24" w:firstLine="725"/>
        <w:jc w:val="both"/>
        <w:rPr>
          <w:rFonts w:ascii="Arial" w:hAnsi="Arial" w:cs="Arial"/>
        </w:rPr>
      </w:pPr>
    </w:p>
    <w:p w:rsidR="009E391F" w:rsidRPr="008A4A6C" w:rsidRDefault="009E391F" w:rsidP="009E391F">
      <w:pPr>
        <w:shd w:val="clear" w:color="auto" w:fill="FFFFFF"/>
        <w:ind w:left="720" w:right="684"/>
        <w:jc w:val="both"/>
        <w:rPr>
          <w:rFonts w:ascii="Arial" w:hAnsi="Arial" w:cs="Arial"/>
        </w:rPr>
      </w:pPr>
      <w:proofErr w:type="gramStart"/>
      <w:r w:rsidRPr="008A4A6C">
        <w:rPr>
          <w:rFonts w:ascii="Arial" w:hAnsi="Arial" w:cs="Arial"/>
          <w:color w:val="000000"/>
        </w:rPr>
        <w:t>where</w:t>
      </w:r>
      <w:proofErr w:type="gramEnd"/>
      <w:r w:rsidRPr="008A4A6C">
        <w:rPr>
          <w:rFonts w:ascii="Arial" w:hAnsi="Arial" w:cs="Arial"/>
          <w:color w:val="000000"/>
        </w:rPr>
        <w:t xml:space="preserve"> provision is made under this Act for the hearing and determination of any matter in relation to a contract of employment to which this Act applies, any remedy or relief granted under this Act in respect of that matter shall, subject to the jurisdiction of the Supreme Court, be binding on the parties to the hearing or determination.</w:t>
      </w:r>
    </w:p>
    <w:p w:rsidR="009E391F" w:rsidRPr="002A4B9F" w:rsidRDefault="009E391F" w:rsidP="009E391F">
      <w:pPr>
        <w:shd w:val="clear" w:color="auto" w:fill="FFFFFF"/>
        <w:ind w:left="14" w:firstLine="725"/>
        <w:jc w:val="both"/>
        <w:rPr>
          <w:rFonts w:ascii="Arial" w:hAnsi="Arial" w:cs="Arial"/>
          <w:i/>
          <w:iCs/>
          <w:color w:val="000000"/>
        </w:rPr>
      </w:pPr>
    </w:p>
    <w:p w:rsidR="009E391F" w:rsidRPr="002A4B9F" w:rsidRDefault="009E391F" w:rsidP="009E391F">
      <w:pPr>
        <w:shd w:val="clear" w:color="auto" w:fill="FFFFFF"/>
        <w:ind w:left="14"/>
        <w:jc w:val="both"/>
        <w:rPr>
          <w:rFonts w:ascii="Arial" w:hAnsi="Arial" w:cs="Arial"/>
          <w:iCs/>
          <w:color w:val="000000"/>
        </w:rPr>
      </w:pPr>
      <w:r>
        <w:rPr>
          <w:rFonts w:ascii="Arial" w:hAnsi="Arial" w:cs="Arial"/>
          <w:iCs/>
          <w:color w:val="000000"/>
        </w:rPr>
        <w:t xml:space="preserve">It has been held by the Court of Appeal in </w:t>
      </w:r>
      <w:r w:rsidRPr="00221F7B">
        <w:rPr>
          <w:rFonts w:ascii="Arial" w:hAnsi="Arial" w:cs="Arial"/>
          <w:i/>
          <w:iCs/>
          <w:color w:val="000000"/>
        </w:rPr>
        <w:t xml:space="preserve">Genevieve </w:t>
      </w:r>
      <w:proofErr w:type="spellStart"/>
      <w:r w:rsidRPr="00221F7B">
        <w:rPr>
          <w:rFonts w:ascii="Arial" w:hAnsi="Arial" w:cs="Arial"/>
          <w:bCs/>
          <w:i/>
          <w:iCs/>
          <w:color w:val="000000"/>
        </w:rPr>
        <w:t>Lionnet</w:t>
      </w:r>
      <w:proofErr w:type="spellEnd"/>
      <w:r w:rsidRPr="00221F7B">
        <w:rPr>
          <w:rFonts w:ascii="Arial" w:hAnsi="Arial" w:cs="Arial"/>
          <w:bCs/>
          <w:i/>
          <w:iCs/>
          <w:color w:val="000000"/>
        </w:rPr>
        <w:t xml:space="preserve"> v </w:t>
      </w:r>
      <w:r w:rsidRPr="00221F7B">
        <w:rPr>
          <w:rFonts w:ascii="Arial" w:hAnsi="Arial" w:cs="Arial"/>
          <w:i/>
          <w:iCs/>
          <w:color w:val="000000"/>
        </w:rPr>
        <w:t>Central Bank of Seychelles</w:t>
      </w:r>
      <w:r>
        <w:rPr>
          <w:rFonts w:ascii="Arial" w:hAnsi="Arial" w:cs="Arial"/>
          <w:b/>
          <w:iCs/>
          <w:color w:val="000000"/>
        </w:rPr>
        <w:t xml:space="preserve"> </w:t>
      </w:r>
      <w:r w:rsidRPr="00221F7B">
        <w:rPr>
          <w:rFonts w:ascii="Arial" w:hAnsi="Arial" w:cs="Arial"/>
          <w:iCs/>
          <w:color w:val="000000"/>
        </w:rPr>
        <w:t xml:space="preserve">(unreported) Civil Appeal No. 33 of 1998 that the above </w:t>
      </w:r>
      <w:r>
        <w:rPr>
          <w:rFonts w:ascii="Arial" w:hAnsi="Arial" w:cs="Arial"/>
          <w:iCs/>
          <w:color w:val="000000"/>
        </w:rPr>
        <w:t xml:space="preserve">section 4(3) </w:t>
      </w:r>
      <w:r>
        <w:rPr>
          <w:rFonts w:ascii="Arial" w:hAnsi="Arial" w:cs="Arial"/>
          <w:color w:val="000000"/>
        </w:rPr>
        <w:t xml:space="preserve">"cannot possibly be construed as ousting the jurisdiction of the Supreme Court” </w:t>
      </w:r>
      <w:r>
        <w:rPr>
          <w:rFonts w:ascii="Arial" w:hAnsi="Arial" w:cs="Arial"/>
          <w:iCs/>
          <w:color w:val="000000"/>
        </w:rPr>
        <w:t>and that in circumstances where the plaintiff has not resorted to the grievance procedure under the Employment Act 1995, the jurisdiction of the Supreme Court in a claim for damages for unjustified termination, is not ousted.</w:t>
      </w:r>
    </w:p>
    <w:p w:rsidR="009E391F" w:rsidRPr="002A4B9F" w:rsidRDefault="009E391F" w:rsidP="009E391F">
      <w:pPr>
        <w:shd w:val="clear" w:color="auto" w:fill="FFFFFF"/>
        <w:ind w:left="14" w:firstLine="725"/>
        <w:jc w:val="both"/>
        <w:rPr>
          <w:rFonts w:ascii="Arial" w:hAnsi="Arial" w:cs="Arial"/>
        </w:rPr>
      </w:pPr>
    </w:p>
    <w:p w:rsidR="009E391F" w:rsidRPr="002A4B9F" w:rsidRDefault="009E391F" w:rsidP="009E391F">
      <w:pPr>
        <w:shd w:val="clear" w:color="auto" w:fill="FFFFFF"/>
        <w:ind w:left="5" w:right="14"/>
        <w:jc w:val="both"/>
        <w:rPr>
          <w:rFonts w:ascii="Arial" w:hAnsi="Arial" w:cs="Arial"/>
        </w:rPr>
      </w:pPr>
      <w:r>
        <w:rPr>
          <w:rFonts w:ascii="Arial" w:hAnsi="Arial" w:cs="Arial"/>
          <w:iCs/>
          <w:color w:val="000000"/>
        </w:rPr>
        <w:t xml:space="preserve">However the Court of Appeal did not disturb its earlier determination in </w:t>
      </w:r>
      <w:r w:rsidRPr="00221F7B">
        <w:rPr>
          <w:rFonts w:ascii="Arial" w:hAnsi="Arial" w:cs="Arial"/>
          <w:i/>
          <w:iCs/>
          <w:color w:val="000000"/>
        </w:rPr>
        <w:t>Antoine Rosette v Union Literate Company</w:t>
      </w:r>
      <w:r>
        <w:rPr>
          <w:rFonts w:ascii="Arial" w:hAnsi="Arial" w:cs="Arial"/>
          <w:iCs/>
          <w:color w:val="000000"/>
        </w:rPr>
        <w:t xml:space="preserve"> (unreported) Civil appeal No. 16 of 1994, judgment delivered on 18 May 1995 (although based on the earlier Employment Act of 1990), that where a grievance had been lodged with the Ministry of Employment and Social Affairs and an employee was awarded statutory benefits for unjustified termination of employment under the latter Act, the latter </w:t>
      </w:r>
      <w:r>
        <w:rPr>
          <w:rFonts w:ascii="Arial" w:hAnsi="Arial" w:cs="Arial"/>
          <w:color w:val="000000"/>
        </w:rPr>
        <w:t xml:space="preserve">“cannot commence and drag the employer through fresh proceedings based on the same cause of action in another forum." </w:t>
      </w:r>
      <w:r>
        <w:rPr>
          <w:rFonts w:ascii="Arial" w:hAnsi="Arial" w:cs="Arial"/>
          <w:iCs/>
          <w:color w:val="000000"/>
        </w:rPr>
        <w:t>This reasoning is equally applicable to the Employment Act 1995 and constitutes a bar to the instant proceedings.</w:t>
      </w:r>
    </w:p>
    <w:p w:rsidR="009E391F" w:rsidRPr="002A4B9F" w:rsidRDefault="009E391F" w:rsidP="009E391F">
      <w:pPr>
        <w:shd w:val="clear" w:color="auto" w:fill="FFFFFF"/>
        <w:ind w:right="29" w:firstLine="715"/>
        <w:jc w:val="both"/>
        <w:rPr>
          <w:rFonts w:ascii="Arial" w:hAnsi="Arial" w:cs="Arial"/>
          <w:iCs/>
          <w:color w:val="000000"/>
        </w:rPr>
      </w:pPr>
    </w:p>
    <w:p w:rsidR="009E391F" w:rsidRPr="002A4B9F" w:rsidRDefault="009E391F" w:rsidP="009E391F">
      <w:pPr>
        <w:shd w:val="clear" w:color="auto" w:fill="FFFFFF"/>
        <w:ind w:right="29"/>
        <w:jc w:val="both"/>
        <w:rPr>
          <w:rFonts w:ascii="Arial" w:hAnsi="Arial" w:cs="Arial"/>
          <w:b/>
          <w:iCs/>
          <w:color w:val="000000"/>
        </w:rPr>
      </w:pPr>
      <w:r>
        <w:rPr>
          <w:rFonts w:ascii="Arial" w:hAnsi="Arial" w:cs="Arial"/>
          <w:iCs/>
          <w:color w:val="000000"/>
        </w:rPr>
        <w:t xml:space="preserve">It is to be noted in the present case that the cause of action relied upon by the plaintiff is not a separate </w:t>
      </w:r>
      <w:proofErr w:type="spellStart"/>
      <w:r>
        <w:rPr>
          <w:rFonts w:ascii="Arial" w:hAnsi="Arial" w:cs="Arial"/>
          <w:iCs/>
          <w:color w:val="000000"/>
        </w:rPr>
        <w:t>act</w:t>
      </w:r>
      <w:proofErr w:type="spellEnd"/>
      <w:r>
        <w:rPr>
          <w:rFonts w:ascii="Arial" w:hAnsi="Arial" w:cs="Arial"/>
          <w:iCs/>
          <w:color w:val="000000"/>
        </w:rPr>
        <w:t xml:space="preserve"> from the unjustifiable termination and forming the basis of a different cause of action from that determined under the Employment Act. As commented by </w:t>
      </w:r>
      <w:proofErr w:type="spellStart"/>
      <w:r>
        <w:rPr>
          <w:rFonts w:ascii="Arial" w:hAnsi="Arial" w:cs="Arial"/>
          <w:iCs/>
          <w:color w:val="000000"/>
        </w:rPr>
        <w:t>Ayoola</w:t>
      </w:r>
      <w:proofErr w:type="spellEnd"/>
      <w:r>
        <w:rPr>
          <w:rFonts w:ascii="Arial" w:hAnsi="Arial" w:cs="Arial"/>
          <w:iCs/>
          <w:color w:val="000000"/>
        </w:rPr>
        <w:t xml:space="preserve"> </w:t>
      </w:r>
      <w:proofErr w:type="gramStart"/>
      <w:r>
        <w:rPr>
          <w:rFonts w:ascii="Arial" w:hAnsi="Arial" w:cs="Arial"/>
          <w:iCs/>
          <w:color w:val="000000"/>
        </w:rPr>
        <w:t xml:space="preserve">JA </w:t>
      </w:r>
      <w:r>
        <w:rPr>
          <w:rFonts w:ascii="Arial" w:hAnsi="Arial" w:cs="Arial"/>
          <w:iCs/>
          <w:color w:val="000000"/>
          <w:vertAlign w:val="superscript"/>
        </w:rPr>
        <w:t xml:space="preserve"> </w:t>
      </w:r>
      <w:r>
        <w:rPr>
          <w:rFonts w:ascii="Arial" w:hAnsi="Arial" w:cs="Arial"/>
          <w:iCs/>
          <w:color w:val="000000"/>
        </w:rPr>
        <w:t>in</w:t>
      </w:r>
      <w:proofErr w:type="gramEnd"/>
      <w:r>
        <w:rPr>
          <w:rFonts w:ascii="Arial" w:hAnsi="Arial" w:cs="Arial"/>
          <w:iCs/>
          <w:color w:val="000000"/>
        </w:rPr>
        <w:t xml:space="preserve"> the </w:t>
      </w:r>
      <w:r w:rsidRPr="00221F7B">
        <w:rPr>
          <w:rFonts w:ascii="Arial" w:hAnsi="Arial" w:cs="Arial"/>
          <w:i/>
          <w:iCs/>
          <w:color w:val="000000"/>
        </w:rPr>
        <w:t>Rosette</w:t>
      </w:r>
      <w:r w:rsidRPr="00221F7B">
        <w:rPr>
          <w:rFonts w:ascii="Arial" w:hAnsi="Arial" w:cs="Arial"/>
          <w:iCs/>
          <w:color w:val="000000"/>
        </w:rPr>
        <w:t xml:space="preserve"> case:</w:t>
      </w:r>
    </w:p>
    <w:p w:rsidR="009E391F" w:rsidRDefault="009E391F" w:rsidP="009E391F">
      <w:pPr>
        <w:shd w:val="clear" w:color="auto" w:fill="FFFFFF"/>
        <w:ind w:right="29" w:firstLine="715"/>
        <w:jc w:val="both"/>
        <w:rPr>
          <w:rFonts w:ascii="Arial" w:hAnsi="Arial" w:cs="Arial"/>
        </w:rPr>
      </w:pPr>
    </w:p>
    <w:p w:rsidR="009E391F" w:rsidRPr="002A4B9F" w:rsidRDefault="009E391F" w:rsidP="009E391F">
      <w:pPr>
        <w:shd w:val="clear" w:color="auto" w:fill="FFFFFF"/>
        <w:ind w:right="29" w:firstLine="715"/>
        <w:jc w:val="both"/>
        <w:rPr>
          <w:rFonts w:ascii="Arial" w:hAnsi="Arial" w:cs="Arial"/>
        </w:rPr>
      </w:pPr>
    </w:p>
    <w:p w:rsidR="009E391F" w:rsidRPr="008A4A6C" w:rsidRDefault="009E391F" w:rsidP="009E391F">
      <w:pPr>
        <w:shd w:val="clear" w:color="auto" w:fill="FFFFFF"/>
        <w:ind w:left="720" w:right="684"/>
        <w:jc w:val="both"/>
        <w:rPr>
          <w:rFonts w:ascii="Arial" w:hAnsi="Arial" w:cs="Arial"/>
        </w:rPr>
      </w:pPr>
      <w:r w:rsidRPr="008A4A6C">
        <w:rPr>
          <w:rFonts w:ascii="Arial" w:hAnsi="Arial" w:cs="Arial"/>
          <w:iCs/>
          <w:color w:val="000000"/>
        </w:rPr>
        <w:t xml:space="preserve">However if </w:t>
      </w:r>
      <w:r w:rsidRPr="008A4A6C">
        <w:rPr>
          <w:rFonts w:ascii="Arial" w:hAnsi="Arial" w:cs="Arial"/>
          <w:color w:val="000000"/>
        </w:rPr>
        <w:t xml:space="preserve">in the course of terminating a contract, the employer committed a </w:t>
      </w:r>
      <w:proofErr w:type="spellStart"/>
      <w:r w:rsidRPr="008A4A6C">
        <w:rPr>
          <w:rFonts w:ascii="Arial" w:hAnsi="Arial" w:cs="Arial"/>
          <w:color w:val="000000"/>
        </w:rPr>
        <w:t>delict</w:t>
      </w:r>
      <w:proofErr w:type="spellEnd"/>
      <w:r w:rsidRPr="008A4A6C">
        <w:rPr>
          <w:rFonts w:ascii="Arial" w:hAnsi="Arial" w:cs="Arial"/>
          <w:color w:val="000000"/>
        </w:rPr>
        <w:t xml:space="preserve">, such as, for instance, a libel or assault, that act which </w:t>
      </w:r>
      <w:r w:rsidRPr="008A4A6C">
        <w:rPr>
          <w:rFonts w:ascii="Arial" w:hAnsi="Arial" w:cs="Arial"/>
          <w:color w:val="000000"/>
        </w:rPr>
        <w:lastRenderedPageBreak/>
        <w:t xml:space="preserve">amounted to a </w:t>
      </w:r>
      <w:proofErr w:type="spellStart"/>
      <w:r w:rsidRPr="008A4A6C">
        <w:rPr>
          <w:rFonts w:ascii="Arial" w:hAnsi="Arial" w:cs="Arial"/>
          <w:color w:val="000000"/>
        </w:rPr>
        <w:t>delict</w:t>
      </w:r>
      <w:proofErr w:type="spellEnd"/>
      <w:r w:rsidRPr="008A4A6C">
        <w:rPr>
          <w:rFonts w:ascii="Arial" w:hAnsi="Arial" w:cs="Arial"/>
          <w:color w:val="000000"/>
        </w:rPr>
        <w:t xml:space="preserve"> would be a separate cause of action apart from unjustifiable termination. </w:t>
      </w:r>
    </w:p>
    <w:p w:rsidR="009E391F" w:rsidRPr="002A4B9F" w:rsidRDefault="009E391F" w:rsidP="009E391F">
      <w:pPr>
        <w:shd w:val="clear" w:color="auto" w:fill="FFFFFF"/>
        <w:rPr>
          <w:rFonts w:ascii="Arial" w:hAnsi="Arial" w:cs="Arial"/>
        </w:rPr>
      </w:pPr>
    </w:p>
    <w:p w:rsidR="009E391F" w:rsidRPr="00296FE0" w:rsidRDefault="009E391F" w:rsidP="009E391F">
      <w:pPr>
        <w:shd w:val="clear" w:color="auto" w:fill="FFFFFF"/>
        <w:ind w:left="19"/>
        <w:jc w:val="both"/>
        <w:rPr>
          <w:rFonts w:ascii="Arial" w:hAnsi="Arial" w:cs="Arial"/>
          <w:color w:val="000000"/>
        </w:rPr>
      </w:pPr>
      <w:r>
        <w:rPr>
          <w:rFonts w:ascii="Arial" w:hAnsi="Arial" w:cs="Arial"/>
          <w:color w:val="000000"/>
        </w:rPr>
        <w:t>Instances of such acts separate from the termination of employment have been found in several decisions of this Court including:</w:t>
      </w:r>
    </w:p>
    <w:p w:rsidR="009E391F" w:rsidRPr="002A4B9F" w:rsidRDefault="009E391F" w:rsidP="009E391F">
      <w:pPr>
        <w:pStyle w:val="ListParagraph"/>
        <w:widowControl w:val="0"/>
        <w:numPr>
          <w:ilvl w:val="0"/>
          <w:numId w:val="1"/>
        </w:numPr>
        <w:shd w:val="clear" w:color="auto" w:fill="FFFFFF"/>
        <w:autoSpaceDE w:val="0"/>
        <w:autoSpaceDN w:val="0"/>
        <w:adjustRightInd w:val="0"/>
        <w:spacing w:after="0" w:line="240" w:lineRule="auto"/>
        <w:ind w:left="1440" w:right="684"/>
        <w:jc w:val="both"/>
        <w:rPr>
          <w:rFonts w:ascii="Arial" w:hAnsi="Arial" w:cs="Arial"/>
          <w:color w:val="000000"/>
          <w:sz w:val="24"/>
          <w:szCs w:val="24"/>
        </w:rPr>
      </w:pPr>
      <w:r w:rsidRPr="00221F7B">
        <w:rPr>
          <w:rFonts w:ascii="Arial" w:hAnsi="Arial" w:cs="Arial"/>
          <w:i/>
          <w:color w:val="000000"/>
          <w:sz w:val="24"/>
          <w:szCs w:val="24"/>
        </w:rPr>
        <w:t xml:space="preserve">B. Rosalie v </w:t>
      </w:r>
      <w:proofErr w:type="spellStart"/>
      <w:r w:rsidRPr="00221F7B">
        <w:rPr>
          <w:rFonts w:ascii="Arial" w:hAnsi="Arial" w:cs="Arial"/>
          <w:i/>
          <w:color w:val="000000"/>
          <w:sz w:val="24"/>
          <w:szCs w:val="24"/>
        </w:rPr>
        <w:t>Bodco</w:t>
      </w:r>
      <w:proofErr w:type="spellEnd"/>
      <w:r w:rsidRPr="00221F7B">
        <w:rPr>
          <w:rFonts w:ascii="Arial" w:hAnsi="Arial" w:cs="Arial"/>
          <w:i/>
          <w:color w:val="000000"/>
          <w:sz w:val="24"/>
          <w:szCs w:val="24"/>
        </w:rPr>
        <w:t xml:space="preserve"> Ltd</w:t>
      </w:r>
      <w:r>
        <w:rPr>
          <w:rFonts w:ascii="Arial" w:hAnsi="Arial" w:cs="Arial"/>
          <w:color w:val="000000"/>
          <w:sz w:val="24"/>
          <w:szCs w:val="24"/>
        </w:rPr>
        <w:t xml:space="preserve"> (unreported) Civil side No. 193 of 1997: where the court held that the failure of the employer to comply with an order made by the competent officer and the Minister to reinstate the plaintiff constituted </w:t>
      </w:r>
      <w:proofErr w:type="spellStart"/>
      <w:r>
        <w:rPr>
          <w:rFonts w:ascii="Arial" w:hAnsi="Arial" w:cs="Arial"/>
          <w:color w:val="000000"/>
          <w:sz w:val="24"/>
          <w:szCs w:val="24"/>
        </w:rPr>
        <w:t>a”</w:t>
      </w:r>
      <w:r>
        <w:rPr>
          <w:rFonts w:ascii="Arial" w:hAnsi="Arial" w:cs="Arial"/>
          <w:i/>
          <w:iCs/>
          <w:color w:val="000000"/>
          <w:sz w:val="24"/>
          <w:szCs w:val="24"/>
        </w:rPr>
        <w:t>faute</w:t>
      </w:r>
      <w:proofErr w:type="spellEnd"/>
      <w:r>
        <w:rPr>
          <w:rFonts w:ascii="Arial" w:hAnsi="Arial" w:cs="Arial"/>
          <w:i/>
          <w:iCs/>
          <w:color w:val="000000"/>
          <w:sz w:val="24"/>
          <w:szCs w:val="24"/>
        </w:rPr>
        <w:t xml:space="preserve">” </w:t>
      </w:r>
      <w:r>
        <w:rPr>
          <w:rFonts w:ascii="Arial" w:hAnsi="Arial" w:cs="Arial"/>
          <w:color w:val="000000"/>
          <w:sz w:val="24"/>
          <w:szCs w:val="24"/>
        </w:rPr>
        <w:t>under article 1382 of the Civil Code;</w:t>
      </w:r>
    </w:p>
    <w:p w:rsidR="009E391F" w:rsidRPr="002A4B9F" w:rsidRDefault="009E391F" w:rsidP="009E391F">
      <w:pPr>
        <w:pStyle w:val="ListParagraph"/>
        <w:shd w:val="clear" w:color="auto" w:fill="FFFFFF"/>
        <w:spacing w:after="0" w:line="240" w:lineRule="auto"/>
        <w:ind w:left="1440" w:right="684"/>
        <w:jc w:val="both"/>
        <w:rPr>
          <w:rFonts w:ascii="Arial" w:hAnsi="Arial" w:cs="Arial"/>
          <w:color w:val="000000"/>
          <w:sz w:val="24"/>
          <w:szCs w:val="24"/>
        </w:rPr>
      </w:pPr>
    </w:p>
    <w:p w:rsidR="009E391F" w:rsidRPr="002A4B9F" w:rsidRDefault="009E391F" w:rsidP="009E391F">
      <w:pPr>
        <w:pStyle w:val="ListParagraph"/>
        <w:widowControl w:val="0"/>
        <w:numPr>
          <w:ilvl w:val="0"/>
          <w:numId w:val="1"/>
        </w:numPr>
        <w:shd w:val="clear" w:color="auto" w:fill="FFFFFF"/>
        <w:autoSpaceDE w:val="0"/>
        <w:autoSpaceDN w:val="0"/>
        <w:adjustRightInd w:val="0"/>
        <w:spacing w:after="0" w:line="240" w:lineRule="auto"/>
        <w:ind w:left="1440" w:right="684" w:hanging="701"/>
        <w:jc w:val="both"/>
        <w:rPr>
          <w:rFonts w:ascii="Arial" w:hAnsi="Arial" w:cs="Arial"/>
          <w:sz w:val="24"/>
          <w:szCs w:val="24"/>
        </w:rPr>
      </w:pPr>
      <w:r w:rsidRPr="00221F7B">
        <w:rPr>
          <w:rFonts w:ascii="Arial" w:hAnsi="Arial" w:cs="Arial"/>
          <w:i/>
          <w:color w:val="000000"/>
          <w:sz w:val="24"/>
          <w:szCs w:val="24"/>
        </w:rPr>
        <w:t>B. Elizabeth v SPTC</w:t>
      </w:r>
      <w:r>
        <w:rPr>
          <w:rFonts w:ascii="Arial" w:hAnsi="Arial" w:cs="Arial"/>
          <w:color w:val="000000"/>
          <w:sz w:val="24"/>
          <w:szCs w:val="24"/>
        </w:rPr>
        <w:t xml:space="preserve"> (unreported) Civil side No. 157 of 1997: where the court found that the failure to amend a certificate of employment by the employer was an error of conduct which constituted a '</w:t>
      </w:r>
      <w:proofErr w:type="spellStart"/>
      <w:r>
        <w:rPr>
          <w:rFonts w:ascii="Arial" w:hAnsi="Arial" w:cs="Arial"/>
          <w:color w:val="000000"/>
          <w:sz w:val="24"/>
          <w:szCs w:val="24"/>
        </w:rPr>
        <w:t>faute</w:t>
      </w:r>
      <w:proofErr w:type="spellEnd"/>
      <w:r>
        <w:rPr>
          <w:rFonts w:ascii="Arial" w:hAnsi="Arial" w:cs="Arial"/>
          <w:color w:val="000000"/>
          <w:sz w:val="24"/>
          <w:szCs w:val="24"/>
        </w:rPr>
        <w:t>’ under article 1382; and</w:t>
      </w:r>
    </w:p>
    <w:p w:rsidR="009E391F" w:rsidRPr="002A4B9F" w:rsidRDefault="009E391F" w:rsidP="009E391F">
      <w:pPr>
        <w:pStyle w:val="ListParagraph"/>
        <w:spacing w:after="0" w:line="240" w:lineRule="auto"/>
        <w:ind w:left="1440" w:right="684"/>
        <w:rPr>
          <w:rFonts w:ascii="Arial" w:hAnsi="Arial" w:cs="Arial"/>
          <w:color w:val="000000"/>
          <w:sz w:val="24"/>
          <w:szCs w:val="24"/>
        </w:rPr>
      </w:pPr>
    </w:p>
    <w:p w:rsidR="009E391F" w:rsidRPr="002A4B9F" w:rsidRDefault="009E391F" w:rsidP="009E391F">
      <w:pPr>
        <w:pStyle w:val="ListParagraph"/>
        <w:widowControl w:val="0"/>
        <w:numPr>
          <w:ilvl w:val="0"/>
          <w:numId w:val="1"/>
        </w:numPr>
        <w:shd w:val="clear" w:color="auto" w:fill="FFFFFF"/>
        <w:autoSpaceDE w:val="0"/>
        <w:autoSpaceDN w:val="0"/>
        <w:adjustRightInd w:val="0"/>
        <w:spacing w:after="0" w:line="240" w:lineRule="auto"/>
        <w:ind w:left="1440" w:right="684" w:hanging="701"/>
        <w:jc w:val="both"/>
        <w:rPr>
          <w:rFonts w:ascii="Arial" w:hAnsi="Arial" w:cs="Arial"/>
          <w:sz w:val="24"/>
          <w:szCs w:val="24"/>
        </w:rPr>
      </w:pPr>
      <w:r w:rsidRPr="00221F7B">
        <w:rPr>
          <w:rFonts w:ascii="Arial" w:hAnsi="Arial" w:cs="Arial"/>
          <w:i/>
          <w:color w:val="000000"/>
          <w:sz w:val="24"/>
          <w:szCs w:val="24"/>
        </w:rPr>
        <w:t xml:space="preserve">E. Philo v Pension </w:t>
      </w:r>
      <w:proofErr w:type="spellStart"/>
      <w:r w:rsidRPr="00221F7B">
        <w:rPr>
          <w:rFonts w:ascii="Arial" w:hAnsi="Arial" w:cs="Arial"/>
          <w:i/>
          <w:color w:val="000000"/>
          <w:sz w:val="24"/>
          <w:szCs w:val="24"/>
        </w:rPr>
        <w:t>Bel</w:t>
      </w:r>
      <w:proofErr w:type="spellEnd"/>
      <w:r w:rsidRPr="00221F7B">
        <w:rPr>
          <w:rFonts w:ascii="Arial" w:hAnsi="Arial" w:cs="Arial"/>
          <w:i/>
          <w:color w:val="000000"/>
          <w:sz w:val="24"/>
          <w:szCs w:val="24"/>
        </w:rPr>
        <w:t xml:space="preserve"> Air</w:t>
      </w:r>
      <w:r>
        <w:rPr>
          <w:rFonts w:ascii="Arial" w:hAnsi="Arial" w:cs="Arial"/>
          <w:color w:val="000000"/>
          <w:sz w:val="24"/>
          <w:szCs w:val="24"/>
        </w:rPr>
        <w:t xml:space="preserve"> (unreported) Civil side No. 78 of 1998: where the court found (vide: Ruling on Plea in </w:t>
      </w:r>
      <w:proofErr w:type="spellStart"/>
      <w:r>
        <w:rPr>
          <w:rFonts w:ascii="Arial" w:hAnsi="Arial" w:cs="Arial"/>
          <w:color w:val="000000"/>
          <w:sz w:val="24"/>
          <w:szCs w:val="24"/>
        </w:rPr>
        <w:t>limine</w:t>
      </w:r>
      <w:proofErr w:type="spellEnd"/>
      <w:r>
        <w:rPr>
          <w:rFonts w:ascii="Arial" w:hAnsi="Arial" w:cs="Arial"/>
          <w:color w:val="000000"/>
          <w:sz w:val="24"/>
          <w:szCs w:val="24"/>
        </w:rPr>
        <w:t xml:space="preserve"> </w:t>
      </w:r>
      <w:proofErr w:type="spellStart"/>
      <w:r>
        <w:rPr>
          <w:rFonts w:ascii="Arial" w:hAnsi="Arial" w:cs="Arial"/>
          <w:color w:val="000000"/>
          <w:sz w:val="24"/>
          <w:szCs w:val="24"/>
        </w:rPr>
        <w:t>litis</w:t>
      </w:r>
      <w:proofErr w:type="spellEnd"/>
      <w:r>
        <w:rPr>
          <w:rFonts w:ascii="Arial" w:hAnsi="Arial" w:cs="Arial"/>
          <w:color w:val="000000"/>
          <w:sz w:val="24"/>
          <w:szCs w:val="24"/>
        </w:rPr>
        <w:t xml:space="preserve">) that the omission by the employer to pay statutory benefits awarded to the plaintiff under the Employment Act could amount to a </w:t>
      </w:r>
      <w:r w:rsidRPr="00221F7B">
        <w:rPr>
          <w:rFonts w:ascii="Arial" w:hAnsi="Arial" w:cs="Arial"/>
          <w:iCs/>
          <w:color w:val="000000"/>
          <w:sz w:val="24"/>
          <w:szCs w:val="24"/>
        </w:rPr>
        <w:t>‘</w:t>
      </w:r>
      <w:proofErr w:type="spellStart"/>
      <w:r w:rsidRPr="00221F7B">
        <w:rPr>
          <w:rFonts w:ascii="Arial" w:hAnsi="Arial" w:cs="Arial"/>
          <w:iCs/>
          <w:color w:val="000000"/>
          <w:sz w:val="24"/>
          <w:szCs w:val="24"/>
        </w:rPr>
        <w:t>faute</w:t>
      </w:r>
      <w:proofErr w:type="spellEnd"/>
      <w:r w:rsidRPr="00221F7B">
        <w:rPr>
          <w:rFonts w:ascii="Arial" w:hAnsi="Arial" w:cs="Arial"/>
          <w:iCs/>
          <w:color w:val="000000"/>
          <w:sz w:val="24"/>
          <w:szCs w:val="24"/>
        </w:rPr>
        <w:t>’</w:t>
      </w:r>
      <w:r>
        <w:rPr>
          <w:rFonts w:ascii="Arial" w:hAnsi="Arial" w:cs="Arial"/>
          <w:i/>
          <w:iCs/>
          <w:color w:val="000000"/>
          <w:sz w:val="24"/>
          <w:szCs w:val="24"/>
        </w:rPr>
        <w:t xml:space="preserve"> </w:t>
      </w:r>
      <w:r>
        <w:rPr>
          <w:rFonts w:ascii="Arial" w:hAnsi="Arial" w:cs="Arial"/>
          <w:color w:val="000000"/>
          <w:sz w:val="24"/>
          <w:szCs w:val="24"/>
        </w:rPr>
        <w:t>under the Civil Code.</w:t>
      </w:r>
    </w:p>
    <w:p w:rsidR="009E391F" w:rsidRPr="002A4B9F" w:rsidRDefault="009E391F" w:rsidP="009E391F">
      <w:pPr>
        <w:shd w:val="clear" w:color="auto" w:fill="FFFFFF"/>
        <w:rPr>
          <w:rFonts w:ascii="Arial" w:hAnsi="Arial" w:cs="Arial"/>
          <w:color w:val="000000"/>
        </w:rPr>
      </w:pPr>
    </w:p>
    <w:p w:rsidR="009E391F" w:rsidRPr="002A4B9F" w:rsidRDefault="009E391F" w:rsidP="009E391F">
      <w:pPr>
        <w:shd w:val="clear" w:color="auto" w:fill="FFFFFF"/>
        <w:rPr>
          <w:rFonts w:ascii="Arial" w:hAnsi="Arial" w:cs="Arial"/>
          <w:color w:val="000000"/>
        </w:rPr>
      </w:pPr>
      <w:r>
        <w:rPr>
          <w:rFonts w:ascii="Arial" w:hAnsi="Arial" w:cs="Arial"/>
          <w:color w:val="000000"/>
        </w:rPr>
        <w:t>In the present case the plaintiff has been awarded statutory benefits for the unjustified dismissal and is barred from claiming before this court from the same cause of action.</w:t>
      </w:r>
    </w:p>
    <w:p w:rsidR="009E391F" w:rsidRPr="002A4B9F" w:rsidRDefault="009E391F" w:rsidP="009E391F">
      <w:pPr>
        <w:shd w:val="clear" w:color="auto" w:fill="FFFFFF"/>
        <w:rPr>
          <w:rFonts w:ascii="Arial" w:hAnsi="Arial" w:cs="Arial"/>
        </w:rPr>
      </w:pPr>
    </w:p>
    <w:p w:rsidR="009E391F" w:rsidRPr="002A4B9F" w:rsidRDefault="009E391F" w:rsidP="009E391F">
      <w:pPr>
        <w:shd w:val="clear" w:color="auto" w:fill="FFFFFF"/>
        <w:rPr>
          <w:rFonts w:ascii="Arial" w:hAnsi="Arial" w:cs="Arial"/>
          <w:color w:val="000000"/>
        </w:rPr>
      </w:pPr>
      <w:r>
        <w:rPr>
          <w:rFonts w:ascii="Arial" w:hAnsi="Arial" w:cs="Arial"/>
          <w:color w:val="000000"/>
        </w:rPr>
        <w:t xml:space="preserve">I uphold the plea in </w:t>
      </w:r>
      <w:proofErr w:type="spellStart"/>
      <w:r>
        <w:rPr>
          <w:rFonts w:ascii="Arial" w:hAnsi="Arial" w:cs="Arial"/>
          <w:color w:val="000000"/>
        </w:rPr>
        <w:t>limine</w:t>
      </w:r>
      <w:proofErr w:type="spellEnd"/>
      <w:r>
        <w:rPr>
          <w:rFonts w:ascii="Arial" w:hAnsi="Arial" w:cs="Arial"/>
          <w:color w:val="000000"/>
        </w:rPr>
        <w:t xml:space="preserve"> </w:t>
      </w:r>
      <w:proofErr w:type="spellStart"/>
      <w:r>
        <w:rPr>
          <w:rFonts w:ascii="Arial" w:hAnsi="Arial" w:cs="Arial"/>
          <w:color w:val="000000"/>
        </w:rPr>
        <w:t>litis</w:t>
      </w:r>
      <w:proofErr w:type="spellEnd"/>
      <w:r>
        <w:rPr>
          <w:rFonts w:ascii="Arial" w:hAnsi="Arial" w:cs="Arial"/>
          <w:color w:val="000000"/>
        </w:rPr>
        <w:t xml:space="preserve"> and dismiss the plaint.  I make no order as to costs.</w:t>
      </w:r>
    </w:p>
    <w:p w:rsidR="009E391F" w:rsidRDefault="009E391F" w:rsidP="009E391F">
      <w:pPr>
        <w:shd w:val="clear" w:color="auto" w:fill="FFFFFF"/>
        <w:tabs>
          <w:tab w:val="left" w:pos="6893"/>
        </w:tabs>
        <w:rPr>
          <w:rFonts w:ascii="Arial" w:hAnsi="Arial" w:cs="Arial"/>
          <w:b/>
          <w:color w:val="000000"/>
        </w:rPr>
      </w:pPr>
    </w:p>
    <w:p w:rsidR="009E391F" w:rsidRPr="00393E5D" w:rsidRDefault="009E391F" w:rsidP="009E391F">
      <w:pPr>
        <w:shd w:val="clear" w:color="auto" w:fill="FFFFFF"/>
        <w:tabs>
          <w:tab w:val="left" w:pos="6893"/>
        </w:tabs>
        <w:rPr>
          <w:rFonts w:ascii="Arial" w:hAnsi="Arial" w:cs="Arial"/>
          <w:b/>
          <w:color w:val="000000"/>
        </w:rPr>
      </w:pPr>
      <w:r>
        <w:rPr>
          <w:rFonts w:ascii="Arial" w:hAnsi="Arial" w:cs="Arial"/>
          <w:b/>
          <w:color w:val="000000"/>
        </w:rPr>
        <w:t>Record:  Civil Side No 345 of 1997</w:t>
      </w:r>
    </w:p>
    <w:p w:rsidR="00841F64" w:rsidRDefault="00841F64"/>
    <w:sectPr w:rsidR="00841F64" w:rsidSect="009E391F">
      <w:pgSz w:w="8640" w:h="13968" w:code="9"/>
      <w:pgMar w:top="1008" w:right="1008" w:bottom="1008" w:left="1008" w:header="1440" w:footer="517"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12D00"/>
    <w:multiLevelType w:val="hybridMultilevel"/>
    <w:tmpl w:val="785273B2"/>
    <w:lvl w:ilvl="0" w:tplc="2FC62082">
      <w:start w:val="1"/>
      <w:numFmt w:val="lowerRoman"/>
      <w:lvlText w:val="(%1)"/>
      <w:lvlJc w:val="left"/>
      <w:pPr>
        <w:ind w:left="744" w:hanging="7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6C0C60B9"/>
    <w:multiLevelType w:val="hybridMultilevel"/>
    <w:tmpl w:val="5784CE30"/>
    <w:lvl w:ilvl="0" w:tplc="C1763D80">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E391F"/>
    <w:rsid w:val="001C78D2"/>
    <w:rsid w:val="00841F64"/>
    <w:rsid w:val="009E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391F"/>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0</DocSecurity>
  <Lines>36</Lines>
  <Paragraphs>10</Paragraphs>
  <ScaleCrop>false</ScaleCrop>
  <Company>Deftones</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2014-01-22T06:53:00Z</dcterms:created>
  <dcterms:modified xsi:type="dcterms:W3CDTF">2014-01-22T06:53:00Z</dcterms:modified>
</cp:coreProperties>
</file>