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BF2" w:rsidRPr="00775BF2" w:rsidRDefault="00775BF2" w:rsidP="00775BF2">
      <w:pPr>
        <w:contextualSpacing/>
        <w:jc w:val="center"/>
        <w:rPr>
          <w:rStyle w:val="CharacterStyle3"/>
          <w:rFonts w:ascii="Arial" w:hAnsi="Arial" w:cs="Arial"/>
          <w:b/>
          <w:bCs/>
          <w:sz w:val="24"/>
        </w:rPr>
      </w:pPr>
      <w:r w:rsidRPr="00775BF2">
        <w:rPr>
          <w:rFonts w:ascii="Arial" w:hAnsi="Arial" w:cs="Arial"/>
          <w:b/>
        </w:rPr>
        <w:t xml:space="preserve">Finesse v </w:t>
      </w:r>
      <w:proofErr w:type="spellStart"/>
      <w:r w:rsidRPr="00775BF2">
        <w:rPr>
          <w:rStyle w:val="CharacterStyle3"/>
          <w:rFonts w:ascii="Arial" w:hAnsi="Arial" w:cs="Arial"/>
          <w:b/>
          <w:bCs/>
          <w:sz w:val="24"/>
        </w:rPr>
        <w:t>Atalla</w:t>
      </w:r>
      <w:proofErr w:type="spellEnd"/>
      <w:r w:rsidRPr="00775BF2">
        <w:rPr>
          <w:rStyle w:val="CharacterStyle3"/>
          <w:rFonts w:ascii="Arial" w:hAnsi="Arial" w:cs="Arial"/>
          <w:b/>
          <w:bCs/>
          <w:sz w:val="24"/>
        </w:rPr>
        <w:t xml:space="preserve"> &amp; Or</w:t>
      </w:r>
    </w:p>
    <w:p w:rsidR="00775BF2" w:rsidRPr="00775BF2" w:rsidRDefault="00775BF2" w:rsidP="00775BF2">
      <w:pPr>
        <w:contextualSpacing/>
        <w:jc w:val="center"/>
        <w:rPr>
          <w:rStyle w:val="CharacterStyle3"/>
          <w:rFonts w:ascii="Arial" w:hAnsi="Arial" w:cs="Arial"/>
          <w:b/>
          <w:bCs/>
          <w:sz w:val="24"/>
          <w:u w:val="single"/>
        </w:rPr>
      </w:pPr>
      <w:r w:rsidRPr="00775BF2">
        <w:rPr>
          <w:rStyle w:val="CharacterStyle3"/>
          <w:rFonts w:ascii="Arial" w:hAnsi="Arial" w:cs="Arial"/>
          <w:b/>
          <w:bCs/>
          <w:sz w:val="24"/>
        </w:rPr>
        <w:t>(2001) SLR 107</w:t>
      </w:r>
    </w:p>
    <w:p w:rsidR="00775BF2" w:rsidRPr="00775BF2" w:rsidRDefault="00775BF2" w:rsidP="00775BF2">
      <w:pPr>
        <w:contextualSpacing/>
        <w:jc w:val="both"/>
        <w:rPr>
          <w:rFonts w:ascii="Arial" w:hAnsi="Arial" w:cs="Arial"/>
        </w:rPr>
      </w:pPr>
      <w:r w:rsidRPr="00775BF2">
        <w:rPr>
          <w:rFonts w:ascii="Arial" w:hAnsi="Arial" w:cs="Arial"/>
          <w:b/>
          <w:noProof/>
        </w:rPr>
        <w:pict>
          <v:shapetype id="_x0000_t202" coordsize="21600,21600" o:spt="202" path="m,l,21600r21600,l21600,xe">
            <v:stroke joinstyle="miter"/>
            <v:path gradientshapeok="t" o:connecttype="rect"/>
          </v:shapetype>
          <v:shape id="_x0000_s1028" type="#_x0000_t202" style="position:absolute;left:0;text-align:left;margin-left:334.55pt;margin-top:-18.6pt;width:30pt;height:532.3pt;z-index:251662336;mso-height-percent:200;mso-height-percent:200;mso-width-relative:margin;mso-height-relative:margin" strokecolor="white [3212]">
            <v:textbox style="mso-next-textbox:#_x0000_s1028;mso-fit-shape-to-text:t">
              <w:txbxContent>
                <w:p w:rsidR="00775BF2" w:rsidRPr="00CF6C02" w:rsidRDefault="00775BF2" w:rsidP="00775BF2">
                  <w:pPr>
                    <w:rPr>
                      <w:rFonts w:ascii="Arial" w:hAnsi="Arial" w:cs="Arial"/>
                      <w:b/>
                      <w:i/>
                    </w:rPr>
                  </w:pPr>
                </w:p>
              </w:txbxContent>
            </v:textbox>
          </v:shape>
        </w:pict>
      </w:r>
    </w:p>
    <w:p w:rsidR="00775BF2" w:rsidRPr="00775BF2" w:rsidRDefault="00775BF2" w:rsidP="00775BF2">
      <w:pPr>
        <w:widowControl/>
        <w:rPr>
          <w:rFonts w:ascii="Arial" w:hAnsi="Arial" w:cs="Arial"/>
        </w:rPr>
      </w:pPr>
    </w:p>
    <w:p w:rsidR="00775BF2" w:rsidRPr="00775BF2" w:rsidRDefault="00775BF2" w:rsidP="00775BF2">
      <w:pPr>
        <w:contextualSpacing/>
        <w:jc w:val="both"/>
        <w:rPr>
          <w:rFonts w:ascii="Arial" w:hAnsi="Arial" w:cs="Arial"/>
        </w:rPr>
      </w:pPr>
      <w:proofErr w:type="spellStart"/>
      <w:r w:rsidRPr="00775BF2">
        <w:rPr>
          <w:rFonts w:ascii="Arial" w:hAnsi="Arial" w:cs="Arial"/>
        </w:rPr>
        <w:t>Phillippe</w:t>
      </w:r>
      <w:proofErr w:type="spellEnd"/>
      <w:r w:rsidRPr="00775BF2">
        <w:rPr>
          <w:rFonts w:ascii="Arial" w:hAnsi="Arial" w:cs="Arial"/>
        </w:rPr>
        <w:t xml:space="preserve"> BOULLE for the plaintiff</w:t>
      </w:r>
    </w:p>
    <w:p w:rsidR="00775BF2" w:rsidRPr="00775BF2" w:rsidRDefault="00775BF2" w:rsidP="00775BF2">
      <w:pPr>
        <w:contextualSpacing/>
        <w:jc w:val="both"/>
        <w:rPr>
          <w:rFonts w:ascii="Arial" w:hAnsi="Arial" w:cs="Arial"/>
        </w:rPr>
      </w:pPr>
      <w:r w:rsidRPr="00775BF2">
        <w:rPr>
          <w:rFonts w:ascii="Arial" w:hAnsi="Arial" w:cs="Arial"/>
        </w:rPr>
        <w:t>Dora ZATTE for the first</w:t>
      </w:r>
      <w:r w:rsidRPr="00775BF2">
        <w:rPr>
          <w:rFonts w:ascii="Arial" w:hAnsi="Arial" w:cs="Arial"/>
          <w:vertAlign w:val="superscript"/>
        </w:rPr>
        <w:t xml:space="preserve"> </w:t>
      </w:r>
      <w:r w:rsidRPr="00775BF2">
        <w:rPr>
          <w:rFonts w:ascii="Arial" w:hAnsi="Arial" w:cs="Arial"/>
        </w:rPr>
        <w:t xml:space="preserve">defendant </w:t>
      </w:r>
    </w:p>
    <w:p w:rsidR="00775BF2" w:rsidRPr="00775BF2" w:rsidRDefault="00775BF2" w:rsidP="00775BF2">
      <w:pPr>
        <w:contextualSpacing/>
        <w:jc w:val="both"/>
        <w:rPr>
          <w:rFonts w:ascii="Arial" w:hAnsi="Arial" w:cs="Arial"/>
        </w:rPr>
      </w:pPr>
      <w:r w:rsidRPr="00775BF2">
        <w:rPr>
          <w:rFonts w:ascii="Arial" w:hAnsi="Arial" w:cs="Arial"/>
        </w:rPr>
        <w:t>France BONTE for the second defendant</w:t>
      </w:r>
    </w:p>
    <w:p w:rsidR="00775BF2" w:rsidRPr="00775BF2" w:rsidRDefault="00775BF2" w:rsidP="00775BF2">
      <w:pPr>
        <w:contextualSpacing/>
        <w:jc w:val="both"/>
        <w:rPr>
          <w:rFonts w:ascii="Arial" w:hAnsi="Arial" w:cs="Arial"/>
        </w:rPr>
      </w:pPr>
    </w:p>
    <w:p w:rsidR="00775BF2" w:rsidRPr="00775BF2" w:rsidRDefault="00775BF2" w:rsidP="00775BF2">
      <w:pPr>
        <w:contextualSpacing/>
        <w:rPr>
          <w:rFonts w:ascii="Arial" w:hAnsi="Arial" w:cs="Arial"/>
          <w:b/>
          <w:iCs/>
        </w:rPr>
      </w:pPr>
      <w:r w:rsidRPr="00775BF2">
        <w:rPr>
          <w:rFonts w:ascii="Arial" w:hAnsi="Arial" w:cs="Arial"/>
          <w:b/>
          <w:noProof/>
        </w:rPr>
        <w:pict>
          <v:shape id="_x0000_s1026" type="#_x0000_t202" style="position:absolute;margin-left:-30.95pt;margin-top:-3.2pt;width:30pt;height:531.55pt;z-index:251660288;mso-height-percent:200;mso-height-percent:200;mso-width-relative:margin;mso-height-relative:margin" stroked="f" strokecolor="white [3212]">
            <v:textbox style="mso-next-textbox:#_x0000_s1026;mso-fit-shape-to-text:t">
              <w:txbxContent>
                <w:p w:rsidR="00775BF2" w:rsidRPr="00CF6C02" w:rsidRDefault="00775BF2" w:rsidP="00775BF2">
                  <w:pPr>
                    <w:rPr>
                      <w:rFonts w:ascii="Arial" w:hAnsi="Arial" w:cs="Arial"/>
                      <w:b/>
                      <w:i/>
                    </w:rPr>
                  </w:pPr>
                </w:p>
              </w:txbxContent>
            </v:textbox>
          </v:shape>
        </w:pict>
      </w:r>
      <w:r w:rsidRPr="00775BF2">
        <w:rPr>
          <w:rFonts w:ascii="Arial" w:hAnsi="Arial" w:cs="Arial"/>
          <w:b/>
        </w:rPr>
        <w:t xml:space="preserve">Ruling on plea in </w:t>
      </w:r>
      <w:proofErr w:type="spellStart"/>
      <w:r w:rsidRPr="00775BF2">
        <w:rPr>
          <w:rFonts w:ascii="Arial" w:hAnsi="Arial" w:cs="Arial"/>
          <w:b/>
        </w:rPr>
        <w:t>limine</w:t>
      </w:r>
      <w:proofErr w:type="spellEnd"/>
      <w:r w:rsidRPr="00775BF2">
        <w:rPr>
          <w:rFonts w:ascii="Arial" w:hAnsi="Arial" w:cs="Arial"/>
          <w:b/>
        </w:rPr>
        <w:t xml:space="preserve"> </w:t>
      </w:r>
      <w:proofErr w:type="spellStart"/>
      <w:r w:rsidRPr="00775BF2">
        <w:rPr>
          <w:rFonts w:ascii="Arial" w:hAnsi="Arial" w:cs="Arial"/>
          <w:b/>
        </w:rPr>
        <w:t>litis</w:t>
      </w:r>
      <w:proofErr w:type="spellEnd"/>
      <w:r w:rsidRPr="00775BF2">
        <w:rPr>
          <w:rFonts w:ascii="Arial" w:hAnsi="Arial" w:cs="Arial"/>
          <w:b/>
        </w:rPr>
        <w:t xml:space="preserve"> delivered on </w:t>
      </w:r>
      <w:r w:rsidRPr="00775BF2">
        <w:rPr>
          <w:rStyle w:val="CharacterStyle3"/>
          <w:rFonts w:ascii="Arial" w:hAnsi="Arial" w:cs="Arial"/>
          <w:b/>
          <w:sz w:val="24"/>
        </w:rPr>
        <w:t>8</w:t>
      </w:r>
      <w:r w:rsidRPr="00775BF2">
        <w:rPr>
          <w:rStyle w:val="CharacterStyle3"/>
          <w:rFonts w:ascii="Arial" w:hAnsi="Arial" w:cs="Arial"/>
          <w:b/>
          <w:sz w:val="24"/>
          <w:vertAlign w:val="superscript"/>
        </w:rPr>
        <w:t xml:space="preserve"> </w:t>
      </w:r>
      <w:r w:rsidRPr="00775BF2">
        <w:rPr>
          <w:rStyle w:val="CharacterStyle3"/>
          <w:rFonts w:ascii="Arial" w:hAnsi="Arial" w:cs="Arial"/>
          <w:b/>
          <w:sz w:val="24"/>
        </w:rPr>
        <w:t>November 2001 by:</w:t>
      </w:r>
    </w:p>
    <w:p w:rsidR="00775BF2" w:rsidRPr="00775BF2" w:rsidRDefault="00775BF2" w:rsidP="00775BF2">
      <w:pPr>
        <w:contextualSpacing/>
        <w:rPr>
          <w:rStyle w:val="CharacterStyle3"/>
          <w:rFonts w:ascii="Arial" w:hAnsi="Arial" w:cs="Arial"/>
          <w:i/>
          <w:sz w:val="24"/>
        </w:rPr>
      </w:pPr>
    </w:p>
    <w:p w:rsidR="00775BF2" w:rsidRPr="00775BF2" w:rsidRDefault="00775BF2" w:rsidP="00775BF2">
      <w:pPr>
        <w:contextualSpacing/>
        <w:jc w:val="both"/>
        <w:rPr>
          <w:rFonts w:ascii="Arial" w:hAnsi="Arial" w:cs="Arial"/>
        </w:rPr>
      </w:pPr>
      <w:r w:rsidRPr="00775BF2">
        <w:rPr>
          <w:rStyle w:val="CharacterStyle3"/>
          <w:rFonts w:ascii="Arial" w:hAnsi="Arial" w:cs="Arial"/>
          <w:b/>
          <w:sz w:val="24"/>
        </w:rPr>
        <w:t xml:space="preserve">PERERA </w:t>
      </w:r>
      <w:r w:rsidRPr="00775BF2">
        <w:rPr>
          <w:rStyle w:val="CharacterStyle3"/>
          <w:rFonts w:ascii="Arial" w:hAnsi="Arial" w:cs="Arial"/>
          <w:b/>
          <w:bCs/>
          <w:sz w:val="24"/>
        </w:rPr>
        <w:t>J:</w:t>
      </w:r>
      <w:r w:rsidRPr="00775BF2">
        <w:rPr>
          <w:rStyle w:val="CharacterStyle3"/>
          <w:rFonts w:ascii="Arial" w:hAnsi="Arial" w:cs="Arial"/>
          <w:b/>
          <w:bCs/>
          <w:i/>
          <w:sz w:val="24"/>
        </w:rPr>
        <w:t xml:space="preserve"> </w:t>
      </w:r>
      <w:r w:rsidRPr="00775BF2">
        <w:rPr>
          <w:rFonts w:ascii="Arial" w:hAnsi="Arial" w:cs="Arial"/>
        </w:rPr>
        <w:t xml:space="preserve"> The plaintiff sues the first and second</w:t>
      </w:r>
      <w:r w:rsidRPr="00775BF2">
        <w:rPr>
          <w:rFonts w:ascii="Arial" w:hAnsi="Arial" w:cs="Arial"/>
          <w:vertAlign w:val="superscript"/>
        </w:rPr>
        <w:t xml:space="preserve"> </w:t>
      </w:r>
      <w:r w:rsidRPr="00775BF2">
        <w:rPr>
          <w:rFonts w:ascii="Arial" w:hAnsi="Arial" w:cs="Arial"/>
        </w:rPr>
        <w:t>defendants claiming damages in respect of a demolition of a wall. She avers that:</w:t>
      </w:r>
    </w:p>
    <w:p w:rsidR="00775BF2" w:rsidRPr="00775BF2" w:rsidRDefault="00775BF2" w:rsidP="00775BF2">
      <w:pPr>
        <w:contextualSpacing/>
        <w:jc w:val="both"/>
        <w:rPr>
          <w:rFonts w:ascii="Arial" w:hAnsi="Arial" w:cs="Arial"/>
        </w:rPr>
      </w:pPr>
    </w:p>
    <w:p w:rsidR="00775BF2" w:rsidRPr="00775BF2" w:rsidRDefault="00775BF2" w:rsidP="00775BF2">
      <w:pPr>
        <w:ind w:left="720" w:right="812"/>
        <w:contextualSpacing/>
        <w:jc w:val="both"/>
        <w:rPr>
          <w:rFonts w:ascii="Arial" w:hAnsi="Arial" w:cs="Arial"/>
          <w:i/>
          <w:iCs/>
        </w:rPr>
      </w:pPr>
      <w:proofErr w:type="gramStart"/>
      <w:r w:rsidRPr="00775BF2">
        <w:rPr>
          <w:rFonts w:ascii="Arial" w:hAnsi="Arial" w:cs="Arial"/>
          <w:iCs/>
        </w:rPr>
        <w:t>on</w:t>
      </w:r>
      <w:proofErr w:type="gramEnd"/>
      <w:r w:rsidRPr="00775BF2">
        <w:rPr>
          <w:rFonts w:ascii="Arial" w:hAnsi="Arial" w:cs="Arial"/>
          <w:iCs/>
        </w:rPr>
        <w:t xml:space="preserve"> 25 August 1998, the first</w:t>
      </w:r>
      <w:r w:rsidRPr="00775BF2">
        <w:rPr>
          <w:rFonts w:ascii="Arial" w:hAnsi="Arial" w:cs="Arial"/>
          <w:iCs/>
          <w:vertAlign w:val="superscript"/>
        </w:rPr>
        <w:t xml:space="preserve"> </w:t>
      </w:r>
      <w:r w:rsidRPr="00775BF2">
        <w:rPr>
          <w:rFonts w:ascii="Arial" w:hAnsi="Arial" w:cs="Arial"/>
          <w:iCs/>
        </w:rPr>
        <w:t xml:space="preserve">defendant, </w:t>
      </w:r>
      <w:r w:rsidRPr="00775BF2">
        <w:rPr>
          <w:rFonts w:ascii="Arial" w:hAnsi="Arial" w:cs="Arial"/>
          <w:iCs/>
          <w:u w:val="single"/>
        </w:rPr>
        <w:t>in pursuance of a Court Order</w:t>
      </w:r>
      <w:r w:rsidRPr="00775BF2">
        <w:rPr>
          <w:rFonts w:ascii="Arial" w:hAnsi="Arial" w:cs="Arial"/>
          <w:iCs/>
        </w:rPr>
        <w:t xml:space="preserve"> dated 9 March 1998, </w:t>
      </w:r>
      <w:r w:rsidRPr="00775BF2">
        <w:rPr>
          <w:rFonts w:ascii="Arial" w:hAnsi="Arial" w:cs="Arial"/>
          <w:iCs/>
          <w:u w:val="single"/>
        </w:rPr>
        <w:t>and with the Assistance and guidance</w:t>
      </w:r>
      <w:r w:rsidRPr="00775BF2">
        <w:rPr>
          <w:rFonts w:ascii="Arial" w:hAnsi="Arial" w:cs="Arial"/>
          <w:iCs/>
        </w:rPr>
        <w:t xml:space="preserve"> of the second defendant, </w:t>
      </w:r>
      <w:r w:rsidRPr="00775BF2">
        <w:rPr>
          <w:rFonts w:ascii="Arial" w:hAnsi="Arial" w:cs="Arial"/>
          <w:iCs/>
          <w:u w:val="single"/>
        </w:rPr>
        <w:t>proceeded</w:t>
      </w:r>
      <w:r w:rsidRPr="00775BF2">
        <w:rPr>
          <w:rFonts w:ascii="Arial" w:hAnsi="Arial" w:cs="Arial"/>
          <w:iCs/>
        </w:rPr>
        <w:t xml:space="preserve"> to demolish the wall built by the plaintiff on the second defendant's land. </w:t>
      </w:r>
      <w:r w:rsidRPr="00775BF2">
        <w:rPr>
          <w:rFonts w:ascii="Arial" w:hAnsi="Arial" w:cs="Arial"/>
          <w:iCs/>
          <w:u w:val="single"/>
        </w:rPr>
        <w:t>In the process of the abovementioned demolition</w:t>
      </w:r>
      <w:r w:rsidRPr="00775BF2">
        <w:rPr>
          <w:rFonts w:ascii="Arial" w:hAnsi="Arial" w:cs="Arial"/>
          <w:iCs/>
        </w:rPr>
        <w:t xml:space="preserve">, the defendants </w:t>
      </w:r>
      <w:r w:rsidRPr="00775BF2">
        <w:rPr>
          <w:rFonts w:ascii="Arial" w:hAnsi="Arial" w:cs="Arial"/>
          <w:iCs/>
          <w:u w:val="single"/>
        </w:rPr>
        <w:t>negligently destroyed</w:t>
      </w:r>
      <w:r w:rsidRPr="00775BF2">
        <w:rPr>
          <w:rFonts w:ascii="Arial" w:hAnsi="Arial" w:cs="Arial"/>
          <w:iCs/>
        </w:rPr>
        <w:t xml:space="preserve"> part of the wall which was on the plaintiff's property. (</w:t>
      </w:r>
      <w:proofErr w:type="gramStart"/>
      <w:r w:rsidRPr="00775BF2">
        <w:rPr>
          <w:rFonts w:ascii="Arial" w:hAnsi="Arial" w:cs="Arial"/>
          <w:iCs/>
        </w:rPr>
        <w:t>emphasis</w:t>
      </w:r>
      <w:proofErr w:type="gramEnd"/>
      <w:r w:rsidRPr="00775BF2">
        <w:rPr>
          <w:rFonts w:ascii="Arial" w:hAnsi="Arial" w:cs="Arial"/>
          <w:iCs/>
        </w:rPr>
        <w:t xml:space="preserve"> added).</w:t>
      </w:r>
      <w:r w:rsidRPr="00775BF2">
        <w:rPr>
          <w:rFonts w:ascii="Arial" w:hAnsi="Arial" w:cs="Arial"/>
          <w:i/>
          <w:iCs/>
        </w:rPr>
        <w:t xml:space="preserve"> </w:t>
      </w:r>
    </w:p>
    <w:p w:rsidR="00775BF2" w:rsidRPr="00775BF2" w:rsidRDefault="00775BF2" w:rsidP="00775BF2">
      <w:pPr>
        <w:contextualSpacing/>
        <w:jc w:val="both"/>
        <w:rPr>
          <w:rFonts w:ascii="Arial" w:hAnsi="Arial" w:cs="Arial"/>
          <w:i/>
          <w:iCs/>
        </w:rPr>
      </w:pPr>
    </w:p>
    <w:p w:rsidR="00775BF2" w:rsidRPr="00775BF2" w:rsidRDefault="00775BF2" w:rsidP="00775BF2">
      <w:pPr>
        <w:contextualSpacing/>
        <w:jc w:val="both"/>
        <w:rPr>
          <w:rFonts w:ascii="Arial" w:hAnsi="Arial" w:cs="Arial"/>
        </w:rPr>
      </w:pPr>
      <w:r w:rsidRPr="00775BF2">
        <w:rPr>
          <w:rFonts w:ascii="Arial" w:hAnsi="Arial" w:cs="Arial"/>
        </w:rPr>
        <w:t xml:space="preserve">The cause of action therefore is the damage caused to that part of the wall on the plaintiff's land, allegedly by the two defendants, negligently. </w:t>
      </w:r>
      <w:proofErr w:type="spellStart"/>
      <w:r w:rsidRPr="00775BF2">
        <w:rPr>
          <w:rFonts w:ascii="Arial" w:hAnsi="Arial" w:cs="Arial"/>
        </w:rPr>
        <w:t>Mr</w:t>
      </w:r>
      <w:proofErr w:type="spellEnd"/>
      <w:r w:rsidRPr="00775BF2">
        <w:rPr>
          <w:rFonts w:ascii="Arial" w:hAnsi="Arial" w:cs="Arial"/>
        </w:rPr>
        <w:t xml:space="preserve"> </w:t>
      </w:r>
      <w:proofErr w:type="spellStart"/>
      <w:r w:rsidRPr="00775BF2">
        <w:rPr>
          <w:rFonts w:ascii="Arial" w:hAnsi="Arial" w:cs="Arial"/>
        </w:rPr>
        <w:t>Boulle</w:t>
      </w:r>
      <w:proofErr w:type="spellEnd"/>
      <w:r w:rsidRPr="00775BF2">
        <w:rPr>
          <w:rFonts w:ascii="Arial" w:hAnsi="Arial" w:cs="Arial"/>
        </w:rPr>
        <w:t>, counsel for the plaintiff, submitted that although the first</w:t>
      </w:r>
      <w:r w:rsidRPr="00775BF2">
        <w:rPr>
          <w:rFonts w:ascii="Arial" w:hAnsi="Arial" w:cs="Arial"/>
          <w:vertAlign w:val="superscript"/>
        </w:rPr>
        <w:t xml:space="preserve"> </w:t>
      </w:r>
      <w:r w:rsidRPr="00775BF2">
        <w:rPr>
          <w:rFonts w:ascii="Arial" w:hAnsi="Arial" w:cs="Arial"/>
        </w:rPr>
        <w:t>defendant is a process officer of this Court and was acting in the discharge of his duties, he negligently demolished a part of the wall which was not authorized to be demolished. It was therefore submitted that the first</w:t>
      </w:r>
      <w:r w:rsidRPr="00775BF2">
        <w:rPr>
          <w:rFonts w:ascii="Arial" w:hAnsi="Arial" w:cs="Arial"/>
          <w:vertAlign w:val="superscript"/>
        </w:rPr>
        <w:t xml:space="preserve"> </w:t>
      </w:r>
      <w:r w:rsidRPr="00775BF2">
        <w:rPr>
          <w:rFonts w:ascii="Arial" w:hAnsi="Arial" w:cs="Arial"/>
        </w:rPr>
        <w:t>defendant is not being sued as a Public Officer, although his official address C/O Supreme Court, has been given in the caption of the plaint. It was also submitted that the plaintiff has not sued the government of Seychelles in its vicarious capacity, as a party defendant.</w:t>
      </w:r>
    </w:p>
    <w:p w:rsidR="00775BF2" w:rsidRPr="00775BF2" w:rsidRDefault="00775BF2" w:rsidP="00775BF2">
      <w:pPr>
        <w:contextualSpacing/>
        <w:jc w:val="both"/>
        <w:rPr>
          <w:rFonts w:ascii="Arial" w:hAnsi="Arial" w:cs="Arial"/>
        </w:rPr>
      </w:pPr>
    </w:p>
    <w:p w:rsidR="00775BF2" w:rsidRPr="00775BF2" w:rsidRDefault="00775BF2" w:rsidP="00775BF2">
      <w:pPr>
        <w:contextualSpacing/>
        <w:jc w:val="both"/>
        <w:rPr>
          <w:rStyle w:val="CharacterStyle3"/>
          <w:rFonts w:ascii="Arial" w:hAnsi="Arial" w:cs="Arial"/>
          <w:sz w:val="24"/>
        </w:rPr>
      </w:pPr>
      <w:r w:rsidRPr="00775BF2">
        <w:rPr>
          <w:rStyle w:val="CharacterStyle3"/>
          <w:rFonts w:ascii="Arial" w:hAnsi="Arial" w:cs="Arial"/>
          <w:sz w:val="24"/>
        </w:rPr>
        <w:t>However, in the present case, the first</w:t>
      </w:r>
      <w:r w:rsidRPr="00775BF2">
        <w:rPr>
          <w:rStyle w:val="CharacterStyle3"/>
          <w:rFonts w:ascii="Arial" w:hAnsi="Arial" w:cs="Arial"/>
          <w:sz w:val="24"/>
          <w:vertAlign w:val="superscript"/>
        </w:rPr>
        <w:t xml:space="preserve"> </w:t>
      </w:r>
      <w:r w:rsidRPr="00775BF2">
        <w:rPr>
          <w:rStyle w:val="CharacterStyle3"/>
          <w:rFonts w:ascii="Arial" w:hAnsi="Arial" w:cs="Arial"/>
          <w:sz w:val="24"/>
        </w:rPr>
        <w:t xml:space="preserve">defendant is being represented by State counsel, presumably considering him to have acted lawfully as a Public Officer. In a similar case, </w:t>
      </w:r>
      <w:r w:rsidRPr="00775BF2">
        <w:rPr>
          <w:rStyle w:val="CharacterStyle3"/>
          <w:rFonts w:ascii="Arial" w:hAnsi="Arial" w:cs="Arial"/>
          <w:bCs/>
          <w:i/>
          <w:iCs/>
          <w:sz w:val="24"/>
        </w:rPr>
        <w:t xml:space="preserve">Joe </w:t>
      </w:r>
      <w:proofErr w:type="spellStart"/>
      <w:r w:rsidRPr="00775BF2">
        <w:rPr>
          <w:rStyle w:val="CharacterStyle3"/>
          <w:rFonts w:ascii="Arial" w:hAnsi="Arial" w:cs="Arial"/>
          <w:bCs/>
          <w:i/>
          <w:iCs/>
          <w:sz w:val="24"/>
        </w:rPr>
        <w:t>Dingwall</w:t>
      </w:r>
      <w:proofErr w:type="spellEnd"/>
      <w:r w:rsidRPr="00775BF2">
        <w:rPr>
          <w:rStyle w:val="CharacterStyle3"/>
          <w:rFonts w:ascii="Arial" w:hAnsi="Arial" w:cs="Arial"/>
          <w:bCs/>
          <w:i/>
          <w:iCs/>
          <w:sz w:val="24"/>
        </w:rPr>
        <w:t xml:space="preserve"> v </w:t>
      </w:r>
      <w:proofErr w:type="spellStart"/>
      <w:r w:rsidRPr="00775BF2">
        <w:rPr>
          <w:rStyle w:val="CharacterStyle3"/>
          <w:rFonts w:ascii="Arial" w:hAnsi="Arial" w:cs="Arial"/>
          <w:bCs/>
          <w:i/>
          <w:sz w:val="24"/>
        </w:rPr>
        <w:t>Gaetan</w:t>
      </w:r>
      <w:proofErr w:type="spellEnd"/>
      <w:r w:rsidRPr="00775BF2">
        <w:rPr>
          <w:rStyle w:val="CharacterStyle3"/>
          <w:rFonts w:ascii="Arial" w:hAnsi="Arial" w:cs="Arial"/>
          <w:bCs/>
          <w:i/>
          <w:sz w:val="24"/>
        </w:rPr>
        <w:t xml:space="preserve"> </w:t>
      </w:r>
      <w:proofErr w:type="spellStart"/>
      <w:r w:rsidRPr="00775BF2">
        <w:rPr>
          <w:rStyle w:val="CharacterStyle3"/>
          <w:rFonts w:ascii="Arial" w:hAnsi="Arial" w:cs="Arial"/>
          <w:bCs/>
          <w:i/>
          <w:iCs/>
          <w:sz w:val="24"/>
        </w:rPr>
        <w:t>Hoareau</w:t>
      </w:r>
      <w:proofErr w:type="spellEnd"/>
      <w:r w:rsidRPr="00775BF2">
        <w:rPr>
          <w:rStyle w:val="CharacterStyle3"/>
          <w:rFonts w:ascii="Arial" w:hAnsi="Arial" w:cs="Arial"/>
          <w:bCs/>
          <w:i/>
          <w:iCs/>
          <w:sz w:val="24"/>
        </w:rPr>
        <w:t xml:space="preserve"> and Wholly </w:t>
      </w:r>
      <w:proofErr w:type="spellStart"/>
      <w:r w:rsidRPr="00775BF2">
        <w:rPr>
          <w:rStyle w:val="CharacterStyle3"/>
          <w:rFonts w:ascii="Arial" w:hAnsi="Arial" w:cs="Arial"/>
          <w:bCs/>
          <w:i/>
          <w:iCs/>
          <w:sz w:val="24"/>
        </w:rPr>
        <w:t>Pillay</w:t>
      </w:r>
      <w:proofErr w:type="spellEnd"/>
      <w:r w:rsidRPr="00775BF2">
        <w:rPr>
          <w:rStyle w:val="CharacterStyle3"/>
          <w:rFonts w:ascii="Arial" w:hAnsi="Arial" w:cs="Arial"/>
          <w:bCs/>
          <w:i/>
          <w:iCs/>
          <w:sz w:val="24"/>
        </w:rPr>
        <w:t xml:space="preserve"> </w:t>
      </w:r>
      <w:r w:rsidRPr="00775BF2">
        <w:rPr>
          <w:rStyle w:val="CharacterStyle3"/>
          <w:rFonts w:ascii="Arial" w:hAnsi="Arial" w:cs="Arial"/>
          <w:bCs/>
          <w:iCs/>
          <w:sz w:val="24"/>
        </w:rPr>
        <w:t>(1983) SLR 143,</w:t>
      </w:r>
      <w:r w:rsidRPr="00775BF2">
        <w:rPr>
          <w:rStyle w:val="CharacterStyle3"/>
          <w:rFonts w:ascii="Arial" w:hAnsi="Arial" w:cs="Arial"/>
          <w:b/>
          <w:bCs/>
          <w:i/>
          <w:iCs/>
          <w:sz w:val="24"/>
        </w:rPr>
        <w:t xml:space="preserve"> </w:t>
      </w:r>
      <w:r w:rsidRPr="00775BF2">
        <w:rPr>
          <w:rStyle w:val="CharacterStyle3"/>
          <w:rFonts w:ascii="Arial" w:hAnsi="Arial" w:cs="Arial"/>
          <w:sz w:val="24"/>
        </w:rPr>
        <w:t xml:space="preserve">the first defendant, a Process Server of this Court, was sued in his personal capacity together with the judgment-creditor. In that case his address in the caption was given as C/O Supreme Court, as in the present case.  The </w:t>
      </w:r>
      <w:proofErr w:type="spellStart"/>
      <w:r w:rsidRPr="00775BF2">
        <w:rPr>
          <w:rStyle w:val="CharacterStyle3"/>
          <w:rFonts w:ascii="Arial" w:hAnsi="Arial" w:cs="Arial"/>
          <w:sz w:val="24"/>
        </w:rPr>
        <w:t>irst</w:t>
      </w:r>
      <w:proofErr w:type="spellEnd"/>
      <w:r w:rsidRPr="00775BF2">
        <w:rPr>
          <w:rStyle w:val="CharacterStyle3"/>
          <w:rFonts w:ascii="Arial" w:hAnsi="Arial" w:cs="Arial"/>
          <w:sz w:val="24"/>
          <w:vertAlign w:val="superscript"/>
        </w:rPr>
        <w:t xml:space="preserve"> </w:t>
      </w:r>
      <w:r w:rsidRPr="00775BF2">
        <w:rPr>
          <w:rStyle w:val="CharacterStyle3"/>
          <w:rFonts w:ascii="Arial" w:hAnsi="Arial" w:cs="Arial"/>
          <w:sz w:val="24"/>
        </w:rPr>
        <w:t>defendant Process Server conducted a public auction, in execution of a judgment of Court, but failed to follow the procedure prescribed in the Code of Civil Procedure.  He was not represented by State counsel, but by a private legal practitioner.  The Supreme Court entered judgment against both defendants jointly and severally.  The Court of Appeal however set aside that judgment on the basis that the plaintiff had failed to establish that failure to follow the procedure resulted in damages being caused to him. It is however within the discretion of the Attorney-General to decide whether legal representation should be given to the first</w:t>
      </w:r>
      <w:r w:rsidRPr="00775BF2">
        <w:rPr>
          <w:rStyle w:val="CharacterStyle3"/>
          <w:rFonts w:ascii="Arial" w:hAnsi="Arial" w:cs="Arial"/>
          <w:b/>
          <w:bCs/>
          <w:sz w:val="24"/>
          <w:vertAlign w:val="superscript"/>
        </w:rPr>
        <w:t xml:space="preserve"> </w:t>
      </w:r>
      <w:r w:rsidRPr="00775BF2">
        <w:rPr>
          <w:rStyle w:val="CharacterStyle3"/>
          <w:rFonts w:ascii="Arial" w:hAnsi="Arial" w:cs="Arial"/>
          <w:sz w:val="24"/>
        </w:rPr>
        <w:t>defendant in the circumstances of the present case.</w:t>
      </w:r>
    </w:p>
    <w:p w:rsidR="00775BF2" w:rsidRPr="00775BF2" w:rsidRDefault="00775BF2" w:rsidP="00775BF2">
      <w:pPr>
        <w:contextualSpacing/>
        <w:jc w:val="both"/>
        <w:rPr>
          <w:rStyle w:val="CharacterStyle3"/>
          <w:rFonts w:ascii="Arial" w:hAnsi="Arial" w:cs="Arial"/>
          <w:sz w:val="24"/>
        </w:rPr>
      </w:pPr>
    </w:p>
    <w:p w:rsidR="00775BF2" w:rsidRPr="00775BF2" w:rsidRDefault="00775BF2" w:rsidP="00775BF2">
      <w:pPr>
        <w:contextualSpacing/>
        <w:jc w:val="both"/>
        <w:rPr>
          <w:rStyle w:val="CharacterStyle3"/>
          <w:rFonts w:ascii="Arial" w:hAnsi="Arial" w:cs="Arial"/>
          <w:sz w:val="24"/>
        </w:rPr>
      </w:pPr>
      <w:r w:rsidRPr="00775BF2">
        <w:rPr>
          <w:rStyle w:val="CharacterStyle3"/>
          <w:rFonts w:ascii="Arial" w:hAnsi="Arial" w:cs="Arial"/>
          <w:sz w:val="24"/>
        </w:rPr>
        <w:t xml:space="preserve">The Attorney-General representing the first defendant has raised a plea in </w:t>
      </w:r>
      <w:proofErr w:type="spellStart"/>
      <w:r w:rsidRPr="00775BF2">
        <w:rPr>
          <w:rStyle w:val="CharacterStyle3"/>
          <w:rFonts w:ascii="Arial" w:hAnsi="Arial" w:cs="Arial"/>
          <w:sz w:val="24"/>
        </w:rPr>
        <w:t>limine</w:t>
      </w:r>
      <w:proofErr w:type="spellEnd"/>
      <w:r w:rsidRPr="00775BF2">
        <w:rPr>
          <w:rStyle w:val="CharacterStyle3"/>
          <w:rFonts w:ascii="Arial" w:hAnsi="Arial" w:cs="Arial"/>
          <w:sz w:val="24"/>
        </w:rPr>
        <w:t xml:space="preserve"> </w:t>
      </w:r>
      <w:proofErr w:type="spellStart"/>
      <w:r w:rsidRPr="00775BF2">
        <w:rPr>
          <w:rStyle w:val="CharacterStyle3"/>
          <w:rFonts w:ascii="Arial" w:hAnsi="Arial" w:cs="Arial"/>
          <w:sz w:val="24"/>
        </w:rPr>
        <w:t>litis</w:t>
      </w:r>
      <w:proofErr w:type="spellEnd"/>
      <w:r w:rsidRPr="00775BF2">
        <w:rPr>
          <w:rStyle w:val="CharacterStyle3"/>
          <w:rFonts w:ascii="Arial" w:hAnsi="Arial" w:cs="Arial"/>
          <w:sz w:val="24"/>
        </w:rPr>
        <w:t xml:space="preserve"> </w:t>
      </w:r>
      <w:r w:rsidRPr="00775BF2">
        <w:rPr>
          <w:rStyle w:val="CharacterStyle3"/>
          <w:rFonts w:ascii="Arial" w:hAnsi="Arial" w:cs="Arial"/>
          <w:sz w:val="24"/>
        </w:rPr>
        <w:lastRenderedPageBreak/>
        <w:t xml:space="preserve">that </w:t>
      </w:r>
      <w:r w:rsidRPr="00775BF2">
        <w:rPr>
          <w:rStyle w:val="CharacterStyle3"/>
          <w:rFonts w:ascii="Arial" w:hAnsi="Arial" w:cs="Arial"/>
          <w:iCs/>
          <w:sz w:val="24"/>
        </w:rPr>
        <w:t xml:space="preserve">the action against the first defendant is </w:t>
      </w:r>
      <w:r w:rsidRPr="00775BF2">
        <w:rPr>
          <w:rStyle w:val="CharacterStyle3"/>
          <w:rFonts w:ascii="Arial" w:hAnsi="Arial" w:cs="Arial"/>
          <w:sz w:val="24"/>
        </w:rPr>
        <w:t xml:space="preserve">prescribed under the Public Officers Protection Act </w:t>
      </w:r>
      <w:r w:rsidRPr="00775BF2">
        <w:rPr>
          <w:rStyle w:val="CharacterStyle3"/>
          <w:rFonts w:ascii="Arial" w:hAnsi="Arial" w:cs="Arial"/>
          <w:iCs/>
          <w:sz w:val="24"/>
        </w:rPr>
        <w:t xml:space="preserve">(Cap 192). </w:t>
      </w:r>
      <w:r w:rsidRPr="00775BF2">
        <w:rPr>
          <w:rStyle w:val="CharacterStyle3"/>
          <w:rFonts w:ascii="Arial" w:hAnsi="Arial" w:cs="Arial"/>
          <w:sz w:val="24"/>
        </w:rPr>
        <w:t>The issue to be considered in that respect is whether, although the first</w:t>
      </w:r>
      <w:r w:rsidRPr="00775BF2">
        <w:rPr>
          <w:rStyle w:val="CharacterStyle3"/>
          <w:rFonts w:ascii="Arial" w:hAnsi="Arial" w:cs="Arial"/>
          <w:b/>
          <w:bCs/>
          <w:sz w:val="24"/>
          <w:vertAlign w:val="superscript"/>
        </w:rPr>
        <w:t xml:space="preserve"> </w:t>
      </w:r>
      <w:r w:rsidRPr="00775BF2">
        <w:rPr>
          <w:rStyle w:val="CharacterStyle3"/>
          <w:rFonts w:ascii="Arial" w:hAnsi="Arial" w:cs="Arial"/>
          <w:sz w:val="24"/>
        </w:rPr>
        <w:t xml:space="preserve">defendant is a Public Officer who was admittedly acting in the execution of his office, negligently acted outside its scope and damaged a portion of the wall not </w:t>
      </w:r>
      <w:proofErr w:type="spellStart"/>
      <w:r w:rsidRPr="00775BF2">
        <w:rPr>
          <w:rStyle w:val="CharacterStyle3"/>
          <w:rFonts w:ascii="Arial" w:hAnsi="Arial" w:cs="Arial"/>
          <w:sz w:val="24"/>
        </w:rPr>
        <w:t>authorised</w:t>
      </w:r>
      <w:proofErr w:type="spellEnd"/>
      <w:r w:rsidRPr="00775BF2">
        <w:rPr>
          <w:rStyle w:val="CharacterStyle3"/>
          <w:rFonts w:ascii="Arial" w:hAnsi="Arial" w:cs="Arial"/>
          <w:sz w:val="24"/>
        </w:rPr>
        <w:t xml:space="preserve"> by Court to be demolished as averred by the plaintiff.</w:t>
      </w:r>
    </w:p>
    <w:p w:rsidR="00775BF2" w:rsidRPr="00775BF2" w:rsidRDefault="00775BF2" w:rsidP="00775BF2">
      <w:pPr>
        <w:contextualSpacing/>
        <w:jc w:val="both"/>
        <w:rPr>
          <w:rStyle w:val="CharacterStyle3"/>
          <w:rFonts w:ascii="Arial" w:hAnsi="Arial" w:cs="Arial"/>
          <w:sz w:val="24"/>
        </w:rPr>
      </w:pPr>
    </w:p>
    <w:p w:rsidR="00775BF2" w:rsidRPr="00775BF2" w:rsidRDefault="00775BF2" w:rsidP="00775BF2">
      <w:pPr>
        <w:contextualSpacing/>
        <w:jc w:val="both"/>
        <w:rPr>
          <w:rStyle w:val="CharacterStyle3"/>
          <w:rFonts w:ascii="Arial" w:hAnsi="Arial" w:cs="Arial"/>
          <w:sz w:val="24"/>
        </w:rPr>
      </w:pPr>
      <w:r w:rsidRPr="00775BF2">
        <w:rPr>
          <w:rStyle w:val="CharacterStyle3"/>
          <w:rFonts w:ascii="Arial" w:hAnsi="Arial" w:cs="Arial"/>
          <w:sz w:val="24"/>
        </w:rPr>
        <w:t xml:space="preserve">If the plaintiff succeeds in establishing such averment, the first defendant, although a Public Officer, will not be considered as having acted in the execution of his duty. The Public Officers </w:t>
      </w:r>
      <w:r w:rsidRPr="00775BF2">
        <w:rPr>
          <w:rStyle w:val="CharacterStyle3"/>
          <w:rFonts w:ascii="Arial" w:hAnsi="Arial" w:cs="Arial"/>
          <w:iCs/>
          <w:sz w:val="24"/>
        </w:rPr>
        <w:t xml:space="preserve">(Protection) </w:t>
      </w:r>
      <w:r w:rsidRPr="00775BF2">
        <w:rPr>
          <w:rStyle w:val="CharacterStyle3"/>
          <w:rFonts w:ascii="Arial" w:hAnsi="Arial" w:cs="Arial"/>
          <w:sz w:val="24"/>
        </w:rPr>
        <w:t xml:space="preserve">Act does not exempt Public Officers from liability but only restricts the right of action against them by requiring that any action be brought within six months from the date the claim arose. In fact, section 21 of the Code of Civil Procedure </w:t>
      </w:r>
      <w:r w:rsidRPr="00775BF2">
        <w:rPr>
          <w:rStyle w:val="CharacterStyle3"/>
          <w:rFonts w:ascii="Arial" w:hAnsi="Arial" w:cs="Arial"/>
          <w:iCs/>
          <w:sz w:val="24"/>
        </w:rPr>
        <w:t xml:space="preserve">(Cap 213) </w:t>
      </w:r>
      <w:r w:rsidRPr="00775BF2">
        <w:rPr>
          <w:rStyle w:val="CharacterStyle3"/>
          <w:rFonts w:ascii="Arial" w:hAnsi="Arial" w:cs="Arial"/>
          <w:sz w:val="24"/>
        </w:rPr>
        <w:t xml:space="preserve">provides that </w:t>
      </w:r>
      <w:r w:rsidRPr="00775BF2">
        <w:rPr>
          <w:rStyle w:val="CharacterStyle3"/>
          <w:rFonts w:ascii="Arial" w:hAnsi="Arial" w:cs="Arial"/>
          <w:iCs/>
          <w:sz w:val="24"/>
        </w:rPr>
        <w:t>"the Process Officers are liable in damages for neglect in levying execution or</w:t>
      </w:r>
      <w:r w:rsidRPr="00775BF2">
        <w:rPr>
          <w:rStyle w:val="CharacterStyle3"/>
          <w:rFonts w:ascii="Arial" w:hAnsi="Arial" w:cs="Arial"/>
          <w:iCs/>
          <w:sz w:val="24"/>
          <w:vertAlign w:val="subscript"/>
        </w:rPr>
        <w:t>,</w:t>
      </w:r>
      <w:r w:rsidRPr="00775BF2">
        <w:rPr>
          <w:rStyle w:val="CharacterStyle3"/>
          <w:rFonts w:ascii="Arial" w:hAnsi="Arial" w:cs="Arial"/>
          <w:iCs/>
          <w:sz w:val="24"/>
        </w:rPr>
        <w:t xml:space="preserve"> for fraud in relation thereto, </w:t>
      </w:r>
      <w:r w:rsidRPr="00775BF2">
        <w:rPr>
          <w:rStyle w:val="CharacterStyle3"/>
          <w:rFonts w:ascii="Arial" w:hAnsi="Arial" w:cs="Arial"/>
          <w:sz w:val="24"/>
        </w:rPr>
        <w:t xml:space="preserve">at </w:t>
      </w:r>
      <w:r w:rsidRPr="00775BF2">
        <w:rPr>
          <w:rStyle w:val="CharacterStyle3"/>
          <w:rFonts w:ascii="Arial" w:hAnsi="Arial" w:cs="Arial"/>
          <w:iCs/>
          <w:sz w:val="24"/>
        </w:rPr>
        <w:t xml:space="preserve">the suit of the party prejudiced". </w:t>
      </w:r>
      <w:r w:rsidRPr="00775BF2">
        <w:rPr>
          <w:rStyle w:val="CharacterStyle3"/>
          <w:rFonts w:ascii="Arial" w:hAnsi="Arial" w:cs="Arial"/>
          <w:sz w:val="24"/>
        </w:rPr>
        <w:t xml:space="preserve">Hence the Public Officers </w:t>
      </w:r>
      <w:r w:rsidRPr="00775BF2">
        <w:rPr>
          <w:rStyle w:val="CharacterStyle3"/>
          <w:rFonts w:ascii="Arial" w:hAnsi="Arial" w:cs="Arial"/>
          <w:iCs/>
          <w:sz w:val="24"/>
        </w:rPr>
        <w:t xml:space="preserve">(Protection) </w:t>
      </w:r>
      <w:r w:rsidRPr="00775BF2">
        <w:rPr>
          <w:rStyle w:val="CharacterStyle3"/>
          <w:rFonts w:ascii="Arial" w:hAnsi="Arial" w:cs="Arial"/>
          <w:sz w:val="24"/>
        </w:rPr>
        <w:t xml:space="preserve">Act protects only acts done in execution of their service, and not acts done outside the scope of office which would then become their personal acts. As in the case of </w:t>
      </w:r>
      <w:proofErr w:type="spellStart"/>
      <w:r w:rsidRPr="00775BF2">
        <w:rPr>
          <w:rStyle w:val="CharacterStyle3"/>
          <w:rFonts w:ascii="Arial" w:hAnsi="Arial" w:cs="Arial"/>
          <w:bCs/>
          <w:i/>
          <w:iCs/>
          <w:sz w:val="24"/>
        </w:rPr>
        <w:t>Telemaque</w:t>
      </w:r>
      <w:proofErr w:type="spellEnd"/>
      <w:r w:rsidRPr="00775BF2">
        <w:rPr>
          <w:rStyle w:val="CharacterStyle3"/>
          <w:rFonts w:ascii="Arial" w:hAnsi="Arial" w:cs="Arial"/>
          <w:bCs/>
          <w:i/>
          <w:iCs/>
          <w:sz w:val="24"/>
        </w:rPr>
        <w:t xml:space="preserve"> v </w:t>
      </w:r>
      <w:proofErr w:type="spellStart"/>
      <w:proofErr w:type="gramStart"/>
      <w:r w:rsidRPr="00775BF2">
        <w:rPr>
          <w:rStyle w:val="CharacterStyle3"/>
          <w:rFonts w:ascii="Arial" w:hAnsi="Arial" w:cs="Arial"/>
          <w:bCs/>
          <w:i/>
          <w:iCs/>
          <w:sz w:val="24"/>
        </w:rPr>
        <w:t>Volcere</w:t>
      </w:r>
      <w:proofErr w:type="spellEnd"/>
      <w:r w:rsidRPr="00775BF2">
        <w:rPr>
          <w:rStyle w:val="CharacterStyle3"/>
          <w:rFonts w:ascii="Arial" w:hAnsi="Arial" w:cs="Arial"/>
          <w:bCs/>
          <w:i/>
          <w:iCs/>
          <w:sz w:val="24"/>
        </w:rPr>
        <w:t xml:space="preserve">  </w:t>
      </w:r>
      <w:r w:rsidRPr="00775BF2">
        <w:rPr>
          <w:rStyle w:val="CharacterStyle3"/>
          <w:rFonts w:ascii="Arial" w:hAnsi="Arial" w:cs="Arial"/>
          <w:bCs/>
          <w:iCs/>
          <w:sz w:val="24"/>
        </w:rPr>
        <w:t>(</w:t>
      </w:r>
      <w:proofErr w:type="gramEnd"/>
      <w:r w:rsidRPr="00775BF2">
        <w:rPr>
          <w:rStyle w:val="CharacterStyle3"/>
          <w:rFonts w:ascii="Arial" w:hAnsi="Arial" w:cs="Arial"/>
          <w:bCs/>
          <w:iCs/>
          <w:sz w:val="24"/>
        </w:rPr>
        <w:t>1982)  SLR  266</w:t>
      </w:r>
      <w:r w:rsidRPr="00775BF2">
        <w:rPr>
          <w:rStyle w:val="CharacterStyle3"/>
          <w:rFonts w:ascii="Arial" w:hAnsi="Arial" w:cs="Arial"/>
          <w:b/>
          <w:bCs/>
          <w:iCs/>
          <w:sz w:val="24"/>
        </w:rPr>
        <w:t xml:space="preserve"> </w:t>
      </w:r>
      <w:r w:rsidRPr="00775BF2">
        <w:rPr>
          <w:rStyle w:val="CharacterStyle3"/>
          <w:rFonts w:ascii="Arial" w:hAnsi="Arial" w:cs="Arial"/>
          <w:sz w:val="24"/>
        </w:rPr>
        <w:t>where a Public Officer driving a government vehicle outside his scope of duties on a “</w:t>
      </w:r>
      <w:r w:rsidRPr="00775BF2">
        <w:rPr>
          <w:rStyle w:val="CharacterStyle3"/>
          <w:rFonts w:ascii="Arial" w:hAnsi="Arial" w:cs="Arial"/>
          <w:iCs/>
          <w:sz w:val="24"/>
        </w:rPr>
        <w:t xml:space="preserve">frolic of his own", </w:t>
      </w:r>
      <w:r w:rsidRPr="00775BF2">
        <w:rPr>
          <w:rStyle w:val="CharacterStyle3"/>
          <w:rFonts w:ascii="Arial" w:hAnsi="Arial" w:cs="Arial"/>
          <w:sz w:val="24"/>
        </w:rPr>
        <w:t xml:space="preserve">was held to be personally liable in damages, the plea in </w:t>
      </w:r>
      <w:proofErr w:type="spellStart"/>
      <w:r w:rsidRPr="00775BF2">
        <w:rPr>
          <w:rStyle w:val="CharacterStyle3"/>
          <w:rFonts w:ascii="Arial" w:hAnsi="Arial" w:cs="Arial"/>
          <w:sz w:val="24"/>
        </w:rPr>
        <w:t>limine</w:t>
      </w:r>
      <w:proofErr w:type="spellEnd"/>
      <w:r w:rsidRPr="00775BF2">
        <w:rPr>
          <w:rStyle w:val="CharacterStyle3"/>
          <w:rFonts w:ascii="Arial" w:hAnsi="Arial" w:cs="Arial"/>
          <w:sz w:val="24"/>
        </w:rPr>
        <w:t xml:space="preserve"> that the action was time barred under the Public Officers (Protection) Act was considered at the end of the trial</w:t>
      </w:r>
      <w:r w:rsidRPr="00775BF2">
        <w:rPr>
          <w:rStyle w:val="CharacterStyle3"/>
          <w:rFonts w:ascii="Arial" w:hAnsi="Arial" w:cs="Arial"/>
          <w:i/>
          <w:sz w:val="24"/>
        </w:rPr>
        <w:t xml:space="preserve"> </w:t>
      </w:r>
      <w:r w:rsidRPr="00775BF2">
        <w:rPr>
          <w:rStyle w:val="CharacterStyle3"/>
          <w:rFonts w:ascii="Arial" w:hAnsi="Arial" w:cs="Arial"/>
          <w:sz w:val="24"/>
        </w:rPr>
        <w:t xml:space="preserve">upon hearing evidence. In that case too, the action was filed only against the defendant who was a Public Officer. He was also represented by a private legal practitioner. In the present case the second defendant is being sued for </w:t>
      </w:r>
      <w:r w:rsidRPr="00775BF2">
        <w:rPr>
          <w:rStyle w:val="CharacterStyle3"/>
          <w:rFonts w:ascii="Arial" w:hAnsi="Arial" w:cs="Arial"/>
          <w:iCs/>
          <w:sz w:val="24"/>
        </w:rPr>
        <w:t xml:space="preserve">"assisting and guiding" </w:t>
      </w:r>
      <w:r w:rsidRPr="00775BF2">
        <w:rPr>
          <w:rStyle w:val="CharacterStyle3"/>
          <w:rFonts w:ascii="Arial" w:hAnsi="Arial" w:cs="Arial"/>
          <w:sz w:val="24"/>
        </w:rPr>
        <w:t>the first</w:t>
      </w:r>
      <w:r w:rsidRPr="00775BF2">
        <w:rPr>
          <w:rStyle w:val="CharacterStyle3"/>
          <w:rFonts w:ascii="Arial" w:hAnsi="Arial" w:cs="Arial"/>
          <w:sz w:val="24"/>
          <w:vertAlign w:val="superscript"/>
        </w:rPr>
        <w:t xml:space="preserve"> </w:t>
      </w:r>
      <w:r w:rsidRPr="00775BF2">
        <w:rPr>
          <w:rStyle w:val="CharacterStyle3"/>
          <w:rFonts w:ascii="Arial" w:hAnsi="Arial" w:cs="Arial"/>
          <w:sz w:val="24"/>
        </w:rPr>
        <w:t>defendant. If the evidence discloses that the first</w:t>
      </w:r>
      <w:r w:rsidRPr="00775BF2">
        <w:rPr>
          <w:rStyle w:val="CharacterStyle3"/>
          <w:rFonts w:ascii="Arial" w:hAnsi="Arial" w:cs="Arial"/>
          <w:sz w:val="24"/>
          <w:vertAlign w:val="superscript"/>
        </w:rPr>
        <w:t xml:space="preserve"> </w:t>
      </w:r>
      <w:r w:rsidRPr="00775BF2">
        <w:rPr>
          <w:rStyle w:val="CharacterStyle3"/>
          <w:rFonts w:ascii="Arial" w:hAnsi="Arial" w:cs="Arial"/>
          <w:sz w:val="24"/>
        </w:rPr>
        <w:t>defendant had acted lawfully, then the second defendant, though not a Public Officer, would also get protection under section 4(c) of the Act as a person lawfully giving assistance to a Public Officer, and hence action against both defendants would fail on the basis that the action is time barred.</w:t>
      </w:r>
    </w:p>
    <w:p w:rsidR="00775BF2" w:rsidRPr="00775BF2" w:rsidRDefault="00775BF2" w:rsidP="00775BF2">
      <w:pPr>
        <w:contextualSpacing/>
        <w:jc w:val="both"/>
        <w:rPr>
          <w:rStyle w:val="CharacterStyle3"/>
          <w:rFonts w:ascii="Arial" w:hAnsi="Arial" w:cs="Arial"/>
          <w:i/>
          <w:sz w:val="24"/>
        </w:rPr>
      </w:pPr>
      <w:r w:rsidRPr="00775BF2">
        <w:rPr>
          <w:rFonts w:ascii="Arial" w:hAnsi="Arial" w:cs="Arial"/>
          <w:noProof/>
        </w:rPr>
        <w:pict>
          <v:shape id="_x0000_s1027" type="#_x0000_t202" style="position:absolute;left:0;text-align:left;margin-left:-30.95pt;margin-top:-155.75pt;width:30pt;height:531.55pt;z-index:251661312;mso-height-percent:200;mso-height-percent:200;mso-width-relative:margin;mso-height-relative:margin" stroked="f" strokecolor="white [3212]">
            <v:textbox style="mso-next-textbox:#_x0000_s1027;mso-fit-shape-to-text:t">
              <w:txbxContent>
                <w:p w:rsidR="00775BF2" w:rsidRPr="00CF6C02" w:rsidRDefault="00775BF2" w:rsidP="00775BF2">
                  <w:pPr>
                    <w:rPr>
                      <w:rFonts w:ascii="Arial" w:hAnsi="Arial" w:cs="Arial"/>
                      <w:b/>
                      <w:i/>
                    </w:rPr>
                  </w:pPr>
                </w:p>
              </w:txbxContent>
            </v:textbox>
          </v:shape>
        </w:pict>
      </w:r>
    </w:p>
    <w:p w:rsidR="00775BF2" w:rsidRPr="00775BF2" w:rsidRDefault="00775BF2" w:rsidP="00775BF2">
      <w:pPr>
        <w:contextualSpacing/>
        <w:jc w:val="both"/>
        <w:rPr>
          <w:rStyle w:val="CharacterStyle3"/>
          <w:rFonts w:ascii="Arial" w:hAnsi="Arial" w:cs="Arial"/>
          <w:sz w:val="24"/>
        </w:rPr>
      </w:pPr>
      <w:r w:rsidRPr="00775BF2">
        <w:rPr>
          <w:rStyle w:val="CharacterStyle3"/>
          <w:rFonts w:ascii="Arial" w:hAnsi="Arial" w:cs="Arial"/>
          <w:sz w:val="24"/>
        </w:rPr>
        <w:t>Hence I rule that this is a fit case where the plea raised should be considered at the end of the hearing of the case.</w:t>
      </w:r>
    </w:p>
    <w:p w:rsidR="00775BF2" w:rsidRPr="00775BF2" w:rsidRDefault="00775BF2" w:rsidP="00775BF2">
      <w:pPr>
        <w:contextualSpacing/>
        <w:jc w:val="both"/>
        <w:rPr>
          <w:rStyle w:val="CharacterStyle3"/>
          <w:rFonts w:ascii="Arial" w:hAnsi="Arial" w:cs="Arial"/>
          <w:i/>
          <w:sz w:val="24"/>
        </w:rPr>
      </w:pPr>
    </w:p>
    <w:p w:rsidR="00775BF2" w:rsidRPr="00775BF2" w:rsidRDefault="00775BF2" w:rsidP="00775BF2">
      <w:pPr>
        <w:contextualSpacing/>
        <w:jc w:val="both"/>
        <w:rPr>
          <w:rFonts w:ascii="Arial" w:hAnsi="Arial" w:cs="Arial"/>
        </w:rPr>
      </w:pPr>
    </w:p>
    <w:p w:rsidR="007D0678" w:rsidRPr="00775BF2" w:rsidRDefault="00775BF2" w:rsidP="00775BF2">
      <w:pPr>
        <w:rPr>
          <w:rFonts w:ascii="Arial" w:hAnsi="Arial" w:cs="Arial"/>
        </w:rPr>
      </w:pPr>
      <w:r w:rsidRPr="00775BF2">
        <w:rPr>
          <w:rFonts w:ascii="Arial" w:hAnsi="Arial" w:cs="Arial"/>
          <w:b/>
        </w:rPr>
        <w:t>Record:  Civil Side No 358 of 1999</w:t>
      </w:r>
    </w:p>
    <w:sectPr w:rsidR="007D0678" w:rsidRPr="00775BF2" w:rsidSect="007D06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775BF2"/>
    <w:rsid w:val="00775BF2"/>
    <w:rsid w:val="007D0678"/>
    <w:rsid w:val="00F117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BF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3">
    <w:name w:val="Character Style 3"/>
    <w:uiPriority w:val="99"/>
    <w:rsid w:val="00775BF2"/>
    <w:rPr>
      <w:sz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756</Words>
  <Characters>4310</Characters>
  <Application>Microsoft Office Word</Application>
  <DocSecurity>0</DocSecurity>
  <Lines>35</Lines>
  <Paragraphs>10</Paragraphs>
  <ScaleCrop>false</ScaleCrop>
  <Company>Deftones</Company>
  <LinksUpToDate>false</LinksUpToDate>
  <CharactersWithSpaces>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2014-01-22T07:19:00Z</dcterms:created>
  <dcterms:modified xsi:type="dcterms:W3CDTF">2014-01-22T07:20:00Z</dcterms:modified>
</cp:coreProperties>
</file>