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A2" w:rsidRDefault="000968A2" w:rsidP="000968A2">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0.55pt;margin-top:-3.95pt;width:30pt;height:531.55pt;z-index:251660288;mso-height-percent:200;mso-height-percent:200;mso-width-relative:margin;mso-height-relative:margin" stroked="f" strokecolor="white [3212]">
            <v:textbox style="mso-next-textbox:#_x0000_s1026;mso-fit-shape-to-text:t">
              <w:txbxContent>
                <w:p w:rsidR="000968A2" w:rsidRPr="00CF6C02" w:rsidRDefault="000968A2" w:rsidP="000968A2">
                  <w:pPr>
                    <w:rPr>
                      <w:rFonts w:ascii="Arial" w:hAnsi="Arial" w:cs="Arial"/>
                      <w:b/>
                      <w:i/>
                    </w:rPr>
                  </w:pPr>
                </w:p>
              </w:txbxContent>
            </v:textbox>
          </v:shape>
        </w:pict>
      </w:r>
      <w:proofErr w:type="spellStart"/>
      <w:r w:rsidRPr="00BD5D6E">
        <w:rPr>
          <w:rFonts w:ascii="Arial" w:hAnsi="Arial" w:cs="Arial"/>
          <w:b/>
        </w:rPr>
        <w:t>Chetty</w:t>
      </w:r>
      <w:proofErr w:type="spellEnd"/>
      <w:r w:rsidRPr="00BD5D6E">
        <w:rPr>
          <w:rFonts w:ascii="Arial" w:hAnsi="Arial" w:cs="Arial"/>
          <w:b/>
        </w:rPr>
        <w:t xml:space="preserve"> &amp; Ors</w:t>
      </w:r>
      <w:r>
        <w:rPr>
          <w:rFonts w:ascii="Arial" w:hAnsi="Arial" w:cs="Arial"/>
          <w:b/>
        </w:rPr>
        <w:t xml:space="preserve"> v </w:t>
      </w:r>
      <w:proofErr w:type="spellStart"/>
      <w:r w:rsidRPr="00BD5D6E">
        <w:rPr>
          <w:rFonts w:ascii="Arial" w:hAnsi="Arial" w:cs="Arial"/>
          <w:b/>
        </w:rPr>
        <w:t>Chetty</w:t>
      </w:r>
      <w:proofErr w:type="spellEnd"/>
    </w:p>
    <w:p w:rsidR="000968A2" w:rsidRPr="00BD5D6E" w:rsidRDefault="000968A2" w:rsidP="000968A2">
      <w:pPr>
        <w:contextualSpacing/>
        <w:jc w:val="center"/>
        <w:rPr>
          <w:rFonts w:ascii="Arial" w:hAnsi="Arial" w:cs="Arial"/>
          <w:b/>
        </w:rPr>
      </w:pPr>
      <w:r>
        <w:rPr>
          <w:rFonts w:ascii="Arial" w:hAnsi="Arial" w:cs="Arial"/>
          <w:b/>
        </w:rPr>
        <w:t>(2003) SLR 133</w:t>
      </w:r>
    </w:p>
    <w:p w:rsidR="000968A2" w:rsidRPr="00BD5D6E" w:rsidRDefault="000968A2" w:rsidP="000968A2">
      <w:pPr>
        <w:contextualSpacing/>
        <w:jc w:val="both"/>
        <w:rPr>
          <w:rFonts w:ascii="Arial" w:hAnsi="Arial" w:cs="Arial"/>
        </w:rPr>
      </w:pPr>
    </w:p>
    <w:p w:rsidR="000968A2" w:rsidRPr="00F548CC" w:rsidRDefault="000968A2" w:rsidP="000968A2">
      <w:pPr>
        <w:contextualSpacing/>
        <w:jc w:val="both"/>
        <w:rPr>
          <w:rFonts w:ascii="Arial" w:hAnsi="Arial" w:cs="Arial"/>
        </w:rPr>
      </w:pPr>
    </w:p>
    <w:p w:rsidR="000968A2" w:rsidRPr="00F548CC" w:rsidRDefault="000968A2" w:rsidP="000968A2">
      <w:pPr>
        <w:contextualSpacing/>
        <w:jc w:val="both"/>
        <w:rPr>
          <w:rFonts w:ascii="Arial" w:hAnsi="Arial" w:cs="Arial"/>
        </w:rPr>
      </w:pPr>
      <w:r w:rsidRPr="00F548CC">
        <w:rPr>
          <w:rFonts w:ascii="Arial" w:hAnsi="Arial" w:cs="Arial"/>
        </w:rPr>
        <w:t>Bernard GEORGES for the Petitioners</w:t>
      </w:r>
    </w:p>
    <w:p w:rsidR="000968A2" w:rsidRPr="00F548CC" w:rsidRDefault="000968A2" w:rsidP="000968A2">
      <w:pPr>
        <w:contextualSpacing/>
        <w:jc w:val="both"/>
        <w:rPr>
          <w:rFonts w:ascii="Arial" w:hAnsi="Arial" w:cs="Arial"/>
        </w:rPr>
      </w:pPr>
      <w:r w:rsidRPr="00F548CC">
        <w:rPr>
          <w:rFonts w:ascii="Arial" w:hAnsi="Arial" w:cs="Arial"/>
        </w:rPr>
        <w:t>Jacques HODOUL for the Respondents</w:t>
      </w:r>
    </w:p>
    <w:p w:rsidR="000968A2" w:rsidRPr="00BD5D6E" w:rsidRDefault="000968A2" w:rsidP="000968A2">
      <w:pPr>
        <w:contextualSpacing/>
        <w:jc w:val="both"/>
        <w:rPr>
          <w:rFonts w:ascii="Arial" w:hAnsi="Arial" w:cs="Arial"/>
        </w:rPr>
      </w:pPr>
    </w:p>
    <w:p w:rsidR="000968A2" w:rsidRPr="00BD5D6E" w:rsidRDefault="000968A2" w:rsidP="000968A2">
      <w:pPr>
        <w:contextualSpacing/>
        <w:rPr>
          <w:rFonts w:ascii="Arial" w:hAnsi="Arial" w:cs="Arial"/>
          <w:b/>
        </w:rPr>
      </w:pPr>
      <w:r w:rsidRPr="00BD5D6E">
        <w:rPr>
          <w:rFonts w:ascii="Arial" w:hAnsi="Arial" w:cs="Arial"/>
          <w:b/>
        </w:rPr>
        <w:t xml:space="preserve">Ruling delivered on </w:t>
      </w:r>
      <w:r>
        <w:rPr>
          <w:rFonts w:ascii="Arial" w:hAnsi="Arial" w:cs="Arial"/>
          <w:b/>
        </w:rPr>
        <w:t>5</w:t>
      </w:r>
      <w:r w:rsidRPr="00BD5D6E">
        <w:rPr>
          <w:rFonts w:ascii="Arial" w:hAnsi="Arial" w:cs="Arial"/>
          <w:b/>
        </w:rPr>
        <w:t xml:space="preserve"> May 2003 by:</w:t>
      </w:r>
    </w:p>
    <w:p w:rsidR="000968A2" w:rsidRPr="00BD5D6E" w:rsidRDefault="000968A2" w:rsidP="000968A2">
      <w:pPr>
        <w:contextualSpacing/>
        <w:jc w:val="both"/>
        <w:rPr>
          <w:rFonts w:ascii="Arial" w:hAnsi="Arial" w:cs="Arial"/>
        </w:rPr>
      </w:pPr>
    </w:p>
    <w:p w:rsidR="000968A2" w:rsidRPr="00BD5D6E" w:rsidRDefault="000968A2" w:rsidP="000968A2">
      <w:pPr>
        <w:contextualSpacing/>
        <w:jc w:val="both"/>
        <w:rPr>
          <w:rFonts w:ascii="Arial" w:hAnsi="Arial" w:cs="Arial"/>
        </w:rPr>
      </w:pPr>
      <w:r w:rsidRPr="00BD5D6E">
        <w:rPr>
          <w:rFonts w:ascii="Arial" w:hAnsi="Arial" w:cs="Arial"/>
          <w:b/>
        </w:rPr>
        <w:t>PERERA J</w:t>
      </w:r>
      <w:r w:rsidRPr="00150F61">
        <w:rPr>
          <w:rFonts w:ascii="Arial" w:hAnsi="Arial" w:cs="Arial"/>
          <w:b/>
        </w:rPr>
        <w:t>:</w:t>
      </w:r>
      <w:r w:rsidRPr="00BD5D6E">
        <w:rPr>
          <w:rFonts w:ascii="Arial" w:hAnsi="Arial" w:cs="Arial"/>
        </w:rPr>
        <w:t xml:space="preserve">  The instant ruling arises from a plea </w:t>
      </w:r>
      <w:r w:rsidRPr="004156B4">
        <w:rPr>
          <w:rFonts w:ascii="Arial" w:hAnsi="Arial" w:cs="Arial"/>
        </w:rPr>
        <w:t xml:space="preserve">in </w:t>
      </w:r>
      <w:proofErr w:type="spellStart"/>
      <w:r w:rsidRPr="004156B4">
        <w:rPr>
          <w:rFonts w:ascii="Arial" w:hAnsi="Arial" w:cs="Arial"/>
        </w:rPr>
        <w:t>limine</w:t>
      </w:r>
      <w:proofErr w:type="spellEnd"/>
      <w:r w:rsidRPr="004156B4">
        <w:rPr>
          <w:rFonts w:ascii="Arial" w:hAnsi="Arial" w:cs="Arial"/>
        </w:rPr>
        <w:t xml:space="preserve"> </w:t>
      </w:r>
      <w:proofErr w:type="spellStart"/>
      <w:r w:rsidRPr="004156B4">
        <w:rPr>
          <w:rFonts w:ascii="Arial" w:hAnsi="Arial" w:cs="Arial"/>
        </w:rPr>
        <w:t>litis</w:t>
      </w:r>
      <w:proofErr w:type="spellEnd"/>
      <w:r w:rsidRPr="004156B4">
        <w:rPr>
          <w:rFonts w:ascii="Arial" w:hAnsi="Arial" w:cs="Arial"/>
        </w:rPr>
        <w:t xml:space="preserve"> raised by the Respondent that individual co-owners cannot</w:t>
      </w:r>
      <w:r w:rsidRPr="00BD5D6E">
        <w:rPr>
          <w:rFonts w:ascii="Arial" w:hAnsi="Arial" w:cs="Arial"/>
        </w:rPr>
        <w:t xml:space="preserve"> seek a division in kind of a co-owned property except through an executor acting in his capacity as a fiduciary.  In the present case, the seven petitioners and the </w:t>
      </w:r>
      <w:r>
        <w:rPr>
          <w:rFonts w:ascii="Arial" w:hAnsi="Arial" w:cs="Arial"/>
        </w:rPr>
        <w:t>Respondent</w:t>
      </w:r>
      <w:r w:rsidRPr="00BD5D6E">
        <w:rPr>
          <w:rFonts w:ascii="Arial" w:hAnsi="Arial" w:cs="Arial"/>
        </w:rPr>
        <w:t xml:space="preserve"> are the surviving children of one G.K. </w:t>
      </w:r>
      <w:proofErr w:type="spellStart"/>
      <w:r w:rsidRPr="00BD5D6E">
        <w:rPr>
          <w:rFonts w:ascii="Arial" w:hAnsi="Arial" w:cs="Arial"/>
        </w:rPr>
        <w:t>Chetty</w:t>
      </w:r>
      <w:proofErr w:type="spellEnd"/>
      <w:r w:rsidRPr="00BD5D6E">
        <w:rPr>
          <w:rFonts w:ascii="Arial" w:hAnsi="Arial" w:cs="Arial"/>
        </w:rPr>
        <w:t xml:space="preserve"> who died intestate on 8</w:t>
      </w:r>
      <w:r>
        <w:rPr>
          <w:rFonts w:ascii="Arial" w:hAnsi="Arial" w:cs="Arial"/>
          <w:vertAlign w:val="superscript"/>
        </w:rPr>
        <w:t xml:space="preserve"> </w:t>
      </w:r>
      <w:r w:rsidRPr="00BD5D6E">
        <w:rPr>
          <w:rFonts w:ascii="Arial" w:hAnsi="Arial" w:cs="Arial"/>
        </w:rPr>
        <w:t>May 1982.  It is not in dispute that the 1</w:t>
      </w:r>
      <w:r w:rsidRPr="00BD5D6E">
        <w:rPr>
          <w:rFonts w:ascii="Arial" w:hAnsi="Arial" w:cs="Arial"/>
          <w:vertAlign w:val="superscript"/>
        </w:rPr>
        <w:t>st</w:t>
      </w:r>
      <w:r w:rsidRPr="00BD5D6E">
        <w:rPr>
          <w:rFonts w:ascii="Arial" w:hAnsi="Arial" w:cs="Arial"/>
        </w:rPr>
        <w:t xml:space="preserve"> petitioner, Louis Camille </w:t>
      </w:r>
      <w:proofErr w:type="spellStart"/>
      <w:r w:rsidRPr="00BD5D6E">
        <w:rPr>
          <w:rFonts w:ascii="Arial" w:hAnsi="Arial" w:cs="Arial"/>
        </w:rPr>
        <w:t>Chetty</w:t>
      </w:r>
      <w:proofErr w:type="spellEnd"/>
      <w:r w:rsidRPr="00BD5D6E">
        <w:rPr>
          <w:rFonts w:ascii="Arial" w:hAnsi="Arial" w:cs="Arial"/>
        </w:rPr>
        <w:t xml:space="preserve"> was appointed as the executor of the estate of the said deceased, which comprised of an immovable property bearing Parcel no. T. 323 at </w:t>
      </w:r>
      <w:proofErr w:type="spellStart"/>
      <w:r w:rsidRPr="00BD5D6E">
        <w:rPr>
          <w:rFonts w:ascii="Arial" w:hAnsi="Arial" w:cs="Arial"/>
        </w:rPr>
        <w:t>Anse</w:t>
      </w:r>
      <w:proofErr w:type="spellEnd"/>
      <w:r w:rsidRPr="00BD5D6E">
        <w:rPr>
          <w:rFonts w:ascii="Arial" w:hAnsi="Arial" w:cs="Arial"/>
        </w:rPr>
        <w:t xml:space="preserve"> </w:t>
      </w:r>
      <w:proofErr w:type="spellStart"/>
      <w:r w:rsidRPr="00BD5D6E">
        <w:rPr>
          <w:rFonts w:ascii="Arial" w:hAnsi="Arial" w:cs="Arial"/>
        </w:rPr>
        <w:t>Gaulettes</w:t>
      </w:r>
      <w:proofErr w:type="spellEnd"/>
      <w:r w:rsidRPr="00BD5D6E">
        <w:rPr>
          <w:rFonts w:ascii="Arial" w:hAnsi="Arial" w:cs="Arial"/>
        </w:rPr>
        <w:t xml:space="preserve">.  After the appointment was made, the said </w:t>
      </w:r>
      <w:proofErr w:type="gramStart"/>
      <w:r w:rsidRPr="00BD5D6E">
        <w:rPr>
          <w:rFonts w:ascii="Arial" w:hAnsi="Arial" w:cs="Arial"/>
        </w:rPr>
        <w:t>executor,</w:t>
      </w:r>
      <w:proofErr w:type="gramEnd"/>
      <w:r w:rsidRPr="00BD5D6E">
        <w:rPr>
          <w:rFonts w:ascii="Arial" w:hAnsi="Arial" w:cs="Arial"/>
        </w:rPr>
        <w:t xml:space="preserve"> registered an affidavit on transmission by death at the Land Registry disclosing the names of the eight co-owners and acknowledging that they held an undivided 1/8 share each of the said property.  </w:t>
      </w:r>
      <w:r w:rsidRPr="004156B4">
        <w:rPr>
          <w:rFonts w:ascii="Arial" w:hAnsi="Arial" w:cs="Arial"/>
        </w:rPr>
        <w:t xml:space="preserve">Section 72(1) of the Land Registration Act (Cap 107) provides inter alia that </w:t>
      </w:r>
      <w:r>
        <w:rPr>
          <w:rFonts w:ascii="Arial" w:hAnsi="Arial" w:cs="Arial"/>
        </w:rPr>
        <w:t>"</w:t>
      </w:r>
      <w:r w:rsidRPr="004156B4">
        <w:rPr>
          <w:rFonts w:ascii="Arial" w:hAnsi="Arial" w:cs="Arial"/>
        </w:rPr>
        <w:t>upon production and filing of an affidavit by them in the prescribed form, (they shall) be registered as the proprietors of the land, lease or charge of the interests and in the shares shown in the affidavit". Subsection</w:t>
      </w:r>
      <w:r>
        <w:rPr>
          <w:rFonts w:ascii="Arial" w:hAnsi="Arial" w:cs="Arial"/>
        </w:rPr>
        <w:t xml:space="preserve"> (3) provides that:</w:t>
      </w:r>
    </w:p>
    <w:p w:rsidR="000968A2" w:rsidRPr="00BD5D6E" w:rsidRDefault="000968A2" w:rsidP="000968A2">
      <w:pPr>
        <w:contextualSpacing/>
        <w:jc w:val="both"/>
        <w:rPr>
          <w:rFonts w:ascii="Arial" w:hAnsi="Arial" w:cs="Arial"/>
        </w:rPr>
      </w:pPr>
    </w:p>
    <w:p w:rsidR="000968A2" w:rsidRDefault="000968A2" w:rsidP="000968A2">
      <w:pPr>
        <w:ind w:left="720" w:right="720"/>
        <w:contextualSpacing/>
        <w:jc w:val="both"/>
        <w:rPr>
          <w:rFonts w:ascii="Arial" w:hAnsi="Arial" w:cs="Arial"/>
        </w:rPr>
      </w:pPr>
      <w:r w:rsidRPr="004156B4">
        <w:rPr>
          <w:rFonts w:ascii="Arial" w:hAnsi="Arial" w:cs="Arial"/>
        </w:rPr>
        <w:t>The Registration of any person as aforesaid shall relate back to and take effect from the date of the d</w:t>
      </w:r>
      <w:r>
        <w:rPr>
          <w:rFonts w:ascii="Arial" w:hAnsi="Arial" w:cs="Arial"/>
        </w:rPr>
        <w:t>eath of the deceased proprietor.</w:t>
      </w:r>
    </w:p>
    <w:p w:rsidR="000968A2" w:rsidRPr="004156B4" w:rsidRDefault="000968A2" w:rsidP="000968A2">
      <w:pPr>
        <w:ind w:left="720" w:right="720"/>
        <w:contextualSpacing/>
        <w:jc w:val="both"/>
        <w:rPr>
          <w:rFonts w:ascii="Arial" w:hAnsi="Arial" w:cs="Arial"/>
        </w:rPr>
      </w:pPr>
    </w:p>
    <w:p w:rsidR="000968A2" w:rsidRPr="00BD5D6E" w:rsidRDefault="000968A2" w:rsidP="000968A2">
      <w:pPr>
        <w:contextualSpacing/>
        <w:jc w:val="both"/>
        <w:rPr>
          <w:rFonts w:ascii="Arial" w:hAnsi="Arial" w:cs="Arial"/>
        </w:rPr>
      </w:pPr>
      <w:r>
        <w:rPr>
          <w:rFonts w:ascii="Arial" w:hAnsi="Arial" w:cs="Arial"/>
          <w:noProof/>
        </w:rPr>
        <w:pict>
          <v:shape id="_x0000_s1027" type="#_x0000_t202" style="position:absolute;left:0;text-align:left;margin-left:-29.8pt;margin-top:-3.6pt;width:30pt;height:531.55pt;z-index:251661312;mso-height-percent:200;mso-height-percent:200;mso-width-relative:margin;mso-height-relative:margin" stroked="f" strokecolor="white [3212]">
            <v:textbox style="mso-next-textbox:#_x0000_s1027;mso-fit-shape-to-text:t">
              <w:txbxContent>
                <w:p w:rsidR="000968A2" w:rsidRPr="00CF6C02" w:rsidRDefault="000968A2" w:rsidP="000968A2">
                  <w:pPr>
                    <w:rPr>
                      <w:rFonts w:ascii="Arial" w:hAnsi="Arial" w:cs="Arial"/>
                      <w:b/>
                      <w:i/>
                    </w:rPr>
                  </w:pPr>
                </w:p>
              </w:txbxContent>
            </v:textbox>
          </v:shape>
        </w:pict>
      </w:r>
      <w:r w:rsidRPr="00BD5D6E">
        <w:rPr>
          <w:rFonts w:ascii="Arial" w:hAnsi="Arial" w:cs="Arial"/>
        </w:rPr>
        <w:t xml:space="preserve">It is also not in dispute that the said Parcel T.323 is now sub-divided into Parcels T. 2150, T.2151 and T.2152.  The seven petitioners propose to sell their shares to a third party, excising from the totality of these parcels, the share of the </w:t>
      </w:r>
      <w:r>
        <w:rPr>
          <w:rFonts w:ascii="Arial" w:hAnsi="Arial" w:cs="Arial"/>
        </w:rPr>
        <w:t>Respondent</w:t>
      </w:r>
      <w:r w:rsidRPr="00BD5D6E">
        <w:rPr>
          <w:rFonts w:ascii="Arial" w:hAnsi="Arial" w:cs="Arial"/>
        </w:rPr>
        <w:t xml:space="preserve"> who, it is averred is unwilling to sell his share.</w:t>
      </w:r>
    </w:p>
    <w:p w:rsidR="000968A2" w:rsidRPr="006F2F5C" w:rsidRDefault="000968A2" w:rsidP="000968A2">
      <w:pPr>
        <w:contextualSpacing/>
        <w:jc w:val="both"/>
        <w:rPr>
          <w:rFonts w:ascii="Arial" w:hAnsi="Arial" w:cs="Arial"/>
        </w:rPr>
      </w:pPr>
    </w:p>
    <w:p w:rsidR="000968A2" w:rsidRPr="006F2F5C" w:rsidRDefault="000968A2" w:rsidP="000968A2">
      <w:pPr>
        <w:contextualSpacing/>
        <w:jc w:val="both"/>
        <w:rPr>
          <w:rFonts w:ascii="Arial" w:hAnsi="Arial" w:cs="Arial"/>
        </w:rPr>
      </w:pPr>
      <w:r w:rsidRPr="006F2F5C">
        <w:rPr>
          <w:rFonts w:ascii="Arial" w:hAnsi="Arial" w:cs="Arial"/>
        </w:rPr>
        <w:t>The issue before the Court involves the interpretation of Articles 818 and 1029 of the Civil Code and Section 107(2) of the immovable property (Judicial Sales) Act (Cap 94). Article 818 of</w:t>
      </w:r>
      <w:r>
        <w:rPr>
          <w:rFonts w:ascii="Arial" w:hAnsi="Arial" w:cs="Arial"/>
        </w:rPr>
        <w:t xml:space="preserve"> the </w:t>
      </w:r>
      <w:proofErr w:type="gramStart"/>
      <w:r>
        <w:rPr>
          <w:rFonts w:ascii="Arial" w:hAnsi="Arial" w:cs="Arial"/>
        </w:rPr>
        <w:t>Civil</w:t>
      </w:r>
      <w:proofErr w:type="gramEnd"/>
      <w:r>
        <w:rPr>
          <w:rFonts w:ascii="Arial" w:hAnsi="Arial" w:cs="Arial"/>
        </w:rPr>
        <w:t xml:space="preserve"> code provides that:</w:t>
      </w:r>
    </w:p>
    <w:p w:rsidR="000968A2" w:rsidRPr="00BD5D6E" w:rsidRDefault="000968A2" w:rsidP="000968A2">
      <w:pPr>
        <w:contextualSpacing/>
        <w:jc w:val="both"/>
        <w:rPr>
          <w:rFonts w:ascii="Arial" w:hAnsi="Arial" w:cs="Arial"/>
        </w:rPr>
      </w:pPr>
    </w:p>
    <w:p w:rsidR="000968A2" w:rsidRPr="006F2F5C" w:rsidRDefault="000968A2" w:rsidP="000968A2">
      <w:pPr>
        <w:ind w:left="720" w:right="720"/>
        <w:contextualSpacing/>
        <w:jc w:val="both"/>
        <w:rPr>
          <w:rFonts w:ascii="Arial" w:hAnsi="Arial" w:cs="Arial"/>
        </w:rPr>
      </w:pPr>
      <w:r w:rsidRPr="006F2F5C">
        <w:rPr>
          <w:rFonts w:ascii="Arial" w:hAnsi="Arial" w:cs="Arial"/>
        </w:rPr>
        <w:t>If the property subject to co-ownership is immovable, the right of the co-owners shall be held on their behalf by a fiduciary through whom only they may act.</w:t>
      </w:r>
    </w:p>
    <w:p w:rsidR="000968A2" w:rsidRPr="00BD5D6E" w:rsidRDefault="000968A2" w:rsidP="000968A2">
      <w:pPr>
        <w:contextualSpacing/>
        <w:jc w:val="both"/>
        <w:rPr>
          <w:rFonts w:ascii="Arial" w:hAnsi="Arial" w:cs="Arial"/>
        </w:rPr>
      </w:pPr>
    </w:p>
    <w:p w:rsidR="000968A2" w:rsidRDefault="000968A2" w:rsidP="000968A2">
      <w:pPr>
        <w:contextualSpacing/>
        <w:jc w:val="both"/>
        <w:rPr>
          <w:rFonts w:ascii="Arial" w:hAnsi="Arial" w:cs="Arial"/>
        </w:rPr>
      </w:pPr>
      <w:r w:rsidRPr="00B51BBB">
        <w:rPr>
          <w:rFonts w:ascii="Arial" w:hAnsi="Arial" w:cs="Arial"/>
        </w:rPr>
        <w:t>Article 1028</w:t>
      </w:r>
      <w:r w:rsidRPr="00BD5D6E">
        <w:rPr>
          <w:rFonts w:ascii="Arial" w:hAnsi="Arial" w:cs="Arial"/>
        </w:rPr>
        <w:t xml:space="preserve"> provides that</w:t>
      </w:r>
      <w:r>
        <w:rPr>
          <w:rFonts w:ascii="Arial" w:hAnsi="Arial" w:cs="Arial"/>
        </w:rPr>
        <w:t>:</w:t>
      </w:r>
    </w:p>
    <w:p w:rsidR="000968A2" w:rsidRDefault="000968A2" w:rsidP="000968A2">
      <w:pPr>
        <w:contextualSpacing/>
        <w:jc w:val="both"/>
        <w:rPr>
          <w:rFonts w:ascii="Arial" w:hAnsi="Arial" w:cs="Arial"/>
        </w:rPr>
      </w:pPr>
    </w:p>
    <w:p w:rsidR="000968A2" w:rsidRPr="00BD5D6E" w:rsidRDefault="000968A2" w:rsidP="000968A2">
      <w:pPr>
        <w:ind w:left="720" w:right="684"/>
        <w:contextualSpacing/>
        <w:jc w:val="both"/>
        <w:rPr>
          <w:rFonts w:ascii="Arial" w:hAnsi="Arial" w:cs="Arial"/>
        </w:rPr>
      </w:pPr>
      <w:proofErr w:type="gramStart"/>
      <w:r w:rsidRPr="00BD5D6E">
        <w:rPr>
          <w:rFonts w:ascii="Arial" w:hAnsi="Arial" w:cs="Arial"/>
        </w:rPr>
        <w:t>an</w:t>
      </w:r>
      <w:proofErr w:type="gramEnd"/>
      <w:r w:rsidRPr="00BD5D6E">
        <w:rPr>
          <w:rFonts w:ascii="Arial" w:hAnsi="Arial" w:cs="Arial"/>
        </w:rPr>
        <w:t xml:space="preserve"> executor in his capacity as fiduciary shall be bound by all the Rules applicable to fiduciaries</w:t>
      </w:r>
      <w:r>
        <w:rPr>
          <w:rFonts w:ascii="Arial" w:hAnsi="Arial" w:cs="Arial"/>
        </w:rPr>
        <w:t>.</w:t>
      </w:r>
    </w:p>
    <w:p w:rsidR="000968A2" w:rsidRPr="00BD5D6E" w:rsidRDefault="000968A2" w:rsidP="000968A2">
      <w:pPr>
        <w:contextualSpacing/>
        <w:jc w:val="both"/>
        <w:rPr>
          <w:rFonts w:ascii="Arial" w:hAnsi="Arial" w:cs="Arial"/>
        </w:rPr>
      </w:pPr>
    </w:p>
    <w:p w:rsidR="000968A2" w:rsidRDefault="000968A2" w:rsidP="000968A2">
      <w:pPr>
        <w:contextualSpacing/>
        <w:jc w:val="both"/>
        <w:rPr>
          <w:rFonts w:ascii="Arial" w:hAnsi="Arial" w:cs="Arial"/>
        </w:rPr>
      </w:pPr>
      <w:r w:rsidRPr="00B51BBB">
        <w:rPr>
          <w:rFonts w:ascii="Arial" w:hAnsi="Arial" w:cs="Arial"/>
        </w:rPr>
        <w:t>Article 1029</w:t>
      </w:r>
      <w:r>
        <w:rPr>
          <w:rFonts w:ascii="Arial" w:hAnsi="Arial" w:cs="Arial"/>
        </w:rPr>
        <w:t xml:space="preserve"> provides that:</w:t>
      </w:r>
    </w:p>
    <w:p w:rsidR="000968A2" w:rsidRPr="00BD5D6E" w:rsidRDefault="000968A2" w:rsidP="000968A2">
      <w:pPr>
        <w:contextualSpacing/>
        <w:jc w:val="both"/>
        <w:rPr>
          <w:rFonts w:ascii="Arial" w:hAnsi="Arial" w:cs="Arial"/>
        </w:rPr>
      </w:pPr>
    </w:p>
    <w:p w:rsidR="000968A2" w:rsidRPr="00BD5D6E" w:rsidRDefault="000968A2" w:rsidP="000968A2">
      <w:pPr>
        <w:ind w:left="720" w:right="720"/>
        <w:contextualSpacing/>
        <w:jc w:val="both"/>
        <w:rPr>
          <w:rFonts w:ascii="Arial" w:hAnsi="Arial" w:cs="Arial"/>
        </w:rPr>
      </w:pPr>
      <w:r w:rsidRPr="00BD5D6E">
        <w:rPr>
          <w:rFonts w:ascii="Arial" w:hAnsi="Arial" w:cs="Arial"/>
        </w:rPr>
        <w:t>Executors shall represent the estate in all legal proceedings, and shall act in any legal action the purpose of which is to</w:t>
      </w:r>
      <w:r>
        <w:rPr>
          <w:rFonts w:ascii="Arial" w:hAnsi="Arial" w:cs="Arial"/>
        </w:rPr>
        <w:t xml:space="preserve"> declare the will null...</w:t>
      </w:r>
    </w:p>
    <w:p w:rsidR="000968A2" w:rsidRPr="00BD5D6E" w:rsidRDefault="000968A2" w:rsidP="000968A2">
      <w:pPr>
        <w:contextualSpacing/>
        <w:jc w:val="both"/>
        <w:rPr>
          <w:rFonts w:ascii="Arial" w:hAnsi="Arial" w:cs="Arial"/>
        </w:rPr>
      </w:pPr>
    </w:p>
    <w:p w:rsidR="000968A2" w:rsidRPr="00BD5D6E" w:rsidRDefault="000968A2" w:rsidP="000968A2">
      <w:pPr>
        <w:contextualSpacing/>
        <w:jc w:val="both"/>
        <w:rPr>
          <w:rFonts w:ascii="Arial" w:hAnsi="Arial" w:cs="Arial"/>
        </w:rPr>
      </w:pP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Hodoul</w:t>
      </w:r>
      <w:proofErr w:type="spellEnd"/>
      <w:r w:rsidRPr="00BD5D6E">
        <w:rPr>
          <w:rFonts w:ascii="Arial" w:hAnsi="Arial" w:cs="Arial"/>
        </w:rPr>
        <w:t xml:space="preserve">, Learned Counsel for the </w:t>
      </w:r>
      <w:r>
        <w:rPr>
          <w:rFonts w:ascii="Arial" w:hAnsi="Arial" w:cs="Arial"/>
        </w:rPr>
        <w:t>Respondent</w:t>
      </w:r>
      <w:r w:rsidRPr="00BD5D6E">
        <w:rPr>
          <w:rFonts w:ascii="Arial" w:hAnsi="Arial" w:cs="Arial"/>
        </w:rPr>
        <w:t xml:space="preserve"> in supporting the plea in </w:t>
      </w:r>
      <w:proofErr w:type="spellStart"/>
      <w:r w:rsidRPr="00BD5D6E">
        <w:rPr>
          <w:rFonts w:ascii="Arial" w:hAnsi="Arial" w:cs="Arial"/>
        </w:rPr>
        <w:t>limine</w:t>
      </w:r>
      <w:proofErr w:type="spellEnd"/>
      <w:r w:rsidRPr="00BD5D6E">
        <w:rPr>
          <w:rFonts w:ascii="Arial" w:hAnsi="Arial" w:cs="Arial"/>
        </w:rPr>
        <w:t xml:space="preserve"> relied on the decisions in the cases of </w:t>
      </w:r>
      <w:r>
        <w:rPr>
          <w:rFonts w:ascii="Arial" w:hAnsi="Arial" w:cs="Arial"/>
          <w:i/>
        </w:rPr>
        <w:t>Michel v</w:t>
      </w:r>
      <w:r w:rsidRPr="00B51BBB">
        <w:rPr>
          <w:rFonts w:ascii="Arial" w:hAnsi="Arial" w:cs="Arial"/>
          <w:i/>
        </w:rPr>
        <w:t xml:space="preserve"> </w:t>
      </w:r>
      <w:proofErr w:type="spellStart"/>
      <w:r w:rsidRPr="00B51BBB">
        <w:rPr>
          <w:rFonts w:ascii="Arial" w:hAnsi="Arial" w:cs="Arial"/>
          <w:i/>
        </w:rPr>
        <w:t>Vidot</w:t>
      </w:r>
      <w:proofErr w:type="spellEnd"/>
      <w:r w:rsidRPr="00B51BBB">
        <w:rPr>
          <w:rFonts w:ascii="Arial" w:hAnsi="Arial" w:cs="Arial"/>
          <w:i/>
        </w:rPr>
        <w:t xml:space="preserve"> </w:t>
      </w:r>
      <w:r w:rsidRPr="00B51BBB">
        <w:rPr>
          <w:rFonts w:ascii="Arial" w:hAnsi="Arial" w:cs="Arial"/>
        </w:rPr>
        <w:t>(1977) SLR 214</w:t>
      </w:r>
      <w:r w:rsidRPr="00B51BBB">
        <w:rPr>
          <w:rFonts w:ascii="Arial" w:hAnsi="Arial" w:cs="Arial"/>
          <w:i/>
        </w:rPr>
        <w:t xml:space="preserve"> and </w:t>
      </w:r>
      <w:proofErr w:type="spellStart"/>
      <w:r>
        <w:rPr>
          <w:rFonts w:ascii="Arial" w:hAnsi="Arial" w:cs="Arial"/>
          <w:i/>
        </w:rPr>
        <w:t>Etheve</w:t>
      </w:r>
      <w:proofErr w:type="spellEnd"/>
      <w:r>
        <w:rPr>
          <w:rFonts w:ascii="Arial" w:hAnsi="Arial" w:cs="Arial"/>
          <w:i/>
        </w:rPr>
        <w:t xml:space="preserve"> v</w:t>
      </w:r>
      <w:r w:rsidRPr="00B51BBB">
        <w:rPr>
          <w:rFonts w:ascii="Arial" w:hAnsi="Arial" w:cs="Arial"/>
          <w:i/>
        </w:rPr>
        <w:t xml:space="preserve"> Morel </w:t>
      </w:r>
      <w:r w:rsidRPr="00B51BBB">
        <w:rPr>
          <w:rFonts w:ascii="Arial" w:hAnsi="Arial" w:cs="Arial"/>
        </w:rPr>
        <w:t xml:space="preserve">(1977) SLR 251. In the case of </w:t>
      </w:r>
      <w:r w:rsidRPr="00B51BBB">
        <w:rPr>
          <w:rFonts w:ascii="Arial" w:hAnsi="Arial" w:cs="Arial"/>
          <w:i/>
        </w:rPr>
        <w:t>Michel</w:t>
      </w:r>
      <w:r w:rsidRPr="00B51BBB">
        <w:rPr>
          <w:rFonts w:ascii="Arial" w:hAnsi="Arial" w:cs="Arial"/>
        </w:rPr>
        <w:t xml:space="preserve"> (supra) the Court</w:t>
      </w:r>
      <w:r>
        <w:rPr>
          <w:rFonts w:ascii="Arial" w:hAnsi="Arial" w:cs="Arial"/>
        </w:rPr>
        <w:t xml:space="preserve"> held that:</w:t>
      </w:r>
    </w:p>
    <w:p w:rsidR="000968A2" w:rsidRPr="00BD5D6E" w:rsidRDefault="000968A2" w:rsidP="000968A2">
      <w:pPr>
        <w:contextualSpacing/>
        <w:jc w:val="both"/>
        <w:rPr>
          <w:rFonts w:ascii="Arial" w:hAnsi="Arial" w:cs="Arial"/>
        </w:rPr>
      </w:pPr>
    </w:p>
    <w:p w:rsidR="000968A2" w:rsidRPr="00B51BBB" w:rsidRDefault="000968A2" w:rsidP="000968A2">
      <w:pPr>
        <w:ind w:left="720" w:right="720"/>
        <w:contextualSpacing/>
        <w:jc w:val="both"/>
        <w:rPr>
          <w:rFonts w:ascii="Arial" w:hAnsi="Arial" w:cs="Arial"/>
        </w:rPr>
      </w:pPr>
      <w:r w:rsidRPr="00B51BBB">
        <w:rPr>
          <w:rFonts w:ascii="Arial" w:hAnsi="Arial" w:cs="Arial"/>
        </w:rPr>
        <w:t xml:space="preserve">The rights exercised by a fiduciary under Article 818 of the Civil Code related to the exercise of the right of co-ownership in so far as it relates to the immovable property itself.  Article 818 does not affect </w:t>
      </w:r>
      <w:r>
        <w:rPr>
          <w:rFonts w:ascii="Arial" w:hAnsi="Arial" w:cs="Arial"/>
        </w:rPr>
        <w:t>t</w:t>
      </w:r>
      <w:r w:rsidRPr="00B51BBB">
        <w:rPr>
          <w:rFonts w:ascii="Arial" w:hAnsi="Arial" w:cs="Arial"/>
        </w:rPr>
        <w:t>he right of the individual owners to deal with their right of co-ownership.  A, co-owner is</w:t>
      </w:r>
      <w:r>
        <w:rPr>
          <w:rFonts w:ascii="Arial" w:hAnsi="Arial" w:cs="Arial"/>
        </w:rPr>
        <w:t xml:space="preserve"> </w:t>
      </w:r>
      <w:r w:rsidRPr="00B51BBB">
        <w:rPr>
          <w:rFonts w:ascii="Arial" w:hAnsi="Arial" w:cs="Arial"/>
        </w:rPr>
        <w:t>therefore entitled, without acting through a fiduciary, to exercise the retrocessio</w:t>
      </w:r>
      <w:r>
        <w:rPr>
          <w:rFonts w:ascii="Arial" w:hAnsi="Arial" w:cs="Arial"/>
        </w:rPr>
        <w:t>n provided for by Article 834.</w:t>
      </w:r>
    </w:p>
    <w:p w:rsidR="000968A2" w:rsidRDefault="000968A2" w:rsidP="000968A2">
      <w:pPr>
        <w:contextualSpacing/>
        <w:jc w:val="both"/>
        <w:rPr>
          <w:rFonts w:ascii="Arial" w:hAnsi="Arial" w:cs="Arial"/>
        </w:rPr>
      </w:pPr>
    </w:p>
    <w:p w:rsidR="000968A2" w:rsidRPr="00BD5D6E" w:rsidRDefault="000968A2" w:rsidP="000968A2">
      <w:pPr>
        <w:contextualSpacing/>
        <w:jc w:val="both"/>
        <w:rPr>
          <w:rFonts w:ascii="Arial" w:hAnsi="Arial" w:cs="Arial"/>
        </w:rPr>
      </w:pPr>
      <w:r w:rsidRPr="00BD5D6E">
        <w:rPr>
          <w:rFonts w:ascii="Arial" w:hAnsi="Arial" w:cs="Arial"/>
        </w:rPr>
        <w:t>There is therefore a distinction between a situation when the whole property is involved in the "</w:t>
      </w:r>
      <w:r w:rsidRPr="00BD5D6E">
        <w:rPr>
          <w:rFonts w:ascii="Arial" w:hAnsi="Arial" w:cs="Arial"/>
          <w:i/>
        </w:rPr>
        <w:t>legal proceedings</w:t>
      </w:r>
      <w:r w:rsidRPr="00BD5D6E">
        <w:rPr>
          <w:rFonts w:ascii="Arial" w:hAnsi="Arial" w:cs="Arial"/>
        </w:rPr>
        <w:t>" and where only an individual right to a share is in issue.  Hence, are the co-owner petitioners in the present case seeking to exercise their right of co-ownership in respect of the property itself, or only in respect of their individual rights in the property?</w:t>
      </w:r>
    </w:p>
    <w:p w:rsidR="000968A2" w:rsidRPr="00BD5D6E" w:rsidRDefault="000968A2" w:rsidP="000968A2">
      <w:pPr>
        <w:contextualSpacing/>
        <w:jc w:val="both"/>
        <w:rPr>
          <w:rFonts w:ascii="Arial" w:hAnsi="Arial" w:cs="Arial"/>
        </w:rPr>
      </w:pPr>
    </w:p>
    <w:p w:rsidR="000968A2" w:rsidRPr="00BD5D6E" w:rsidRDefault="000968A2" w:rsidP="000968A2">
      <w:pPr>
        <w:contextualSpacing/>
        <w:jc w:val="both"/>
        <w:rPr>
          <w:rFonts w:ascii="Arial" w:hAnsi="Arial" w:cs="Arial"/>
        </w:rPr>
      </w:pPr>
      <w:r w:rsidRPr="00BD5D6E">
        <w:rPr>
          <w:rFonts w:ascii="Arial" w:hAnsi="Arial" w:cs="Arial"/>
        </w:rPr>
        <w:t xml:space="preserve">In the case of </w:t>
      </w:r>
      <w:proofErr w:type="spellStart"/>
      <w:r w:rsidRPr="00B51BBB">
        <w:rPr>
          <w:rFonts w:ascii="Arial" w:hAnsi="Arial" w:cs="Arial"/>
          <w:i/>
        </w:rPr>
        <w:t>Etheve</w:t>
      </w:r>
      <w:proofErr w:type="spellEnd"/>
      <w:r w:rsidRPr="00BD5D6E">
        <w:rPr>
          <w:rFonts w:ascii="Arial" w:hAnsi="Arial" w:cs="Arial"/>
          <w:i/>
        </w:rPr>
        <w:t xml:space="preserve"> (supra</w:t>
      </w:r>
      <w:r w:rsidRPr="00BD5D6E">
        <w:rPr>
          <w:rFonts w:ascii="Arial" w:hAnsi="Arial" w:cs="Arial"/>
        </w:rPr>
        <w:t xml:space="preserve">) all the co-owners refused to sign an agreement as to beacons and boundaries.  It was contended that they should have acted through a fiduciary.  This submission failed on the ground of </w:t>
      </w:r>
      <w:proofErr w:type="spellStart"/>
      <w:r w:rsidRPr="00BD5D6E">
        <w:rPr>
          <w:rFonts w:ascii="Arial" w:hAnsi="Arial" w:cs="Arial"/>
        </w:rPr>
        <w:t>estoppel</w:t>
      </w:r>
      <w:proofErr w:type="spellEnd"/>
      <w:r w:rsidRPr="00BD5D6E">
        <w:rPr>
          <w:rFonts w:ascii="Arial" w:hAnsi="Arial" w:cs="Arial"/>
        </w:rPr>
        <w:t xml:space="preserve">.  However, </w:t>
      </w:r>
      <w:proofErr w:type="spellStart"/>
      <w:r w:rsidRPr="00BD5D6E">
        <w:rPr>
          <w:rFonts w:ascii="Arial" w:hAnsi="Arial" w:cs="Arial"/>
        </w:rPr>
        <w:t>Sauzier</w:t>
      </w:r>
      <w:proofErr w:type="spellEnd"/>
      <w:r w:rsidRPr="00BD5D6E">
        <w:rPr>
          <w:rFonts w:ascii="Arial" w:hAnsi="Arial" w:cs="Arial"/>
        </w:rPr>
        <w:t xml:space="preserve"> J stated in obiter that it was necessary that a fiduciary be appointed before a notice of objection to the Survey was lodged by the </w:t>
      </w:r>
      <w:r>
        <w:rPr>
          <w:rFonts w:ascii="Arial" w:hAnsi="Arial" w:cs="Arial"/>
        </w:rPr>
        <w:t>Defendant</w:t>
      </w:r>
      <w:r w:rsidRPr="00BD5D6E">
        <w:rPr>
          <w:rFonts w:ascii="Arial" w:hAnsi="Arial" w:cs="Arial"/>
        </w:rPr>
        <w:t>s, who were co-owners.</w:t>
      </w:r>
    </w:p>
    <w:p w:rsidR="000968A2" w:rsidRPr="00BD5D6E" w:rsidRDefault="000968A2" w:rsidP="000968A2">
      <w:pPr>
        <w:contextualSpacing/>
        <w:jc w:val="both"/>
        <w:rPr>
          <w:rFonts w:ascii="Arial" w:hAnsi="Arial" w:cs="Arial"/>
        </w:rPr>
      </w:pPr>
    </w:p>
    <w:p w:rsidR="000968A2" w:rsidRPr="00BD5D6E" w:rsidRDefault="000968A2" w:rsidP="000968A2">
      <w:pPr>
        <w:contextualSpacing/>
        <w:jc w:val="both"/>
        <w:rPr>
          <w:rFonts w:ascii="Arial" w:hAnsi="Arial" w:cs="Arial"/>
        </w:rPr>
      </w:pPr>
      <w:r w:rsidRPr="00BD5D6E">
        <w:rPr>
          <w:rFonts w:ascii="Arial" w:hAnsi="Arial" w:cs="Arial"/>
        </w:rPr>
        <w:t xml:space="preserve">In that case, the </w:t>
      </w:r>
      <w:r w:rsidRPr="00BD5D6E">
        <w:rPr>
          <w:rFonts w:ascii="Arial" w:hAnsi="Arial" w:cs="Arial"/>
          <w:i/>
        </w:rPr>
        <w:t>whole property</w:t>
      </w:r>
      <w:r w:rsidRPr="00BD5D6E">
        <w:rPr>
          <w:rFonts w:ascii="Arial" w:hAnsi="Arial" w:cs="Arial"/>
        </w:rPr>
        <w:t xml:space="preserve"> was in issue and hence </w:t>
      </w:r>
      <w:r w:rsidRPr="00B51BBB">
        <w:rPr>
          <w:rFonts w:ascii="Arial" w:hAnsi="Arial" w:cs="Arial"/>
        </w:rPr>
        <w:t>Articles 818 and 1029</w:t>
      </w:r>
      <w:r w:rsidRPr="00BD5D6E">
        <w:rPr>
          <w:rFonts w:ascii="Arial" w:hAnsi="Arial" w:cs="Arial"/>
        </w:rPr>
        <w:t xml:space="preserve"> of the Civil Code required that the co-owners could have acted only through an executor, in his capacity as a fiduciary.  </w:t>
      </w:r>
    </w:p>
    <w:p w:rsidR="000968A2" w:rsidRPr="00BD5D6E" w:rsidRDefault="000968A2" w:rsidP="000968A2">
      <w:pPr>
        <w:contextualSpacing/>
        <w:jc w:val="both"/>
        <w:rPr>
          <w:rFonts w:ascii="Arial" w:hAnsi="Arial" w:cs="Arial"/>
        </w:rPr>
      </w:pPr>
    </w:p>
    <w:p w:rsidR="000968A2" w:rsidRPr="00BD5D6E" w:rsidRDefault="000968A2" w:rsidP="000968A2">
      <w:pPr>
        <w:contextualSpacing/>
        <w:jc w:val="both"/>
        <w:rPr>
          <w:rFonts w:ascii="Arial" w:hAnsi="Arial" w:cs="Arial"/>
        </w:rPr>
      </w:pPr>
      <w:r w:rsidRPr="00BD5D6E">
        <w:rPr>
          <w:rFonts w:ascii="Arial" w:hAnsi="Arial" w:cs="Arial"/>
        </w:rPr>
        <w:t xml:space="preserve">In the case of </w:t>
      </w:r>
      <w:proofErr w:type="spellStart"/>
      <w:r w:rsidRPr="00B51BBB">
        <w:rPr>
          <w:rFonts w:ascii="Arial" w:hAnsi="Arial" w:cs="Arial"/>
          <w:i/>
        </w:rPr>
        <w:t>Laporte</w:t>
      </w:r>
      <w:proofErr w:type="spellEnd"/>
      <w:r>
        <w:rPr>
          <w:rFonts w:ascii="Arial" w:hAnsi="Arial" w:cs="Arial"/>
          <w:i/>
        </w:rPr>
        <w:t xml:space="preserve"> v</w:t>
      </w:r>
      <w:r w:rsidRPr="00B51BBB">
        <w:rPr>
          <w:rFonts w:ascii="Arial" w:hAnsi="Arial" w:cs="Arial"/>
          <w:i/>
        </w:rPr>
        <w:t xml:space="preserve"> Sullivan &amp; Ors</w:t>
      </w:r>
      <w:r w:rsidRPr="00BD5D6E">
        <w:rPr>
          <w:rFonts w:ascii="Arial" w:hAnsi="Arial" w:cs="Arial"/>
          <w:b/>
          <w:i/>
        </w:rPr>
        <w:t xml:space="preserve"> </w:t>
      </w:r>
      <w:r w:rsidRPr="00B51BBB">
        <w:rPr>
          <w:rFonts w:ascii="Arial" w:hAnsi="Arial" w:cs="Arial"/>
        </w:rPr>
        <w:t>(1978-82) S</w:t>
      </w:r>
      <w:r>
        <w:rPr>
          <w:rFonts w:ascii="Arial" w:hAnsi="Arial" w:cs="Arial"/>
        </w:rPr>
        <w:t>C</w:t>
      </w:r>
      <w:r w:rsidRPr="00B51BBB">
        <w:rPr>
          <w:rFonts w:ascii="Arial" w:hAnsi="Arial" w:cs="Arial"/>
        </w:rPr>
        <w:t>AR 191</w:t>
      </w:r>
      <w:r w:rsidRPr="00BD5D6E">
        <w:rPr>
          <w:rFonts w:ascii="Arial" w:hAnsi="Arial" w:cs="Arial"/>
        </w:rPr>
        <w:t xml:space="preserve">, the Appellant and the </w:t>
      </w:r>
      <w:r>
        <w:rPr>
          <w:rFonts w:ascii="Arial" w:hAnsi="Arial" w:cs="Arial"/>
        </w:rPr>
        <w:t>Respondent</w:t>
      </w:r>
      <w:r w:rsidRPr="00BD5D6E">
        <w:rPr>
          <w:rFonts w:ascii="Arial" w:hAnsi="Arial" w:cs="Arial"/>
        </w:rPr>
        <w:t xml:space="preserve"> were co-owners of a parcel of land.  The Appellant petitioned the </w:t>
      </w:r>
      <w:r>
        <w:rPr>
          <w:rFonts w:ascii="Arial" w:hAnsi="Arial" w:cs="Arial"/>
        </w:rPr>
        <w:t>Court</w:t>
      </w:r>
      <w:r w:rsidRPr="00BD5D6E">
        <w:rPr>
          <w:rFonts w:ascii="Arial" w:hAnsi="Arial" w:cs="Arial"/>
        </w:rPr>
        <w:t xml:space="preserve"> for a division in kind, in terms of Section 109(2) (now Section 107(2) of the Immovable Property (Judicial Sales) Act (CAP 94)</w:t>
      </w:r>
      <w:r>
        <w:rPr>
          <w:rFonts w:ascii="Arial" w:hAnsi="Arial" w:cs="Arial"/>
        </w:rPr>
        <w:t xml:space="preserve"> that sub-section is as follows:</w:t>
      </w:r>
    </w:p>
    <w:p w:rsidR="000968A2" w:rsidRPr="00BD5D6E" w:rsidRDefault="000968A2" w:rsidP="000968A2">
      <w:pPr>
        <w:ind w:left="720" w:right="720"/>
        <w:contextualSpacing/>
        <w:jc w:val="both"/>
        <w:rPr>
          <w:rFonts w:ascii="Arial" w:hAnsi="Arial" w:cs="Arial"/>
          <w:i/>
        </w:rPr>
      </w:pPr>
    </w:p>
    <w:p w:rsidR="000968A2" w:rsidRPr="00B51BBB" w:rsidRDefault="000968A2" w:rsidP="000968A2">
      <w:pPr>
        <w:ind w:left="720" w:right="720"/>
        <w:contextualSpacing/>
        <w:jc w:val="both"/>
        <w:rPr>
          <w:rFonts w:ascii="Arial" w:hAnsi="Arial" w:cs="Arial"/>
        </w:rPr>
      </w:pPr>
      <w:r w:rsidRPr="00B51BBB">
        <w:rPr>
          <w:rFonts w:ascii="Arial" w:hAnsi="Arial" w:cs="Arial"/>
        </w:rPr>
        <w:t>Any co-owner of an Immovable Property may also by petition to a judge ask that the property be divided in kind, or, if such division is not possible</w:t>
      </w:r>
      <w:r>
        <w:rPr>
          <w:rFonts w:ascii="Arial" w:hAnsi="Arial" w:cs="Arial"/>
        </w:rPr>
        <w:t xml:space="preserve">, that it be sold by </w:t>
      </w:r>
      <w:proofErr w:type="spellStart"/>
      <w:r>
        <w:rPr>
          <w:rFonts w:ascii="Arial" w:hAnsi="Arial" w:cs="Arial"/>
        </w:rPr>
        <w:t>licitation</w:t>
      </w:r>
      <w:proofErr w:type="spellEnd"/>
      <w:r w:rsidRPr="00B51BBB">
        <w:rPr>
          <w:rFonts w:ascii="Arial" w:hAnsi="Arial" w:cs="Arial"/>
        </w:rPr>
        <w:t>.</w:t>
      </w:r>
    </w:p>
    <w:p w:rsidR="000968A2" w:rsidRPr="00BD5D6E" w:rsidRDefault="000968A2" w:rsidP="000968A2">
      <w:pPr>
        <w:contextualSpacing/>
        <w:jc w:val="both"/>
        <w:rPr>
          <w:rFonts w:ascii="Arial" w:hAnsi="Arial" w:cs="Arial"/>
        </w:rPr>
      </w:pPr>
    </w:p>
    <w:p w:rsidR="000968A2" w:rsidRDefault="000968A2" w:rsidP="000968A2">
      <w:pPr>
        <w:contextualSpacing/>
        <w:jc w:val="both"/>
        <w:rPr>
          <w:rFonts w:ascii="Arial" w:hAnsi="Arial" w:cs="Arial"/>
        </w:rPr>
      </w:pPr>
      <w:r w:rsidRPr="00BD5D6E">
        <w:rPr>
          <w:rFonts w:ascii="Arial" w:hAnsi="Arial" w:cs="Arial"/>
        </w:rPr>
        <w:t xml:space="preserve">In that case, the </w:t>
      </w:r>
      <w:r>
        <w:rPr>
          <w:rFonts w:ascii="Arial" w:hAnsi="Arial" w:cs="Arial"/>
        </w:rPr>
        <w:t>Court</w:t>
      </w:r>
      <w:r w:rsidRPr="00BD5D6E">
        <w:rPr>
          <w:rFonts w:ascii="Arial" w:hAnsi="Arial" w:cs="Arial"/>
        </w:rPr>
        <w:t xml:space="preserve"> held that although </w:t>
      </w:r>
      <w:r w:rsidRPr="00B51BBB">
        <w:rPr>
          <w:rFonts w:ascii="Arial" w:hAnsi="Arial" w:cs="Arial"/>
        </w:rPr>
        <w:t>Article 815</w:t>
      </w:r>
      <w:r w:rsidRPr="00BD5D6E">
        <w:rPr>
          <w:rFonts w:ascii="Arial" w:hAnsi="Arial" w:cs="Arial"/>
        </w:rPr>
        <w:t xml:space="preserve"> of the French Code has not been reproduced in the Civil Code of Seychelles, "it has found its way in another form in Section 109(2) of the Immovable Property (Judicial Sales) Act. Article 815 of the French Code,</w:t>
      </w:r>
      <w:r>
        <w:rPr>
          <w:rFonts w:ascii="Arial" w:hAnsi="Arial" w:cs="Arial"/>
        </w:rPr>
        <w:t xml:space="preserve"> (as translated) was as follows:</w:t>
      </w:r>
    </w:p>
    <w:p w:rsidR="000968A2" w:rsidRPr="00BD5D6E" w:rsidRDefault="000968A2" w:rsidP="000968A2">
      <w:pPr>
        <w:contextualSpacing/>
        <w:jc w:val="both"/>
        <w:rPr>
          <w:rFonts w:ascii="Arial" w:hAnsi="Arial" w:cs="Arial"/>
        </w:rPr>
      </w:pPr>
      <w:r w:rsidRPr="001B20DF">
        <w:rPr>
          <w:rFonts w:ascii="Arial" w:hAnsi="Arial" w:cs="Arial"/>
          <w:i/>
          <w:noProof/>
        </w:rPr>
        <w:pict>
          <v:shape id="_x0000_s1028" type="#_x0000_t202" style="position:absolute;left:0;text-align:left;margin-left:-30.55pt;margin-top:-45pt;width:30pt;height:531.55pt;z-index:251662336;mso-height-percent:200;mso-height-percent:200;mso-width-relative:margin;mso-height-relative:margin" stroked="f" strokecolor="white [3212]">
            <v:textbox style="mso-next-textbox:#_x0000_s1028;mso-fit-shape-to-text:t">
              <w:txbxContent>
                <w:p w:rsidR="000968A2" w:rsidRPr="00CF6C02" w:rsidRDefault="000968A2" w:rsidP="000968A2">
                  <w:pPr>
                    <w:rPr>
                      <w:rFonts w:ascii="Arial" w:hAnsi="Arial" w:cs="Arial"/>
                      <w:b/>
                      <w:i/>
                    </w:rPr>
                  </w:pPr>
                </w:p>
              </w:txbxContent>
            </v:textbox>
          </v:shape>
        </w:pict>
      </w:r>
    </w:p>
    <w:p w:rsidR="000968A2" w:rsidRPr="00B51BBB" w:rsidRDefault="000968A2" w:rsidP="000968A2">
      <w:pPr>
        <w:ind w:left="720" w:right="720"/>
        <w:contextualSpacing/>
        <w:jc w:val="both"/>
        <w:rPr>
          <w:rFonts w:ascii="Arial" w:hAnsi="Arial" w:cs="Arial"/>
        </w:rPr>
      </w:pPr>
      <w:proofErr w:type="gramStart"/>
      <w:r>
        <w:rPr>
          <w:rFonts w:ascii="Arial" w:hAnsi="Arial" w:cs="Arial"/>
        </w:rPr>
        <w:t>n</w:t>
      </w:r>
      <w:r w:rsidRPr="00B51BBB">
        <w:rPr>
          <w:rFonts w:ascii="Arial" w:hAnsi="Arial" w:cs="Arial"/>
        </w:rPr>
        <w:t>o</w:t>
      </w:r>
      <w:proofErr w:type="gramEnd"/>
      <w:r w:rsidRPr="00B51BBB">
        <w:rPr>
          <w:rFonts w:ascii="Arial" w:hAnsi="Arial" w:cs="Arial"/>
        </w:rPr>
        <w:t xml:space="preserve"> one can be compelled to own anything undividedly, and a division can </w:t>
      </w:r>
      <w:r w:rsidRPr="00B51BBB">
        <w:rPr>
          <w:rFonts w:ascii="Arial" w:hAnsi="Arial" w:cs="Arial"/>
        </w:rPr>
        <w:lastRenderedPageBreak/>
        <w:t>always be demanded notwithstanding am prohibition or any agreements to the contrary.  It is lawful however, to agree not to proceed to a partition for a limited time.  Such an agreement is not enforceable for more than fi</w:t>
      </w:r>
      <w:r>
        <w:rPr>
          <w:rFonts w:ascii="Arial" w:hAnsi="Arial" w:cs="Arial"/>
        </w:rPr>
        <w:t>ve years, but it may be renewed</w:t>
      </w:r>
      <w:r w:rsidRPr="00B51BBB">
        <w:rPr>
          <w:rFonts w:ascii="Arial" w:hAnsi="Arial" w:cs="Arial"/>
        </w:rPr>
        <w:t>.</w:t>
      </w:r>
    </w:p>
    <w:p w:rsidR="000968A2" w:rsidRPr="00BD5D6E" w:rsidRDefault="000968A2" w:rsidP="000968A2">
      <w:pPr>
        <w:contextualSpacing/>
        <w:jc w:val="both"/>
        <w:rPr>
          <w:rFonts w:ascii="Arial" w:hAnsi="Arial" w:cs="Arial"/>
        </w:rPr>
      </w:pPr>
    </w:p>
    <w:p w:rsidR="000968A2" w:rsidRPr="00BD5D6E" w:rsidRDefault="000968A2" w:rsidP="000968A2">
      <w:pPr>
        <w:contextualSpacing/>
        <w:jc w:val="both"/>
        <w:rPr>
          <w:rFonts w:ascii="Arial" w:hAnsi="Arial" w:cs="Arial"/>
        </w:rPr>
      </w:pPr>
      <w:r w:rsidRPr="00BD5D6E">
        <w:rPr>
          <w:rFonts w:ascii="Arial" w:hAnsi="Arial" w:cs="Arial"/>
        </w:rPr>
        <w:t xml:space="preserve">Hence, the </w:t>
      </w:r>
      <w:r>
        <w:rPr>
          <w:rFonts w:ascii="Arial" w:hAnsi="Arial" w:cs="Arial"/>
        </w:rPr>
        <w:t>Court</w:t>
      </w:r>
      <w:r w:rsidRPr="00BD5D6E">
        <w:rPr>
          <w:rFonts w:ascii="Arial" w:hAnsi="Arial" w:cs="Arial"/>
        </w:rPr>
        <w:t xml:space="preserve"> </w:t>
      </w:r>
      <w:proofErr w:type="spellStart"/>
      <w:r w:rsidRPr="00BD5D6E">
        <w:rPr>
          <w:rFonts w:ascii="Arial" w:hAnsi="Arial" w:cs="Arial"/>
        </w:rPr>
        <w:t>recognised</w:t>
      </w:r>
      <w:proofErr w:type="spellEnd"/>
      <w:r w:rsidRPr="00BD5D6E">
        <w:rPr>
          <w:rFonts w:ascii="Arial" w:hAnsi="Arial" w:cs="Arial"/>
        </w:rPr>
        <w:t xml:space="preserve"> that despite the provisions of </w:t>
      </w:r>
      <w:r w:rsidRPr="00B51BBB">
        <w:rPr>
          <w:rFonts w:ascii="Arial" w:hAnsi="Arial" w:cs="Arial"/>
        </w:rPr>
        <w:t>Article 818 and 1029,</w:t>
      </w:r>
      <w:r w:rsidRPr="00BD5D6E">
        <w:rPr>
          <w:rFonts w:ascii="Arial" w:hAnsi="Arial" w:cs="Arial"/>
        </w:rPr>
        <w:t xml:space="preserve"> a co-owner could petition for a division in kind.</w:t>
      </w:r>
    </w:p>
    <w:p w:rsidR="000968A2" w:rsidRPr="00BD5D6E" w:rsidRDefault="000968A2" w:rsidP="000968A2">
      <w:pPr>
        <w:contextualSpacing/>
        <w:jc w:val="both"/>
        <w:rPr>
          <w:rFonts w:ascii="Arial" w:hAnsi="Arial" w:cs="Arial"/>
        </w:rPr>
      </w:pPr>
    </w:p>
    <w:p w:rsidR="000968A2" w:rsidRPr="00BD5D6E" w:rsidRDefault="000968A2" w:rsidP="000968A2">
      <w:pPr>
        <w:contextualSpacing/>
        <w:jc w:val="both"/>
        <w:rPr>
          <w:rFonts w:ascii="Arial" w:hAnsi="Arial" w:cs="Arial"/>
        </w:rPr>
      </w:pPr>
      <w:r w:rsidRPr="00BD5D6E">
        <w:rPr>
          <w:rFonts w:ascii="Arial" w:hAnsi="Arial" w:cs="Arial"/>
        </w:rPr>
        <w:t xml:space="preserve">The issue that concerns the present ruling came up for consideration in another case before the </w:t>
      </w:r>
      <w:r>
        <w:rPr>
          <w:rFonts w:ascii="Arial" w:hAnsi="Arial" w:cs="Arial"/>
        </w:rPr>
        <w:t>Court</w:t>
      </w:r>
      <w:r w:rsidRPr="00BD5D6E">
        <w:rPr>
          <w:rFonts w:ascii="Arial" w:hAnsi="Arial" w:cs="Arial"/>
        </w:rPr>
        <w:t xml:space="preserve"> of Appeal, </w:t>
      </w:r>
      <w:proofErr w:type="spellStart"/>
      <w:r w:rsidRPr="00B51BBB">
        <w:rPr>
          <w:rFonts w:ascii="Arial" w:hAnsi="Arial" w:cs="Arial"/>
          <w:i/>
        </w:rPr>
        <w:t>Legras</w:t>
      </w:r>
      <w:proofErr w:type="spellEnd"/>
      <w:r w:rsidRPr="00B51BBB">
        <w:rPr>
          <w:rFonts w:ascii="Arial" w:hAnsi="Arial" w:cs="Arial"/>
          <w:i/>
        </w:rPr>
        <w:t xml:space="preserve"> and Or v </w:t>
      </w:r>
      <w:proofErr w:type="spellStart"/>
      <w:r w:rsidRPr="00B51BBB">
        <w:rPr>
          <w:rFonts w:ascii="Arial" w:hAnsi="Arial" w:cs="Arial"/>
          <w:i/>
        </w:rPr>
        <w:t>Legras</w:t>
      </w:r>
      <w:proofErr w:type="spellEnd"/>
      <w:r>
        <w:rPr>
          <w:rFonts w:ascii="Arial" w:hAnsi="Arial" w:cs="Arial"/>
        </w:rPr>
        <w:t xml:space="preserve"> (1983 -87) 3 SCAR </w:t>
      </w:r>
      <w:r w:rsidRPr="00B51BBB">
        <w:rPr>
          <w:rFonts w:ascii="Arial" w:hAnsi="Arial" w:cs="Arial"/>
        </w:rPr>
        <w:t>367.</w:t>
      </w:r>
      <w:r w:rsidRPr="00BD5D6E">
        <w:rPr>
          <w:rFonts w:ascii="Arial" w:hAnsi="Arial" w:cs="Arial"/>
        </w:rPr>
        <w:t xml:space="preserve">  In that case, the </w:t>
      </w:r>
      <w:r>
        <w:rPr>
          <w:rFonts w:ascii="Arial" w:hAnsi="Arial" w:cs="Arial"/>
        </w:rPr>
        <w:t>First</w:t>
      </w:r>
      <w:r w:rsidRPr="00BD5D6E">
        <w:rPr>
          <w:rFonts w:ascii="Arial" w:hAnsi="Arial" w:cs="Arial"/>
        </w:rPr>
        <w:t xml:space="preserve"> Appellant and the </w:t>
      </w:r>
      <w:r>
        <w:rPr>
          <w:rFonts w:ascii="Arial" w:hAnsi="Arial" w:cs="Arial"/>
        </w:rPr>
        <w:t>Respondent</w:t>
      </w:r>
      <w:r w:rsidRPr="00BD5D6E">
        <w:rPr>
          <w:rFonts w:ascii="Arial" w:hAnsi="Arial" w:cs="Arial"/>
        </w:rPr>
        <w:t xml:space="preserve"> were co-owners of a piece of land.  The </w:t>
      </w:r>
      <w:r>
        <w:rPr>
          <w:rFonts w:ascii="Arial" w:hAnsi="Arial" w:cs="Arial"/>
        </w:rPr>
        <w:t>First</w:t>
      </w:r>
      <w:r w:rsidRPr="00BD5D6E">
        <w:rPr>
          <w:rFonts w:ascii="Arial" w:hAnsi="Arial" w:cs="Arial"/>
        </w:rPr>
        <w:t xml:space="preserve"> Appellant sold an undivided portion of the land to a third party (</w:t>
      </w:r>
      <w:r>
        <w:rPr>
          <w:rFonts w:ascii="Arial" w:hAnsi="Arial" w:cs="Arial"/>
        </w:rPr>
        <w:t>Second</w:t>
      </w:r>
      <w:r w:rsidRPr="00BD5D6E">
        <w:rPr>
          <w:rFonts w:ascii="Arial" w:hAnsi="Arial" w:cs="Arial"/>
        </w:rPr>
        <w:t xml:space="preserve"> Appellant), as if she were the sole owner thereof.  The </w:t>
      </w:r>
      <w:r>
        <w:rPr>
          <w:rFonts w:ascii="Arial" w:hAnsi="Arial" w:cs="Arial"/>
        </w:rPr>
        <w:t>Respondent</w:t>
      </w:r>
      <w:r w:rsidRPr="00BD5D6E">
        <w:rPr>
          <w:rFonts w:ascii="Arial" w:hAnsi="Arial" w:cs="Arial"/>
        </w:rPr>
        <w:t xml:space="preserve"> sought a declaration that the sale was null and void.  The trial judge held that the vendor had acted unlawfully when she sold her undivided share to a third party without the intervention of a fiduciary and without the consent of the other co-owner.  The </w:t>
      </w:r>
      <w:r>
        <w:rPr>
          <w:rFonts w:ascii="Arial" w:hAnsi="Arial" w:cs="Arial"/>
        </w:rPr>
        <w:t>Court</w:t>
      </w:r>
      <w:r w:rsidRPr="00BD5D6E">
        <w:rPr>
          <w:rFonts w:ascii="Arial" w:hAnsi="Arial" w:cs="Arial"/>
        </w:rPr>
        <w:t xml:space="preserve"> of Appeal, by majority </w:t>
      </w:r>
      <w:r w:rsidRPr="00B51BBB">
        <w:rPr>
          <w:rFonts w:ascii="Arial" w:hAnsi="Arial" w:cs="Arial"/>
        </w:rPr>
        <w:t xml:space="preserve">judgment (per Law JA and </w:t>
      </w:r>
      <w:proofErr w:type="spellStart"/>
      <w:r w:rsidRPr="00B51BBB">
        <w:rPr>
          <w:rFonts w:ascii="Arial" w:hAnsi="Arial" w:cs="Arial"/>
        </w:rPr>
        <w:t>Goburdhun</w:t>
      </w:r>
      <w:proofErr w:type="spellEnd"/>
      <w:r w:rsidRPr="00B51BBB">
        <w:rPr>
          <w:rFonts w:ascii="Arial" w:hAnsi="Arial" w:cs="Arial"/>
        </w:rPr>
        <w:t xml:space="preserve"> JA) upheld that decision.  However </w:t>
      </w:r>
      <w:proofErr w:type="spellStart"/>
      <w:r w:rsidRPr="00B51BBB">
        <w:rPr>
          <w:rFonts w:ascii="Arial" w:hAnsi="Arial" w:cs="Arial"/>
        </w:rPr>
        <w:t>Sauzier</w:t>
      </w:r>
      <w:proofErr w:type="spellEnd"/>
      <w:r w:rsidRPr="00B51BBB">
        <w:rPr>
          <w:rFonts w:ascii="Arial" w:hAnsi="Arial" w:cs="Arial"/>
        </w:rPr>
        <w:t xml:space="preserve"> J A dissented, and</w:t>
      </w:r>
      <w:r>
        <w:rPr>
          <w:rFonts w:ascii="Arial" w:hAnsi="Arial" w:cs="Arial"/>
        </w:rPr>
        <w:t xml:space="preserve"> allowed the a</w:t>
      </w:r>
      <w:r w:rsidRPr="00BD5D6E">
        <w:rPr>
          <w:rFonts w:ascii="Arial" w:hAnsi="Arial" w:cs="Arial"/>
        </w:rPr>
        <w:t>ppeal with costs.</w:t>
      </w:r>
    </w:p>
    <w:p w:rsidR="000968A2" w:rsidRPr="00BD5D6E" w:rsidRDefault="000968A2" w:rsidP="000968A2">
      <w:pPr>
        <w:contextualSpacing/>
        <w:jc w:val="both"/>
        <w:rPr>
          <w:rFonts w:ascii="Arial" w:hAnsi="Arial" w:cs="Arial"/>
        </w:rPr>
      </w:pPr>
    </w:p>
    <w:p w:rsidR="000968A2" w:rsidRPr="00BD5D6E" w:rsidRDefault="000968A2" w:rsidP="000968A2">
      <w:pPr>
        <w:contextualSpacing/>
        <w:jc w:val="both"/>
        <w:rPr>
          <w:rFonts w:ascii="Arial" w:hAnsi="Arial" w:cs="Arial"/>
        </w:rPr>
      </w:pPr>
      <w:r w:rsidRPr="00BD5D6E">
        <w:rPr>
          <w:rFonts w:ascii="Arial" w:hAnsi="Arial" w:cs="Arial"/>
        </w:rPr>
        <w:t xml:space="preserve">In an editorial note to the report,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Sauzier</w:t>
      </w:r>
      <w:proofErr w:type="spellEnd"/>
      <w:r w:rsidRPr="00BD5D6E">
        <w:rPr>
          <w:rFonts w:ascii="Arial" w:hAnsi="Arial" w:cs="Arial"/>
        </w:rPr>
        <w:t xml:space="preserve"> states that </w:t>
      </w:r>
      <w:r w:rsidRPr="00B51BBB">
        <w:rPr>
          <w:rFonts w:ascii="Arial" w:hAnsi="Arial" w:cs="Arial"/>
        </w:rPr>
        <w:t xml:space="preserve">"the majority judgments are weak and </w:t>
      </w:r>
      <w:proofErr w:type="spellStart"/>
      <w:r w:rsidRPr="00B51BBB">
        <w:rPr>
          <w:rFonts w:ascii="Arial" w:hAnsi="Arial" w:cs="Arial"/>
        </w:rPr>
        <w:t>unauthoratative</w:t>
      </w:r>
      <w:proofErr w:type="spellEnd"/>
      <w:r w:rsidRPr="00B51BBB">
        <w:rPr>
          <w:rFonts w:ascii="Arial" w:hAnsi="Arial" w:cs="Arial"/>
        </w:rPr>
        <w:t>.</w:t>
      </w:r>
      <w:r>
        <w:rPr>
          <w:rFonts w:ascii="Arial" w:hAnsi="Arial" w:cs="Arial"/>
        </w:rPr>
        <w:t xml:space="preserve">  They should not be followed".</w:t>
      </w:r>
    </w:p>
    <w:p w:rsidR="000968A2" w:rsidRPr="00BD5D6E" w:rsidRDefault="000968A2" w:rsidP="000968A2">
      <w:pPr>
        <w:contextualSpacing/>
        <w:jc w:val="both"/>
        <w:rPr>
          <w:rFonts w:ascii="Arial" w:hAnsi="Arial" w:cs="Arial"/>
        </w:rPr>
      </w:pPr>
    </w:p>
    <w:p w:rsidR="000968A2" w:rsidRDefault="000968A2" w:rsidP="000968A2">
      <w:pPr>
        <w:contextualSpacing/>
        <w:jc w:val="both"/>
        <w:rPr>
          <w:rFonts w:ascii="Arial" w:hAnsi="Arial" w:cs="Arial"/>
        </w:rPr>
      </w:pPr>
      <w:r>
        <w:rPr>
          <w:rFonts w:ascii="Arial" w:hAnsi="Arial" w:cs="Arial"/>
        </w:rPr>
        <w:t xml:space="preserve">In the </w:t>
      </w:r>
      <w:proofErr w:type="spellStart"/>
      <w:r>
        <w:rPr>
          <w:rFonts w:ascii="Arial" w:hAnsi="Arial" w:cs="Arial"/>
        </w:rPr>
        <w:t>head</w:t>
      </w:r>
      <w:r w:rsidRPr="00BD5D6E">
        <w:rPr>
          <w:rFonts w:ascii="Arial" w:hAnsi="Arial" w:cs="Arial"/>
        </w:rPr>
        <w:t>note</w:t>
      </w:r>
      <w:proofErr w:type="spellEnd"/>
      <w:r w:rsidRPr="00BD5D6E">
        <w:rPr>
          <w:rFonts w:ascii="Arial" w:hAnsi="Arial" w:cs="Arial"/>
        </w:rPr>
        <w:t xml:space="preserve"> of the report, the Editor has extracted principles formulated by him as justice of appeal, in respect of issues of (1) nullity of sale (2) individual right of co-ownership (3) transfer or transmission of individual right of ownership (4) role of fiduciary under Article 818 (5) when co-owner may act alone apart from the transfer or transmission of individual right of ownership (6) meaning of exercise of right of co-ownership. Of these, only the 5th principle is relevant for </w:t>
      </w:r>
      <w:r>
        <w:rPr>
          <w:rFonts w:ascii="Arial" w:hAnsi="Arial" w:cs="Arial"/>
        </w:rPr>
        <w:t>present purposes, that is, that:</w:t>
      </w:r>
    </w:p>
    <w:p w:rsidR="000968A2" w:rsidRPr="00BD5D6E" w:rsidRDefault="000968A2" w:rsidP="000968A2">
      <w:pPr>
        <w:contextualSpacing/>
        <w:jc w:val="both"/>
        <w:rPr>
          <w:rFonts w:ascii="Arial" w:hAnsi="Arial" w:cs="Arial"/>
        </w:rPr>
      </w:pPr>
    </w:p>
    <w:p w:rsidR="000968A2" w:rsidRPr="00B51BBB" w:rsidRDefault="000968A2" w:rsidP="000968A2">
      <w:pPr>
        <w:ind w:left="720" w:right="720"/>
        <w:contextualSpacing/>
        <w:jc w:val="both"/>
        <w:rPr>
          <w:rFonts w:ascii="Arial" w:hAnsi="Arial" w:cs="Arial"/>
        </w:rPr>
      </w:pPr>
      <w:r w:rsidRPr="00B51BBB">
        <w:rPr>
          <w:rFonts w:ascii="Arial" w:hAnsi="Arial" w:cs="Arial"/>
        </w:rPr>
        <w:t>A co-owner may apply to the Supreme Court without the intervention of the fiduciary:</w:t>
      </w:r>
    </w:p>
    <w:p w:rsidR="000968A2" w:rsidRPr="00BD5D6E" w:rsidRDefault="000968A2" w:rsidP="000968A2">
      <w:pPr>
        <w:pStyle w:val="ListParagraph"/>
        <w:numPr>
          <w:ilvl w:val="0"/>
          <w:numId w:val="1"/>
        </w:numPr>
        <w:autoSpaceDE w:val="0"/>
        <w:autoSpaceDN w:val="0"/>
        <w:adjustRightInd w:val="0"/>
        <w:spacing w:after="0" w:line="240" w:lineRule="auto"/>
        <w:ind w:right="720"/>
        <w:jc w:val="both"/>
        <w:rPr>
          <w:rFonts w:ascii="Arial" w:hAnsi="Arial" w:cs="Arial"/>
          <w:sz w:val="24"/>
          <w:szCs w:val="24"/>
        </w:rPr>
      </w:pPr>
      <w:r w:rsidRPr="00BD5D6E">
        <w:rPr>
          <w:rFonts w:ascii="Arial" w:hAnsi="Arial" w:cs="Arial"/>
          <w:sz w:val="24"/>
          <w:szCs w:val="24"/>
        </w:rPr>
        <w:t>For partition</w:t>
      </w:r>
    </w:p>
    <w:p w:rsidR="000968A2" w:rsidRPr="00BD5D6E" w:rsidRDefault="000968A2" w:rsidP="000968A2">
      <w:pPr>
        <w:pStyle w:val="ListParagraph"/>
        <w:numPr>
          <w:ilvl w:val="0"/>
          <w:numId w:val="1"/>
        </w:numPr>
        <w:autoSpaceDE w:val="0"/>
        <w:autoSpaceDN w:val="0"/>
        <w:adjustRightInd w:val="0"/>
        <w:spacing w:after="0" w:line="240" w:lineRule="auto"/>
        <w:ind w:right="720"/>
        <w:jc w:val="both"/>
        <w:rPr>
          <w:rFonts w:ascii="Arial" w:hAnsi="Arial" w:cs="Arial"/>
          <w:sz w:val="24"/>
          <w:szCs w:val="24"/>
        </w:rPr>
      </w:pPr>
      <w:r w:rsidRPr="00BD5D6E">
        <w:rPr>
          <w:rFonts w:ascii="Arial" w:hAnsi="Arial" w:cs="Arial"/>
          <w:sz w:val="24"/>
          <w:szCs w:val="24"/>
        </w:rPr>
        <w:t xml:space="preserve">For </w:t>
      </w:r>
      <w:proofErr w:type="spellStart"/>
      <w:r w:rsidRPr="00BD5D6E">
        <w:rPr>
          <w:rFonts w:ascii="Arial" w:hAnsi="Arial" w:cs="Arial"/>
          <w:sz w:val="24"/>
          <w:szCs w:val="24"/>
        </w:rPr>
        <w:t>licitation</w:t>
      </w:r>
      <w:proofErr w:type="spellEnd"/>
    </w:p>
    <w:p w:rsidR="000968A2" w:rsidRPr="00BD5D6E" w:rsidRDefault="000968A2" w:rsidP="000968A2">
      <w:pPr>
        <w:pStyle w:val="ListParagraph"/>
        <w:numPr>
          <w:ilvl w:val="0"/>
          <w:numId w:val="1"/>
        </w:numPr>
        <w:autoSpaceDE w:val="0"/>
        <w:autoSpaceDN w:val="0"/>
        <w:adjustRightInd w:val="0"/>
        <w:spacing w:after="0" w:line="240" w:lineRule="auto"/>
        <w:ind w:right="720"/>
        <w:jc w:val="both"/>
        <w:rPr>
          <w:rFonts w:ascii="Arial" w:hAnsi="Arial" w:cs="Arial"/>
          <w:sz w:val="24"/>
          <w:szCs w:val="24"/>
        </w:rPr>
      </w:pPr>
      <w:r w:rsidRPr="00BD5D6E">
        <w:rPr>
          <w:rFonts w:ascii="Arial" w:hAnsi="Arial" w:cs="Arial"/>
          <w:sz w:val="24"/>
          <w:szCs w:val="24"/>
        </w:rPr>
        <w:t>For retrocession of a share sold by another co-owner to a third party unde</w:t>
      </w:r>
      <w:r>
        <w:rPr>
          <w:rFonts w:ascii="Arial" w:hAnsi="Arial" w:cs="Arial"/>
          <w:sz w:val="24"/>
          <w:szCs w:val="24"/>
        </w:rPr>
        <w:t>r Article 834 of the Civil Code</w:t>
      </w:r>
      <w:r w:rsidRPr="00BD5D6E">
        <w:rPr>
          <w:rFonts w:ascii="Arial" w:hAnsi="Arial" w:cs="Arial"/>
          <w:sz w:val="24"/>
          <w:szCs w:val="24"/>
        </w:rPr>
        <w:t>.</w:t>
      </w:r>
    </w:p>
    <w:p w:rsidR="000968A2" w:rsidRPr="00BD5D6E" w:rsidRDefault="000968A2" w:rsidP="000968A2">
      <w:pPr>
        <w:pStyle w:val="ListParagraph"/>
        <w:autoSpaceDE w:val="0"/>
        <w:autoSpaceDN w:val="0"/>
        <w:adjustRightInd w:val="0"/>
        <w:spacing w:after="0" w:line="240" w:lineRule="auto"/>
        <w:ind w:right="720"/>
        <w:jc w:val="both"/>
        <w:rPr>
          <w:rFonts w:ascii="Arial" w:hAnsi="Arial" w:cs="Arial"/>
          <w:sz w:val="24"/>
          <w:szCs w:val="24"/>
        </w:rPr>
      </w:pPr>
    </w:p>
    <w:p w:rsidR="000968A2" w:rsidRPr="00BD5D6E" w:rsidRDefault="000968A2" w:rsidP="000968A2">
      <w:pPr>
        <w:contextualSpacing/>
        <w:jc w:val="both"/>
        <w:rPr>
          <w:rFonts w:ascii="Arial" w:hAnsi="Arial" w:cs="Arial"/>
        </w:rPr>
      </w:pPr>
      <w:r w:rsidRPr="00BD5D6E">
        <w:rPr>
          <w:rFonts w:ascii="Arial" w:hAnsi="Arial" w:cs="Arial"/>
        </w:rPr>
        <w:t>Although the minority judgment of</w:t>
      </w:r>
      <w:r w:rsidRPr="00BD5D6E">
        <w:rPr>
          <w:rFonts w:ascii="Arial" w:hAnsi="Arial" w:cs="Arial"/>
          <w:i/>
        </w:rPr>
        <w:t xml:space="preserve"> </w:t>
      </w:r>
      <w:proofErr w:type="spellStart"/>
      <w:r w:rsidRPr="00B51BBB">
        <w:rPr>
          <w:rFonts w:ascii="Arial" w:hAnsi="Arial" w:cs="Arial"/>
        </w:rPr>
        <w:t>Sauzier</w:t>
      </w:r>
      <w:proofErr w:type="spellEnd"/>
      <w:r w:rsidRPr="00B51BBB">
        <w:rPr>
          <w:rFonts w:ascii="Arial" w:hAnsi="Arial" w:cs="Arial"/>
        </w:rPr>
        <w:t xml:space="preserve"> JA</w:t>
      </w:r>
      <w:r w:rsidRPr="00BD5D6E">
        <w:rPr>
          <w:rFonts w:ascii="Arial" w:hAnsi="Arial" w:cs="Arial"/>
        </w:rPr>
        <w:t xml:space="preserve"> in that case is not binding on this </w:t>
      </w:r>
      <w:r>
        <w:rPr>
          <w:rFonts w:ascii="Arial" w:hAnsi="Arial" w:cs="Arial"/>
        </w:rPr>
        <w:t>Court</w:t>
      </w:r>
      <w:r w:rsidRPr="00BD5D6E">
        <w:rPr>
          <w:rFonts w:ascii="Arial" w:hAnsi="Arial" w:cs="Arial"/>
        </w:rPr>
        <w:t xml:space="preserve">, yet it is </w:t>
      </w:r>
      <w:r w:rsidRPr="00B51BBB">
        <w:rPr>
          <w:rFonts w:ascii="Arial" w:hAnsi="Arial" w:cs="Arial"/>
        </w:rPr>
        <w:t xml:space="preserve">consistent with the previous decision of the Court of Appeal in </w:t>
      </w:r>
      <w:proofErr w:type="spellStart"/>
      <w:r>
        <w:rPr>
          <w:rFonts w:ascii="Arial" w:hAnsi="Arial" w:cs="Arial"/>
          <w:i/>
        </w:rPr>
        <w:t>Laporte</w:t>
      </w:r>
      <w:proofErr w:type="spellEnd"/>
      <w:r>
        <w:rPr>
          <w:rFonts w:ascii="Arial" w:hAnsi="Arial" w:cs="Arial"/>
          <w:i/>
        </w:rPr>
        <w:t xml:space="preserve"> v</w:t>
      </w:r>
      <w:r w:rsidRPr="00B51BBB">
        <w:rPr>
          <w:rFonts w:ascii="Arial" w:hAnsi="Arial" w:cs="Arial"/>
          <w:i/>
        </w:rPr>
        <w:t xml:space="preserve"> Sullivan (</w:t>
      </w:r>
      <w:r w:rsidRPr="00B51BBB">
        <w:rPr>
          <w:rFonts w:ascii="Arial" w:hAnsi="Arial" w:cs="Arial"/>
        </w:rPr>
        <w:t>supra</w:t>
      </w:r>
      <w:r w:rsidRPr="00B51BBB">
        <w:rPr>
          <w:rFonts w:ascii="Arial" w:hAnsi="Arial" w:cs="Arial"/>
          <w:i/>
        </w:rPr>
        <w:t xml:space="preserve">) </w:t>
      </w:r>
      <w:r w:rsidRPr="00B51BBB">
        <w:rPr>
          <w:rFonts w:ascii="Arial" w:hAnsi="Arial" w:cs="Arial"/>
        </w:rPr>
        <w:t xml:space="preserve">and the Supreme Court decision in </w:t>
      </w:r>
      <w:r>
        <w:rPr>
          <w:rFonts w:ascii="Arial" w:hAnsi="Arial" w:cs="Arial"/>
          <w:i/>
        </w:rPr>
        <w:t>Michel v</w:t>
      </w:r>
      <w:r w:rsidRPr="00B51BBB">
        <w:rPr>
          <w:rFonts w:ascii="Arial" w:hAnsi="Arial" w:cs="Arial"/>
          <w:i/>
        </w:rPr>
        <w:t xml:space="preserve"> </w:t>
      </w:r>
      <w:proofErr w:type="spellStart"/>
      <w:r w:rsidRPr="00B51BBB">
        <w:rPr>
          <w:rFonts w:ascii="Arial" w:hAnsi="Arial" w:cs="Arial"/>
          <w:i/>
        </w:rPr>
        <w:t>Vidot</w:t>
      </w:r>
      <w:proofErr w:type="spellEnd"/>
      <w:r w:rsidRPr="00B51BBB">
        <w:rPr>
          <w:rFonts w:ascii="Arial" w:hAnsi="Arial" w:cs="Arial"/>
        </w:rPr>
        <w:t xml:space="preserve"> (supra).</w:t>
      </w:r>
    </w:p>
    <w:p w:rsidR="000968A2" w:rsidRPr="00BD5D6E" w:rsidRDefault="000968A2" w:rsidP="000968A2">
      <w:pPr>
        <w:contextualSpacing/>
        <w:rPr>
          <w:rFonts w:ascii="Arial" w:hAnsi="Arial" w:cs="Arial"/>
        </w:rPr>
      </w:pPr>
    </w:p>
    <w:p w:rsidR="000968A2" w:rsidRPr="00BD5D6E" w:rsidRDefault="000968A2" w:rsidP="000968A2">
      <w:pPr>
        <w:contextualSpacing/>
        <w:jc w:val="both"/>
        <w:rPr>
          <w:rFonts w:ascii="Arial" w:hAnsi="Arial" w:cs="Arial"/>
        </w:rPr>
      </w:pPr>
      <w:r w:rsidRPr="00B51BBB">
        <w:rPr>
          <w:rFonts w:ascii="Arial" w:hAnsi="Arial" w:cs="Arial"/>
        </w:rPr>
        <w:t>Article 818</w:t>
      </w:r>
      <w:r w:rsidRPr="00BD5D6E">
        <w:rPr>
          <w:rFonts w:ascii="Arial" w:hAnsi="Arial" w:cs="Arial"/>
        </w:rPr>
        <w:t xml:space="preserve"> of the Civil Code was enacted to prevent fragmentation of land in the context of Seychelles, where, it is estimated, that there is only about 2000 acres of arable land.  The requirement that the co-owners of immovable property may only act though a fiduciary was therefore based on a similar concept as the Engli</w:t>
      </w:r>
      <w:r>
        <w:rPr>
          <w:rFonts w:ascii="Arial" w:hAnsi="Arial" w:cs="Arial"/>
        </w:rPr>
        <w:t xml:space="preserve">sh concept of a trust. As </w:t>
      </w:r>
      <w:proofErr w:type="spellStart"/>
      <w:r>
        <w:rPr>
          <w:rFonts w:ascii="Arial" w:hAnsi="Arial" w:cs="Arial"/>
        </w:rPr>
        <w:t>Chloros</w:t>
      </w:r>
      <w:proofErr w:type="spellEnd"/>
      <w:r>
        <w:rPr>
          <w:rFonts w:ascii="Arial" w:hAnsi="Arial" w:cs="Arial"/>
        </w:rPr>
        <w:t xml:space="preserve"> states:</w:t>
      </w:r>
    </w:p>
    <w:p w:rsidR="000968A2" w:rsidRPr="00BD5D6E" w:rsidRDefault="000968A2" w:rsidP="000968A2">
      <w:pPr>
        <w:contextualSpacing/>
        <w:jc w:val="both"/>
        <w:rPr>
          <w:rFonts w:ascii="Arial" w:hAnsi="Arial" w:cs="Arial"/>
        </w:rPr>
      </w:pPr>
    </w:p>
    <w:p w:rsidR="000968A2" w:rsidRPr="00B51BBB" w:rsidRDefault="000968A2" w:rsidP="000968A2">
      <w:pPr>
        <w:ind w:left="720" w:right="720"/>
        <w:contextualSpacing/>
        <w:jc w:val="both"/>
        <w:rPr>
          <w:rFonts w:ascii="Arial" w:hAnsi="Arial" w:cs="Arial"/>
        </w:rPr>
      </w:pPr>
      <w:r w:rsidRPr="00B51BBB">
        <w:rPr>
          <w:rFonts w:ascii="Arial" w:hAnsi="Arial" w:cs="Arial"/>
        </w:rPr>
        <w:lastRenderedPageBreak/>
        <w:t>The reform, therefore, amounts to the effective disappearance of the undesirable consequences of co-ownership, while retaining the idea of co-ownership in principle. The real right survives, but it cannot be exercised as other real rights, for in pract</w:t>
      </w:r>
      <w:r>
        <w:rPr>
          <w:rFonts w:ascii="Arial" w:hAnsi="Arial" w:cs="Arial"/>
        </w:rPr>
        <w:t>ice it is only a claim of money</w:t>
      </w:r>
      <w:r w:rsidRPr="00B51BBB">
        <w:rPr>
          <w:rFonts w:ascii="Arial" w:hAnsi="Arial" w:cs="Arial"/>
        </w:rPr>
        <w:t>.</w:t>
      </w:r>
    </w:p>
    <w:p w:rsidR="000968A2" w:rsidRPr="00BD5D6E" w:rsidRDefault="000968A2" w:rsidP="000968A2">
      <w:pPr>
        <w:tabs>
          <w:tab w:val="left" w:pos="3060"/>
        </w:tabs>
        <w:contextualSpacing/>
        <w:jc w:val="both"/>
        <w:rPr>
          <w:rFonts w:ascii="Arial" w:hAnsi="Arial" w:cs="Arial"/>
        </w:rPr>
      </w:pPr>
    </w:p>
    <w:p w:rsidR="000968A2" w:rsidRPr="00BD5D6E" w:rsidRDefault="000968A2" w:rsidP="000968A2">
      <w:pPr>
        <w:contextualSpacing/>
        <w:jc w:val="both"/>
        <w:rPr>
          <w:rFonts w:ascii="Arial" w:hAnsi="Arial" w:cs="Arial"/>
        </w:rPr>
      </w:pPr>
      <w:r w:rsidRPr="00BD5D6E">
        <w:rPr>
          <w:rFonts w:ascii="Arial" w:hAnsi="Arial" w:cs="Arial"/>
        </w:rPr>
        <w:t>Hence, as the "real rights" survive, co-owners can seek a division in kind without acting through a fiduciary.  The individual "</w:t>
      </w:r>
      <w:r w:rsidRPr="00B51BBB">
        <w:rPr>
          <w:rFonts w:ascii="Arial" w:hAnsi="Arial" w:cs="Arial"/>
        </w:rPr>
        <w:t>real rights</w:t>
      </w:r>
      <w:r w:rsidRPr="00BD5D6E">
        <w:rPr>
          <w:rFonts w:ascii="Arial" w:hAnsi="Arial" w:cs="Arial"/>
          <w:i/>
        </w:rPr>
        <w:t>"</w:t>
      </w:r>
      <w:r w:rsidRPr="00BD5D6E">
        <w:rPr>
          <w:rFonts w:ascii="Arial" w:hAnsi="Arial" w:cs="Arial"/>
        </w:rPr>
        <w:t xml:space="preserve"> of co-ownership is preserved by Article 817 (2) of the Civil Code. Section 107(2) of the Immovable Property (Judicial Sales) Act (Cap 94) puts this position beyond dispute.</w:t>
      </w:r>
    </w:p>
    <w:p w:rsidR="000968A2" w:rsidRPr="00BD5D6E" w:rsidRDefault="000968A2" w:rsidP="000968A2">
      <w:pPr>
        <w:contextualSpacing/>
        <w:jc w:val="both"/>
        <w:rPr>
          <w:rFonts w:ascii="Arial" w:hAnsi="Arial" w:cs="Arial"/>
        </w:rPr>
      </w:pPr>
      <w:r w:rsidRPr="001B20DF">
        <w:rPr>
          <w:rFonts w:ascii="Arial" w:hAnsi="Arial" w:cs="Arial"/>
          <w:b/>
          <w:noProof/>
        </w:rPr>
        <w:pict>
          <v:shape id="_x0000_s1029" type="#_x0000_t202" style="position:absolute;left:0;text-align:left;margin-left:-29.8pt;margin-top:-44.25pt;width:30pt;height:531.55pt;z-index:251663360;mso-height-percent:200;mso-height-percent:200;mso-width-relative:margin;mso-height-relative:margin" stroked="f" strokecolor="white [3212]">
            <v:textbox style="mso-next-textbox:#_x0000_s1029;mso-fit-shape-to-text:t">
              <w:txbxContent>
                <w:p w:rsidR="000968A2" w:rsidRPr="00CF6C02" w:rsidRDefault="000968A2" w:rsidP="000968A2">
                  <w:pPr>
                    <w:rPr>
                      <w:rFonts w:ascii="Arial" w:hAnsi="Arial" w:cs="Arial"/>
                      <w:b/>
                      <w:i/>
                    </w:rPr>
                  </w:pPr>
                </w:p>
              </w:txbxContent>
            </v:textbox>
          </v:shape>
        </w:pict>
      </w:r>
    </w:p>
    <w:p w:rsidR="000968A2" w:rsidRPr="00BD5D6E" w:rsidRDefault="000968A2" w:rsidP="000968A2">
      <w:pPr>
        <w:contextualSpacing/>
        <w:jc w:val="both"/>
        <w:rPr>
          <w:rFonts w:ascii="Arial" w:hAnsi="Arial" w:cs="Arial"/>
        </w:rPr>
      </w:pPr>
      <w:r w:rsidRPr="00BD5D6E">
        <w:rPr>
          <w:rFonts w:ascii="Arial" w:hAnsi="Arial" w:cs="Arial"/>
        </w:rPr>
        <w:t xml:space="preserve">Accordingly, the plea </w:t>
      </w:r>
      <w:r w:rsidRPr="00B51BBB">
        <w:rPr>
          <w:rFonts w:ascii="Arial" w:hAnsi="Arial" w:cs="Arial"/>
        </w:rPr>
        <w:t xml:space="preserve">in </w:t>
      </w:r>
      <w:proofErr w:type="spellStart"/>
      <w:r w:rsidRPr="00B51BBB">
        <w:rPr>
          <w:rFonts w:ascii="Arial" w:hAnsi="Arial" w:cs="Arial"/>
        </w:rPr>
        <w:t>limine</w:t>
      </w:r>
      <w:proofErr w:type="spellEnd"/>
      <w:r w:rsidRPr="00B51BBB">
        <w:rPr>
          <w:rFonts w:ascii="Arial" w:hAnsi="Arial" w:cs="Arial"/>
        </w:rPr>
        <w:t xml:space="preserve"> </w:t>
      </w:r>
      <w:proofErr w:type="spellStart"/>
      <w:r w:rsidRPr="00B51BBB">
        <w:rPr>
          <w:rFonts w:ascii="Arial" w:hAnsi="Arial" w:cs="Arial"/>
        </w:rPr>
        <w:t>litis</w:t>
      </w:r>
      <w:proofErr w:type="spellEnd"/>
      <w:r w:rsidRPr="00BD5D6E">
        <w:rPr>
          <w:rFonts w:ascii="Arial" w:hAnsi="Arial" w:cs="Arial"/>
        </w:rPr>
        <w:t xml:space="preserve"> raised by the </w:t>
      </w:r>
      <w:r>
        <w:rPr>
          <w:rFonts w:ascii="Arial" w:hAnsi="Arial" w:cs="Arial"/>
        </w:rPr>
        <w:t>Respondent</w:t>
      </w:r>
      <w:r w:rsidRPr="00BD5D6E">
        <w:rPr>
          <w:rFonts w:ascii="Arial" w:hAnsi="Arial" w:cs="Arial"/>
        </w:rPr>
        <w:t xml:space="preserve"> fails.</w:t>
      </w:r>
    </w:p>
    <w:p w:rsidR="000968A2" w:rsidRPr="00BD5D6E" w:rsidRDefault="000968A2" w:rsidP="000968A2">
      <w:pPr>
        <w:contextualSpacing/>
        <w:jc w:val="both"/>
        <w:rPr>
          <w:rFonts w:ascii="Arial" w:hAnsi="Arial" w:cs="Arial"/>
        </w:rPr>
      </w:pPr>
    </w:p>
    <w:p w:rsidR="000968A2" w:rsidRPr="00BD5D6E" w:rsidRDefault="000968A2" w:rsidP="000968A2">
      <w:pPr>
        <w:contextualSpacing/>
        <w:rPr>
          <w:rFonts w:ascii="Arial" w:hAnsi="Arial" w:cs="Arial"/>
          <w:b/>
        </w:rPr>
      </w:pPr>
      <w:r>
        <w:rPr>
          <w:rFonts w:ascii="Arial" w:hAnsi="Arial" w:cs="Arial"/>
          <w:b/>
        </w:rPr>
        <w:t xml:space="preserve">Record:  </w:t>
      </w:r>
      <w:r w:rsidRPr="00BD5D6E">
        <w:rPr>
          <w:rFonts w:ascii="Arial" w:hAnsi="Arial" w:cs="Arial"/>
          <w:b/>
        </w:rPr>
        <w:t>Civil Side No 202 of 2001</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0674E"/>
    <w:multiLevelType w:val="hybridMultilevel"/>
    <w:tmpl w:val="3CC26F0C"/>
    <w:lvl w:ilvl="0" w:tplc="780E1210">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763B7F28"/>
    <w:multiLevelType w:val="hybridMultilevel"/>
    <w:tmpl w:val="179AE260"/>
    <w:lvl w:ilvl="0" w:tplc="017671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968A2"/>
    <w:rsid w:val="000968A2"/>
    <w:rsid w:val="00BB559E"/>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A2"/>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7143</Characters>
  <Application>Microsoft Office Word</Application>
  <DocSecurity>0</DocSecurity>
  <Lines>59</Lines>
  <Paragraphs>16</Paragraphs>
  <ScaleCrop>false</ScaleCrop>
  <Company>Deftones</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2014-01-22T11:16:00Z</dcterms:created>
  <dcterms:modified xsi:type="dcterms:W3CDTF">2014-01-22T11:17:00Z</dcterms:modified>
</cp:coreProperties>
</file>