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9F" w:rsidRDefault="005C049F" w:rsidP="005C049F">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34.7pt;margin-top:-5.1pt;width:30pt;height:531.55pt;z-index:251663360;mso-height-percent:200;mso-height-percent:200;mso-width-relative:margin;mso-height-relative:margin" stroked="f" strokecolor="white [3212]">
            <v:textbox style="mso-next-textbox:#_x0000_s1029;mso-fit-shape-to-text:t">
              <w:txbxContent>
                <w:p w:rsidR="005C049F" w:rsidRPr="00CF6C02" w:rsidRDefault="005C049F" w:rsidP="005C049F">
                  <w:pPr>
                    <w:rPr>
                      <w:rFonts w:ascii="Arial" w:hAnsi="Arial" w:cs="Arial"/>
                      <w:b/>
                      <w:i/>
                    </w:rPr>
                  </w:pPr>
                </w:p>
              </w:txbxContent>
            </v:textbox>
          </v:shape>
        </w:pict>
      </w:r>
      <w:proofErr w:type="spellStart"/>
      <w:r w:rsidRPr="00BD5D6E">
        <w:rPr>
          <w:rFonts w:ascii="Arial" w:hAnsi="Arial" w:cs="Arial"/>
          <w:b/>
        </w:rPr>
        <w:t>Amina</w:t>
      </w:r>
      <w:proofErr w:type="spellEnd"/>
      <w:r w:rsidRPr="00BD5D6E">
        <w:rPr>
          <w:rFonts w:ascii="Arial" w:hAnsi="Arial" w:cs="Arial"/>
          <w:b/>
        </w:rPr>
        <w:t xml:space="preserve"> </w:t>
      </w:r>
      <w:proofErr w:type="spellStart"/>
      <w:r w:rsidRPr="00BD5D6E">
        <w:rPr>
          <w:rFonts w:ascii="Arial" w:hAnsi="Arial" w:cs="Arial"/>
          <w:b/>
        </w:rPr>
        <w:t>Khatib</w:t>
      </w:r>
      <w:proofErr w:type="spellEnd"/>
      <w:r>
        <w:rPr>
          <w:rFonts w:ascii="Arial" w:hAnsi="Arial" w:cs="Arial"/>
          <w:b/>
        </w:rPr>
        <w:t>, ex parte</w:t>
      </w:r>
    </w:p>
    <w:p w:rsidR="005C049F" w:rsidRPr="00BD5D6E" w:rsidRDefault="005C049F" w:rsidP="005C049F">
      <w:pPr>
        <w:contextualSpacing/>
        <w:jc w:val="center"/>
        <w:rPr>
          <w:rFonts w:ascii="Arial" w:hAnsi="Arial" w:cs="Arial"/>
          <w:b/>
        </w:rPr>
      </w:pPr>
      <w:r>
        <w:rPr>
          <w:rFonts w:ascii="Arial" w:hAnsi="Arial" w:cs="Arial"/>
          <w:b/>
        </w:rPr>
        <w:t>(2003) SLR 36</w:t>
      </w:r>
    </w:p>
    <w:p w:rsidR="005C049F" w:rsidRPr="00BD5D6E" w:rsidRDefault="005C049F" w:rsidP="005C049F">
      <w:pPr>
        <w:contextualSpacing/>
        <w:jc w:val="both"/>
        <w:rPr>
          <w:rFonts w:ascii="Arial" w:hAnsi="Arial" w:cs="Arial"/>
        </w:rPr>
      </w:pPr>
    </w:p>
    <w:p w:rsidR="005C049F" w:rsidRPr="0017579F" w:rsidRDefault="005C049F" w:rsidP="005C049F">
      <w:pPr>
        <w:contextualSpacing/>
        <w:jc w:val="both"/>
        <w:rPr>
          <w:rFonts w:ascii="Arial" w:hAnsi="Arial" w:cs="Arial"/>
        </w:rPr>
      </w:pPr>
    </w:p>
    <w:p w:rsidR="005C049F" w:rsidRPr="0017579F" w:rsidRDefault="005C049F" w:rsidP="005C049F">
      <w:pPr>
        <w:contextualSpacing/>
        <w:jc w:val="both"/>
        <w:rPr>
          <w:rFonts w:ascii="Arial" w:hAnsi="Arial" w:cs="Arial"/>
        </w:rPr>
      </w:pPr>
      <w:r w:rsidRPr="0017579F">
        <w:rPr>
          <w:rFonts w:ascii="Arial" w:hAnsi="Arial" w:cs="Arial"/>
        </w:rPr>
        <w:t>Melchior VIDOT for the Applicant</w:t>
      </w:r>
    </w:p>
    <w:p w:rsidR="005C049F" w:rsidRPr="0017579F" w:rsidRDefault="005C049F" w:rsidP="005C049F">
      <w:pPr>
        <w:contextualSpacing/>
        <w:jc w:val="both"/>
        <w:rPr>
          <w:rFonts w:ascii="Arial" w:hAnsi="Arial" w:cs="Arial"/>
        </w:rPr>
      </w:pPr>
      <w:r>
        <w:rPr>
          <w:rFonts w:ascii="Arial" w:hAnsi="Arial" w:cs="Arial"/>
        </w:rPr>
        <w:t>Philippe</w:t>
      </w:r>
      <w:r w:rsidRPr="0017579F">
        <w:rPr>
          <w:rFonts w:ascii="Arial" w:hAnsi="Arial" w:cs="Arial"/>
        </w:rPr>
        <w:t xml:space="preserve"> BOULLE for the Respondent</w:t>
      </w:r>
    </w:p>
    <w:p w:rsidR="005C049F" w:rsidRPr="00BD5D6E" w:rsidRDefault="005C049F" w:rsidP="005C049F">
      <w:pPr>
        <w:contextualSpacing/>
        <w:jc w:val="center"/>
        <w:rPr>
          <w:rFonts w:ascii="Arial" w:hAnsi="Arial" w:cs="Arial"/>
          <w:b/>
          <w:u w:val="single"/>
        </w:rPr>
      </w:pPr>
    </w:p>
    <w:p w:rsidR="005C049F" w:rsidRDefault="005C049F" w:rsidP="005C049F">
      <w:pPr>
        <w:contextualSpacing/>
        <w:rPr>
          <w:rFonts w:ascii="Arial" w:hAnsi="Arial" w:cs="Arial"/>
          <w:b/>
        </w:rPr>
      </w:pPr>
      <w:r w:rsidRPr="00BD5D6E">
        <w:rPr>
          <w:rFonts w:ascii="Arial" w:hAnsi="Arial" w:cs="Arial"/>
          <w:b/>
        </w:rPr>
        <w:t>Ruling delivered on 30</w:t>
      </w:r>
      <w:r>
        <w:rPr>
          <w:rFonts w:ascii="Arial" w:hAnsi="Arial" w:cs="Arial"/>
          <w:b/>
        </w:rPr>
        <w:t xml:space="preserve"> July</w:t>
      </w:r>
      <w:r w:rsidRPr="00BD5D6E">
        <w:rPr>
          <w:rFonts w:ascii="Arial" w:hAnsi="Arial" w:cs="Arial"/>
          <w:b/>
        </w:rPr>
        <w:t xml:space="preserve"> 2003 by:</w:t>
      </w:r>
    </w:p>
    <w:p w:rsidR="005C049F" w:rsidRPr="00BD5D6E" w:rsidRDefault="005C049F" w:rsidP="005C049F">
      <w:pPr>
        <w:contextualSpacing/>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b/>
        </w:rPr>
        <w:t>PERERA J:</w:t>
      </w:r>
      <w:r w:rsidRPr="00BD5D6E">
        <w:rPr>
          <w:rFonts w:ascii="Arial" w:hAnsi="Arial" w:cs="Arial"/>
        </w:rPr>
        <w:t xml:space="preserve">  Subsequent to the </w:t>
      </w:r>
      <w:r>
        <w:rPr>
          <w:rFonts w:ascii="Arial" w:hAnsi="Arial" w:cs="Arial"/>
        </w:rPr>
        <w:t>r</w:t>
      </w:r>
      <w:r w:rsidRPr="00BD5D6E">
        <w:rPr>
          <w:rFonts w:ascii="Arial" w:hAnsi="Arial" w:cs="Arial"/>
        </w:rPr>
        <w:t xml:space="preserve">uling of 3 October 2002, Learned Counsel for the </w:t>
      </w:r>
      <w:r>
        <w:rPr>
          <w:rFonts w:ascii="Arial" w:hAnsi="Arial" w:cs="Arial"/>
        </w:rPr>
        <w:t>Respondent</w:t>
      </w:r>
      <w:r w:rsidRPr="00BD5D6E">
        <w:rPr>
          <w:rFonts w:ascii="Arial" w:hAnsi="Arial" w:cs="Arial"/>
        </w:rPr>
        <w:t xml:space="preserve"> contended that before any other guardian is appointed, there should be a hearing to determine whether the father of the child is incompetent to be the guardian.  It was submitted that it was only then that there </w:t>
      </w:r>
      <w:r w:rsidRPr="00D57FF1">
        <w:rPr>
          <w:rFonts w:ascii="Arial" w:hAnsi="Arial" w:cs="Arial"/>
        </w:rPr>
        <w:t>would be “</w:t>
      </w:r>
      <w:proofErr w:type="spellStart"/>
      <w:r w:rsidRPr="00D57FF1">
        <w:rPr>
          <w:rFonts w:ascii="Arial" w:hAnsi="Arial" w:cs="Arial"/>
        </w:rPr>
        <w:t>ouverture</w:t>
      </w:r>
      <w:proofErr w:type="spellEnd"/>
      <w:r w:rsidRPr="00D57FF1">
        <w:rPr>
          <w:rFonts w:ascii="Arial" w:hAnsi="Arial" w:cs="Arial"/>
        </w:rPr>
        <w:t xml:space="preserve"> de la </w:t>
      </w:r>
      <w:proofErr w:type="spellStart"/>
      <w:r w:rsidRPr="00D57FF1">
        <w:rPr>
          <w:rFonts w:ascii="Arial" w:hAnsi="Arial" w:cs="Arial"/>
        </w:rPr>
        <w:t>tutelle</w:t>
      </w:r>
      <w:proofErr w:type="spellEnd"/>
      <w:r w:rsidRPr="00D57FF1">
        <w:rPr>
          <w:rFonts w:ascii="Arial" w:hAnsi="Arial" w:cs="Arial"/>
        </w:rPr>
        <w:t>” paving</w:t>
      </w:r>
      <w:r w:rsidRPr="00BD5D6E">
        <w:rPr>
          <w:rFonts w:ascii="Arial" w:hAnsi="Arial" w:cs="Arial"/>
        </w:rPr>
        <w:t xml:space="preserve"> the way for the appointment of any other suitable person, who could not necessarily be an </w:t>
      </w:r>
      <w:r>
        <w:rPr>
          <w:rFonts w:ascii="Arial" w:hAnsi="Arial" w:cs="Arial"/>
        </w:rPr>
        <w:t>Applicant</w:t>
      </w:r>
      <w:r w:rsidRPr="00BD5D6E">
        <w:rPr>
          <w:rFonts w:ascii="Arial" w:hAnsi="Arial" w:cs="Arial"/>
        </w:rPr>
        <w:t>.</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rPr>
        <w:t xml:space="preserve">It is conceded by Learned Counsel for the </w:t>
      </w:r>
      <w:r>
        <w:rPr>
          <w:rFonts w:ascii="Arial" w:hAnsi="Arial" w:cs="Arial"/>
        </w:rPr>
        <w:t>Applicant</w:t>
      </w:r>
      <w:r w:rsidRPr="00BD5D6E">
        <w:rPr>
          <w:rFonts w:ascii="Arial" w:hAnsi="Arial" w:cs="Arial"/>
        </w:rPr>
        <w:t xml:space="preserve"> that the submission of Learned Counsel for the </w:t>
      </w:r>
      <w:r>
        <w:rPr>
          <w:rFonts w:ascii="Arial" w:hAnsi="Arial" w:cs="Arial"/>
        </w:rPr>
        <w:t>Respondent</w:t>
      </w:r>
      <w:r w:rsidRPr="00BD5D6E">
        <w:rPr>
          <w:rFonts w:ascii="Arial" w:hAnsi="Arial" w:cs="Arial"/>
        </w:rPr>
        <w:t xml:space="preserve"> as regards procedure is correct.  In the case of </w:t>
      </w:r>
      <w:r w:rsidRPr="00D57FF1">
        <w:rPr>
          <w:rFonts w:ascii="Arial" w:hAnsi="Arial" w:cs="Arial"/>
          <w:i/>
        </w:rPr>
        <w:t>Ex parte Attorney-General</w:t>
      </w:r>
      <w:r w:rsidRPr="00BD5D6E">
        <w:rPr>
          <w:rFonts w:ascii="Arial" w:hAnsi="Arial" w:cs="Arial"/>
          <w:b/>
          <w:i/>
        </w:rPr>
        <w:t xml:space="preserve"> </w:t>
      </w:r>
      <w:r w:rsidRPr="00D57FF1">
        <w:rPr>
          <w:rFonts w:ascii="Arial" w:hAnsi="Arial" w:cs="Arial"/>
        </w:rPr>
        <w:t>(1977) SLR 260</w:t>
      </w:r>
      <w:r w:rsidRPr="00BD5D6E">
        <w:rPr>
          <w:rFonts w:ascii="Arial" w:hAnsi="Arial" w:cs="Arial"/>
        </w:rPr>
        <w:t>, the parents of a minor child were lawfully married.  Subsequently their marriage was dissolved, and the decree of divorce was pronounced against the wife.  Later, the husband died, and the Attorney General applied for the appointment of a guardian under Article 402 of the Civil Code, as he considered that Article 386 precluded the wife from being the guardian of the minor child.</w:t>
      </w:r>
    </w:p>
    <w:p w:rsidR="005C049F" w:rsidRPr="00BD5D6E" w:rsidRDefault="005C049F" w:rsidP="005C049F">
      <w:pPr>
        <w:contextualSpacing/>
        <w:jc w:val="both"/>
        <w:rPr>
          <w:rFonts w:ascii="Arial" w:hAnsi="Arial" w:cs="Arial"/>
        </w:rPr>
      </w:pPr>
    </w:p>
    <w:p w:rsidR="005C049F" w:rsidRDefault="005C049F" w:rsidP="005C049F">
      <w:pPr>
        <w:contextualSpacing/>
        <w:jc w:val="both"/>
        <w:rPr>
          <w:rFonts w:ascii="Arial" w:hAnsi="Arial" w:cs="Arial"/>
        </w:rPr>
      </w:pPr>
      <w:proofErr w:type="spellStart"/>
      <w:r w:rsidRPr="00BD5D6E">
        <w:rPr>
          <w:rFonts w:ascii="Arial" w:hAnsi="Arial" w:cs="Arial"/>
        </w:rPr>
        <w:t>Sauzier</w:t>
      </w:r>
      <w:proofErr w:type="spellEnd"/>
      <w:r w:rsidRPr="00BD5D6E">
        <w:rPr>
          <w:rFonts w:ascii="Arial" w:hAnsi="Arial" w:cs="Arial"/>
        </w:rPr>
        <w:t xml:space="preserve"> J held that guardianship commenced with the death of one of the parents, and that guardianship vests as of right on the surviving parent.  Further holding that Article 386 applied only as regards the enjoyment of the child's property, it was held that before a guardian is appointed by the </w:t>
      </w:r>
      <w:r>
        <w:rPr>
          <w:rFonts w:ascii="Arial" w:hAnsi="Arial" w:cs="Arial"/>
        </w:rPr>
        <w:t>Court:</w:t>
      </w:r>
    </w:p>
    <w:p w:rsidR="005C049F" w:rsidRDefault="005C049F" w:rsidP="005C049F">
      <w:pPr>
        <w:contextualSpacing/>
        <w:jc w:val="both"/>
        <w:rPr>
          <w:rFonts w:ascii="Arial" w:hAnsi="Arial" w:cs="Arial"/>
        </w:rPr>
      </w:pPr>
    </w:p>
    <w:p w:rsidR="005C049F" w:rsidRPr="00BD5D6E" w:rsidRDefault="005C049F" w:rsidP="005C049F">
      <w:pPr>
        <w:ind w:left="709" w:right="812"/>
        <w:contextualSpacing/>
        <w:jc w:val="both"/>
        <w:rPr>
          <w:rFonts w:ascii="Arial" w:hAnsi="Arial" w:cs="Arial"/>
        </w:rPr>
      </w:pPr>
      <w:proofErr w:type="gramStart"/>
      <w:r w:rsidRPr="00D57FF1">
        <w:rPr>
          <w:rFonts w:ascii="Arial" w:hAnsi="Arial" w:cs="Arial"/>
        </w:rPr>
        <w:t>the</w:t>
      </w:r>
      <w:proofErr w:type="gramEnd"/>
      <w:r w:rsidRPr="00D57FF1">
        <w:rPr>
          <w:rFonts w:ascii="Arial" w:hAnsi="Arial" w:cs="Arial"/>
        </w:rPr>
        <w:t xml:space="preserve"> mother of the children who is guardian as of right since the death of the father by virtue of Article 390, would have to be removed from her guardianship under Article 440 before a new guardian may be appointed by the Court.</w:t>
      </w:r>
    </w:p>
    <w:p w:rsidR="005C049F" w:rsidRPr="00BD5D6E" w:rsidRDefault="005C049F" w:rsidP="005C049F">
      <w:pPr>
        <w:contextualSpacing/>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rPr>
        <w:t xml:space="preserve">In the present case, the </w:t>
      </w:r>
      <w:r>
        <w:rPr>
          <w:rFonts w:ascii="Arial" w:hAnsi="Arial" w:cs="Arial"/>
        </w:rPr>
        <w:t>Respondent</w:t>
      </w:r>
      <w:r w:rsidRPr="00BD5D6E">
        <w:rPr>
          <w:rFonts w:ascii="Arial" w:hAnsi="Arial" w:cs="Arial"/>
        </w:rPr>
        <w:t xml:space="preserve">, as the surviving spouse purported to appoint one Michelle Van </w:t>
      </w:r>
      <w:proofErr w:type="spellStart"/>
      <w:r w:rsidRPr="00BD5D6E">
        <w:rPr>
          <w:rFonts w:ascii="Arial" w:hAnsi="Arial" w:cs="Arial"/>
        </w:rPr>
        <w:t>Tongeren</w:t>
      </w:r>
      <w:proofErr w:type="spellEnd"/>
      <w:r w:rsidRPr="00BD5D6E">
        <w:rPr>
          <w:rFonts w:ascii="Arial" w:hAnsi="Arial" w:cs="Arial"/>
        </w:rPr>
        <w:t>, a daughter of his wife by a previous marriage, who was resident in Kenya, as the guardian of the child who was also living there with his wife at the time of her death.  That affidavit was sworn and declared on 28</w:t>
      </w:r>
      <w:r>
        <w:rPr>
          <w:rFonts w:ascii="Arial" w:hAnsi="Arial" w:cs="Arial"/>
          <w:vertAlign w:val="superscript"/>
        </w:rPr>
        <w:t xml:space="preserve"> </w:t>
      </w:r>
      <w:r w:rsidRPr="00BD5D6E">
        <w:rPr>
          <w:rFonts w:ascii="Arial" w:hAnsi="Arial" w:cs="Arial"/>
        </w:rPr>
        <w:t xml:space="preserve">September 2000, 10 days after the death of his wife, before a Commissioner for oaths in Nairobi, pursuant to the provisions of the Statutory Declaration Act of Kenya.  On 9 November 2000, the said Michelle Van </w:t>
      </w:r>
      <w:proofErr w:type="spellStart"/>
      <w:r w:rsidRPr="00BD5D6E">
        <w:rPr>
          <w:rFonts w:ascii="Arial" w:hAnsi="Arial" w:cs="Arial"/>
        </w:rPr>
        <w:t>Tongeren</w:t>
      </w:r>
      <w:proofErr w:type="spellEnd"/>
      <w:r w:rsidRPr="00BD5D6E">
        <w:rPr>
          <w:rFonts w:ascii="Arial" w:hAnsi="Arial" w:cs="Arial"/>
        </w:rPr>
        <w:t xml:space="preserve">, by an affidavit sworn and declared before a Commissioner for oaths in Nairobi, Kenya and duly authenticated by the Registrar of the High </w:t>
      </w:r>
      <w:r>
        <w:rPr>
          <w:rFonts w:ascii="Arial" w:hAnsi="Arial" w:cs="Arial"/>
        </w:rPr>
        <w:t>Court</w:t>
      </w:r>
      <w:r w:rsidRPr="00BD5D6E">
        <w:rPr>
          <w:rFonts w:ascii="Arial" w:hAnsi="Arial" w:cs="Arial"/>
        </w:rPr>
        <w:t xml:space="preserve"> of Kenya, The Kenya Embassy in Abu Dhabi, and the United Arab </w:t>
      </w:r>
      <w:r w:rsidRPr="00D57FF1">
        <w:rPr>
          <w:rFonts w:ascii="Arial" w:hAnsi="Arial" w:cs="Arial"/>
        </w:rPr>
        <w:t xml:space="preserve">Emirates Ministry and Foreign Affairs in Dubai, vested the legal guardianship of the child in </w:t>
      </w:r>
      <w:proofErr w:type="spellStart"/>
      <w:r w:rsidRPr="00D57FF1">
        <w:rPr>
          <w:rFonts w:ascii="Arial" w:hAnsi="Arial" w:cs="Arial"/>
        </w:rPr>
        <w:t>Mrs</w:t>
      </w:r>
      <w:proofErr w:type="spellEnd"/>
      <w:r w:rsidRPr="00D57FF1">
        <w:rPr>
          <w:rFonts w:ascii="Arial" w:hAnsi="Arial" w:cs="Arial"/>
        </w:rPr>
        <w:t xml:space="preserve"> </w:t>
      </w:r>
      <w:proofErr w:type="spellStart"/>
      <w:r w:rsidRPr="00D57FF1">
        <w:rPr>
          <w:rFonts w:ascii="Arial" w:hAnsi="Arial" w:cs="Arial"/>
        </w:rPr>
        <w:t>Amina</w:t>
      </w:r>
      <w:proofErr w:type="spellEnd"/>
      <w:r w:rsidRPr="00D57FF1">
        <w:rPr>
          <w:rFonts w:ascii="Arial" w:hAnsi="Arial" w:cs="Arial"/>
        </w:rPr>
        <w:t xml:space="preserve"> </w:t>
      </w:r>
      <w:proofErr w:type="spellStart"/>
      <w:r w:rsidRPr="00D57FF1">
        <w:rPr>
          <w:rFonts w:ascii="Arial" w:hAnsi="Arial" w:cs="Arial"/>
        </w:rPr>
        <w:t>Khatib</w:t>
      </w:r>
      <w:proofErr w:type="spellEnd"/>
      <w:r w:rsidRPr="00D57FF1">
        <w:rPr>
          <w:rFonts w:ascii="Arial" w:hAnsi="Arial" w:cs="Arial"/>
        </w:rPr>
        <w:t xml:space="preserve"> (the Applicant)</w:t>
      </w:r>
      <w:r w:rsidRPr="00BD5D6E">
        <w:rPr>
          <w:rFonts w:ascii="Arial" w:hAnsi="Arial" w:cs="Arial"/>
        </w:rPr>
        <w:t xml:space="preserve"> resident in the United Arab Emirates, who is a sister of the late Georgette Andrade, and therefore an aunt of both Michel Van </w:t>
      </w:r>
      <w:proofErr w:type="spellStart"/>
      <w:r w:rsidRPr="00BD5D6E">
        <w:rPr>
          <w:rFonts w:ascii="Arial" w:hAnsi="Arial" w:cs="Arial"/>
        </w:rPr>
        <w:t>Tongeren</w:t>
      </w:r>
      <w:proofErr w:type="spellEnd"/>
      <w:r w:rsidRPr="00BD5D6E">
        <w:rPr>
          <w:rFonts w:ascii="Arial" w:hAnsi="Arial" w:cs="Arial"/>
        </w:rPr>
        <w:t xml:space="preserve">, and of the </w:t>
      </w:r>
      <w:r w:rsidRPr="00BD5D6E">
        <w:rPr>
          <w:rFonts w:ascii="Arial" w:hAnsi="Arial" w:cs="Arial"/>
        </w:rPr>
        <w:lastRenderedPageBreak/>
        <w:t>minor child.</w:t>
      </w:r>
    </w:p>
    <w:p w:rsidR="005C049F" w:rsidRPr="00BD5D6E" w:rsidRDefault="005C049F" w:rsidP="005C049F">
      <w:pPr>
        <w:contextualSpacing/>
        <w:jc w:val="both"/>
        <w:rPr>
          <w:rFonts w:ascii="Arial" w:hAnsi="Arial" w:cs="Arial"/>
        </w:rPr>
      </w:pPr>
      <w:r>
        <w:rPr>
          <w:rFonts w:ascii="Arial" w:hAnsi="Arial" w:cs="Arial"/>
          <w:noProof/>
        </w:rPr>
        <w:pict>
          <v:shape id="_x0000_s1027" type="#_x0000_t202" style="position:absolute;left:0;text-align:left;margin-left:-29.8pt;margin-top:-140.75pt;width:30pt;height:531.55pt;z-index:251661312;mso-height-percent:200;mso-height-percent:200;mso-width-relative:margin;mso-height-relative:margin" stroked="f" strokecolor="white [3212]">
            <v:textbox style="mso-next-textbox:#_x0000_s1027;mso-fit-shape-to-text:t">
              <w:txbxContent>
                <w:p w:rsidR="005C049F" w:rsidRPr="00CF6C02" w:rsidRDefault="005C049F" w:rsidP="005C049F">
                  <w:pPr>
                    <w:rPr>
                      <w:rFonts w:ascii="Arial" w:hAnsi="Arial" w:cs="Arial"/>
                      <w:b/>
                      <w:i/>
                    </w:rPr>
                  </w:pPr>
                </w:p>
              </w:txbxContent>
            </v:textbox>
          </v:shape>
        </w:pict>
      </w:r>
    </w:p>
    <w:p w:rsidR="005C049F" w:rsidRPr="00BD5D6E" w:rsidRDefault="005C049F" w:rsidP="005C049F">
      <w:pPr>
        <w:contextualSpacing/>
        <w:jc w:val="both"/>
        <w:rPr>
          <w:rFonts w:ascii="Arial" w:hAnsi="Arial" w:cs="Arial"/>
        </w:rPr>
      </w:pPr>
      <w:r w:rsidRPr="00D57FF1">
        <w:rPr>
          <w:rFonts w:ascii="Arial" w:hAnsi="Arial" w:cs="Arial"/>
        </w:rPr>
        <w:t>Article 401 of</w:t>
      </w:r>
      <w:r w:rsidRPr="00BD5D6E">
        <w:rPr>
          <w:rFonts w:ascii="Arial" w:hAnsi="Arial" w:cs="Arial"/>
        </w:rPr>
        <w:t xml:space="preserve"> the Civil Code provides that</w:t>
      </w:r>
      <w:r>
        <w:rPr>
          <w:rFonts w:ascii="Arial" w:hAnsi="Arial" w:cs="Arial"/>
        </w:rPr>
        <w:t>:</w:t>
      </w:r>
    </w:p>
    <w:p w:rsidR="005C049F" w:rsidRPr="00BD5D6E" w:rsidRDefault="005C049F" w:rsidP="005C049F">
      <w:pPr>
        <w:contextualSpacing/>
        <w:jc w:val="both"/>
        <w:rPr>
          <w:rFonts w:ascii="Arial" w:hAnsi="Arial" w:cs="Arial"/>
        </w:rPr>
      </w:pPr>
    </w:p>
    <w:p w:rsidR="005C049F" w:rsidRPr="00BD5D6E" w:rsidRDefault="005C049F" w:rsidP="005C049F">
      <w:pPr>
        <w:ind w:left="720" w:right="720"/>
        <w:contextualSpacing/>
        <w:jc w:val="both"/>
        <w:rPr>
          <w:rFonts w:ascii="Arial" w:hAnsi="Arial" w:cs="Arial"/>
        </w:rPr>
      </w:pPr>
      <w:r w:rsidRPr="00BD5D6E">
        <w:rPr>
          <w:rFonts w:ascii="Arial" w:hAnsi="Arial" w:cs="Arial"/>
        </w:rPr>
        <w:t>The guardian appointed by the father or mother shall not be bound to accept the guardianship.</w:t>
      </w:r>
    </w:p>
    <w:p w:rsidR="005C049F" w:rsidRPr="00D57FF1" w:rsidRDefault="005C049F" w:rsidP="005C049F">
      <w:pPr>
        <w:ind w:left="720" w:right="720"/>
        <w:contextualSpacing/>
        <w:jc w:val="both"/>
        <w:rPr>
          <w:rFonts w:ascii="Arial" w:hAnsi="Arial" w:cs="Arial"/>
        </w:rPr>
      </w:pPr>
      <w:r w:rsidRPr="00BD5D6E">
        <w:rPr>
          <w:rFonts w:ascii="Arial" w:hAnsi="Arial" w:cs="Arial"/>
        </w:rPr>
        <w:t xml:space="preserve">If the guardian who is appointed does not wish to Act, </w:t>
      </w:r>
      <w:r w:rsidRPr="00D57FF1">
        <w:rPr>
          <w:rFonts w:ascii="Arial" w:hAnsi="Arial" w:cs="Arial"/>
        </w:rPr>
        <w:t>the Court shall have authority either to compel him to Act or to appoint another</w:t>
      </w:r>
      <w:r>
        <w:rPr>
          <w:rFonts w:ascii="Arial" w:hAnsi="Arial" w:cs="Arial"/>
        </w:rPr>
        <w:t>….</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rPr>
        <w:t xml:space="preserve">The granting of legal guardianship of the child to his aunt therefore constituted an Act indicating that she did not wish to act as guardian. However, pursuant to Article 401, it was only the </w:t>
      </w:r>
      <w:r>
        <w:rPr>
          <w:rFonts w:ascii="Arial" w:hAnsi="Arial" w:cs="Arial"/>
        </w:rPr>
        <w:t>Court</w:t>
      </w:r>
      <w:r w:rsidRPr="00BD5D6E">
        <w:rPr>
          <w:rFonts w:ascii="Arial" w:hAnsi="Arial" w:cs="Arial"/>
        </w:rPr>
        <w:t xml:space="preserve"> that had authority to appoint another person.  Hence the vesting of guardianship on the </w:t>
      </w:r>
      <w:r>
        <w:rPr>
          <w:rFonts w:ascii="Arial" w:hAnsi="Arial" w:cs="Arial"/>
        </w:rPr>
        <w:t>Applicant</w:t>
      </w:r>
      <w:r w:rsidRPr="00BD5D6E">
        <w:rPr>
          <w:rFonts w:ascii="Arial" w:hAnsi="Arial" w:cs="Arial"/>
        </w:rPr>
        <w:t xml:space="preserve"> was invalid, and perhaps, it is for that reason that she is presently before this </w:t>
      </w:r>
      <w:r>
        <w:rPr>
          <w:rFonts w:ascii="Arial" w:hAnsi="Arial" w:cs="Arial"/>
        </w:rPr>
        <w:t>Court</w:t>
      </w:r>
      <w:r w:rsidRPr="00BD5D6E">
        <w:rPr>
          <w:rFonts w:ascii="Arial" w:hAnsi="Arial" w:cs="Arial"/>
        </w:rPr>
        <w:t xml:space="preserve"> for appointment as guardian.</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r w:rsidRPr="00D57FF1">
        <w:rPr>
          <w:rFonts w:ascii="Arial" w:hAnsi="Arial" w:cs="Arial"/>
        </w:rPr>
        <w:t>Article 401</w:t>
      </w:r>
      <w:r w:rsidRPr="00BD5D6E">
        <w:rPr>
          <w:rFonts w:ascii="Arial" w:hAnsi="Arial" w:cs="Arial"/>
        </w:rPr>
        <w:t xml:space="preserve"> does not provide that where a guardian appointed by the mother or father does not wish to act, the guardianship reverts back to either of them.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contended that the affidavit dated 28 September 2000, whereby guardianship was granted to Michelle Van </w:t>
      </w:r>
      <w:proofErr w:type="spellStart"/>
      <w:r w:rsidRPr="00BD5D6E">
        <w:rPr>
          <w:rFonts w:ascii="Arial" w:hAnsi="Arial" w:cs="Arial"/>
        </w:rPr>
        <w:t>Tongeren</w:t>
      </w:r>
      <w:proofErr w:type="spellEnd"/>
      <w:r w:rsidRPr="00BD5D6E">
        <w:rPr>
          <w:rFonts w:ascii="Arial" w:hAnsi="Arial" w:cs="Arial"/>
        </w:rPr>
        <w:t xml:space="preserve">, was both </w:t>
      </w:r>
      <w:proofErr w:type="gramStart"/>
      <w:r w:rsidRPr="00BD5D6E">
        <w:rPr>
          <w:rFonts w:ascii="Arial" w:hAnsi="Arial" w:cs="Arial"/>
        </w:rPr>
        <w:t>invalid,</w:t>
      </w:r>
      <w:proofErr w:type="gramEnd"/>
      <w:r w:rsidRPr="00BD5D6E">
        <w:rPr>
          <w:rFonts w:ascii="Arial" w:hAnsi="Arial" w:cs="Arial"/>
        </w:rPr>
        <w:t xml:space="preserve"> and inadmissible under the laws of Seychelles.  He cited the Constitutional </w:t>
      </w:r>
      <w:r>
        <w:rPr>
          <w:rFonts w:ascii="Arial" w:hAnsi="Arial" w:cs="Arial"/>
        </w:rPr>
        <w:t>Court</w:t>
      </w:r>
      <w:r w:rsidRPr="00BD5D6E">
        <w:rPr>
          <w:rFonts w:ascii="Arial" w:hAnsi="Arial" w:cs="Arial"/>
        </w:rPr>
        <w:t xml:space="preserve"> case </w:t>
      </w:r>
      <w:r w:rsidRPr="00D57FF1">
        <w:rPr>
          <w:rFonts w:ascii="Arial" w:hAnsi="Arial" w:cs="Arial"/>
        </w:rPr>
        <w:t xml:space="preserve">of </w:t>
      </w:r>
      <w:r>
        <w:rPr>
          <w:rFonts w:ascii="Arial" w:hAnsi="Arial" w:cs="Arial"/>
          <w:i/>
        </w:rPr>
        <w:t xml:space="preserve">Robert Poole v </w:t>
      </w:r>
      <w:r w:rsidRPr="00D57FF1">
        <w:rPr>
          <w:rFonts w:ascii="Arial" w:hAnsi="Arial" w:cs="Arial"/>
          <w:i/>
        </w:rPr>
        <w:t xml:space="preserve">Government of Seychelles </w:t>
      </w:r>
      <w:r w:rsidRPr="00D57FF1">
        <w:rPr>
          <w:rFonts w:ascii="Arial" w:hAnsi="Arial" w:cs="Arial"/>
        </w:rPr>
        <w:t>(Cons</w:t>
      </w:r>
      <w:r>
        <w:rPr>
          <w:rFonts w:ascii="Arial" w:hAnsi="Arial" w:cs="Arial"/>
        </w:rPr>
        <w:t>t</w:t>
      </w:r>
      <w:r w:rsidRPr="00D57FF1">
        <w:rPr>
          <w:rFonts w:ascii="Arial" w:hAnsi="Arial" w:cs="Arial"/>
        </w:rPr>
        <w:t xml:space="preserve"> Case no 3 of 1996) where the Court held inter alia that –</w:t>
      </w:r>
    </w:p>
    <w:p w:rsidR="005C049F" w:rsidRPr="00BD5D6E" w:rsidRDefault="005C049F" w:rsidP="005C049F">
      <w:pPr>
        <w:contextualSpacing/>
        <w:jc w:val="both"/>
        <w:rPr>
          <w:rFonts w:ascii="Arial" w:hAnsi="Arial" w:cs="Arial"/>
        </w:rPr>
      </w:pPr>
    </w:p>
    <w:p w:rsidR="005C049F" w:rsidRDefault="005C049F" w:rsidP="005C049F">
      <w:pPr>
        <w:ind w:left="720" w:right="720"/>
        <w:contextualSpacing/>
        <w:jc w:val="both"/>
        <w:rPr>
          <w:rFonts w:ascii="Arial" w:hAnsi="Arial" w:cs="Arial"/>
        </w:rPr>
      </w:pPr>
      <w:r w:rsidRPr="00BD5D6E">
        <w:rPr>
          <w:rFonts w:ascii="Arial" w:hAnsi="Arial" w:cs="Arial"/>
        </w:rPr>
        <w:t xml:space="preserve">A commissioner of oaths or a notary in any country is </w:t>
      </w:r>
      <w:proofErr w:type="spellStart"/>
      <w:r w:rsidRPr="00BD5D6E">
        <w:rPr>
          <w:rFonts w:ascii="Arial" w:hAnsi="Arial" w:cs="Arial"/>
        </w:rPr>
        <w:t>authorised</w:t>
      </w:r>
      <w:proofErr w:type="spellEnd"/>
      <w:r w:rsidRPr="00BD5D6E">
        <w:rPr>
          <w:rFonts w:ascii="Arial" w:hAnsi="Arial" w:cs="Arial"/>
        </w:rPr>
        <w:t xml:space="preserve"> to attest or execute deeds and documents that have legal validity in their own country....</w:t>
      </w:r>
    </w:p>
    <w:p w:rsidR="005C049F" w:rsidRPr="00BD5D6E" w:rsidRDefault="005C049F" w:rsidP="005C049F">
      <w:pPr>
        <w:ind w:left="720" w:right="720"/>
        <w:contextualSpacing/>
        <w:jc w:val="both"/>
        <w:rPr>
          <w:rFonts w:ascii="Arial" w:hAnsi="Arial" w:cs="Arial"/>
        </w:rPr>
      </w:pPr>
    </w:p>
    <w:p w:rsidR="005C049F" w:rsidRPr="00BD5D6E" w:rsidRDefault="005C049F" w:rsidP="005C049F">
      <w:pPr>
        <w:ind w:left="720" w:right="720"/>
        <w:contextualSpacing/>
        <w:jc w:val="both"/>
        <w:rPr>
          <w:rFonts w:ascii="Arial" w:hAnsi="Arial" w:cs="Arial"/>
        </w:rPr>
      </w:pPr>
      <w:proofErr w:type="gramStart"/>
      <w:r w:rsidRPr="00BD5D6E">
        <w:rPr>
          <w:rFonts w:ascii="Arial" w:hAnsi="Arial" w:cs="Arial"/>
        </w:rPr>
        <w:t>a</w:t>
      </w:r>
      <w:proofErr w:type="gramEnd"/>
      <w:r w:rsidRPr="00BD5D6E">
        <w:rPr>
          <w:rFonts w:ascii="Arial" w:hAnsi="Arial" w:cs="Arial"/>
        </w:rPr>
        <w:t xml:space="preserve"> document </w:t>
      </w:r>
      <w:proofErr w:type="spellStart"/>
      <w:r w:rsidRPr="00BD5D6E">
        <w:rPr>
          <w:rFonts w:ascii="Arial" w:hAnsi="Arial" w:cs="Arial"/>
        </w:rPr>
        <w:t>notarially</w:t>
      </w:r>
      <w:proofErr w:type="spellEnd"/>
      <w:r w:rsidRPr="00BD5D6E">
        <w:rPr>
          <w:rFonts w:ascii="Arial" w:hAnsi="Arial" w:cs="Arial"/>
        </w:rPr>
        <w:t xml:space="preserve"> executed in a foreign country will not be admissible in judicial proceedings in Seychelles, save in circumstances contemplated in Section</w:t>
      </w:r>
      <w:r>
        <w:rPr>
          <w:rFonts w:ascii="Arial" w:hAnsi="Arial" w:cs="Arial"/>
        </w:rPr>
        <w:t>s 12 and 28 of the Evidence Act</w:t>
      </w:r>
      <w:r w:rsidRPr="00BD5D6E">
        <w:rPr>
          <w:rFonts w:ascii="Arial" w:hAnsi="Arial" w:cs="Arial"/>
        </w:rPr>
        <w:t>.</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Vidot</w:t>
      </w:r>
      <w:proofErr w:type="spellEnd"/>
      <w:r w:rsidRPr="00BD5D6E">
        <w:rPr>
          <w:rFonts w:ascii="Arial" w:hAnsi="Arial" w:cs="Arial"/>
        </w:rPr>
        <w:t xml:space="preserve">, Learned Counsel for the </w:t>
      </w:r>
      <w:r>
        <w:rPr>
          <w:rFonts w:ascii="Arial" w:hAnsi="Arial" w:cs="Arial"/>
        </w:rPr>
        <w:t>Applicant</w:t>
      </w:r>
      <w:r w:rsidRPr="00BD5D6E">
        <w:rPr>
          <w:rFonts w:ascii="Arial" w:hAnsi="Arial" w:cs="Arial"/>
        </w:rPr>
        <w:t xml:space="preserve"> submitted that the affidavit dated 28 September 2000 whereby Michel </w:t>
      </w:r>
      <w:proofErr w:type="spellStart"/>
      <w:r w:rsidRPr="00BD5D6E">
        <w:rPr>
          <w:rFonts w:ascii="Arial" w:hAnsi="Arial" w:cs="Arial"/>
        </w:rPr>
        <w:t>Hoareau</w:t>
      </w:r>
      <w:proofErr w:type="spellEnd"/>
      <w:r w:rsidRPr="00BD5D6E">
        <w:rPr>
          <w:rFonts w:ascii="Arial" w:hAnsi="Arial" w:cs="Arial"/>
        </w:rPr>
        <w:t xml:space="preserve"> granted custody and legal guardianship of the child to Michelle Van </w:t>
      </w:r>
      <w:proofErr w:type="spellStart"/>
      <w:r w:rsidRPr="00BD5D6E">
        <w:rPr>
          <w:rFonts w:ascii="Arial" w:hAnsi="Arial" w:cs="Arial"/>
        </w:rPr>
        <w:t>Tongeren</w:t>
      </w:r>
      <w:proofErr w:type="spellEnd"/>
      <w:r w:rsidRPr="00BD5D6E">
        <w:rPr>
          <w:rFonts w:ascii="Arial" w:hAnsi="Arial" w:cs="Arial"/>
        </w:rPr>
        <w:t>, which is a declaration before a Commissioner of oaths in Nairobi, Kenya was a valid appointment under Article 392 of the Civil Code.  Article 392 provides that "a person entitled to appoint a guardian of minor children may do so 1</w:t>
      </w:r>
      <w:r w:rsidRPr="00BD5D6E">
        <w:rPr>
          <w:rFonts w:ascii="Arial" w:hAnsi="Arial" w:cs="Arial"/>
          <w:vertAlign w:val="superscript"/>
        </w:rPr>
        <w:t>st</w:t>
      </w:r>
      <w:r w:rsidRPr="00BD5D6E">
        <w:rPr>
          <w:rFonts w:ascii="Arial" w:hAnsi="Arial" w:cs="Arial"/>
        </w:rPr>
        <w:t xml:space="preserve"> by a last will or 2</w:t>
      </w:r>
      <w:r w:rsidRPr="00BD5D6E">
        <w:rPr>
          <w:rFonts w:ascii="Arial" w:hAnsi="Arial" w:cs="Arial"/>
          <w:vertAlign w:val="superscript"/>
        </w:rPr>
        <w:t>nd</w:t>
      </w:r>
      <w:r w:rsidRPr="00BD5D6E">
        <w:rPr>
          <w:rFonts w:ascii="Arial" w:hAnsi="Arial" w:cs="Arial"/>
        </w:rPr>
        <w:t>, by a declaration made before a Judge or before a Notary".</w:t>
      </w:r>
    </w:p>
    <w:p w:rsidR="005C049F" w:rsidRPr="00BD5D6E" w:rsidRDefault="005C049F" w:rsidP="005C049F">
      <w:pPr>
        <w:contextualSpacing/>
        <w:jc w:val="both"/>
        <w:rPr>
          <w:rFonts w:ascii="Arial" w:hAnsi="Arial" w:cs="Arial"/>
        </w:rPr>
      </w:pPr>
    </w:p>
    <w:p w:rsidR="005C049F" w:rsidRPr="00D57FF1" w:rsidRDefault="005C049F" w:rsidP="005C049F">
      <w:pPr>
        <w:contextualSpacing/>
        <w:jc w:val="both"/>
        <w:rPr>
          <w:rFonts w:ascii="Arial" w:hAnsi="Arial" w:cs="Arial"/>
        </w:rPr>
      </w:pPr>
      <w:r w:rsidRPr="00BD5D6E">
        <w:rPr>
          <w:rFonts w:ascii="Arial" w:hAnsi="Arial" w:cs="Arial"/>
        </w:rPr>
        <w:t xml:space="preserve">An affidavit is a formal declaration of facts upon oath or affirmation. Section 17 of the Civil Procedure Code provides that an affidavit may be sworn in Seychelles - </w:t>
      </w:r>
      <w:r w:rsidRPr="00D57FF1">
        <w:rPr>
          <w:rFonts w:ascii="Arial" w:hAnsi="Arial" w:cs="Arial"/>
        </w:rPr>
        <w:t xml:space="preserve">"before a Judge, a Magistrate, </w:t>
      </w:r>
      <w:proofErr w:type="gramStart"/>
      <w:r w:rsidRPr="00D57FF1">
        <w:rPr>
          <w:rFonts w:ascii="Arial" w:hAnsi="Arial" w:cs="Arial"/>
        </w:rPr>
        <w:t>a</w:t>
      </w:r>
      <w:proofErr w:type="gramEnd"/>
      <w:r w:rsidRPr="00D57FF1">
        <w:rPr>
          <w:rFonts w:ascii="Arial" w:hAnsi="Arial" w:cs="Arial"/>
        </w:rPr>
        <w:t xml:space="preserve"> Justice of the Peace, a Notary or the Registrar."</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rPr>
        <w:t xml:space="preserve">The dicta cited from the case of </w:t>
      </w:r>
      <w:r w:rsidRPr="00D57FF1">
        <w:rPr>
          <w:rFonts w:ascii="Arial" w:hAnsi="Arial" w:cs="Arial"/>
          <w:i/>
        </w:rPr>
        <w:t>Robert Poole</w:t>
      </w:r>
      <w:r w:rsidRPr="00D57FF1">
        <w:rPr>
          <w:rFonts w:ascii="Arial" w:hAnsi="Arial" w:cs="Arial"/>
        </w:rPr>
        <w:t xml:space="preserve"> (supra) </w:t>
      </w:r>
      <w:r w:rsidRPr="00BD5D6E">
        <w:rPr>
          <w:rFonts w:ascii="Arial" w:hAnsi="Arial" w:cs="Arial"/>
        </w:rPr>
        <w:t xml:space="preserve">must be distinguished as in that case an affidavit sworn before a Notary in Kenya was filed as an affidavit of facts under Rule 3(1) of the Constitutional </w:t>
      </w:r>
      <w:r>
        <w:rPr>
          <w:rFonts w:ascii="Arial" w:hAnsi="Arial" w:cs="Arial"/>
        </w:rPr>
        <w:t>Court</w:t>
      </w:r>
      <w:r w:rsidRPr="00BD5D6E">
        <w:rPr>
          <w:rFonts w:ascii="Arial" w:hAnsi="Arial" w:cs="Arial"/>
        </w:rPr>
        <w:t xml:space="preserve"> Rules.  The </w:t>
      </w:r>
      <w:r>
        <w:rPr>
          <w:rFonts w:ascii="Arial" w:hAnsi="Arial" w:cs="Arial"/>
        </w:rPr>
        <w:t>Court</w:t>
      </w:r>
      <w:r w:rsidRPr="00BD5D6E">
        <w:rPr>
          <w:rFonts w:ascii="Arial" w:hAnsi="Arial" w:cs="Arial"/>
        </w:rPr>
        <w:t xml:space="preserve"> ruled that only documents authenticated by a Diplomatic Mission or by a Foreign </w:t>
      </w:r>
      <w:r>
        <w:rPr>
          <w:rFonts w:ascii="Arial" w:hAnsi="Arial" w:cs="Arial"/>
        </w:rPr>
        <w:t>Court</w:t>
      </w:r>
      <w:r w:rsidRPr="00BD5D6E">
        <w:rPr>
          <w:rFonts w:ascii="Arial" w:hAnsi="Arial" w:cs="Arial"/>
        </w:rPr>
        <w:t xml:space="preserve"> or competent Jurisdiction could be admitted in proceedings before a </w:t>
      </w:r>
      <w:r>
        <w:rPr>
          <w:rFonts w:ascii="Arial" w:hAnsi="Arial" w:cs="Arial"/>
        </w:rPr>
        <w:t>Court</w:t>
      </w:r>
      <w:r w:rsidRPr="00BD5D6E">
        <w:rPr>
          <w:rFonts w:ascii="Arial" w:hAnsi="Arial" w:cs="Arial"/>
        </w:rPr>
        <w:t xml:space="preserve"> in Seychelles by virtue of Section 28 of </w:t>
      </w:r>
      <w:r w:rsidRPr="00BD5D6E">
        <w:rPr>
          <w:rFonts w:ascii="Arial" w:hAnsi="Arial" w:cs="Arial"/>
        </w:rPr>
        <w:lastRenderedPageBreak/>
        <w:t xml:space="preserve">the Evidence Act.  In the present case, the </w:t>
      </w:r>
      <w:r>
        <w:rPr>
          <w:rFonts w:ascii="Arial" w:hAnsi="Arial" w:cs="Arial"/>
        </w:rPr>
        <w:t>Court</w:t>
      </w:r>
      <w:r w:rsidRPr="00BD5D6E">
        <w:rPr>
          <w:rFonts w:ascii="Arial" w:hAnsi="Arial" w:cs="Arial"/>
        </w:rPr>
        <w:t xml:space="preserve"> is concerned with the validity of an appointment under Article 392 of the Civil Code.  The pertinent affidavit is not being sought to be filed as part of the pleadings but merely as evidence of a lawful Act. Admittedly, Michel </w:t>
      </w:r>
      <w:proofErr w:type="spellStart"/>
      <w:r w:rsidRPr="00BD5D6E">
        <w:rPr>
          <w:rFonts w:ascii="Arial" w:hAnsi="Arial" w:cs="Arial"/>
        </w:rPr>
        <w:t>Hoareau</w:t>
      </w:r>
      <w:proofErr w:type="spellEnd"/>
      <w:r w:rsidRPr="00BD5D6E">
        <w:rPr>
          <w:rFonts w:ascii="Arial" w:hAnsi="Arial" w:cs="Arial"/>
        </w:rPr>
        <w:t xml:space="preserve">, Michelle Van </w:t>
      </w:r>
      <w:proofErr w:type="spellStart"/>
      <w:r w:rsidRPr="00BD5D6E">
        <w:rPr>
          <w:rFonts w:ascii="Arial" w:hAnsi="Arial" w:cs="Arial"/>
        </w:rPr>
        <w:t>Tongeren</w:t>
      </w:r>
      <w:proofErr w:type="spellEnd"/>
      <w:r w:rsidRPr="00BD5D6E">
        <w:rPr>
          <w:rFonts w:ascii="Arial" w:hAnsi="Arial" w:cs="Arial"/>
        </w:rPr>
        <w:t xml:space="preserve">, the child Nelson </w:t>
      </w:r>
      <w:proofErr w:type="spellStart"/>
      <w:r w:rsidRPr="00BD5D6E">
        <w:rPr>
          <w:rFonts w:ascii="Arial" w:hAnsi="Arial" w:cs="Arial"/>
        </w:rPr>
        <w:t>Hoareau</w:t>
      </w:r>
      <w:proofErr w:type="spellEnd"/>
      <w:r w:rsidRPr="00BD5D6E">
        <w:rPr>
          <w:rFonts w:ascii="Arial" w:hAnsi="Arial" w:cs="Arial"/>
        </w:rPr>
        <w:t>, and the Notary were all present in Nairobi, Kenya when the affidavit was sworn.  Hence that was a valid Act of appointment in terms of the statutory Declaration Act of Kenya in respect of a minor residing there at that time.</w:t>
      </w:r>
    </w:p>
    <w:p w:rsidR="005C049F" w:rsidRPr="00BD5D6E" w:rsidRDefault="005C049F" w:rsidP="005C049F">
      <w:pPr>
        <w:contextualSpacing/>
        <w:jc w:val="both"/>
        <w:rPr>
          <w:rFonts w:ascii="Arial" w:hAnsi="Arial" w:cs="Arial"/>
        </w:rPr>
      </w:pPr>
      <w:r>
        <w:rPr>
          <w:rFonts w:ascii="Arial" w:hAnsi="Arial" w:cs="Arial"/>
          <w:noProof/>
        </w:rPr>
        <w:pict>
          <v:shape id="_x0000_s1028" type="#_x0000_t202" style="position:absolute;left:0;text-align:left;margin-left:-30.55pt;margin-top:-86pt;width:30pt;height:531.55pt;z-index:251662336;mso-height-percent:200;mso-height-percent:200;mso-width-relative:margin;mso-height-relative:margin" stroked="f" strokecolor="white [3212]">
            <v:textbox style="mso-next-textbox:#_x0000_s1028;mso-fit-shape-to-text:t">
              <w:txbxContent>
                <w:p w:rsidR="005C049F" w:rsidRPr="00CF6C02" w:rsidRDefault="005C049F" w:rsidP="005C049F">
                  <w:pPr>
                    <w:rPr>
                      <w:rFonts w:ascii="Arial" w:hAnsi="Arial" w:cs="Arial"/>
                      <w:b/>
                      <w:i/>
                    </w:rPr>
                  </w:pPr>
                </w:p>
              </w:txbxContent>
            </v:textbox>
          </v:shape>
        </w:pict>
      </w:r>
    </w:p>
    <w:p w:rsidR="005C049F" w:rsidRPr="00BD5D6E" w:rsidRDefault="005C049F" w:rsidP="005C049F">
      <w:pPr>
        <w:contextualSpacing/>
        <w:jc w:val="both"/>
        <w:rPr>
          <w:rFonts w:ascii="Arial" w:hAnsi="Arial" w:cs="Arial"/>
        </w:rPr>
      </w:pPr>
      <w:r w:rsidRPr="00BD5D6E">
        <w:rPr>
          <w:rFonts w:ascii="Arial" w:hAnsi="Arial" w:cs="Arial"/>
        </w:rPr>
        <w:t xml:space="preserve">Although the appointment of the </w:t>
      </w:r>
      <w:r>
        <w:rPr>
          <w:rFonts w:ascii="Arial" w:hAnsi="Arial" w:cs="Arial"/>
        </w:rPr>
        <w:t>Applicant</w:t>
      </w:r>
      <w:r w:rsidRPr="00BD5D6E">
        <w:rPr>
          <w:rFonts w:ascii="Arial" w:hAnsi="Arial" w:cs="Arial"/>
        </w:rPr>
        <w:t xml:space="preserve"> by Michelle Van </w:t>
      </w:r>
      <w:proofErr w:type="spellStart"/>
      <w:r w:rsidRPr="00BD5D6E">
        <w:rPr>
          <w:rFonts w:ascii="Arial" w:hAnsi="Arial" w:cs="Arial"/>
        </w:rPr>
        <w:t>Tongeren</w:t>
      </w:r>
      <w:proofErr w:type="spellEnd"/>
      <w:r w:rsidRPr="00BD5D6E">
        <w:rPr>
          <w:rFonts w:ascii="Arial" w:hAnsi="Arial" w:cs="Arial"/>
        </w:rPr>
        <w:t xml:space="preserve"> is valid, she had by her Act indicated that she did not wish to act as guardian on the appointment made by the </w:t>
      </w:r>
      <w:r>
        <w:rPr>
          <w:rFonts w:ascii="Arial" w:hAnsi="Arial" w:cs="Arial"/>
        </w:rPr>
        <w:t>Respondent</w:t>
      </w:r>
      <w:r w:rsidRPr="00BD5D6E">
        <w:rPr>
          <w:rFonts w:ascii="Arial" w:hAnsi="Arial" w:cs="Arial"/>
        </w:rPr>
        <w:t xml:space="preserve">.  Hence in terms of Article 401, the </w:t>
      </w:r>
      <w:r>
        <w:rPr>
          <w:rFonts w:ascii="Arial" w:hAnsi="Arial" w:cs="Arial"/>
        </w:rPr>
        <w:t>Court</w:t>
      </w:r>
      <w:r w:rsidRPr="00BD5D6E">
        <w:rPr>
          <w:rFonts w:ascii="Arial" w:hAnsi="Arial" w:cs="Arial"/>
        </w:rPr>
        <w:t xml:space="preserve"> has authority either to compel her to act or to appoint another person.  But that would arise only where both parents are dead.  In the present case, as the father is alive, he ought to be first removed from his guardianship as of right, before the </w:t>
      </w:r>
      <w:r>
        <w:rPr>
          <w:rFonts w:ascii="Arial" w:hAnsi="Arial" w:cs="Arial"/>
        </w:rPr>
        <w:t>Court</w:t>
      </w:r>
      <w:r w:rsidRPr="00BD5D6E">
        <w:rPr>
          <w:rFonts w:ascii="Arial" w:hAnsi="Arial" w:cs="Arial"/>
        </w:rPr>
        <w:t xml:space="preserve"> appoints any other person, including the </w:t>
      </w:r>
      <w:r>
        <w:rPr>
          <w:rFonts w:ascii="Arial" w:hAnsi="Arial" w:cs="Arial"/>
        </w:rPr>
        <w:t>Applicant</w:t>
      </w:r>
      <w:r w:rsidRPr="00BD5D6E">
        <w:rPr>
          <w:rFonts w:ascii="Arial" w:hAnsi="Arial" w:cs="Arial"/>
        </w:rPr>
        <w:t xml:space="preserve"> as parental power cannot be voluntarily alienated.</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r w:rsidRPr="00BD5D6E">
        <w:rPr>
          <w:rFonts w:ascii="Arial" w:hAnsi="Arial" w:cs="Arial"/>
        </w:rPr>
        <w:t xml:space="preserve">Hence procedurally, the </w:t>
      </w:r>
      <w:r>
        <w:rPr>
          <w:rFonts w:ascii="Arial" w:hAnsi="Arial" w:cs="Arial"/>
        </w:rPr>
        <w:t>Applicant</w:t>
      </w:r>
      <w:r w:rsidRPr="00BD5D6E">
        <w:rPr>
          <w:rFonts w:ascii="Arial" w:hAnsi="Arial" w:cs="Arial"/>
        </w:rPr>
        <w:t xml:space="preserve">, who admittedly has the </w:t>
      </w:r>
      <w:r w:rsidRPr="00D57FF1">
        <w:rPr>
          <w:rFonts w:ascii="Arial" w:hAnsi="Arial" w:cs="Arial"/>
        </w:rPr>
        <w:t xml:space="preserve">de facto </w:t>
      </w:r>
      <w:r w:rsidRPr="00BD5D6E">
        <w:rPr>
          <w:rFonts w:ascii="Arial" w:hAnsi="Arial" w:cs="Arial"/>
        </w:rPr>
        <w:t xml:space="preserve">custody and care of the child in the United Arab Emirates, has the capacity as an </w:t>
      </w:r>
      <w:r w:rsidRPr="00D57FF1">
        <w:rPr>
          <w:rFonts w:ascii="Arial" w:hAnsi="Arial" w:cs="Arial"/>
        </w:rPr>
        <w:t>"interested party"</w:t>
      </w:r>
      <w:r w:rsidRPr="00BD5D6E">
        <w:rPr>
          <w:rFonts w:ascii="Arial" w:hAnsi="Arial" w:cs="Arial"/>
        </w:rPr>
        <w:t xml:space="preserve"> as envisaged in Article 445 of the Civil Code to proceed with the application and to establish that the </w:t>
      </w:r>
      <w:r>
        <w:rPr>
          <w:rFonts w:ascii="Arial" w:hAnsi="Arial" w:cs="Arial"/>
        </w:rPr>
        <w:t>Respondent</w:t>
      </w:r>
      <w:r w:rsidRPr="00BD5D6E">
        <w:rPr>
          <w:rFonts w:ascii="Arial" w:hAnsi="Arial" w:cs="Arial"/>
        </w:rPr>
        <w:t xml:space="preserve"> is incompetent, for the reasons adduced in the Application.  The </w:t>
      </w:r>
      <w:r>
        <w:rPr>
          <w:rFonts w:ascii="Arial" w:hAnsi="Arial" w:cs="Arial"/>
        </w:rPr>
        <w:t>Respondent</w:t>
      </w:r>
      <w:r w:rsidRPr="00BD5D6E">
        <w:rPr>
          <w:rFonts w:ascii="Arial" w:hAnsi="Arial" w:cs="Arial"/>
        </w:rPr>
        <w:t xml:space="preserve"> would undoubtedly have the right under Article 447 to be heard in opposition, and even suggest any other person to be appointed as guardian.  In the ultimate analysis, it would be the duty of the </w:t>
      </w:r>
      <w:r>
        <w:rPr>
          <w:rFonts w:ascii="Arial" w:hAnsi="Arial" w:cs="Arial"/>
        </w:rPr>
        <w:t>Court</w:t>
      </w:r>
      <w:r w:rsidRPr="00BD5D6E">
        <w:rPr>
          <w:rFonts w:ascii="Arial" w:hAnsi="Arial" w:cs="Arial"/>
        </w:rPr>
        <w:t xml:space="preserve"> to decide on the guardianship upon consideration of the best interest of the child.</w:t>
      </w:r>
    </w:p>
    <w:p w:rsidR="005C049F" w:rsidRPr="00BD5D6E" w:rsidRDefault="005C049F" w:rsidP="005C049F">
      <w:pPr>
        <w:contextualSpacing/>
        <w:jc w:val="both"/>
        <w:rPr>
          <w:rFonts w:ascii="Arial" w:hAnsi="Arial" w:cs="Arial"/>
        </w:rPr>
      </w:pPr>
    </w:p>
    <w:p w:rsidR="005C049F" w:rsidRPr="00BD5D6E" w:rsidRDefault="005C049F" w:rsidP="005C049F">
      <w:pPr>
        <w:contextualSpacing/>
        <w:jc w:val="both"/>
        <w:rPr>
          <w:rFonts w:ascii="Arial" w:hAnsi="Arial" w:cs="Arial"/>
        </w:rPr>
      </w:pPr>
    </w:p>
    <w:p w:rsidR="005C049F" w:rsidRPr="00BD5D6E" w:rsidRDefault="005C049F" w:rsidP="005C049F">
      <w:pPr>
        <w:contextualSpacing/>
        <w:rPr>
          <w:rFonts w:ascii="Arial" w:hAnsi="Arial" w:cs="Arial"/>
          <w:b/>
        </w:rPr>
      </w:pPr>
      <w:r>
        <w:rPr>
          <w:rFonts w:ascii="Arial" w:hAnsi="Arial" w:cs="Arial"/>
          <w:b/>
        </w:rPr>
        <w:t xml:space="preserve">Record:  </w:t>
      </w:r>
      <w:r w:rsidRPr="00BD5D6E">
        <w:rPr>
          <w:rFonts w:ascii="Arial" w:hAnsi="Arial" w:cs="Arial"/>
          <w:b/>
        </w:rPr>
        <w:t>Civil Side No 158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6AAE"/>
    <w:multiLevelType w:val="hybridMultilevel"/>
    <w:tmpl w:val="5DC49162"/>
    <w:lvl w:ilvl="0" w:tplc="C776729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049F"/>
    <w:rsid w:val="005C049F"/>
    <w:rsid w:val="00DA5C78"/>
    <w:rsid w:val="00E01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9F"/>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6228</Characters>
  <Application>Microsoft Office Word</Application>
  <DocSecurity>0</DocSecurity>
  <Lines>51</Lines>
  <Paragraphs>14</Paragraphs>
  <ScaleCrop>false</ScaleCrop>
  <Company>Deftones</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2014-01-22T11:00:00Z</dcterms:created>
  <dcterms:modified xsi:type="dcterms:W3CDTF">2014-01-22T11:00:00Z</dcterms:modified>
</cp:coreProperties>
</file>