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315" w:rsidRDefault="00C86315" w:rsidP="00C86315">
      <w:pPr>
        <w:contextualSpacing/>
        <w:jc w:val="center"/>
        <w:rPr>
          <w:rFonts w:ascii="Arial" w:hAnsi="Arial" w:cs="Arial"/>
          <w:b/>
        </w:rPr>
      </w:pPr>
      <w:r w:rsidRPr="004566AD">
        <w:rPr>
          <w:rFonts w:ascii="Arial" w:hAnsi="Arial" w:cs="Arial"/>
          <w:b/>
        </w:rPr>
        <w:t xml:space="preserve">Republic v </w:t>
      </w:r>
      <w:proofErr w:type="spellStart"/>
      <w:r w:rsidRPr="004566AD">
        <w:rPr>
          <w:rFonts w:ascii="Arial" w:hAnsi="Arial" w:cs="Arial"/>
          <w:b/>
        </w:rPr>
        <w:t>Agathine</w:t>
      </w:r>
      <w:proofErr w:type="spellEnd"/>
    </w:p>
    <w:p w:rsidR="00C86315" w:rsidRPr="004566AD" w:rsidRDefault="00C86315" w:rsidP="000D585F">
      <w:pPr>
        <w:contextualSpacing/>
        <w:jc w:val="center"/>
        <w:rPr>
          <w:rFonts w:ascii="Arial" w:hAnsi="Arial" w:cs="Arial"/>
          <w:b/>
        </w:rPr>
      </w:pPr>
      <w:r>
        <w:rPr>
          <w:rFonts w:ascii="Arial" w:hAnsi="Arial" w:cs="Arial"/>
          <w:b/>
        </w:rPr>
        <w:t>(2007) S</w:t>
      </w:r>
      <w:r w:rsidR="000D585F">
        <w:rPr>
          <w:rFonts w:ascii="Arial" w:hAnsi="Arial" w:cs="Arial"/>
          <w:b/>
        </w:rPr>
        <w:t>L</w:t>
      </w:r>
      <w:r>
        <w:rPr>
          <w:rFonts w:ascii="Arial" w:hAnsi="Arial" w:cs="Arial"/>
          <w:b/>
        </w:rPr>
        <w:t>R 13</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David ESPARON for the Republic</w:t>
      </w:r>
    </w:p>
    <w:p w:rsidR="00C86315" w:rsidRPr="004566AD" w:rsidRDefault="00C86315" w:rsidP="00C86315">
      <w:pPr>
        <w:contextualSpacing/>
        <w:jc w:val="both"/>
        <w:rPr>
          <w:rFonts w:ascii="Arial" w:hAnsi="Arial" w:cs="Arial"/>
        </w:rPr>
      </w:pPr>
      <w:r w:rsidRPr="004566AD">
        <w:rPr>
          <w:rFonts w:ascii="Arial" w:hAnsi="Arial" w:cs="Arial"/>
        </w:rPr>
        <w:t xml:space="preserve">Frank ELIZABETH for the </w:t>
      </w:r>
      <w:r>
        <w:rPr>
          <w:rFonts w:ascii="Arial" w:hAnsi="Arial" w:cs="Arial"/>
        </w:rPr>
        <w:t>a</w:t>
      </w:r>
      <w:r w:rsidRPr="004566AD">
        <w:rPr>
          <w:rFonts w:ascii="Arial" w:hAnsi="Arial" w:cs="Arial"/>
        </w:rPr>
        <w:t>ccused</w:t>
      </w:r>
    </w:p>
    <w:p w:rsidR="00C86315" w:rsidRPr="004566AD" w:rsidRDefault="00C86315" w:rsidP="00C86315">
      <w:pPr>
        <w:contextualSpacing/>
        <w:jc w:val="both"/>
        <w:rPr>
          <w:rFonts w:ascii="Arial" w:hAnsi="Arial" w:cs="Arial"/>
        </w:rPr>
      </w:pPr>
    </w:p>
    <w:p w:rsidR="00C86315" w:rsidRPr="004566AD" w:rsidRDefault="00C86315" w:rsidP="00C86315">
      <w:pPr>
        <w:contextualSpacing/>
        <w:rPr>
          <w:rFonts w:ascii="Arial" w:hAnsi="Arial" w:cs="Arial"/>
          <w:b/>
        </w:rPr>
      </w:pPr>
      <w:r w:rsidRPr="004566AD">
        <w:rPr>
          <w:rFonts w:ascii="Arial" w:hAnsi="Arial" w:cs="Arial"/>
          <w:b/>
        </w:rPr>
        <w:t>Ruling delivered on 21 June 2007 by:</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b/>
        </w:rPr>
        <w:t xml:space="preserve">PERERA J:  </w:t>
      </w:r>
      <w:r w:rsidRPr="004566AD">
        <w:rPr>
          <w:rFonts w:ascii="Arial" w:hAnsi="Arial" w:cs="Arial"/>
        </w:rPr>
        <w:t xml:space="preserve">The </w:t>
      </w:r>
      <w:r>
        <w:rPr>
          <w:rFonts w:ascii="Arial" w:hAnsi="Arial" w:cs="Arial"/>
        </w:rPr>
        <w:t>a</w:t>
      </w:r>
      <w:r w:rsidRPr="004566AD">
        <w:rPr>
          <w:rFonts w:ascii="Arial" w:hAnsi="Arial" w:cs="Arial"/>
        </w:rPr>
        <w:t xml:space="preserve">ccused has filed a motion under </w:t>
      </w:r>
      <w:r>
        <w:rPr>
          <w:rFonts w:ascii="Arial" w:hAnsi="Arial" w:cs="Arial"/>
        </w:rPr>
        <w:t>a</w:t>
      </w:r>
      <w:r w:rsidRPr="004566AD">
        <w:rPr>
          <w:rFonts w:ascii="Arial" w:hAnsi="Arial" w:cs="Arial"/>
        </w:rPr>
        <w:t xml:space="preserve">rticle 46(7) of the Constitution for a referral of a </w:t>
      </w:r>
      <w:r>
        <w:rPr>
          <w:rFonts w:ascii="Arial" w:hAnsi="Arial" w:cs="Arial"/>
        </w:rPr>
        <w:t>c</w:t>
      </w:r>
      <w:r w:rsidRPr="004566AD">
        <w:rPr>
          <w:rFonts w:ascii="Arial" w:hAnsi="Arial" w:cs="Arial"/>
        </w:rPr>
        <w:t xml:space="preserve">onstitutional issue, to the Constitutional Court.  The issue is based on </w:t>
      </w:r>
      <w:r>
        <w:rPr>
          <w:rFonts w:ascii="Arial" w:hAnsi="Arial" w:cs="Arial"/>
        </w:rPr>
        <w:t>a</w:t>
      </w:r>
      <w:r w:rsidRPr="004566AD">
        <w:rPr>
          <w:rFonts w:ascii="Arial" w:hAnsi="Arial" w:cs="Arial"/>
        </w:rPr>
        <w:t>rticle 19(2) (e) which provides –</w:t>
      </w:r>
    </w:p>
    <w:p w:rsidR="00C86315" w:rsidRPr="004566AD" w:rsidRDefault="00C86315" w:rsidP="00C86315">
      <w:pPr>
        <w:contextualSpacing/>
        <w:jc w:val="both"/>
        <w:rPr>
          <w:rFonts w:ascii="Arial" w:hAnsi="Arial" w:cs="Arial"/>
        </w:rPr>
      </w:pPr>
    </w:p>
    <w:p w:rsidR="00C86315" w:rsidRPr="004566AD" w:rsidRDefault="00C86315" w:rsidP="00C86315">
      <w:pPr>
        <w:ind w:left="720" w:right="720"/>
        <w:contextualSpacing/>
        <w:jc w:val="both"/>
        <w:rPr>
          <w:rFonts w:ascii="Arial" w:hAnsi="Arial" w:cs="Arial"/>
        </w:rPr>
      </w:pPr>
      <w:r w:rsidRPr="004566AD">
        <w:rPr>
          <w:rFonts w:ascii="Arial" w:hAnsi="Arial" w:cs="Arial"/>
        </w:rPr>
        <w:t>(2)</w:t>
      </w:r>
      <w:r w:rsidRPr="004566AD">
        <w:rPr>
          <w:rFonts w:ascii="Arial" w:hAnsi="Arial" w:cs="Arial"/>
        </w:rPr>
        <w:tab/>
        <w:t>Every person who is charged with an offence –</w:t>
      </w:r>
    </w:p>
    <w:p w:rsidR="00C86315" w:rsidRPr="004566AD" w:rsidRDefault="00C86315" w:rsidP="00C86315">
      <w:pPr>
        <w:ind w:left="720" w:right="720"/>
        <w:contextualSpacing/>
        <w:jc w:val="both"/>
        <w:rPr>
          <w:rFonts w:ascii="Arial" w:hAnsi="Arial" w:cs="Arial"/>
        </w:rPr>
      </w:pPr>
    </w:p>
    <w:p w:rsidR="00C86315" w:rsidRPr="004566AD" w:rsidRDefault="00C86315" w:rsidP="00C86315">
      <w:pPr>
        <w:ind w:left="720" w:right="720"/>
        <w:contextualSpacing/>
        <w:jc w:val="both"/>
        <w:rPr>
          <w:rFonts w:ascii="Arial" w:hAnsi="Arial" w:cs="Arial"/>
        </w:rPr>
      </w:pPr>
      <w:r w:rsidRPr="004566AD">
        <w:rPr>
          <w:rFonts w:ascii="Arial" w:hAnsi="Arial" w:cs="Arial"/>
        </w:rPr>
        <w:tab/>
        <w:t>………………………</w:t>
      </w:r>
    </w:p>
    <w:p w:rsidR="00C86315" w:rsidRPr="004566AD" w:rsidRDefault="00C86315" w:rsidP="00C86315">
      <w:pPr>
        <w:ind w:left="720" w:right="720"/>
        <w:contextualSpacing/>
        <w:jc w:val="both"/>
        <w:rPr>
          <w:rFonts w:ascii="Arial" w:hAnsi="Arial" w:cs="Arial"/>
        </w:rPr>
      </w:pPr>
    </w:p>
    <w:p w:rsidR="00C86315" w:rsidRPr="004566AD" w:rsidRDefault="00C86315" w:rsidP="00C86315">
      <w:pPr>
        <w:ind w:left="1440" w:right="720" w:hanging="720"/>
        <w:contextualSpacing/>
        <w:jc w:val="both"/>
        <w:rPr>
          <w:rFonts w:ascii="Arial" w:hAnsi="Arial" w:cs="Arial"/>
        </w:rPr>
      </w:pPr>
      <w:r w:rsidRPr="004566AD">
        <w:rPr>
          <w:rFonts w:ascii="Arial" w:hAnsi="Arial" w:cs="Arial"/>
        </w:rPr>
        <w:t>(e)</w:t>
      </w:r>
      <w:r w:rsidRPr="004566AD">
        <w:rPr>
          <w:rFonts w:ascii="Arial" w:hAnsi="Arial" w:cs="Arial"/>
        </w:rPr>
        <w:tab/>
        <w:t xml:space="preserve">Has right to examine, in person or by a legal </w:t>
      </w:r>
      <w:r>
        <w:rPr>
          <w:rFonts w:ascii="Arial" w:hAnsi="Arial" w:cs="Arial"/>
        </w:rPr>
        <w:t>p</w:t>
      </w:r>
      <w:r w:rsidRPr="004566AD">
        <w:rPr>
          <w:rFonts w:ascii="Arial" w:hAnsi="Arial" w:cs="Arial"/>
        </w:rPr>
        <w:t xml:space="preserve">ractitioner, the witnesses called by the </w:t>
      </w:r>
      <w:r>
        <w:rPr>
          <w:rFonts w:ascii="Arial" w:hAnsi="Arial" w:cs="Arial"/>
        </w:rPr>
        <w:t>p</w:t>
      </w:r>
      <w:r w:rsidRPr="004566AD">
        <w:rPr>
          <w:rFonts w:ascii="Arial" w:hAnsi="Arial" w:cs="Arial"/>
        </w:rPr>
        <w:t xml:space="preserve">rosecution before any </w:t>
      </w:r>
      <w:r>
        <w:rPr>
          <w:rFonts w:ascii="Arial" w:hAnsi="Arial" w:cs="Arial"/>
        </w:rPr>
        <w:t>c</w:t>
      </w:r>
      <w:r w:rsidRPr="004566AD">
        <w:rPr>
          <w:rFonts w:ascii="Arial" w:hAnsi="Arial" w:cs="Arial"/>
        </w:rPr>
        <w:t xml:space="preserve">ourt, and to obtain the attendance and carry out the examination of witnesses to testify on the person's behalf before the </w:t>
      </w:r>
      <w:r>
        <w:rPr>
          <w:rFonts w:ascii="Arial" w:hAnsi="Arial" w:cs="Arial"/>
        </w:rPr>
        <w:t>c</w:t>
      </w:r>
      <w:r w:rsidRPr="004566AD">
        <w:rPr>
          <w:rFonts w:ascii="Arial" w:hAnsi="Arial" w:cs="Arial"/>
        </w:rPr>
        <w:t xml:space="preserve">ourt on the same conditions as those applying to witnesses called by the </w:t>
      </w:r>
      <w:r>
        <w:rPr>
          <w:rFonts w:ascii="Arial" w:hAnsi="Arial" w:cs="Arial"/>
        </w:rPr>
        <w:t>p</w:t>
      </w:r>
      <w:r w:rsidRPr="004566AD">
        <w:rPr>
          <w:rFonts w:ascii="Arial" w:hAnsi="Arial" w:cs="Arial"/>
        </w:rPr>
        <w:t>rosecution.</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Article 19(10) contains the following derogation-</w:t>
      </w:r>
    </w:p>
    <w:p w:rsidR="00C86315" w:rsidRPr="004566AD" w:rsidRDefault="00C86315" w:rsidP="00C86315">
      <w:pPr>
        <w:contextualSpacing/>
        <w:jc w:val="both"/>
        <w:rPr>
          <w:rFonts w:ascii="Arial" w:hAnsi="Arial" w:cs="Arial"/>
        </w:rPr>
      </w:pPr>
    </w:p>
    <w:p w:rsidR="00C86315" w:rsidRPr="004566AD" w:rsidRDefault="00C86315" w:rsidP="00C86315">
      <w:pPr>
        <w:ind w:left="720" w:right="720"/>
        <w:contextualSpacing/>
        <w:jc w:val="both"/>
        <w:rPr>
          <w:rFonts w:ascii="Arial" w:hAnsi="Arial" w:cs="Arial"/>
        </w:rPr>
      </w:pPr>
      <w:r w:rsidRPr="004566AD">
        <w:rPr>
          <w:rFonts w:ascii="Arial" w:hAnsi="Arial" w:cs="Arial"/>
        </w:rPr>
        <w:t>10</w:t>
      </w:r>
      <w:r w:rsidRPr="004566AD">
        <w:rPr>
          <w:rFonts w:ascii="Arial" w:hAnsi="Arial" w:cs="Arial"/>
        </w:rPr>
        <w:tab/>
        <w:t xml:space="preserve">Anything contained in or done under the authority of any law necessary in a </w:t>
      </w:r>
      <w:r>
        <w:rPr>
          <w:rFonts w:ascii="Arial" w:hAnsi="Arial" w:cs="Arial"/>
        </w:rPr>
        <w:t>d</w:t>
      </w:r>
      <w:r w:rsidRPr="004566AD">
        <w:rPr>
          <w:rFonts w:ascii="Arial" w:hAnsi="Arial" w:cs="Arial"/>
        </w:rPr>
        <w:t xml:space="preserve">emocratic </w:t>
      </w:r>
      <w:r>
        <w:rPr>
          <w:rFonts w:ascii="Arial" w:hAnsi="Arial" w:cs="Arial"/>
        </w:rPr>
        <w:t>s</w:t>
      </w:r>
      <w:r w:rsidRPr="004566AD">
        <w:rPr>
          <w:rFonts w:ascii="Arial" w:hAnsi="Arial" w:cs="Arial"/>
        </w:rPr>
        <w:t>ociety shall not be held to be inconsistent with or in contravention of-</w:t>
      </w:r>
    </w:p>
    <w:p w:rsidR="00C86315" w:rsidRPr="004566AD" w:rsidRDefault="00C86315" w:rsidP="00C86315">
      <w:pPr>
        <w:ind w:left="720" w:right="720"/>
        <w:contextualSpacing/>
        <w:jc w:val="both"/>
        <w:rPr>
          <w:rFonts w:ascii="Arial" w:hAnsi="Arial" w:cs="Arial"/>
        </w:rPr>
      </w:pPr>
    </w:p>
    <w:p w:rsidR="00C86315" w:rsidRPr="004566AD" w:rsidRDefault="00C86315" w:rsidP="00C86315">
      <w:pPr>
        <w:pStyle w:val="ListParagraph"/>
        <w:widowControl/>
        <w:numPr>
          <w:ilvl w:val="0"/>
          <w:numId w:val="1"/>
        </w:numPr>
        <w:ind w:left="1080" w:right="720"/>
        <w:jc w:val="both"/>
        <w:rPr>
          <w:rFonts w:ascii="Arial" w:hAnsi="Arial" w:cs="Arial"/>
        </w:rPr>
      </w:pPr>
      <w:r>
        <w:rPr>
          <w:rFonts w:ascii="Arial" w:hAnsi="Arial" w:cs="Arial"/>
        </w:rPr>
        <w:t>Clause (1)(</w:t>
      </w:r>
      <w:r w:rsidRPr="004566AD">
        <w:rPr>
          <w:rFonts w:ascii="Arial" w:hAnsi="Arial" w:cs="Arial"/>
        </w:rPr>
        <w:t>2</w:t>
      </w:r>
      <w:r>
        <w:rPr>
          <w:rFonts w:ascii="Arial" w:hAnsi="Arial" w:cs="Arial"/>
        </w:rPr>
        <w:t>)(</w:t>
      </w:r>
      <w:r w:rsidRPr="004566AD">
        <w:rPr>
          <w:rFonts w:ascii="Arial" w:hAnsi="Arial" w:cs="Arial"/>
        </w:rPr>
        <w:t>e</w:t>
      </w:r>
      <w:r>
        <w:rPr>
          <w:rFonts w:ascii="Arial" w:hAnsi="Arial" w:cs="Arial"/>
        </w:rPr>
        <w:t>)</w:t>
      </w:r>
      <w:r w:rsidRPr="004566AD">
        <w:rPr>
          <w:rFonts w:ascii="Arial" w:hAnsi="Arial" w:cs="Arial"/>
        </w:rPr>
        <w:t xml:space="preserve">, or 8, to the extent that the law in question makes necessary provision relating to the grounds of privilege or public policy on which evidence shall not be disclosed or </w:t>
      </w:r>
      <w:r w:rsidRPr="004566AD">
        <w:rPr>
          <w:rFonts w:ascii="Arial" w:hAnsi="Arial" w:cs="Arial"/>
          <w:u w:val="single"/>
        </w:rPr>
        <w:t>witnesses are not competent or cannot be compelled to give evidence i</w:t>
      </w:r>
      <w:r>
        <w:rPr>
          <w:rFonts w:ascii="Arial" w:hAnsi="Arial" w:cs="Arial"/>
          <w:u w:val="single"/>
        </w:rPr>
        <w:t>n any proceedings.</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The </w:t>
      </w:r>
      <w:r>
        <w:rPr>
          <w:rFonts w:ascii="Arial" w:hAnsi="Arial" w:cs="Arial"/>
        </w:rPr>
        <w:t>a</w:t>
      </w:r>
      <w:r w:rsidRPr="004566AD">
        <w:rPr>
          <w:rFonts w:ascii="Arial" w:hAnsi="Arial" w:cs="Arial"/>
        </w:rPr>
        <w:t>ccused stands charged on four counts involving alleged offences of importation and possession of 3 g</w:t>
      </w:r>
      <w:r>
        <w:rPr>
          <w:rFonts w:ascii="Arial" w:hAnsi="Arial" w:cs="Arial"/>
        </w:rPr>
        <w:t xml:space="preserve"> and 499 mg</w:t>
      </w:r>
      <w:r w:rsidRPr="004566AD">
        <w:rPr>
          <w:rFonts w:ascii="Arial" w:hAnsi="Arial" w:cs="Arial"/>
        </w:rPr>
        <w:t xml:space="preserve"> of cannabis resin and 75 ml grams of cocaine.  The prosecution case is that the said drugs were concealed in clothes in the luggage of the </w:t>
      </w:r>
      <w:r>
        <w:rPr>
          <w:rFonts w:ascii="Arial" w:hAnsi="Arial" w:cs="Arial"/>
        </w:rPr>
        <w:t>a</w:t>
      </w:r>
      <w:r w:rsidRPr="004566AD">
        <w:rPr>
          <w:rFonts w:ascii="Arial" w:hAnsi="Arial" w:cs="Arial"/>
        </w:rPr>
        <w:t>ccused when he disembarked at the Seychelles International Airport from a flight from Johannesburg on 4 June 2005.</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The </w:t>
      </w:r>
      <w:r>
        <w:rPr>
          <w:rFonts w:ascii="Arial" w:hAnsi="Arial" w:cs="Arial"/>
        </w:rPr>
        <w:t>a</w:t>
      </w:r>
      <w:r w:rsidRPr="004566AD">
        <w:rPr>
          <w:rFonts w:ascii="Arial" w:hAnsi="Arial" w:cs="Arial"/>
        </w:rPr>
        <w:t xml:space="preserve">ccused has, in an affidavit filed with the motion for referral, averred that he is married to one Vanessa </w:t>
      </w:r>
      <w:proofErr w:type="spellStart"/>
      <w:r w:rsidRPr="004566AD">
        <w:rPr>
          <w:rFonts w:ascii="Arial" w:hAnsi="Arial" w:cs="Arial"/>
        </w:rPr>
        <w:t>Agathine</w:t>
      </w:r>
      <w:proofErr w:type="spellEnd"/>
      <w:r w:rsidRPr="004566AD">
        <w:rPr>
          <w:rFonts w:ascii="Arial" w:hAnsi="Arial" w:cs="Arial"/>
        </w:rPr>
        <w:t xml:space="preserve">, a South African </w:t>
      </w:r>
      <w:r>
        <w:rPr>
          <w:rFonts w:ascii="Arial" w:hAnsi="Arial" w:cs="Arial"/>
        </w:rPr>
        <w:t>n</w:t>
      </w:r>
      <w:r w:rsidRPr="004566AD">
        <w:rPr>
          <w:rFonts w:ascii="Arial" w:hAnsi="Arial" w:cs="Arial"/>
        </w:rPr>
        <w:t xml:space="preserve">ational and that she was deported from Seychelles two years ago.  The order of deportation is being canvassed in an application for judicial </w:t>
      </w:r>
      <w:proofErr w:type="gramStart"/>
      <w:r w:rsidRPr="004566AD">
        <w:rPr>
          <w:rFonts w:ascii="Arial" w:hAnsi="Arial" w:cs="Arial"/>
        </w:rPr>
        <w:t>review,</w:t>
      </w:r>
      <w:proofErr w:type="gramEnd"/>
      <w:r w:rsidRPr="004566AD">
        <w:rPr>
          <w:rFonts w:ascii="Arial" w:hAnsi="Arial" w:cs="Arial"/>
        </w:rPr>
        <w:t xml:space="preserve"> in case no 142 of 2006 which is still pending disposal.  In that case, it is averred that the deportation order was made on 18 June 2005.</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In the present motion, the </w:t>
      </w:r>
      <w:r>
        <w:rPr>
          <w:rFonts w:ascii="Arial" w:hAnsi="Arial" w:cs="Arial"/>
        </w:rPr>
        <w:t>a</w:t>
      </w:r>
      <w:r w:rsidRPr="004566AD">
        <w:rPr>
          <w:rFonts w:ascii="Arial" w:hAnsi="Arial" w:cs="Arial"/>
        </w:rPr>
        <w:t xml:space="preserve">ccused further avers that his entire luggage on his trip to Seychelles on 4 June 2005, was packed by his wife, and hence he had no knowledge of its contents.  Relying on </w:t>
      </w:r>
      <w:r>
        <w:rPr>
          <w:rFonts w:ascii="Arial" w:hAnsi="Arial" w:cs="Arial"/>
        </w:rPr>
        <w:t>a</w:t>
      </w:r>
      <w:r w:rsidRPr="004566AD">
        <w:rPr>
          <w:rFonts w:ascii="Arial" w:hAnsi="Arial" w:cs="Arial"/>
        </w:rPr>
        <w:t>rticle 19(2</w:t>
      </w:r>
      <w:proofErr w:type="gramStart"/>
      <w:r w:rsidRPr="004566AD">
        <w:rPr>
          <w:rFonts w:ascii="Arial" w:hAnsi="Arial" w:cs="Arial"/>
        </w:rPr>
        <w:t>)(</w:t>
      </w:r>
      <w:proofErr w:type="gramEnd"/>
      <w:r w:rsidRPr="004566AD">
        <w:rPr>
          <w:rFonts w:ascii="Arial" w:hAnsi="Arial" w:cs="Arial"/>
        </w:rPr>
        <w:t>e), he avers that if his wife cannot testify in this case he will not have a fair trial.</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Pursuant to </w:t>
      </w:r>
      <w:r>
        <w:rPr>
          <w:rFonts w:ascii="Arial" w:hAnsi="Arial" w:cs="Arial"/>
        </w:rPr>
        <w:t>a</w:t>
      </w:r>
      <w:r w:rsidRPr="004566AD">
        <w:rPr>
          <w:rFonts w:ascii="Arial" w:hAnsi="Arial" w:cs="Arial"/>
        </w:rPr>
        <w:t xml:space="preserve">rticle 46(7) of the Constitution, where in the </w:t>
      </w:r>
      <w:r>
        <w:rPr>
          <w:rFonts w:ascii="Arial" w:hAnsi="Arial" w:cs="Arial"/>
        </w:rPr>
        <w:t>c</w:t>
      </w:r>
      <w:r w:rsidRPr="004566AD">
        <w:rPr>
          <w:rFonts w:ascii="Arial" w:hAnsi="Arial" w:cs="Arial"/>
        </w:rPr>
        <w:t xml:space="preserve">ourse of any proceedings, a question arises with regard to whether there has been or is likely to be a contravention of the </w:t>
      </w:r>
      <w:r>
        <w:rPr>
          <w:rFonts w:ascii="Arial" w:hAnsi="Arial" w:cs="Arial"/>
        </w:rPr>
        <w:t>C</w:t>
      </w:r>
      <w:r w:rsidRPr="004566AD">
        <w:rPr>
          <w:rFonts w:ascii="Arial" w:hAnsi="Arial" w:cs="Arial"/>
        </w:rPr>
        <w:t>harter</w:t>
      </w:r>
      <w:r>
        <w:rPr>
          <w:rFonts w:ascii="Arial" w:hAnsi="Arial" w:cs="Arial"/>
        </w:rPr>
        <w:t xml:space="preserve">, </w:t>
      </w:r>
      <w:r w:rsidRPr="004566AD">
        <w:rPr>
          <w:rFonts w:ascii="Arial" w:hAnsi="Arial" w:cs="Arial"/>
        </w:rPr>
        <w:t xml:space="preserve">the Court shall, if it is satisfied that the question is </w:t>
      </w:r>
      <w:r w:rsidRPr="003C1915">
        <w:rPr>
          <w:rFonts w:ascii="Arial" w:hAnsi="Arial" w:cs="Arial"/>
          <w:u w:val="single"/>
        </w:rPr>
        <w:t xml:space="preserve">not frivolous or vexatious </w:t>
      </w:r>
      <w:r w:rsidRPr="004566AD">
        <w:rPr>
          <w:rFonts w:ascii="Arial" w:hAnsi="Arial" w:cs="Arial"/>
        </w:rPr>
        <w:t>or has (not) already been the subject of a decision of the Constitutional Court of the Court of Appeal, immediately adjourn the proceedings and refer the question for determination by the Constitutional Court.</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This issue has not been the subject of a decision of the Constitutional Court or of the Court of Appeal.  However, is it frivolous or vexatious?</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proofErr w:type="gramStart"/>
      <w:r w:rsidRPr="004566AD">
        <w:rPr>
          <w:rFonts w:ascii="Arial" w:hAnsi="Arial" w:cs="Arial"/>
        </w:rPr>
        <w:t>The terms "frivolous" and "vexatious,” in their legal connotations mean, cases or issues that are obviously unsustainable.</w:t>
      </w:r>
      <w:proofErr w:type="gramEnd"/>
      <w:r w:rsidRPr="004566AD">
        <w:rPr>
          <w:rFonts w:ascii="Arial" w:hAnsi="Arial" w:cs="Arial"/>
        </w:rPr>
        <w:t xml:space="preserve">  In this respect, the Court has to consider how the alleged likely contravention of </w:t>
      </w:r>
      <w:r>
        <w:rPr>
          <w:rFonts w:ascii="Arial" w:hAnsi="Arial" w:cs="Arial"/>
        </w:rPr>
        <w:t>a</w:t>
      </w:r>
      <w:r w:rsidRPr="004566AD">
        <w:rPr>
          <w:rFonts w:ascii="Arial" w:hAnsi="Arial" w:cs="Arial"/>
        </w:rPr>
        <w:t>rticle 19(2</w:t>
      </w:r>
      <w:proofErr w:type="gramStart"/>
      <w:r w:rsidRPr="004566AD">
        <w:rPr>
          <w:rFonts w:ascii="Arial" w:hAnsi="Arial" w:cs="Arial"/>
        </w:rPr>
        <w:t>)(</w:t>
      </w:r>
      <w:proofErr w:type="gramEnd"/>
      <w:r w:rsidRPr="004566AD">
        <w:rPr>
          <w:rFonts w:ascii="Arial" w:hAnsi="Arial" w:cs="Arial"/>
        </w:rPr>
        <w:t xml:space="preserve">e) relates to a </w:t>
      </w:r>
      <w:proofErr w:type="spellStart"/>
      <w:r w:rsidRPr="004566AD">
        <w:rPr>
          <w:rFonts w:ascii="Arial" w:hAnsi="Arial" w:cs="Arial"/>
        </w:rPr>
        <w:t>defence</w:t>
      </w:r>
      <w:proofErr w:type="spellEnd"/>
      <w:r w:rsidRPr="004566AD">
        <w:rPr>
          <w:rFonts w:ascii="Arial" w:hAnsi="Arial" w:cs="Arial"/>
        </w:rPr>
        <w:t xml:space="preserve"> witness who is unable to attend </w:t>
      </w:r>
      <w:r>
        <w:rPr>
          <w:rFonts w:ascii="Arial" w:hAnsi="Arial" w:cs="Arial"/>
        </w:rPr>
        <w:t>c</w:t>
      </w:r>
      <w:r w:rsidRPr="004566AD">
        <w:rPr>
          <w:rFonts w:ascii="Arial" w:hAnsi="Arial" w:cs="Arial"/>
        </w:rPr>
        <w:t>ourt due to a legal incapacity.</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In this case, the </w:t>
      </w:r>
      <w:r>
        <w:rPr>
          <w:rFonts w:ascii="Arial" w:hAnsi="Arial" w:cs="Arial"/>
        </w:rPr>
        <w:t>p</w:t>
      </w:r>
      <w:r w:rsidRPr="004566AD">
        <w:rPr>
          <w:rFonts w:ascii="Arial" w:hAnsi="Arial" w:cs="Arial"/>
        </w:rPr>
        <w:t xml:space="preserve">rosecution has closed its case.  Upon the Court finding that the </w:t>
      </w:r>
      <w:r>
        <w:rPr>
          <w:rFonts w:ascii="Arial" w:hAnsi="Arial" w:cs="Arial"/>
        </w:rPr>
        <w:t>p</w:t>
      </w:r>
      <w:r w:rsidRPr="004566AD">
        <w:rPr>
          <w:rFonts w:ascii="Arial" w:hAnsi="Arial" w:cs="Arial"/>
        </w:rPr>
        <w:t xml:space="preserve">rosecution has established a prima facie case, the accused was called upon to present his </w:t>
      </w:r>
      <w:proofErr w:type="spellStart"/>
      <w:r w:rsidRPr="004566AD">
        <w:rPr>
          <w:rFonts w:ascii="Arial" w:hAnsi="Arial" w:cs="Arial"/>
        </w:rPr>
        <w:t>defence</w:t>
      </w:r>
      <w:proofErr w:type="spellEnd"/>
      <w:r w:rsidRPr="004566AD">
        <w:rPr>
          <w:rFonts w:ascii="Arial" w:hAnsi="Arial" w:cs="Arial"/>
        </w:rPr>
        <w:t xml:space="preserve">.  He elected to give evidence </w:t>
      </w:r>
      <w:r>
        <w:rPr>
          <w:rFonts w:ascii="Arial" w:hAnsi="Arial" w:cs="Arial"/>
        </w:rPr>
        <w:t>o</w:t>
      </w:r>
      <w:r w:rsidRPr="004566AD">
        <w:rPr>
          <w:rFonts w:ascii="Arial" w:hAnsi="Arial" w:cs="Arial"/>
        </w:rPr>
        <w:t xml:space="preserve">n his own behalf and also to call witnesses.  </w:t>
      </w:r>
      <w:proofErr w:type="spellStart"/>
      <w:r w:rsidRPr="004566AD">
        <w:rPr>
          <w:rFonts w:ascii="Arial" w:hAnsi="Arial" w:cs="Arial"/>
        </w:rPr>
        <w:t>Mr</w:t>
      </w:r>
      <w:proofErr w:type="spellEnd"/>
      <w:r w:rsidRPr="004566AD">
        <w:rPr>
          <w:rFonts w:ascii="Arial" w:hAnsi="Arial" w:cs="Arial"/>
        </w:rPr>
        <w:t xml:space="preserve"> Elizabeth informed </w:t>
      </w:r>
      <w:r>
        <w:rPr>
          <w:rFonts w:ascii="Arial" w:hAnsi="Arial" w:cs="Arial"/>
        </w:rPr>
        <w:t xml:space="preserve">the </w:t>
      </w:r>
      <w:r w:rsidRPr="004566AD">
        <w:rPr>
          <w:rFonts w:ascii="Arial" w:hAnsi="Arial" w:cs="Arial"/>
        </w:rPr>
        <w:t xml:space="preserve">Court that he intended to call two witnesses from South Africa, one being the wife of the accused who cannot come to Seychelles as she has been declared a prohibited immigrant.  Hence she has a legal incapacity to attend this Court to testify, and therefore is </w:t>
      </w:r>
      <w:proofErr w:type="gramStart"/>
      <w:r w:rsidRPr="004566AD">
        <w:rPr>
          <w:rFonts w:ascii="Arial" w:hAnsi="Arial" w:cs="Arial"/>
        </w:rPr>
        <w:t>not competent nor</w:t>
      </w:r>
      <w:proofErr w:type="gramEnd"/>
      <w:r w:rsidRPr="004566AD">
        <w:rPr>
          <w:rFonts w:ascii="Arial" w:hAnsi="Arial" w:cs="Arial"/>
        </w:rPr>
        <w:t xml:space="preserve"> compellable </w:t>
      </w:r>
      <w:r>
        <w:rPr>
          <w:rFonts w:ascii="Arial" w:hAnsi="Arial" w:cs="Arial"/>
        </w:rPr>
        <w:t>while</w:t>
      </w:r>
      <w:r w:rsidRPr="004566AD">
        <w:rPr>
          <w:rFonts w:ascii="Arial" w:hAnsi="Arial" w:cs="Arial"/>
        </w:rPr>
        <w:t xml:space="preserve"> the deportation order subsists.  The powers of the Constitutional Court relate to the application, contravention, enforcement or interpretation of the Constitution.  Hence, for the Constitutional Court to hold that </w:t>
      </w:r>
      <w:r>
        <w:rPr>
          <w:rFonts w:ascii="Arial" w:hAnsi="Arial" w:cs="Arial"/>
        </w:rPr>
        <w:t>a</w:t>
      </w:r>
      <w:r w:rsidRPr="004566AD">
        <w:rPr>
          <w:rFonts w:ascii="Arial" w:hAnsi="Arial" w:cs="Arial"/>
        </w:rPr>
        <w:t>rticle 19(2</w:t>
      </w:r>
      <w:proofErr w:type="gramStart"/>
      <w:r w:rsidRPr="004566AD">
        <w:rPr>
          <w:rFonts w:ascii="Arial" w:hAnsi="Arial" w:cs="Arial"/>
        </w:rPr>
        <w:t>)(</w:t>
      </w:r>
      <w:proofErr w:type="gramEnd"/>
      <w:r w:rsidRPr="004566AD">
        <w:rPr>
          <w:rFonts w:ascii="Arial" w:hAnsi="Arial" w:cs="Arial"/>
        </w:rPr>
        <w:t xml:space="preserve">e) has been contravened in relation to the accused, it must necessarily determine that the deportation order was illegal.  That is not a matter for the Constitutional Court, but for the Supreme Court exercising its supervisory jurisdiction under </w:t>
      </w:r>
      <w:r>
        <w:rPr>
          <w:rFonts w:ascii="Arial" w:hAnsi="Arial" w:cs="Arial"/>
        </w:rPr>
        <w:t>a</w:t>
      </w:r>
      <w:r w:rsidRPr="004566AD">
        <w:rPr>
          <w:rFonts w:ascii="Arial" w:hAnsi="Arial" w:cs="Arial"/>
        </w:rPr>
        <w:t>rticle 125(1</w:t>
      </w:r>
      <w:proofErr w:type="gramStart"/>
      <w:r w:rsidRPr="004566AD">
        <w:rPr>
          <w:rFonts w:ascii="Arial" w:hAnsi="Arial" w:cs="Arial"/>
        </w:rPr>
        <w:t>)(</w:t>
      </w:r>
      <w:proofErr w:type="gramEnd"/>
      <w:r w:rsidRPr="004566AD">
        <w:rPr>
          <w:rFonts w:ascii="Arial" w:hAnsi="Arial" w:cs="Arial"/>
        </w:rPr>
        <w:t>c) of the Constitution.</w:t>
      </w:r>
    </w:p>
    <w:p w:rsidR="00C86315"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Article 19(2</w:t>
      </w:r>
      <w:proofErr w:type="gramStart"/>
      <w:r w:rsidRPr="004566AD">
        <w:rPr>
          <w:rFonts w:ascii="Arial" w:hAnsi="Arial" w:cs="Arial"/>
        </w:rPr>
        <w:t>)(</w:t>
      </w:r>
      <w:proofErr w:type="gramEnd"/>
      <w:r w:rsidRPr="004566AD">
        <w:rPr>
          <w:rFonts w:ascii="Arial" w:hAnsi="Arial" w:cs="Arial"/>
        </w:rPr>
        <w:t xml:space="preserve">e) </w:t>
      </w:r>
      <w:proofErr w:type="spellStart"/>
      <w:r w:rsidRPr="004566AD">
        <w:rPr>
          <w:rFonts w:ascii="Arial" w:hAnsi="Arial" w:cs="Arial"/>
        </w:rPr>
        <w:t>recogni</w:t>
      </w:r>
      <w:r>
        <w:rPr>
          <w:rFonts w:ascii="Arial" w:hAnsi="Arial" w:cs="Arial"/>
        </w:rPr>
        <w:t>s</w:t>
      </w:r>
      <w:r w:rsidRPr="004566AD">
        <w:rPr>
          <w:rFonts w:ascii="Arial" w:hAnsi="Arial" w:cs="Arial"/>
        </w:rPr>
        <w:t>es</w:t>
      </w:r>
      <w:proofErr w:type="spellEnd"/>
      <w:r w:rsidRPr="004566AD">
        <w:rPr>
          <w:rFonts w:ascii="Arial" w:hAnsi="Arial" w:cs="Arial"/>
        </w:rPr>
        <w:t xml:space="preserve"> the principle of "equality of arms".  Both the </w:t>
      </w:r>
      <w:r>
        <w:rPr>
          <w:rFonts w:ascii="Arial" w:hAnsi="Arial" w:cs="Arial"/>
        </w:rPr>
        <w:t>p</w:t>
      </w:r>
      <w:r w:rsidRPr="004566AD">
        <w:rPr>
          <w:rFonts w:ascii="Arial" w:hAnsi="Arial" w:cs="Arial"/>
        </w:rPr>
        <w:t xml:space="preserve">rosecution and the </w:t>
      </w:r>
      <w:proofErr w:type="spellStart"/>
      <w:r>
        <w:rPr>
          <w:rFonts w:ascii="Arial" w:hAnsi="Arial" w:cs="Arial"/>
        </w:rPr>
        <w:t>d</w:t>
      </w:r>
      <w:r w:rsidRPr="004566AD">
        <w:rPr>
          <w:rFonts w:ascii="Arial" w:hAnsi="Arial" w:cs="Arial"/>
        </w:rPr>
        <w:t>efence</w:t>
      </w:r>
      <w:proofErr w:type="spellEnd"/>
      <w:r w:rsidRPr="004566AD">
        <w:rPr>
          <w:rFonts w:ascii="Arial" w:hAnsi="Arial" w:cs="Arial"/>
        </w:rPr>
        <w:t xml:space="preserve"> must have equal opportunities to present their cases.  In the case of </w:t>
      </w:r>
      <w:r w:rsidRPr="00032D38">
        <w:rPr>
          <w:rFonts w:ascii="Arial" w:hAnsi="Arial" w:cs="Arial"/>
          <w:i/>
        </w:rPr>
        <w:t xml:space="preserve">R v Young </w:t>
      </w:r>
      <w:r>
        <w:rPr>
          <w:rFonts w:ascii="Arial" w:hAnsi="Arial" w:cs="Arial"/>
        </w:rPr>
        <w:t xml:space="preserve">[2003] NZLJ 414; </w:t>
      </w:r>
      <w:r w:rsidRPr="00032D38">
        <w:rPr>
          <w:rFonts w:ascii="Arial" w:hAnsi="Arial" w:cs="Arial"/>
        </w:rPr>
        <w:t>(2004) 4 CHRLD 389,</w:t>
      </w:r>
      <w:r w:rsidRPr="004566AD">
        <w:rPr>
          <w:rFonts w:ascii="Arial" w:hAnsi="Arial" w:cs="Arial"/>
        </w:rPr>
        <w:t xml:space="preserve"> (a decision of the Court of Appeal of New Zealand) a vital </w:t>
      </w:r>
      <w:proofErr w:type="spellStart"/>
      <w:r w:rsidRPr="004566AD">
        <w:rPr>
          <w:rFonts w:ascii="Arial" w:hAnsi="Arial" w:cs="Arial"/>
        </w:rPr>
        <w:t>defence</w:t>
      </w:r>
      <w:proofErr w:type="spellEnd"/>
      <w:r w:rsidRPr="004566AD">
        <w:rPr>
          <w:rFonts w:ascii="Arial" w:hAnsi="Arial" w:cs="Arial"/>
        </w:rPr>
        <w:t xml:space="preserve"> witness had gone to Sweden and was not available to testify.  An application to the legal services agency to meet the costs of funding the return of that witness was refused, but was prepared to fund a video link.  Later that arrangement also failed due to the costs involved.  The accused was convicted.  </w:t>
      </w:r>
      <w:r>
        <w:rPr>
          <w:rFonts w:ascii="Arial" w:hAnsi="Arial" w:cs="Arial"/>
        </w:rPr>
        <w:t>O</w:t>
      </w:r>
      <w:r w:rsidRPr="004566AD">
        <w:rPr>
          <w:rFonts w:ascii="Arial" w:hAnsi="Arial" w:cs="Arial"/>
        </w:rPr>
        <w:t xml:space="preserve">n appeal, it was held that if such facilities were available to </w:t>
      </w:r>
      <w:r>
        <w:rPr>
          <w:rFonts w:ascii="Arial" w:hAnsi="Arial" w:cs="Arial"/>
        </w:rPr>
        <w:t>p</w:t>
      </w:r>
      <w:r w:rsidRPr="004566AD">
        <w:rPr>
          <w:rFonts w:ascii="Arial" w:hAnsi="Arial" w:cs="Arial"/>
        </w:rPr>
        <w:t xml:space="preserve">rosecution witnesses, the </w:t>
      </w:r>
      <w:proofErr w:type="spellStart"/>
      <w:r w:rsidRPr="004566AD">
        <w:rPr>
          <w:rFonts w:ascii="Arial" w:hAnsi="Arial" w:cs="Arial"/>
        </w:rPr>
        <w:t>defence</w:t>
      </w:r>
      <w:proofErr w:type="spellEnd"/>
      <w:r w:rsidRPr="004566AD">
        <w:rPr>
          <w:rFonts w:ascii="Arial" w:hAnsi="Arial" w:cs="Arial"/>
        </w:rPr>
        <w:t xml:space="preserve"> witness</w:t>
      </w:r>
      <w:r>
        <w:rPr>
          <w:rFonts w:ascii="Arial" w:hAnsi="Arial" w:cs="Arial"/>
        </w:rPr>
        <w:t>es</w:t>
      </w:r>
      <w:r w:rsidRPr="004566AD">
        <w:rPr>
          <w:rFonts w:ascii="Arial" w:hAnsi="Arial" w:cs="Arial"/>
        </w:rPr>
        <w:t xml:space="preserve"> were equally entitled to such facilities, on the principle of equality of arms.  However as the </w:t>
      </w:r>
      <w:r>
        <w:rPr>
          <w:rFonts w:ascii="Arial" w:hAnsi="Arial" w:cs="Arial"/>
        </w:rPr>
        <w:t>p</w:t>
      </w:r>
      <w:r w:rsidRPr="004566AD">
        <w:rPr>
          <w:rFonts w:ascii="Arial" w:hAnsi="Arial" w:cs="Arial"/>
        </w:rPr>
        <w:t xml:space="preserve">rosecution in that case had not used such facilities, it was held that there was no breach of that principle.  The Court observed that in those </w:t>
      </w:r>
      <w:r w:rsidRPr="004566AD">
        <w:rPr>
          <w:rFonts w:ascii="Arial" w:hAnsi="Arial" w:cs="Arial"/>
        </w:rPr>
        <w:lastRenderedPageBreak/>
        <w:t>circumstances, the statement made by that witness to the Police would have been admitted in evidence.</w:t>
      </w: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 xml:space="preserve">In the present case, the circumstances are different.  The </w:t>
      </w:r>
      <w:proofErr w:type="spellStart"/>
      <w:r w:rsidRPr="004566AD">
        <w:rPr>
          <w:rFonts w:ascii="Arial" w:hAnsi="Arial" w:cs="Arial"/>
        </w:rPr>
        <w:t>defence</w:t>
      </w:r>
      <w:proofErr w:type="spellEnd"/>
      <w:r w:rsidRPr="004566AD">
        <w:rPr>
          <w:rFonts w:ascii="Arial" w:hAnsi="Arial" w:cs="Arial"/>
        </w:rPr>
        <w:t xml:space="preserve"> witness cannot be called due to a legal incapacity which has first to be cured before a different forum.  There is therefore no nexus between the deportation order, which was based on an alleged false statement made by Vanessa </w:t>
      </w:r>
      <w:proofErr w:type="spellStart"/>
      <w:r w:rsidRPr="004566AD">
        <w:rPr>
          <w:rFonts w:ascii="Arial" w:hAnsi="Arial" w:cs="Arial"/>
        </w:rPr>
        <w:t>Agathine</w:t>
      </w:r>
      <w:proofErr w:type="spellEnd"/>
      <w:r w:rsidRPr="004566AD">
        <w:rPr>
          <w:rFonts w:ascii="Arial" w:hAnsi="Arial" w:cs="Arial"/>
        </w:rPr>
        <w:t xml:space="preserve"> to the Immigration Authorities, the charge against the accused, and the right of the accused under </w:t>
      </w:r>
      <w:r>
        <w:rPr>
          <w:rFonts w:ascii="Arial" w:hAnsi="Arial" w:cs="Arial"/>
        </w:rPr>
        <w:t>article 19(2)</w:t>
      </w:r>
      <w:r w:rsidRPr="004566AD">
        <w:rPr>
          <w:rFonts w:ascii="Arial" w:hAnsi="Arial" w:cs="Arial"/>
        </w:rPr>
        <w:t xml:space="preserve">(e).  Under </w:t>
      </w:r>
      <w:r>
        <w:rPr>
          <w:rFonts w:ascii="Arial" w:hAnsi="Arial" w:cs="Arial"/>
        </w:rPr>
        <w:t>a</w:t>
      </w:r>
      <w:r w:rsidRPr="004566AD">
        <w:rPr>
          <w:rFonts w:ascii="Arial" w:hAnsi="Arial" w:cs="Arial"/>
        </w:rPr>
        <w:t xml:space="preserve">rticle 46(1), the alleged contravention, or likely contravention in relation to the </w:t>
      </w:r>
      <w:r>
        <w:rPr>
          <w:rFonts w:ascii="Arial" w:hAnsi="Arial" w:cs="Arial"/>
        </w:rPr>
        <w:t>a</w:t>
      </w:r>
      <w:r w:rsidRPr="004566AD">
        <w:rPr>
          <w:rFonts w:ascii="Arial" w:hAnsi="Arial" w:cs="Arial"/>
        </w:rPr>
        <w:t xml:space="preserve">pplicant, must be based on an "act or omission" which has a nexus.  In these circumstances, the motion to refer the likely contravention of </w:t>
      </w:r>
      <w:r>
        <w:rPr>
          <w:rFonts w:ascii="Arial" w:hAnsi="Arial" w:cs="Arial"/>
        </w:rPr>
        <w:t>a</w:t>
      </w:r>
      <w:r w:rsidRPr="004566AD">
        <w:rPr>
          <w:rFonts w:ascii="Arial" w:hAnsi="Arial" w:cs="Arial"/>
        </w:rPr>
        <w:t xml:space="preserve">rticle 19(2) (e) of the Constitution to the Constitutional Court is frivolous and vexatious in the sense that that question is unsustainable.  If the Supreme Court in the application for </w:t>
      </w:r>
      <w:r>
        <w:rPr>
          <w:rFonts w:ascii="Arial" w:hAnsi="Arial" w:cs="Arial"/>
        </w:rPr>
        <w:t>j</w:t>
      </w:r>
      <w:r w:rsidRPr="004566AD">
        <w:rPr>
          <w:rFonts w:ascii="Arial" w:hAnsi="Arial" w:cs="Arial"/>
        </w:rPr>
        <w:t xml:space="preserve">udicial </w:t>
      </w:r>
      <w:r>
        <w:rPr>
          <w:rFonts w:ascii="Arial" w:hAnsi="Arial" w:cs="Arial"/>
        </w:rPr>
        <w:t>re</w:t>
      </w:r>
      <w:r w:rsidRPr="004566AD">
        <w:rPr>
          <w:rFonts w:ascii="Arial" w:hAnsi="Arial" w:cs="Arial"/>
        </w:rPr>
        <w:t xml:space="preserve">view (Case </w:t>
      </w:r>
      <w:r>
        <w:rPr>
          <w:rFonts w:ascii="Arial" w:hAnsi="Arial" w:cs="Arial"/>
        </w:rPr>
        <w:t>n</w:t>
      </w:r>
      <w:r w:rsidRPr="004566AD">
        <w:rPr>
          <w:rFonts w:ascii="Arial" w:hAnsi="Arial" w:cs="Arial"/>
        </w:rPr>
        <w:t>o 142 of 2006</w:t>
      </w:r>
      <w:r>
        <w:rPr>
          <w:rFonts w:ascii="Arial" w:hAnsi="Arial" w:cs="Arial"/>
        </w:rPr>
        <w:t>)</w:t>
      </w:r>
      <w:r w:rsidRPr="004566AD">
        <w:rPr>
          <w:rFonts w:ascii="Arial" w:hAnsi="Arial" w:cs="Arial"/>
        </w:rPr>
        <w:t xml:space="preserve"> quashes the declaration of Vanessa </w:t>
      </w:r>
      <w:proofErr w:type="spellStart"/>
      <w:r w:rsidRPr="004566AD">
        <w:rPr>
          <w:rFonts w:ascii="Arial" w:hAnsi="Arial" w:cs="Arial"/>
        </w:rPr>
        <w:t>Agathine</w:t>
      </w:r>
      <w:proofErr w:type="spellEnd"/>
      <w:r w:rsidRPr="004566AD">
        <w:rPr>
          <w:rFonts w:ascii="Arial" w:hAnsi="Arial" w:cs="Arial"/>
        </w:rPr>
        <w:t xml:space="preserve"> as a prohibited immigrant, then she would not have any legal incapacity to be summoned by the accused to testify on his behalf.  There would then be no contravention of </w:t>
      </w:r>
      <w:r>
        <w:rPr>
          <w:rFonts w:ascii="Arial" w:hAnsi="Arial" w:cs="Arial"/>
        </w:rPr>
        <w:t>a</w:t>
      </w:r>
      <w:r w:rsidRPr="004566AD">
        <w:rPr>
          <w:rFonts w:ascii="Arial" w:hAnsi="Arial" w:cs="Arial"/>
        </w:rPr>
        <w:t>rticle 19(2</w:t>
      </w:r>
      <w:proofErr w:type="gramStart"/>
      <w:r w:rsidRPr="004566AD">
        <w:rPr>
          <w:rFonts w:ascii="Arial" w:hAnsi="Arial" w:cs="Arial"/>
        </w:rPr>
        <w:t>)(</w:t>
      </w:r>
      <w:proofErr w:type="gramEnd"/>
      <w:r w:rsidRPr="004566AD">
        <w:rPr>
          <w:rFonts w:ascii="Arial" w:hAnsi="Arial" w:cs="Arial"/>
        </w:rPr>
        <w:t>e).</w:t>
      </w:r>
    </w:p>
    <w:p w:rsidR="00C86315"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p>
    <w:p w:rsidR="00C86315" w:rsidRPr="004566AD" w:rsidRDefault="00C86315" w:rsidP="00C86315">
      <w:pPr>
        <w:contextualSpacing/>
        <w:jc w:val="both"/>
        <w:rPr>
          <w:rFonts w:ascii="Arial" w:hAnsi="Arial" w:cs="Arial"/>
        </w:rPr>
      </w:pPr>
      <w:r w:rsidRPr="004566AD">
        <w:rPr>
          <w:rFonts w:ascii="Arial" w:hAnsi="Arial" w:cs="Arial"/>
        </w:rPr>
        <w:t>For these reasons, the motion dated 14 May 2007 is dismissed.</w:t>
      </w:r>
    </w:p>
    <w:p w:rsidR="00C86315" w:rsidRPr="004566AD" w:rsidRDefault="00C86315" w:rsidP="00C86315">
      <w:pPr>
        <w:contextualSpacing/>
        <w:jc w:val="center"/>
        <w:rPr>
          <w:rFonts w:ascii="Arial" w:hAnsi="Arial" w:cs="Arial"/>
        </w:rPr>
      </w:pPr>
    </w:p>
    <w:p w:rsidR="00C86315" w:rsidRPr="004566AD" w:rsidRDefault="00C86315" w:rsidP="00C86315">
      <w:pPr>
        <w:contextualSpacing/>
        <w:jc w:val="both"/>
        <w:rPr>
          <w:rFonts w:ascii="Arial" w:hAnsi="Arial" w:cs="Arial"/>
          <w:b/>
        </w:rPr>
      </w:pPr>
      <w:r w:rsidRPr="004566AD">
        <w:rPr>
          <w:rFonts w:ascii="Arial" w:hAnsi="Arial" w:cs="Arial"/>
          <w:b/>
        </w:rPr>
        <w:t>Record:  Criminal Side No 38 of 2005</w:t>
      </w:r>
    </w:p>
    <w:p w:rsidR="00AD75CD" w:rsidRDefault="00AD75CD"/>
    <w:sectPr w:rsidR="00AD75CD"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B51A8"/>
    <w:multiLevelType w:val="hybridMultilevel"/>
    <w:tmpl w:val="D65868CE"/>
    <w:lvl w:ilvl="0" w:tplc="0409000F">
      <w:start w:val="1"/>
      <w:numFmt w:val="decimal"/>
      <w:lvlText w:val="%1."/>
      <w:lvlJc w:val="left"/>
      <w:pPr>
        <w:ind w:left="360" w:hanging="360"/>
      </w:pPr>
      <w:rPr>
        <w:rFonts w:cs="Times New Roman" w:hint="default"/>
      </w:rPr>
    </w:lvl>
    <w:lvl w:ilvl="1" w:tplc="08090019">
      <w:start w:val="1"/>
      <w:numFmt w:val="lowerLetter"/>
      <w:lvlText w:val="%2."/>
      <w:lvlJc w:val="left"/>
      <w:pPr>
        <w:tabs>
          <w:tab w:val="num" w:pos="1440"/>
        </w:tabs>
        <w:ind w:left="1440" w:hanging="360"/>
      </w:pPr>
    </w:lvl>
    <w:lvl w:ilvl="2" w:tplc="47EA3A64">
      <w:start w:val="1"/>
      <w:numFmt w:val="lowerRoman"/>
      <w:lvlText w:val="(%3)"/>
      <w:lvlJc w:val="left"/>
      <w:pPr>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D412F90"/>
    <w:multiLevelType w:val="hybridMultilevel"/>
    <w:tmpl w:val="483C9B72"/>
    <w:lvl w:ilvl="0" w:tplc="3C947E0E">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768A4E98"/>
    <w:multiLevelType w:val="hybridMultilevel"/>
    <w:tmpl w:val="744E4290"/>
    <w:lvl w:ilvl="0" w:tplc="CED204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6315"/>
    <w:rsid w:val="000A4006"/>
    <w:rsid w:val="000D585F"/>
    <w:rsid w:val="00156AE5"/>
    <w:rsid w:val="001A0374"/>
    <w:rsid w:val="006D36C9"/>
    <w:rsid w:val="00725760"/>
    <w:rsid w:val="00982DDD"/>
    <w:rsid w:val="00AB43FA"/>
    <w:rsid w:val="00AD75CD"/>
    <w:rsid w:val="00C86315"/>
    <w:rsid w:val="00D40D14"/>
    <w:rsid w:val="00E10607"/>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315"/>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qFormat/>
    <w:rsid w:val="006D3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1</cp:revision>
  <dcterms:created xsi:type="dcterms:W3CDTF">2014-01-16T10:33:00Z</dcterms:created>
  <dcterms:modified xsi:type="dcterms:W3CDTF">2014-01-16T10:48:00Z</dcterms:modified>
</cp:coreProperties>
</file>