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92" w:rsidRDefault="00205392" w:rsidP="00205392">
      <w:pPr>
        <w:pStyle w:val="Style1"/>
        <w:outlineLvl w:val="0"/>
      </w:pPr>
      <w:bookmarkStart w:id="0" w:name="_Toc349916461"/>
      <w:proofErr w:type="spellStart"/>
      <w:r w:rsidRPr="00CE12BA">
        <w:t>Boux</w:t>
      </w:r>
      <w:proofErr w:type="spellEnd"/>
      <w:r>
        <w:t xml:space="preserve"> v </w:t>
      </w:r>
      <w:proofErr w:type="spellStart"/>
      <w:r w:rsidRPr="00CE12BA">
        <w:t>Procopio</w:t>
      </w:r>
      <w:bookmarkEnd w:id="0"/>
      <w:proofErr w:type="spellEnd"/>
      <w:r w:rsidRPr="00CE12BA">
        <w:t xml:space="preserve"> </w:t>
      </w:r>
    </w:p>
    <w:p w:rsidR="00205392" w:rsidRPr="00CE12BA" w:rsidRDefault="00205392" w:rsidP="00205392">
      <w:pPr>
        <w:pStyle w:val="Style1"/>
        <w:outlineLvl w:val="0"/>
      </w:pPr>
      <w:r>
        <w:t>(2008) SLR 72</w:t>
      </w:r>
    </w:p>
    <w:p w:rsidR="00205392" w:rsidRPr="00CE12BA" w:rsidRDefault="00205392" w:rsidP="00205392">
      <w:pPr>
        <w:jc w:val="right"/>
        <w:rPr>
          <w:rFonts w:ascii="Arial" w:hAnsi="Arial" w:cs="Arial"/>
          <w:b/>
        </w:rPr>
      </w:pPr>
    </w:p>
    <w:p w:rsidR="00205392" w:rsidRDefault="00205392" w:rsidP="00205392">
      <w:pPr>
        <w:jc w:val="both"/>
        <w:rPr>
          <w:rFonts w:ascii="Arial" w:hAnsi="Arial" w:cs="Arial"/>
        </w:rPr>
      </w:pPr>
    </w:p>
    <w:p w:rsidR="00205392" w:rsidRPr="007033EA" w:rsidRDefault="00205392" w:rsidP="00205392">
      <w:pPr>
        <w:jc w:val="both"/>
        <w:rPr>
          <w:rFonts w:ascii="Arial" w:hAnsi="Arial" w:cs="Arial"/>
        </w:rPr>
      </w:pPr>
      <w:r w:rsidRPr="007033EA">
        <w:rPr>
          <w:rFonts w:ascii="Arial" w:hAnsi="Arial" w:cs="Arial"/>
        </w:rPr>
        <w:t xml:space="preserve">Frank ELIZABETH for the </w:t>
      </w:r>
      <w:r>
        <w:rPr>
          <w:rFonts w:ascii="Arial" w:hAnsi="Arial" w:cs="Arial"/>
        </w:rPr>
        <w:t>plaintiff</w:t>
      </w:r>
      <w:r w:rsidRPr="007033EA">
        <w:rPr>
          <w:rFonts w:ascii="Arial" w:hAnsi="Arial" w:cs="Arial"/>
        </w:rPr>
        <w:t xml:space="preserve"> </w:t>
      </w:r>
    </w:p>
    <w:p w:rsidR="00205392" w:rsidRPr="007033EA" w:rsidRDefault="00205392" w:rsidP="00205392">
      <w:pPr>
        <w:jc w:val="both"/>
        <w:rPr>
          <w:rFonts w:ascii="Arial" w:hAnsi="Arial" w:cs="Arial"/>
        </w:rPr>
      </w:pPr>
      <w:r>
        <w:rPr>
          <w:rFonts w:ascii="Arial" w:hAnsi="Arial" w:cs="Arial"/>
        </w:rPr>
        <w:t xml:space="preserve">Daniel </w:t>
      </w:r>
      <w:r w:rsidRPr="007033EA">
        <w:rPr>
          <w:rFonts w:ascii="Arial" w:hAnsi="Arial" w:cs="Arial"/>
        </w:rPr>
        <w:t xml:space="preserve">CESAR for the </w:t>
      </w:r>
      <w:r>
        <w:rPr>
          <w:rFonts w:ascii="Arial" w:hAnsi="Arial" w:cs="Arial"/>
        </w:rPr>
        <w:t>first defendant</w:t>
      </w:r>
      <w:r w:rsidRPr="007033EA">
        <w:rPr>
          <w:rFonts w:ascii="Arial" w:hAnsi="Arial" w:cs="Arial"/>
        </w:rPr>
        <w:t xml:space="preserve"> </w:t>
      </w:r>
    </w:p>
    <w:p w:rsidR="00205392" w:rsidRDefault="00205392" w:rsidP="00205392">
      <w:pPr>
        <w:jc w:val="both"/>
        <w:rPr>
          <w:rFonts w:ascii="Arial" w:hAnsi="Arial" w:cs="Arial"/>
        </w:rPr>
      </w:pPr>
      <w:r>
        <w:rPr>
          <w:rFonts w:ascii="Arial" w:hAnsi="Arial" w:cs="Arial"/>
        </w:rPr>
        <w:t>Teresa</w:t>
      </w:r>
      <w:r w:rsidRPr="007033EA">
        <w:rPr>
          <w:rFonts w:ascii="Arial" w:hAnsi="Arial" w:cs="Arial"/>
        </w:rPr>
        <w:t xml:space="preserve"> MICOCK for the </w:t>
      </w:r>
      <w:r>
        <w:rPr>
          <w:rFonts w:ascii="Arial" w:hAnsi="Arial" w:cs="Arial"/>
        </w:rPr>
        <w:t>second</w:t>
      </w:r>
      <w:r w:rsidRPr="007033EA">
        <w:rPr>
          <w:rFonts w:ascii="Arial" w:hAnsi="Arial" w:cs="Arial"/>
          <w:vertAlign w:val="superscript"/>
        </w:rPr>
        <w:t xml:space="preserve"> </w:t>
      </w:r>
      <w:r>
        <w:rPr>
          <w:rFonts w:ascii="Arial" w:hAnsi="Arial" w:cs="Arial"/>
        </w:rPr>
        <w:t>defendant</w:t>
      </w:r>
    </w:p>
    <w:p w:rsidR="00205392" w:rsidRDefault="00205392" w:rsidP="00205392">
      <w:pPr>
        <w:jc w:val="both"/>
        <w:rPr>
          <w:rFonts w:ascii="Arial" w:hAnsi="Arial" w:cs="Arial"/>
        </w:rPr>
      </w:pPr>
    </w:p>
    <w:p w:rsidR="00205392" w:rsidRPr="007033EA" w:rsidRDefault="00205392" w:rsidP="00205392">
      <w:pPr>
        <w:jc w:val="both"/>
        <w:rPr>
          <w:rFonts w:ascii="Arial" w:hAnsi="Arial" w:cs="Arial"/>
        </w:rPr>
      </w:pPr>
    </w:p>
    <w:p w:rsidR="00205392" w:rsidRPr="00CE12BA" w:rsidRDefault="00205392" w:rsidP="00205392">
      <w:pPr>
        <w:rPr>
          <w:rFonts w:ascii="Arial" w:hAnsi="Arial" w:cs="Arial"/>
          <w:b/>
          <w:u w:val="single"/>
        </w:rPr>
      </w:pPr>
      <w:r w:rsidRPr="00CE12BA">
        <w:rPr>
          <w:rFonts w:ascii="Arial" w:hAnsi="Arial" w:cs="Arial"/>
          <w:b/>
        </w:rPr>
        <w:t>Ruling delivered on 2</w:t>
      </w:r>
      <w:r w:rsidRPr="00CE12BA">
        <w:rPr>
          <w:rFonts w:ascii="Arial" w:hAnsi="Arial" w:cs="Arial"/>
          <w:b/>
          <w:vertAlign w:val="superscript"/>
        </w:rPr>
        <w:t xml:space="preserve"> </w:t>
      </w:r>
      <w:r>
        <w:rPr>
          <w:rFonts w:ascii="Arial" w:hAnsi="Arial" w:cs="Arial"/>
          <w:b/>
        </w:rPr>
        <w:t>April</w:t>
      </w:r>
      <w:r w:rsidRPr="00CE12BA">
        <w:rPr>
          <w:rFonts w:ascii="Arial" w:hAnsi="Arial" w:cs="Arial"/>
          <w:b/>
        </w:rPr>
        <w:t xml:space="preserve"> 2008 by:</w:t>
      </w:r>
    </w:p>
    <w:p w:rsidR="00205392" w:rsidRPr="007033EA" w:rsidRDefault="00205392" w:rsidP="00205392">
      <w:pPr>
        <w:jc w:val="both"/>
        <w:rPr>
          <w:rFonts w:ascii="Arial" w:hAnsi="Arial" w:cs="Arial"/>
        </w:rPr>
      </w:pPr>
    </w:p>
    <w:p w:rsidR="00205392" w:rsidRPr="007033EA" w:rsidRDefault="00205392" w:rsidP="00205392">
      <w:pPr>
        <w:jc w:val="both"/>
        <w:rPr>
          <w:rStyle w:val="CharacterStyle4"/>
          <w:rFonts w:ascii="Arial" w:hAnsi="Arial" w:cs="Arial"/>
        </w:rPr>
      </w:pPr>
      <w:r w:rsidRPr="007033EA">
        <w:rPr>
          <w:rFonts w:ascii="Arial" w:hAnsi="Arial" w:cs="Arial"/>
          <w:b/>
        </w:rPr>
        <w:t xml:space="preserve">PERERA ACJ:  </w:t>
      </w:r>
      <w:r w:rsidRPr="007033EA">
        <w:rPr>
          <w:rFonts w:ascii="Arial" w:hAnsi="Arial" w:cs="Arial"/>
        </w:rPr>
        <w:t>The cause of action pleaded in the plaint is a dispute as to the ownership of two motor vehicles, Hyund</w:t>
      </w:r>
      <w:r>
        <w:rPr>
          <w:rFonts w:ascii="Arial" w:hAnsi="Arial" w:cs="Arial"/>
        </w:rPr>
        <w:t xml:space="preserve">ai Getz STD GLS registered as S </w:t>
      </w:r>
      <w:r w:rsidRPr="007033EA">
        <w:rPr>
          <w:rFonts w:ascii="Arial" w:hAnsi="Arial" w:cs="Arial"/>
        </w:rPr>
        <w:t>10251 and Hyundai Matrix GLS d</w:t>
      </w:r>
      <w:r>
        <w:rPr>
          <w:rFonts w:ascii="Arial" w:hAnsi="Arial" w:cs="Arial"/>
        </w:rPr>
        <w:t xml:space="preserve">iesel 1.5 CRDI, registered as S </w:t>
      </w:r>
      <w:r w:rsidRPr="007033EA">
        <w:rPr>
          <w:rFonts w:ascii="Arial" w:hAnsi="Arial" w:cs="Arial"/>
        </w:rPr>
        <w:t xml:space="preserve">11183. The </w:t>
      </w:r>
      <w:r>
        <w:rPr>
          <w:rFonts w:ascii="Arial" w:hAnsi="Arial" w:cs="Arial"/>
        </w:rPr>
        <w:t>plaintiff</w:t>
      </w:r>
      <w:r w:rsidRPr="007033EA">
        <w:rPr>
          <w:rFonts w:ascii="Arial" w:hAnsi="Arial" w:cs="Arial"/>
        </w:rPr>
        <w:t xml:space="preserve"> avers that he paid the purchase price of both vehicles and also the </w:t>
      </w:r>
      <w:proofErr w:type="gramStart"/>
      <w:r>
        <w:rPr>
          <w:rFonts w:ascii="Arial" w:hAnsi="Arial" w:cs="Arial"/>
        </w:rPr>
        <w:t>t</w:t>
      </w:r>
      <w:r w:rsidRPr="007033EA">
        <w:rPr>
          <w:rFonts w:ascii="Arial" w:hAnsi="Arial" w:cs="Arial"/>
        </w:rPr>
        <w:t>rades</w:t>
      </w:r>
      <w:proofErr w:type="gramEnd"/>
      <w:r w:rsidRPr="007033EA">
        <w:rPr>
          <w:rFonts w:ascii="Arial" w:hAnsi="Arial" w:cs="Arial"/>
        </w:rPr>
        <w:t xml:space="preserve"> </w:t>
      </w:r>
      <w:r>
        <w:rPr>
          <w:rFonts w:ascii="Arial" w:hAnsi="Arial" w:cs="Arial"/>
        </w:rPr>
        <w:t>tax, GST, i</w:t>
      </w:r>
      <w:r w:rsidRPr="007033EA">
        <w:rPr>
          <w:rFonts w:ascii="Arial" w:hAnsi="Arial" w:cs="Arial"/>
        </w:rPr>
        <w:t>nsurance and t</w:t>
      </w:r>
      <w:r>
        <w:rPr>
          <w:rFonts w:ascii="Arial" w:hAnsi="Arial" w:cs="Arial"/>
        </w:rPr>
        <w:t>he road l</w:t>
      </w:r>
      <w:r w:rsidRPr="007033EA">
        <w:rPr>
          <w:rFonts w:ascii="Arial" w:hAnsi="Arial" w:cs="Arial"/>
        </w:rPr>
        <w:t xml:space="preserve">icence from his own funds. He however avers that upon the </w:t>
      </w:r>
      <w:r>
        <w:rPr>
          <w:rFonts w:ascii="Arial" w:hAnsi="Arial" w:cs="Arial"/>
        </w:rPr>
        <w:t>first</w:t>
      </w:r>
      <w:r w:rsidRPr="007033EA">
        <w:rPr>
          <w:rFonts w:ascii="Arial" w:hAnsi="Arial" w:cs="Arial"/>
          <w:vertAlign w:val="superscript"/>
        </w:rPr>
        <w:t xml:space="preserve"> </w:t>
      </w:r>
      <w:r>
        <w:rPr>
          <w:rFonts w:ascii="Arial" w:hAnsi="Arial" w:cs="Arial"/>
        </w:rPr>
        <w:t>defendant</w:t>
      </w:r>
      <w:r w:rsidRPr="007033EA">
        <w:rPr>
          <w:rFonts w:ascii="Arial" w:hAnsi="Arial" w:cs="Arial"/>
        </w:rPr>
        <w:t xml:space="preserve"> advising him that he could not register the vehicles in his </w:t>
      </w:r>
      <w:proofErr w:type="gramStart"/>
      <w:r w:rsidRPr="007033EA">
        <w:rPr>
          <w:rFonts w:ascii="Arial" w:hAnsi="Arial" w:cs="Arial"/>
        </w:rPr>
        <w:t>name,</w:t>
      </w:r>
      <w:proofErr w:type="gramEnd"/>
      <w:r w:rsidRPr="007033EA">
        <w:rPr>
          <w:rFonts w:ascii="Arial" w:hAnsi="Arial" w:cs="Arial"/>
        </w:rPr>
        <w:t xml:space="preserve"> h</w:t>
      </w:r>
      <w:r>
        <w:rPr>
          <w:rFonts w:ascii="Arial" w:hAnsi="Arial" w:cs="Arial"/>
        </w:rPr>
        <w:t xml:space="preserve">e agreed to transfer vehicle No S </w:t>
      </w:r>
      <w:r w:rsidRPr="007033EA">
        <w:rPr>
          <w:rFonts w:ascii="Arial" w:hAnsi="Arial" w:cs="Arial"/>
        </w:rPr>
        <w:t xml:space="preserve">10251 in the name of the </w:t>
      </w:r>
      <w:r>
        <w:rPr>
          <w:rFonts w:ascii="Arial" w:hAnsi="Arial" w:cs="Arial"/>
        </w:rPr>
        <w:t>first</w:t>
      </w:r>
      <w:r w:rsidRPr="007033EA">
        <w:rPr>
          <w:rFonts w:ascii="Arial" w:hAnsi="Arial" w:cs="Arial"/>
          <w:vertAlign w:val="superscript"/>
        </w:rPr>
        <w:t xml:space="preserve"> </w:t>
      </w:r>
      <w:r>
        <w:rPr>
          <w:rFonts w:ascii="Arial" w:hAnsi="Arial" w:cs="Arial"/>
        </w:rPr>
        <w:t xml:space="preserve">defendant and the other vehicle S </w:t>
      </w:r>
      <w:r w:rsidRPr="007033EA">
        <w:rPr>
          <w:rFonts w:ascii="Arial" w:hAnsi="Arial" w:cs="Arial"/>
        </w:rPr>
        <w:t>11183</w:t>
      </w:r>
      <w:r>
        <w:rPr>
          <w:rFonts w:ascii="Arial" w:hAnsi="Arial" w:cs="Arial"/>
        </w:rPr>
        <w:t xml:space="preserve"> in the name of the c</w:t>
      </w:r>
      <w:r w:rsidRPr="007033EA">
        <w:rPr>
          <w:rFonts w:ascii="Arial" w:hAnsi="Arial" w:cs="Arial"/>
        </w:rPr>
        <w:t xml:space="preserve">ompany </w:t>
      </w:r>
      <w:r w:rsidRPr="002D651D">
        <w:rPr>
          <w:rFonts w:ascii="Arial" w:hAnsi="Arial" w:cs="Arial"/>
          <w:iCs/>
        </w:rPr>
        <w:t xml:space="preserve">"Le Bon </w:t>
      </w:r>
      <w:proofErr w:type="spellStart"/>
      <w:r w:rsidRPr="002D651D">
        <w:rPr>
          <w:rFonts w:ascii="Arial" w:hAnsi="Arial" w:cs="Arial"/>
          <w:iCs/>
        </w:rPr>
        <w:t>Bon</w:t>
      </w:r>
      <w:proofErr w:type="spellEnd"/>
      <w:r w:rsidRPr="002D651D">
        <w:rPr>
          <w:rFonts w:ascii="Arial" w:hAnsi="Arial" w:cs="Arial"/>
          <w:iCs/>
        </w:rPr>
        <w:t xml:space="preserve"> (Pty) Ltd".</w:t>
      </w:r>
      <w:r w:rsidRPr="007033EA">
        <w:rPr>
          <w:rFonts w:ascii="Arial" w:hAnsi="Arial" w:cs="Arial"/>
          <w:i/>
          <w:iCs/>
        </w:rPr>
        <w:t xml:space="preserve"> </w:t>
      </w:r>
      <w:r w:rsidRPr="007033EA">
        <w:rPr>
          <w:rFonts w:ascii="Arial" w:hAnsi="Arial" w:cs="Arial"/>
        </w:rPr>
        <w:t xml:space="preserve">The </w:t>
      </w:r>
      <w:r>
        <w:rPr>
          <w:rFonts w:ascii="Arial" w:hAnsi="Arial" w:cs="Arial"/>
        </w:rPr>
        <w:t>plaintiff</w:t>
      </w:r>
      <w:r w:rsidRPr="007033EA">
        <w:rPr>
          <w:rFonts w:ascii="Arial" w:hAnsi="Arial" w:cs="Arial"/>
        </w:rPr>
        <w:t xml:space="preserve"> further avers that he retained possession, use and enjoyment of the said vehicle S</w:t>
      </w:r>
      <w:r>
        <w:rPr>
          <w:rFonts w:ascii="Arial" w:hAnsi="Arial" w:cs="Arial"/>
        </w:rPr>
        <w:t xml:space="preserve"> </w:t>
      </w:r>
      <w:r w:rsidRPr="007033EA">
        <w:rPr>
          <w:rFonts w:ascii="Arial" w:hAnsi="Arial" w:cs="Arial"/>
        </w:rPr>
        <w:t xml:space="preserve">10251 and allowed the </w:t>
      </w:r>
      <w:r>
        <w:rPr>
          <w:rFonts w:ascii="Arial" w:hAnsi="Arial" w:cs="Arial"/>
        </w:rPr>
        <w:t>first</w:t>
      </w:r>
      <w:r w:rsidRPr="007033EA">
        <w:rPr>
          <w:rFonts w:ascii="Arial" w:hAnsi="Arial" w:cs="Arial"/>
          <w:vertAlign w:val="superscript"/>
        </w:rPr>
        <w:t xml:space="preserve"> </w:t>
      </w:r>
      <w:r>
        <w:rPr>
          <w:rFonts w:ascii="Arial" w:hAnsi="Arial" w:cs="Arial"/>
        </w:rPr>
        <w:t xml:space="preserve">defendant to retain and use vehicle S </w:t>
      </w:r>
      <w:r w:rsidRPr="007033EA">
        <w:rPr>
          <w:rFonts w:ascii="Arial" w:hAnsi="Arial" w:cs="Arial"/>
        </w:rPr>
        <w:t xml:space="preserve">11183. It is now averred that on 19 October 2007, the </w:t>
      </w:r>
      <w:r>
        <w:rPr>
          <w:rFonts w:ascii="Arial" w:hAnsi="Arial" w:cs="Arial"/>
        </w:rPr>
        <w:t>first</w:t>
      </w:r>
      <w:r w:rsidRPr="007033EA">
        <w:rPr>
          <w:rFonts w:ascii="Arial" w:hAnsi="Arial" w:cs="Arial"/>
          <w:vertAlign w:val="superscript"/>
        </w:rPr>
        <w:t xml:space="preserve"> </w:t>
      </w:r>
      <w:r>
        <w:rPr>
          <w:rFonts w:ascii="Arial" w:hAnsi="Arial" w:cs="Arial"/>
        </w:rPr>
        <w:t>defendant with the assistance of the p</w:t>
      </w:r>
      <w:r w:rsidRPr="007033EA">
        <w:rPr>
          <w:rFonts w:ascii="Arial" w:hAnsi="Arial" w:cs="Arial"/>
        </w:rPr>
        <w:t xml:space="preserve">olice, the </w:t>
      </w:r>
      <w:r>
        <w:rPr>
          <w:rFonts w:ascii="Arial" w:hAnsi="Arial" w:cs="Arial"/>
        </w:rPr>
        <w:t>second</w:t>
      </w:r>
      <w:r w:rsidRPr="007033EA">
        <w:rPr>
          <w:rFonts w:ascii="Arial" w:hAnsi="Arial" w:cs="Arial"/>
        </w:rPr>
        <w:t xml:space="preserve"> </w:t>
      </w:r>
      <w:r>
        <w:rPr>
          <w:rFonts w:ascii="Arial" w:hAnsi="Arial" w:cs="Arial"/>
        </w:rPr>
        <w:t>defendant</w:t>
      </w:r>
      <w:r w:rsidRPr="007033EA">
        <w:rPr>
          <w:rFonts w:ascii="Arial" w:hAnsi="Arial" w:cs="Arial"/>
        </w:rPr>
        <w:t xml:space="preserve">, took possession of vehicle S 10251 without his approval or consent. The </w:t>
      </w:r>
      <w:r>
        <w:rPr>
          <w:rStyle w:val="CharacterStyle4"/>
          <w:rFonts w:ascii="Arial" w:hAnsi="Arial" w:cs="Arial"/>
        </w:rPr>
        <w:t>plaintiff</w:t>
      </w:r>
      <w:r w:rsidRPr="007033EA">
        <w:rPr>
          <w:rStyle w:val="CharacterStyle4"/>
          <w:rFonts w:ascii="Arial" w:hAnsi="Arial" w:cs="Arial"/>
        </w:rPr>
        <w:t xml:space="preserve"> therefore claims an order on the </w:t>
      </w:r>
      <w:r>
        <w:rPr>
          <w:rStyle w:val="CharacterStyle4"/>
          <w:rFonts w:ascii="Arial" w:hAnsi="Arial" w:cs="Arial"/>
        </w:rPr>
        <w:t>second</w:t>
      </w:r>
      <w:r w:rsidRPr="007033EA">
        <w:rPr>
          <w:rStyle w:val="CharacterStyle4"/>
          <w:rFonts w:ascii="Arial" w:hAnsi="Arial" w:cs="Arial"/>
          <w:vertAlign w:val="superscript"/>
        </w:rPr>
        <w:t xml:space="preserve"> </w:t>
      </w:r>
      <w:r>
        <w:rPr>
          <w:rStyle w:val="CharacterStyle4"/>
          <w:rFonts w:ascii="Arial" w:hAnsi="Arial" w:cs="Arial"/>
        </w:rPr>
        <w:t>defendant</w:t>
      </w:r>
      <w:r w:rsidRPr="007033EA">
        <w:rPr>
          <w:rStyle w:val="CharacterStyle4"/>
          <w:rFonts w:ascii="Arial" w:hAnsi="Arial" w:cs="Arial"/>
        </w:rPr>
        <w:t xml:space="preserve"> to recover vehicle S 10251 from the </w:t>
      </w:r>
      <w:r>
        <w:rPr>
          <w:rStyle w:val="CharacterStyle4"/>
          <w:rFonts w:ascii="Arial" w:hAnsi="Arial" w:cs="Arial"/>
        </w:rPr>
        <w:t>first</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xml:space="preserve"> and return it to him, and also a similar order on the </w:t>
      </w:r>
      <w:r>
        <w:rPr>
          <w:rStyle w:val="CharacterStyle4"/>
          <w:rFonts w:ascii="Arial" w:hAnsi="Arial" w:cs="Arial"/>
        </w:rPr>
        <w:t>first</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xml:space="preserve"> to return both vehicles to him. Further and in the alternative, he claims US Dollar</w:t>
      </w:r>
      <w:r>
        <w:rPr>
          <w:rStyle w:val="CharacterStyle4"/>
          <w:rFonts w:ascii="Arial" w:hAnsi="Arial" w:cs="Arial"/>
        </w:rPr>
        <w:t>s</w:t>
      </w:r>
      <w:r w:rsidRPr="007033EA">
        <w:rPr>
          <w:rStyle w:val="CharacterStyle4"/>
          <w:rFonts w:ascii="Arial" w:hAnsi="Arial" w:cs="Arial"/>
        </w:rPr>
        <w:t xml:space="preserve"> 23,500 and Euro 28,000 which he avers he paid for the vehicles.</w:t>
      </w:r>
    </w:p>
    <w:p w:rsidR="00205392" w:rsidRPr="007033EA" w:rsidRDefault="00205392" w:rsidP="00205392">
      <w:pPr>
        <w:jc w:val="both"/>
        <w:rPr>
          <w:rStyle w:val="CharacterStyle4"/>
          <w:rFonts w:ascii="Arial" w:hAnsi="Arial" w:cs="Arial"/>
        </w:rPr>
      </w:pPr>
    </w:p>
    <w:p w:rsidR="00205392" w:rsidRPr="007033EA" w:rsidRDefault="00205392" w:rsidP="00205392">
      <w:pPr>
        <w:jc w:val="both"/>
        <w:rPr>
          <w:rStyle w:val="CharacterStyle4"/>
          <w:rFonts w:ascii="Arial" w:hAnsi="Arial" w:cs="Arial"/>
        </w:rPr>
      </w:pPr>
      <w:r w:rsidRPr="007033EA">
        <w:rPr>
          <w:rStyle w:val="CharacterStyle4"/>
          <w:rFonts w:ascii="Arial" w:hAnsi="Arial" w:cs="Arial"/>
        </w:rPr>
        <w:t xml:space="preserve">The </w:t>
      </w:r>
      <w:r>
        <w:rPr>
          <w:rStyle w:val="CharacterStyle4"/>
          <w:rFonts w:ascii="Arial" w:hAnsi="Arial" w:cs="Arial"/>
        </w:rPr>
        <w:t>first</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xml:space="preserve"> has filed a defence and a counterclaim. In the defence, he denies the claim of the </w:t>
      </w:r>
      <w:r>
        <w:rPr>
          <w:rStyle w:val="CharacterStyle4"/>
          <w:rFonts w:ascii="Arial" w:hAnsi="Arial" w:cs="Arial"/>
        </w:rPr>
        <w:t>plaintiff</w:t>
      </w:r>
      <w:r w:rsidRPr="007033EA">
        <w:rPr>
          <w:rStyle w:val="CharacterStyle4"/>
          <w:rFonts w:ascii="Arial" w:hAnsi="Arial" w:cs="Arial"/>
        </w:rPr>
        <w:t>, and avers that he is the lawful owner of vehicle S 10251, while vehi</w:t>
      </w:r>
      <w:r>
        <w:rPr>
          <w:rStyle w:val="CharacterStyle4"/>
          <w:rFonts w:ascii="Arial" w:hAnsi="Arial" w:cs="Arial"/>
        </w:rPr>
        <w:t>cle 11183 is owned by the said c</w:t>
      </w:r>
      <w:r w:rsidRPr="007033EA">
        <w:rPr>
          <w:rStyle w:val="CharacterStyle4"/>
          <w:rFonts w:ascii="Arial" w:hAnsi="Arial" w:cs="Arial"/>
        </w:rPr>
        <w:t xml:space="preserve">ompany in which he is the Managing Director and also a 50% shareholder. </w:t>
      </w:r>
      <w:r>
        <w:rPr>
          <w:rStyle w:val="CharacterStyle4"/>
          <w:rFonts w:ascii="Arial" w:hAnsi="Arial" w:cs="Arial"/>
        </w:rPr>
        <w:t xml:space="preserve"> </w:t>
      </w:r>
      <w:r w:rsidRPr="007033EA">
        <w:rPr>
          <w:rStyle w:val="CharacterStyle4"/>
          <w:rFonts w:ascii="Arial" w:hAnsi="Arial" w:cs="Arial"/>
        </w:rPr>
        <w:t>He has produced proof of those averments. For present purposes the averments in the counterclaim need not be considered as they relate to a wider transaction which is in dispute between the parties.</w:t>
      </w:r>
    </w:p>
    <w:p w:rsidR="00205392" w:rsidRPr="007033EA" w:rsidRDefault="00205392" w:rsidP="00205392">
      <w:pPr>
        <w:jc w:val="both"/>
        <w:rPr>
          <w:rStyle w:val="CharacterStyle4"/>
          <w:rFonts w:ascii="Arial" w:hAnsi="Arial" w:cs="Arial"/>
        </w:rPr>
      </w:pPr>
    </w:p>
    <w:p w:rsidR="00205392" w:rsidRPr="007033EA" w:rsidRDefault="00205392" w:rsidP="00205392">
      <w:pPr>
        <w:jc w:val="both"/>
        <w:rPr>
          <w:rStyle w:val="CharacterStyle4"/>
          <w:rFonts w:ascii="Arial" w:hAnsi="Arial" w:cs="Arial"/>
        </w:rPr>
      </w:pPr>
      <w:r w:rsidRPr="007033EA">
        <w:rPr>
          <w:rStyle w:val="CharacterStyle4"/>
          <w:rFonts w:ascii="Arial" w:hAnsi="Arial" w:cs="Arial"/>
        </w:rPr>
        <w:t xml:space="preserve">The instant matter before </w:t>
      </w:r>
      <w:r>
        <w:rPr>
          <w:rStyle w:val="CharacterStyle4"/>
          <w:rFonts w:ascii="Arial" w:hAnsi="Arial" w:cs="Arial"/>
        </w:rPr>
        <w:t>Court</w:t>
      </w:r>
      <w:r w:rsidRPr="007033EA">
        <w:rPr>
          <w:rStyle w:val="CharacterStyle4"/>
          <w:rFonts w:ascii="Arial" w:hAnsi="Arial" w:cs="Arial"/>
        </w:rPr>
        <w:t xml:space="preserve"> is an application for an interim</w:t>
      </w:r>
      <w:r>
        <w:rPr>
          <w:rStyle w:val="CharacterStyle4"/>
          <w:rFonts w:ascii="Arial" w:hAnsi="Arial" w:cs="Arial"/>
        </w:rPr>
        <w:t xml:space="preserve"> injunction, purportedly under s</w:t>
      </w:r>
      <w:r w:rsidRPr="007033EA">
        <w:rPr>
          <w:rStyle w:val="CharacterStyle4"/>
          <w:rFonts w:ascii="Arial" w:hAnsi="Arial" w:cs="Arial"/>
        </w:rPr>
        <w:t xml:space="preserve">ection 304 of the Code of Civil Procedure to restrain the </w:t>
      </w:r>
      <w:r>
        <w:rPr>
          <w:rStyle w:val="CharacterStyle4"/>
          <w:rFonts w:ascii="Arial" w:hAnsi="Arial" w:cs="Arial"/>
        </w:rPr>
        <w:t>first</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xml:space="preserve"> from the alleged wrongful act or breach of the alleged agreement, and for an order that the said vehicles be returned to him until a further order is made by </w:t>
      </w:r>
      <w:r>
        <w:rPr>
          <w:rStyle w:val="CharacterStyle4"/>
          <w:rFonts w:ascii="Arial" w:hAnsi="Arial" w:cs="Arial"/>
        </w:rPr>
        <w:t>Court</w:t>
      </w:r>
      <w:r w:rsidRPr="007033EA">
        <w:rPr>
          <w:rStyle w:val="CharacterStyle4"/>
          <w:rFonts w:ascii="Arial" w:hAnsi="Arial" w:cs="Arial"/>
        </w:rPr>
        <w:t xml:space="preserve">. He also seeks an injunction </w:t>
      </w:r>
      <w:r>
        <w:rPr>
          <w:rStyle w:val="CharacterStyle4"/>
          <w:rFonts w:ascii="Arial" w:hAnsi="Arial" w:cs="Arial"/>
        </w:rPr>
        <w:t>against</w:t>
      </w:r>
      <w:r w:rsidRPr="007033EA">
        <w:rPr>
          <w:rStyle w:val="CharacterStyle4"/>
          <w:rFonts w:ascii="Arial" w:hAnsi="Arial" w:cs="Arial"/>
        </w:rPr>
        <w:t xml:space="preserve"> the </w:t>
      </w:r>
      <w:r>
        <w:rPr>
          <w:rStyle w:val="CharacterStyle4"/>
          <w:rFonts w:ascii="Arial" w:hAnsi="Arial" w:cs="Arial"/>
        </w:rPr>
        <w:t>first</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xml:space="preserve"> to stop harassing, threatening and disturbing him, and also for an order that he does not come within 25 metres of himself and his wife. At the hearing of this motion however, </w:t>
      </w:r>
      <w:r>
        <w:rPr>
          <w:rStyle w:val="CharacterStyle4"/>
          <w:rFonts w:ascii="Arial" w:hAnsi="Arial" w:cs="Arial"/>
        </w:rPr>
        <w:t>c</w:t>
      </w:r>
      <w:r w:rsidRPr="007033EA">
        <w:rPr>
          <w:rStyle w:val="CharacterStyle4"/>
          <w:rFonts w:ascii="Arial" w:hAnsi="Arial" w:cs="Arial"/>
        </w:rPr>
        <w:t xml:space="preserve">ounsel for the </w:t>
      </w:r>
      <w:r>
        <w:rPr>
          <w:rStyle w:val="CharacterStyle4"/>
          <w:rFonts w:ascii="Arial" w:hAnsi="Arial" w:cs="Arial"/>
        </w:rPr>
        <w:t>plaintiff</w:t>
      </w:r>
      <w:r w:rsidRPr="007033EA">
        <w:rPr>
          <w:rStyle w:val="CharacterStyle4"/>
          <w:rFonts w:ascii="Arial" w:hAnsi="Arial" w:cs="Arial"/>
        </w:rPr>
        <w:t xml:space="preserve"> did not press for the latter injunction upon an undertaking given by the </w:t>
      </w:r>
      <w:r>
        <w:rPr>
          <w:rStyle w:val="CharacterStyle4"/>
          <w:rFonts w:ascii="Arial" w:hAnsi="Arial" w:cs="Arial"/>
        </w:rPr>
        <w:t>first</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He also limited the</w:t>
      </w:r>
      <w:r>
        <w:rPr>
          <w:rStyle w:val="CharacterStyle4"/>
          <w:rFonts w:ascii="Arial" w:hAnsi="Arial" w:cs="Arial"/>
        </w:rPr>
        <w:t xml:space="preserve"> first injunction to vehicle No S</w:t>
      </w:r>
      <w:r w:rsidRPr="007033EA">
        <w:rPr>
          <w:rStyle w:val="CharacterStyle4"/>
          <w:rFonts w:ascii="Arial" w:hAnsi="Arial" w:cs="Arial"/>
        </w:rPr>
        <w:t xml:space="preserve"> 10251.</w:t>
      </w:r>
    </w:p>
    <w:p w:rsidR="00205392" w:rsidRPr="007033EA" w:rsidRDefault="00205392" w:rsidP="00205392">
      <w:pPr>
        <w:jc w:val="both"/>
        <w:rPr>
          <w:rStyle w:val="CharacterStyle4"/>
          <w:rFonts w:ascii="Arial" w:hAnsi="Arial" w:cs="Arial"/>
        </w:rPr>
      </w:pPr>
    </w:p>
    <w:p w:rsidR="00205392" w:rsidRPr="007033EA" w:rsidRDefault="00205392" w:rsidP="00205392">
      <w:pPr>
        <w:jc w:val="both"/>
        <w:rPr>
          <w:rStyle w:val="CharacterStyle4"/>
          <w:rFonts w:ascii="Arial" w:hAnsi="Arial" w:cs="Arial"/>
        </w:rPr>
      </w:pPr>
      <w:r w:rsidRPr="007033EA">
        <w:rPr>
          <w:rStyle w:val="CharacterStyle4"/>
          <w:rFonts w:ascii="Arial" w:hAnsi="Arial" w:cs="Arial"/>
        </w:rPr>
        <w:t xml:space="preserve">The </w:t>
      </w:r>
      <w:r>
        <w:rPr>
          <w:rStyle w:val="CharacterStyle4"/>
          <w:rFonts w:ascii="Arial" w:hAnsi="Arial" w:cs="Arial"/>
        </w:rPr>
        <w:t>second</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xml:space="preserve"> has so far not filed a defence, </w:t>
      </w:r>
      <w:proofErr w:type="gramStart"/>
      <w:r w:rsidRPr="007033EA">
        <w:rPr>
          <w:rStyle w:val="CharacterStyle4"/>
          <w:rFonts w:ascii="Arial" w:hAnsi="Arial" w:cs="Arial"/>
        </w:rPr>
        <w:t>nor</w:t>
      </w:r>
      <w:proofErr w:type="gramEnd"/>
      <w:r w:rsidRPr="007033EA">
        <w:rPr>
          <w:rStyle w:val="CharacterStyle4"/>
          <w:rFonts w:ascii="Arial" w:hAnsi="Arial" w:cs="Arial"/>
        </w:rPr>
        <w:t xml:space="preserve"> a reply to the motion for </w:t>
      </w:r>
      <w:r w:rsidRPr="007033EA">
        <w:rPr>
          <w:rStyle w:val="CharacterStyle4"/>
          <w:rFonts w:ascii="Arial" w:hAnsi="Arial" w:cs="Arial"/>
        </w:rPr>
        <w:lastRenderedPageBreak/>
        <w:t xml:space="preserve">injunction. The averments in the main defence have been reiterated by the </w:t>
      </w:r>
      <w:r>
        <w:rPr>
          <w:rStyle w:val="CharacterStyle4"/>
          <w:rFonts w:ascii="Arial" w:hAnsi="Arial" w:cs="Arial"/>
        </w:rPr>
        <w:t>first</w:t>
      </w:r>
      <w:r w:rsidRPr="007033EA">
        <w:rPr>
          <w:rStyle w:val="CharacterStyle4"/>
          <w:rFonts w:ascii="Arial" w:hAnsi="Arial" w:cs="Arial"/>
        </w:rPr>
        <w:t xml:space="preserve"> </w:t>
      </w:r>
      <w:r>
        <w:rPr>
          <w:rStyle w:val="CharacterStyle4"/>
          <w:rFonts w:ascii="Arial" w:hAnsi="Arial" w:cs="Arial"/>
        </w:rPr>
        <w:t>defendant</w:t>
      </w:r>
      <w:r w:rsidRPr="007033EA">
        <w:rPr>
          <w:rStyle w:val="CharacterStyle4"/>
          <w:rFonts w:ascii="Arial" w:hAnsi="Arial" w:cs="Arial"/>
        </w:rPr>
        <w:t xml:space="preserve"> in the reply to the motion for injunction. It is averred that the </w:t>
      </w:r>
      <w:r>
        <w:rPr>
          <w:rStyle w:val="CharacterStyle4"/>
          <w:rFonts w:ascii="Arial" w:hAnsi="Arial" w:cs="Arial"/>
        </w:rPr>
        <w:t>plaintiff</w:t>
      </w:r>
      <w:r w:rsidRPr="007033EA">
        <w:rPr>
          <w:rStyle w:val="CharacterStyle4"/>
          <w:rFonts w:ascii="Arial" w:hAnsi="Arial" w:cs="Arial"/>
        </w:rPr>
        <w:t xml:space="preserve"> has no legal or equitable interest in any of the said vehicles and hence the injunction sought should</w:t>
      </w:r>
      <w:r>
        <w:rPr>
          <w:rStyle w:val="CharacterStyle4"/>
          <w:rFonts w:ascii="Arial" w:hAnsi="Arial" w:cs="Arial"/>
        </w:rPr>
        <w:t xml:space="preserve"> be refused. He avers that the c</w:t>
      </w:r>
      <w:r w:rsidRPr="007033EA">
        <w:rPr>
          <w:rStyle w:val="CharacterStyle4"/>
          <w:rFonts w:ascii="Arial" w:hAnsi="Arial" w:cs="Arial"/>
        </w:rPr>
        <w:t xml:space="preserve">ompany vehicle is being driven by an unknown person without insurance, and it was in these circumstances that he made a complaint to the </w:t>
      </w:r>
      <w:r>
        <w:rPr>
          <w:rStyle w:val="CharacterStyle4"/>
          <w:rFonts w:ascii="Arial" w:hAnsi="Arial" w:cs="Arial"/>
        </w:rPr>
        <w:t>p</w:t>
      </w:r>
      <w:r w:rsidRPr="007033EA">
        <w:rPr>
          <w:rStyle w:val="CharacterStyle4"/>
          <w:rFonts w:ascii="Arial" w:hAnsi="Arial" w:cs="Arial"/>
        </w:rPr>
        <w:t>olice to seize the vehicle.</w:t>
      </w:r>
    </w:p>
    <w:p w:rsidR="00205392" w:rsidRPr="007033EA" w:rsidRDefault="00205392" w:rsidP="00205392">
      <w:pPr>
        <w:jc w:val="both"/>
        <w:rPr>
          <w:rStyle w:val="CharacterStyle4"/>
          <w:rFonts w:ascii="Arial" w:hAnsi="Arial" w:cs="Arial"/>
        </w:rPr>
      </w:pPr>
    </w:p>
    <w:p w:rsidR="00205392" w:rsidRPr="007033EA" w:rsidRDefault="00205392" w:rsidP="00205392">
      <w:pPr>
        <w:jc w:val="both"/>
        <w:rPr>
          <w:rStyle w:val="CharacterStyle4"/>
          <w:rFonts w:ascii="Arial" w:hAnsi="Arial" w:cs="Arial"/>
        </w:rPr>
      </w:pPr>
      <w:r w:rsidRPr="007033EA">
        <w:rPr>
          <w:rStyle w:val="CharacterStyle4"/>
          <w:rFonts w:ascii="Arial" w:hAnsi="Arial" w:cs="Arial"/>
        </w:rPr>
        <w:t xml:space="preserve">The </w:t>
      </w:r>
      <w:r>
        <w:rPr>
          <w:rStyle w:val="CharacterStyle4"/>
          <w:rFonts w:ascii="Arial" w:hAnsi="Arial" w:cs="Arial"/>
        </w:rPr>
        <w:t>plaintiff</w:t>
      </w:r>
      <w:r w:rsidRPr="007033EA">
        <w:rPr>
          <w:rStyle w:val="CharacterStyle4"/>
          <w:rFonts w:ascii="Arial" w:hAnsi="Arial" w:cs="Arial"/>
        </w:rPr>
        <w:t xml:space="preserve"> has in his plaint sought </w:t>
      </w:r>
      <w:r w:rsidRPr="0051259A">
        <w:rPr>
          <w:rStyle w:val="CharacterStyle4"/>
          <w:rFonts w:ascii="Arial" w:hAnsi="Arial" w:cs="Arial"/>
          <w:iCs/>
        </w:rPr>
        <w:t>inter alia</w:t>
      </w:r>
      <w:r w:rsidRPr="0051259A">
        <w:rPr>
          <w:rStyle w:val="CharacterStyle4"/>
          <w:rFonts w:ascii="Arial" w:hAnsi="Arial" w:cs="Arial"/>
        </w:rPr>
        <w:t xml:space="preserve"> </w:t>
      </w:r>
      <w:r w:rsidRPr="007033EA">
        <w:rPr>
          <w:rStyle w:val="CharacterStyle4"/>
          <w:rFonts w:ascii="Arial" w:hAnsi="Arial" w:cs="Arial"/>
        </w:rPr>
        <w:t xml:space="preserve">an order </w:t>
      </w:r>
      <w:r>
        <w:rPr>
          <w:rStyle w:val="CharacterStyle4"/>
          <w:rFonts w:ascii="Arial" w:hAnsi="Arial" w:cs="Arial"/>
        </w:rPr>
        <w:t>for</w:t>
      </w:r>
      <w:r w:rsidRPr="007033EA">
        <w:rPr>
          <w:rStyle w:val="CharacterStyle4"/>
          <w:rFonts w:ascii="Arial" w:hAnsi="Arial" w:cs="Arial"/>
        </w:rPr>
        <w:t xml:space="preserve"> the Seychelles Licensing Authority to register both vehicles in his </w:t>
      </w:r>
      <w:r>
        <w:rPr>
          <w:rStyle w:val="CharacterStyle4"/>
          <w:rFonts w:ascii="Arial" w:hAnsi="Arial" w:cs="Arial"/>
        </w:rPr>
        <w:t>name. Hence presently, vehicle N</w:t>
      </w:r>
      <w:r w:rsidRPr="007033EA">
        <w:rPr>
          <w:rStyle w:val="CharacterStyle4"/>
          <w:rFonts w:ascii="Arial" w:hAnsi="Arial" w:cs="Arial"/>
        </w:rPr>
        <w:t xml:space="preserve">o 10251 is registered in the name of the </w:t>
      </w:r>
      <w:r>
        <w:rPr>
          <w:rStyle w:val="CharacterStyle4"/>
          <w:rFonts w:ascii="Arial" w:hAnsi="Arial" w:cs="Arial"/>
        </w:rPr>
        <w:t>first</w:t>
      </w:r>
      <w:r w:rsidRPr="007033EA">
        <w:rPr>
          <w:rStyle w:val="CharacterStyle4"/>
          <w:rFonts w:ascii="Arial" w:hAnsi="Arial" w:cs="Arial"/>
          <w:vertAlign w:val="superscript"/>
        </w:rPr>
        <w:t xml:space="preserve"> </w:t>
      </w:r>
      <w:r>
        <w:rPr>
          <w:rStyle w:val="CharacterStyle4"/>
          <w:rFonts w:ascii="Arial" w:hAnsi="Arial" w:cs="Arial"/>
        </w:rPr>
        <w:t>defendant, and vehicle N</w:t>
      </w:r>
      <w:r w:rsidRPr="007033EA">
        <w:rPr>
          <w:rStyle w:val="CharacterStyle4"/>
          <w:rFonts w:ascii="Arial" w:hAnsi="Arial" w:cs="Arial"/>
        </w:rPr>
        <w:t>o</w:t>
      </w:r>
      <w:r>
        <w:rPr>
          <w:rStyle w:val="CharacterStyle4"/>
          <w:rFonts w:ascii="Arial" w:hAnsi="Arial" w:cs="Arial"/>
        </w:rPr>
        <w:t xml:space="preserve"> 11183 in the name of the c</w:t>
      </w:r>
      <w:r w:rsidRPr="007033EA">
        <w:rPr>
          <w:rStyle w:val="CharacterStyle4"/>
          <w:rFonts w:ascii="Arial" w:hAnsi="Arial" w:cs="Arial"/>
        </w:rPr>
        <w:t xml:space="preserve">ompany </w:t>
      </w:r>
      <w:r>
        <w:rPr>
          <w:rStyle w:val="CharacterStyle4"/>
          <w:rFonts w:ascii="Arial" w:hAnsi="Arial" w:cs="Arial"/>
        </w:rPr>
        <w:t>of</w:t>
      </w:r>
      <w:r w:rsidRPr="007033EA">
        <w:rPr>
          <w:rStyle w:val="CharacterStyle4"/>
          <w:rFonts w:ascii="Arial" w:hAnsi="Arial" w:cs="Arial"/>
        </w:rPr>
        <w:t xml:space="preserve"> which he is the Managing Director. According to the particulars furnished by the Company Registry, the </w:t>
      </w:r>
      <w:r>
        <w:rPr>
          <w:rStyle w:val="CharacterStyle4"/>
          <w:rFonts w:ascii="Arial" w:hAnsi="Arial" w:cs="Arial"/>
        </w:rPr>
        <w:t>first</w:t>
      </w:r>
      <w:r w:rsidRPr="007033EA">
        <w:rPr>
          <w:rStyle w:val="CharacterStyle4"/>
          <w:rFonts w:ascii="Arial" w:hAnsi="Arial" w:cs="Arial"/>
          <w:vertAlign w:val="superscript"/>
        </w:rPr>
        <w:t xml:space="preserve"> </w:t>
      </w:r>
      <w:r>
        <w:rPr>
          <w:rStyle w:val="CharacterStyle4"/>
          <w:rFonts w:ascii="Arial" w:hAnsi="Arial" w:cs="Arial"/>
        </w:rPr>
        <w:t>defendant holds 50% shares of the said c</w:t>
      </w:r>
      <w:r w:rsidRPr="007033EA">
        <w:rPr>
          <w:rStyle w:val="CharacterStyle4"/>
          <w:rFonts w:ascii="Arial" w:hAnsi="Arial" w:cs="Arial"/>
        </w:rPr>
        <w:t xml:space="preserve">ompany while the balance 50% is held by one </w:t>
      </w:r>
      <w:proofErr w:type="spellStart"/>
      <w:r w:rsidRPr="007033EA">
        <w:rPr>
          <w:rStyle w:val="CharacterStyle4"/>
          <w:rFonts w:ascii="Arial" w:hAnsi="Arial" w:cs="Arial"/>
        </w:rPr>
        <w:t>Cultreri</w:t>
      </w:r>
      <w:proofErr w:type="spellEnd"/>
      <w:r w:rsidRPr="007033EA">
        <w:rPr>
          <w:rStyle w:val="CharacterStyle4"/>
          <w:rFonts w:ascii="Arial" w:hAnsi="Arial" w:cs="Arial"/>
        </w:rPr>
        <w:t xml:space="preserve"> Maria Pia. The documents produced by the </w:t>
      </w:r>
      <w:r>
        <w:rPr>
          <w:rStyle w:val="CharacterStyle4"/>
          <w:rFonts w:ascii="Arial" w:hAnsi="Arial" w:cs="Arial"/>
        </w:rPr>
        <w:t>first</w:t>
      </w:r>
      <w:r w:rsidRPr="007033EA">
        <w:rPr>
          <w:rStyle w:val="CharacterStyle4"/>
          <w:rFonts w:ascii="Arial" w:hAnsi="Arial" w:cs="Arial"/>
          <w:vertAlign w:val="superscript"/>
        </w:rPr>
        <w:t xml:space="preserve"> </w:t>
      </w:r>
      <w:r>
        <w:rPr>
          <w:rStyle w:val="CharacterStyle4"/>
          <w:rFonts w:ascii="Arial" w:hAnsi="Arial" w:cs="Arial"/>
        </w:rPr>
        <w:t>defendant</w:t>
      </w:r>
      <w:r w:rsidRPr="007033EA">
        <w:rPr>
          <w:rStyle w:val="CharacterStyle4"/>
          <w:rFonts w:ascii="Arial" w:hAnsi="Arial" w:cs="Arial"/>
        </w:rPr>
        <w:t xml:space="preserve"> show, </w:t>
      </w:r>
      <w:r w:rsidRPr="0051259A">
        <w:rPr>
          <w:rStyle w:val="CharacterStyle4"/>
          <w:rFonts w:ascii="Arial" w:hAnsi="Arial" w:cs="Arial"/>
        </w:rPr>
        <w:t>prima facie,</w:t>
      </w:r>
      <w:r>
        <w:rPr>
          <w:rStyle w:val="CharacterStyle4"/>
          <w:rFonts w:ascii="Arial" w:hAnsi="Arial" w:cs="Arial"/>
        </w:rPr>
        <w:t xml:space="preserve"> </w:t>
      </w:r>
      <w:r w:rsidRPr="007033EA">
        <w:rPr>
          <w:rStyle w:val="CharacterStyle4"/>
          <w:rFonts w:ascii="Arial" w:hAnsi="Arial" w:cs="Arial"/>
        </w:rPr>
        <w:t xml:space="preserve">that the </w:t>
      </w:r>
      <w:r>
        <w:rPr>
          <w:rStyle w:val="CharacterStyle4"/>
          <w:rFonts w:ascii="Arial" w:hAnsi="Arial" w:cs="Arial"/>
        </w:rPr>
        <w:t>plaintiff’</w:t>
      </w:r>
      <w:r w:rsidRPr="007033EA">
        <w:rPr>
          <w:rStyle w:val="CharacterStyle4"/>
          <w:rFonts w:ascii="Arial" w:hAnsi="Arial" w:cs="Arial"/>
        </w:rPr>
        <w:t>s wife</w:t>
      </w:r>
      <w:r>
        <w:rPr>
          <w:rStyle w:val="CharacterStyle4"/>
          <w:rFonts w:ascii="Arial" w:hAnsi="Arial" w:cs="Arial"/>
        </w:rPr>
        <w:t xml:space="preserve"> and son were employees of the restaurant business of the c</w:t>
      </w:r>
      <w:r w:rsidRPr="007033EA">
        <w:rPr>
          <w:rStyle w:val="CharacterStyle4"/>
          <w:rFonts w:ascii="Arial" w:hAnsi="Arial" w:cs="Arial"/>
        </w:rPr>
        <w:t xml:space="preserve">ompany and that they are no longer working in those capacities. The capacity of the </w:t>
      </w:r>
      <w:r>
        <w:rPr>
          <w:rStyle w:val="CharacterStyle4"/>
          <w:rFonts w:ascii="Arial" w:hAnsi="Arial" w:cs="Arial"/>
        </w:rPr>
        <w:t>plaintiff in the c</w:t>
      </w:r>
      <w:r w:rsidRPr="007033EA">
        <w:rPr>
          <w:rStyle w:val="CharacterStyle4"/>
          <w:rFonts w:ascii="Arial" w:hAnsi="Arial" w:cs="Arial"/>
        </w:rPr>
        <w:t>ompany remains unsubstantiated.</w:t>
      </w:r>
    </w:p>
    <w:p w:rsidR="00205392" w:rsidRPr="007033EA" w:rsidRDefault="00205392" w:rsidP="00205392">
      <w:pPr>
        <w:jc w:val="both"/>
        <w:rPr>
          <w:rStyle w:val="CharacterStyle4"/>
          <w:rFonts w:ascii="Arial" w:hAnsi="Arial" w:cs="Arial"/>
        </w:rPr>
      </w:pPr>
    </w:p>
    <w:p w:rsidR="00205392" w:rsidRDefault="00205392" w:rsidP="00205392">
      <w:pPr>
        <w:jc w:val="both"/>
        <w:rPr>
          <w:rStyle w:val="CharacterStyle4"/>
          <w:rFonts w:ascii="Arial" w:hAnsi="Arial" w:cs="Arial"/>
        </w:rPr>
      </w:pPr>
      <w:r w:rsidRPr="007033EA">
        <w:rPr>
          <w:rStyle w:val="CharacterStyle4"/>
          <w:rFonts w:ascii="Arial" w:hAnsi="Arial" w:cs="Arial"/>
        </w:rPr>
        <w:t xml:space="preserve">The pleadings disclose a substantial dispute between the parties. It was held in the case of </w:t>
      </w:r>
      <w:proofErr w:type="spellStart"/>
      <w:r w:rsidRPr="0051259A">
        <w:rPr>
          <w:rStyle w:val="CharacterStyle4"/>
          <w:rFonts w:ascii="Arial" w:hAnsi="Arial" w:cs="Arial"/>
          <w:i/>
        </w:rPr>
        <w:t>D'offay</w:t>
      </w:r>
      <w:proofErr w:type="spellEnd"/>
      <w:r w:rsidRPr="0051259A">
        <w:rPr>
          <w:rStyle w:val="CharacterStyle4"/>
          <w:rFonts w:ascii="Arial" w:hAnsi="Arial" w:cs="Arial"/>
          <w:i/>
        </w:rPr>
        <w:t xml:space="preserve"> v </w:t>
      </w:r>
      <w:r>
        <w:rPr>
          <w:rStyle w:val="CharacterStyle4"/>
          <w:rFonts w:ascii="Arial" w:hAnsi="Arial" w:cs="Arial"/>
          <w:i/>
        </w:rPr>
        <w:t xml:space="preserve">Attorney-General </w:t>
      </w:r>
      <w:r>
        <w:rPr>
          <w:rStyle w:val="CharacterStyle4"/>
          <w:rFonts w:ascii="Arial" w:hAnsi="Arial" w:cs="Arial"/>
        </w:rPr>
        <w:t xml:space="preserve">(1975) SLR 118, </w:t>
      </w:r>
      <w:r>
        <w:rPr>
          <w:rFonts w:ascii="Arial" w:hAnsi="Arial" w:cs="Arial"/>
        </w:rPr>
        <w:t>as summarised in the headnote</w:t>
      </w:r>
      <w:r w:rsidRPr="007033EA">
        <w:rPr>
          <w:rStyle w:val="CharacterStyle4"/>
          <w:rFonts w:ascii="Arial" w:hAnsi="Arial" w:cs="Arial"/>
        </w:rPr>
        <w:t xml:space="preserve"> </w:t>
      </w:r>
      <w:r>
        <w:rPr>
          <w:rStyle w:val="CharacterStyle4"/>
          <w:rFonts w:ascii="Arial" w:hAnsi="Arial" w:cs="Arial"/>
        </w:rPr>
        <w:t>–</w:t>
      </w:r>
    </w:p>
    <w:p w:rsidR="00205392" w:rsidRPr="007033EA" w:rsidRDefault="00205392" w:rsidP="00205392">
      <w:pPr>
        <w:jc w:val="both"/>
        <w:rPr>
          <w:rStyle w:val="CharacterStyle4"/>
          <w:rFonts w:ascii="Arial" w:hAnsi="Arial" w:cs="Arial"/>
        </w:rPr>
      </w:pPr>
    </w:p>
    <w:p w:rsidR="00205392" w:rsidRPr="0051259A" w:rsidRDefault="00205392" w:rsidP="00205392">
      <w:pPr>
        <w:ind w:left="1440" w:right="684" w:hanging="720"/>
        <w:jc w:val="both"/>
        <w:rPr>
          <w:rStyle w:val="CharacterStyle4"/>
          <w:rFonts w:ascii="Arial" w:hAnsi="Arial" w:cs="Arial"/>
        </w:rPr>
      </w:pPr>
      <w:r w:rsidRPr="0051259A">
        <w:rPr>
          <w:rStyle w:val="CharacterStyle4"/>
          <w:rFonts w:ascii="Arial" w:hAnsi="Arial" w:cs="Arial"/>
        </w:rPr>
        <w:t>(1)</w:t>
      </w:r>
      <w:r w:rsidRPr="007033EA">
        <w:rPr>
          <w:rStyle w:val="CharacterStyle4"/>
          <w:rFonts w:ascii="Arial" w:hAnsi="Arial" w:cs="Arial"/>
          <w:i/>
        </w:rPr>
        <w:tab/>
      </w:r>
      <w:r w:rsidRPr="0051259A">
        <w:rPr>
          <w:rStyle w:val="CharacterStyle4"/>
          <w:rFonts w:ascii="Arial" w:hAnsi="Arial" w:cs="Arial"/>
        </w:rPr>
        <w:t xml:space="preserve">Where a </w:t>
      </w:r>
      <w:r>
        <w:rPr>
          <w:rStyle w:val="CharacterStyle4"/>
          <w:rFonts w:ascii="Arial" w:hAnsi="Arial" w:cs="Arial"/>
        </w:rPr>
        <w:t>p</w:t>
      </w:r>
      <w:r w:rsidRPr="0051259A">
        <w:rPr>
          <w:rStyle w:val="CharacterStyle4"/>
          <w:rFonts w:ascii="Arial" w:hAnsi="Arial" w:cs="Arial"/>
        </w:rPr>
        <w:t>laintiff is asserting a title or right, an interim injunction should be refused if the existence of such title or right was open to serious doubt.</w:t>
      </w:r>
    </w:p>
    <w:p w:rsidR="00205392" w:rsidRPr="0051259A" w:rsidRDefault="00205392" w:rsidP="00205392">
      <w:pPr>
        <w:ind w:left="1440" w:right="684" w:hanging="720"/>
        <w:jc w:val="both"/>
        <w:rPr>
          <w:rStyle w:val="CharacterStyle4"/>
          <w:rFonts w:ascii="Arial" w:hAnsi="Arial" w:cs="Arial"/>
        </w:rPr>
      </w:pPr>
    </w:p>
    <w:p w:rsidR="00205392" w:rsidRPr="0051259A" w:rsidRDefault="00205392" w:rsidP="00205392">
      <w:pPr>
        <w:widowControl/>
        <w:numPr>
          <w:ilvl w:val="0"/>
          <w:numId w:val="1"/>
        </w:numPr>
        <w:autoSpaceDE/>
        <w:autoSpaceDN/>
        <w:adjustRightInd/>
        <w:ind w:left="1440" w:right="684" w:hanging="720"/>
        <w:jc w:val="both"/>
        <w:rPr>
          <w:rStyle w:val="CharacterStyle4"/>
          <w:rFonts w:ascii="Arial" w:hAnsi="Arial" w:cs="Arial"/>
        </w:rPr>
      </w:pPr>
      <w:r w:rsidRPr="0051259A">
        <w:rPr>
          <w:rStyle w:val="CharacterStyle4"/>
          <w:rFonts w:ascii="Arial" w:hAnsi="Arial" w:cs="Arial"/>
        </w:rPr>
        <w:t xml:space="preserve">An interlocutory injunction should only be granted if it is necessary to protect a </w:t>
      </w:r>
      <w:r>
        <w:rPr>
          <w:rStyle w:val="CharacterStyle4"/>
          <w:rFonts w:ascii="Arial" w:hAnsi="Arial" w:cs="Arial"/>
        </w:rPr>
        <w:t>p</w:t>
      </w:r>
      <w:r w:rsidRPr="0051259A">
        <w:rPr>
          <w:rStyle w:val="CharacterStyle4"/>
          <w:rFonts w:ascii="Arial" w:hAnsi="Arial" w:cs="Arial"/>
        </w:rPr>
        <w:t>laintiff against irreparable injury which could never be adequately remedied or atoned for by damages.</w:t>
      </w:r>
    </w:p>
    <w:p w:rsidR="00205392" w:rsidRPr="0051259A" w:rsidRDefault="00205392" w:rsidP="00205392">
      <w:pPr>
        <w:widowControl/>
        <w:autoSpaceDE/>
        <w:autoSpaceDN/>
        <w:adjustRightInd/>
        <w:ind w:left="1440" w:right="684" w:hanging="720"/>
        <w:jc w:val="both"/>
        <w:rPr>
          <w:rStyle w:val="CharacterStyle4"/>
          <w:rFonts w:ascii="Arial" w:hAnsi="Arial" w:cs="Arial"/>
        </w:rPr>
      </w:pPr>
    </w:p>
    <w:p w:rsidR="00205392" w:rsidRPr="0051259A" w:rsidRDefault="00205392" w:rsidP="00205392">
      <w:pPr>
        <w:widowControl/>
        <w:numPr>
          <w:ilvl w:val="0"/>
          <w:numId w:val="1"/>
        </w:numPr>
        <w:autoSpaceDE/>
        <w:autoSpaceDN/>
        <w:adjustRightInd/>
        <w:ind w:left="1440" w:right="684" w:hanging="720"/>
        <w:jc w:val="both"/>
        <w:rPr>
          <w:rFonts w:ascii="Arial" w:hAnsi="Arial" w:cs="Arial"/>
        </w:rPr>
      </w:pPr>
      <w:r w:rsidRPr="0051259A">
        <w:rPr>
          <w:rStyle w:val="CharacterStyle4"/>
          <w:rFonts w:ascii="Arial" w:hAnsi="Arial" w:cs="Arial"/>
        </w:rPr>
        <w:t xml:space="preserve">Where a doubt exists as to the </w:t>
      </w:r>
      <w:r>
        <w:rPr>
          <w:rStyle w:val="CharacterStyle4"/>
          <w:rFonts w:ascii="Arial" w:hAnsi="Arial" w:cs="Arial"/>
        </w:rPr>
        <w:t>p</w:t>
      </w:r>
      <w:r w:rsidRPr="0051259A">
        <w:rPr>
          <w:rStyle w:val="CharacterStyle4"/>
          <w:rFonts w:ascii="Arial" w:hAnsi="Arial" w:cs="Arial"/>
        </w:rPr>
        <w:t>laintiff</w:t>
      </w:r>
      <w:r>
        <w:rPr>
          <w:rStyle w:val="CharacterStyle4"/>
          <w:rFonts w:ascii="Arial" w:hAnsi="Arial" w:cs="Arial"/>
        </w:rPr>
        <w:t>’</w:t>
      </w:r>
      <w:r w:rsidRPr="0051259A">
        <w:rPr>
          <w:rStyle w:val="CharacterStyle4"/>
          <w:rFonts w:ascii="Arial" w:hAnsi="Arial" w:cs="Arial"/>
        </w:rPr>
        <w:t xml:space="preserve">s right, the burden of proof is upon him to show that the inconvenience he will suffer by a refusal is greater than that which the </w:t>
      </w:r>
      <w:r>
        <w:rPr>
          <w:rStyle w:val="CharacterStyle4"/>
          <w:rFonts w:ascii="Arial" w:hAnsi="Arial" w:cs="Arial"/>
        </w:rPr>
        <w:t>d</w:t>
      </w:r>
      <w:r w:rsidRPr="0051259A">
        <w:rPr>
          <w:rStyle w:val="CharacterStyle4"/>
          <w:rFonts w:ascii="Arial" w:hAnsi="Arial" w:cs="Arial"/>
        </w:rPr>
        <w:t>efendant will suffer</w:t>
      </w:r>
      <w:r>
        <w:rPr>
          <w:rStyle w:val="CharacterStyle4"/>
          <w:rFonts w:ascii="Arial" w:hAnsi="Arial" w:cs="Arial"/>
        </w:rPr>
        <w:t xml:space="preserve"> by the grant of the injunction</w:t>
      </w:r>
      <w:r w:rsidRPr="0051259A">
        <w:rPr>
          <w:rStyle w:val="CharacterStyle4"/>
          <w:rFonts w:ascii="Arial" w:hAnsi="Arial" w:cs="Arial"/>
        </w:rPr>
        <w:t>.</w:t>
      </w:r>
    </w:p>
    <w:p w:rsidR="00205392" w:rsidRPr="007033EA" w:rsidRDefault="00205392" w:rsidP="00205392">
      <w:pPr>
        <w:jc w:val="both"/>
        <w:rPr>
          <w:rStyle w:val="CharacterStyle4"/>
          <w:rFonts w:ascii="Arial" w:hAnsi="Arial" w:cs="Arial"/>
        </w:rPr>
      </w:pPr>
    </w:p>
    <w:p w:rsidR="00205392" w:rsidRPr="007033EA" w:rsidRDefault="00205392" w:rsidP="00205392">
      <w:pPr>
        <w:jc w:val="both"/>
        <w:rPr>
          <w:rStyle w:val="CharacterStyle4"/>
          <w:rFonts w:ascii="Arial" w:hAnsi="Arial" w:cs="Arial"/>
        </w:rPr>
      </w:pPr>
      <w:r w:rsidRPr="007033EA">
        <w:rPr>
          <w:rStyle w:val="CharacterStyle4"/>
          <w:rFonts w:ascii="Arial" w:hAnsi="Arial" w:cs="Arial"/>
        </w:rPr>
        <w:t xml:space="preserve">In the present case, the issue of ownership of the vehicles can be determined only upon considering the respective oral and documentary evidence of the parties at the hearing on </w:t>
      </w:r>
      <w:r>
        <w:rPr>
          <w:rStyle w:val="CharacterStyle4"/>
          <w:rFonts w:ascii="Arial" w:hAnsi="Arial" w:cs="Arial"/>
        </w:rPr>
        <w:t xml:space="preserve">the </w:t>
      </w:r>
      <w:r w:rsidRPr="007033EA">
        <w:rPr>
          <w:rStyle w:val="CharacterStyle4"/>
          <w:rFonts w:ascii="Arial" w:hAnsi="Arial" w:cs="Arial"/>
        </w:rPr>
        <w:t xml:space="preserve">merits. Further, the </w:t>
      </w:r>
      <w:r>
        <w:rPr>
          <w:rStyle w:val="CharacterStyle4"/>
          <w:rFonts w:ascii="Arial" w:hAnsi="Arial" w:cs="Arial"/>
        </w:rPr>
        <w:t>plaintiff</w:t>
      </w:r>
      <w:r w:rsidRPr="007033EA">
        <w:rPr>
          <w:rStyle w:val="CharacterStyle4"/>
          <w:rFonts w:ascii="Arial" w:hAnsi="Arial" w:cs="Arial"/>
        </w:rPr>
        <w:t xml:space="preserve"> has cl</w:t>
      </w:r>
      <w:r>
        <w:rPr>
          <w:rStyle w:val="CharacterStyle4"/>
          <w:rFonts w:ascii="Arial" w:hAnsi="Arial" w:cs="Arial"/>
        </w:rPr>
        <w:t xml:space="preserve">aimed as an alternative prayer </w:t>
      </w:r>
      <w:r w:rsidRPr="007033EA">
        <w:rPr>
          <w:rStyle w:val="CharacterStyle4"/>
          <w:rFonts w:ascii="Arial" w:hAnsi="Arial" w:cs="Arial"/>
        </w:rPr>
        <w:t xml:space="preserve">the value of the two vehicles. Hence it cannot be said that a refusal to grant an injunction would cause irreparable injury to the </w:t>
      </w:r>
      <w:r>
        <w:rPr>
          <w:rStyle w:val="CharacterStyle4"/>
          <w:rFonts w:ascii="Arial" w:hAnsi="Arial" w:cs="Arial"/>
        </w:rPr>
        <w:t>plaintiff</w:t>
      </w:r>
      <w:r w:rsidRPr="007033EA">
        <w:rPr>
          <w:rStyle w:val="CharacterStyle4"/>
          <w:rFonts w:ascii="Arial" w:hAnsi="Arial" w:cs="Arial"/>
        </w:rPr>
        <w:t xml:space="preserve"> </w:t>
      </w:r>
      <w:proofErr w:type="gramStart"/>
      <w:r w:rsidRPr="007033EA">
        <w:rPr>
          <w:rStyle w:val="CharacterStyle4"/>
          <w:rFonts w:ascii="Arial" w:hAnsi="Arial" w:cs="Arial"/>
        </w:rPr>
        <w:t>which</w:t>
      </w:r>
      <w:proofErr w:type="gramEnd"/>
      <w:r w:rsidRPr="007033EA">
        <w:rPr>
          <w:rStyle w:val="CharacterStyle4"/>
          <w:rFonts w:ascii="Arial" w:hAnsi="Arial" w:cs="Arial"/>
        </w:rPr>
        <w:t xml:space="preserve"> cannot be adequately remedied or atoned for by damages. In these circumstances, the </w:t>
      </w:r>
      <w:r>
        <w:rPr>
          <w:rStyle w:val="CharacterStyle4"/>
          <w:rFonts w:ascii="Arial" w:hAnsi="Arial" w:cs="Arial"/>
        </w:rPr>
        <w:t>plaintiff</w:t>
      </w:r>
      <w:r w:rsidRPr="007033EA">
        <w:rPr>
          <w:rStyle w:val="CharacterStyle4"/>
          <w:rFonts w:ascii="Arial" w:hAnsi="Arial" w:cs="Arial"/>
        </w:rPr>
        <w:t xml:space="preserve"> has not established that the inconvenience he will suffer by a refusal will be greater than that which the </w:t>
      </w:r>
      <w:r>
        <w:rPr>
          <w:rStyle w:val="CharacterStyle4"/>
          <w:rFonts w:ascii="Arial" w:hAnsi="Arial" w:cs="Arial"/>
        </w:rPr>
        <w:t>first</w:t>
      </w:r>
      <w:r w:rsidRPr="007033EA">
        <w:rPr>
          <w:rStyle w:val="CharacterStyle4"/>
          <w:rFonts w:ascii="Arial" w:hAnsi="Arial" w:cs="Arial"/>
          <w:vertAlign w:val="superscript"/>
        </w:rPr>
        <w:t xml:space="preserve"> </w:t>
      </w:r>
      <w:r>
        <w:rPr>
          <w:rStyle w:val="CharacterStyle4"/>
          <w:rFonts w:ascii="Arial" w:hAnsi="Arial" w:cs="Arial"/>
        </w:rPr>
        <w:t>defendant</w:t>
      </w:r>
      <w:r w:rsidRPr="007033EA">
        <w:rPr>
          <w:rStyle w:val="CharacterStyle4"/>
          <w:rFonts w:ascii="Arial" w:hAnsi="Arial" w:cs="Arial"/>
        </w:rPr>
        <w:t xml:space="preserve"> will suffer by the grant of the injunction.</w:t>
      </w:r>
      <w:r>
        <w:rPr>
          <w:rStyle w:val="CharacterStyle4"/>
          <w:rFonts w:ascii="Arial" w:hAnsi="Arial" w:cs="Arial"/>
        </w:rPr>
        <w:t xml:space="preserve"> </w:t>
      </w:r>
      <w:r w:rsidRPr="007033EA">
        <w:rPr>
          <w:rStyle w:val="CharacterStyle4"/>
          <w:rFonts w:ascii="Arial" w:hAnsi="Arial" w:cs="Arial"/>
        </w:rPr>
        <w:t xml:space="preserve"> The </w:t>
      </w:r>
      <w:r>
        <w:rPr>
          <w:rStyle w:val="CharacterStyle4"/>
          <w:rFonts w:ascii="Arial" w:hAnsi="Arial" w:cs="Arial"/>
        </w:rPr>
        <w:t>first</w:t>
      </w:r>
      <w:r w:rsidRPr="007033EA">
        <w:rPr>
          <w:rStyle w:val="CharacterStyle4"/>
          <w:rFonts w:ascii="Arial" w:hAnsi="Arial" w:cs="Arial"/>
          <w:vertAlign w:val="superscript"/>
        </w:rPr>
        <w:t xml:space="preserve"> </w:t>
      </w:r>
      <w:r>
        <w:rPr>
          <w:rStyle w:val="CharacterStyle4"/>
          <w:rFonts w:ascii="Arial" w:hAnsi="Arial" w:cs="Arial"/>
        </w:rPr>
        <w:t>defendant</w:t>
      </w:r>
      <w:r w:rsidRPr="007033EA">
        <w:rPr>
          <w:rStyle w:val="CharacterStyle4"/>
          <w:rFonts w:ascii="Arial" w:hAnsi="Arial" w:cs="Arial"/>
        </w:rPr>
        <w:t xml:space="preserve"> has disclosed the circumstances in which the vehicle was seized by the </w:t>
      </w:r>
      <w:r>
        <w:rPr>
          <w:rStyle w:val="CharacterStyle4"/>
          <w:rFonts w:ascii="Arial" w:hAnsi="Arial" w:cs="Arial"/>
        </w:rPr>
        <w:t>second</w:t>
      </w:r>
      <w:r w:rsidRPr="007033EA">
        <w:rPr>
          <w:rStyle w:val="CharacterStyle4"/>
          <w:rFonts w:ascii="Arial" w:hAnsi="Arial" w:cs="Arial"/>
        </w:rPr>
        <w:t xml:space="preserve"> </w:t>
      </w:r>
      <w:r>
        <w:rPr>
          <w:rStyle w:val="CharacterStyle4"/>
          <w:rFonts w:ascii="Arial" w:hAnsi="Arial" w:cs="Arial"/>
        </w:rPr>
        <w:t>defendant, the p</w:t>
      </w:r>
      <w:r w:rsidRPr="007033EA">
        <w:rPr>
          <w:rStyle w:val="CharacterStyle4"/>
          <w:rFonts w:ascii="Arial" w:hAnsi="Arial" w:cs="Arial"/>
        </w:rPr>
        <w:t xml:space="preserve">olice, at his instance as the registered owner. </w:t>
      </w:r>
      <w:r>
        <w:rPr>
          <w:rStyle w:val="CharacterStyle4"/>
          <w:rFonts w:ascii="Arial" w:hAnsi="Arial" w:cs="Arial"/>
        </w:rPr>
        <w:t xml:space="preserve"> </w:t>
      </w:r>
      <w:r w:rsidRPr="007033EA">
        <w:rPr>
          <w:rStyle w:val="CharacterStyle4"/>
          <w:rFonts w:ascii="Arial" w:hAnsi="Arial" w:cs="Arial"/>
        </w:rPr>
        <w:t xml:space="preserve">The propriety of such action is also a matter to be decided in the main hearing. That alone is insufficient to order a restoration of the status quo as the </w:t>
      </w:r>
      <w:r>
        <w:rPr>
          <w:rStyle w:val="CharacterStyle4"/>
          <w:rFonts w:ascii="Arial" w:hAnsi="Arial" w:cs="Arial"/>
        </w:rPr>
        <w:t>first</w:t>
      </w:r>
      <w:r w:rsidRPr="007033EA">
        <w:rPr>
          <w:rStyle w:val="CharacterStyle4"/>
          <w:rFonts w:ascii="Arial" w:hAnsi="Arial" w:cs="Arial"/>
          <w:vertAlign w:val="superscript"/>
        </w:rPr>
        <w:t xml:space="preserve"> </w:t>
      </w:r>
      <w:r>
        <w:rPr>
          <w:rStyle w:val="CharacterStyle4"/>
          <w:rFonts w:ascii="Arial" w:hAnsi="Arial" w:cs="Arial"/>
        </w:rPr>
        <w:t>defendant</w:t>
      </w:r>
      <w:r w:rsidRPr="007033EA">
        <w:rPr>
          <w:rStyle w:val="CharacterStyle4"/>
          <w:rFonts w:ascii="Arial" w:hAnsi="Arial" w:cs="Arial"/>
        </w:rPr>
        <w:t xml:space="preserve"> has provided documentary evidence disclosing </w:t>
      </w:r>
      <w:r>
        <w:rPr>
          <w:rStyle w:val="CharacterStyle4"/>
          <w:rFonts w:ascii="Arial" w:hAnsi="Arial" w:cs="Arial"/>
        </w:rPr>
        <w:t xml:space="preserve">prima facie </w:t>
      </w:r>
      <w:r w:rsidRPr="007033EA">
        <w:rPr>
          <w:rStyle w:val="CharacterStyle4"/>
          <w:rFonts w:ascii="Arial" w:hAnsi="Arial" w:cs="Arial"/>
        </w:rPr>
        <w:t xml:space="preserve">that he is the registered owner. In fact such registration has been admitted by the </w:t>
      </w:r>
      <w:r>
        <w:rPr>
          <w:rStyle w:val="CharacterStyle4"/>
          <w:rFonts w:ascii="Arial" w:hAnsi="Arial" w:cs="Arial"/>
        </w:rPr>
        <w:lastRenderedPageBreak/>
        <w:t>plaintiff</w:t>
      </w:r>
      <w:r w:rsidRPr="007033EA">
        <w:rPr>
          <w:rStyle w:val="CharacterStyle4"/>
          <w:rFonts w:ascii="Arial" w:hAnsi="Arial" w:cs="Arial"/>
        </w:rPr>
        <w:t xml:space="preserve"> in paragraph 4 of the plaint. In these circumstances the application for the interim injunction is dismissed. </w:t>
      </w:r>
      <w:r>
        <w:rPr>
          <w:rStyle w:val="CharacterStyle4"/>
          <w:rFonts w:ascii="Arial" w:hAnsi="Arial" w:cs="Arial"/>
        </w:rPr>
        <w:t xml:space="preserve"> </w:t>
      </w:r>
      <w:r w:rsidRPr="007033EA">
        <w:rPr>
          <w:rStyle w:val="CharacterStyle4"/>
          <w:rFonts w:ascii="Arial" w:hAnsi="Arial" w:cs="Arial"/>
        </w:rPr>
        <w:t>There will however be no order for costs.</w:t>
      </w:r>
    </w:p>
    <w:p w:rsidR="00205392" w:rsidRPr="007033EA" w:rsidRDefault="00205392" w:rsidP="00205392">
      <w:pPr>
        <w:jc w:val="both"/>
        <w:rPr>
          <w:rFonts w:ascii="Arial" w:hAnsi="Arial" w:cs="Arial"/>
        </w:rPr>
      </w:pPr>
    </w:p>
    <w:p w:rsidR="00205392" w:rsidRPr="007033EA" w:rsidRDefault="00205392" w:rsidP="00205392">
      <w:pPr>
        <w:jc w:val="both"/>
        <w:rPr>
          <w:rFonts w:ascii="Arial" w:hAnsi="Arial" w:cs="Arial"/>
        </w:rPr>
      </w:pPr>
    </w:p>
    <w:p w:rsidR="00AD75CD" w:rsidRDefault="00205392" w:rsidP="00205392">
      <w:r>
        <w:rPr>
          <w:rFonts w:ascii="Arial" w:hAnsi="Arial" w:cs="Arial"/>
          <w:b/>
        </w:rPr>
        <w:t xml:space="preserve">Record:  </w:t>
      </w:r>
      <w:r w:rsidRPr="00CE12BA">
        <w:rPr>
          <w:rFonts w:ascii="Arial" w:hAnsi="Arial" w:cs="Arial"/>
          <w:b/>
        </w:rPr>
        <w:t>Civil Side No 371 of 2007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FC6"/>
    <w:multiLevelType w:val="hybridMultilevel"/>
    <w:tmpl w:val="6BFAE6AC"/>
    <w:lvl w:ilvl="0" w:tplc="09F668A4">
      <w:start w:val="2"/>
      <w:numFmt w:val="decimal"/>
      <w:lvlText w:val="(%1)"/>
      <w:lvlJc w:val="left"/>
      <w:pPr>
        <w:ind w:left="720" w:hanging="360"/>
      </w:pPr>
      <w:rPr>
        <w:rFonts w:ascii="Arial" w:hAnsi="Arial" w:cs="Arial" w:hint="default"/>
        <w:i w:val="0"/>
        <w:iCs/>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53941D4"/>
    <w:multiLevelType w:val="hybridMultilevel"/>
    <w:tmpl w:val="F4D2DA90"/>
    <w:lvl w:ilvl="0" w:tplc="1409000F">
      <w:start w:val="1"/>
      <w:numFmt w:val="decimal"/>
      <w:lvlText w:val="%1."/>
      <w:lvlJc w:val="left"/>
      <w:pPr>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205392"/>
    <w:rsid w:val="000A4006"/>
    <w:rsid w:val="00156AE5"/>
    <w:rsid w:val="001A0374"/>
    <w:rsid w:val="00205392"/>
    <w:rsid w:val="006D36C9"/>
    <w:rsid w:val="00725760"/>
    <w:rsid w:val="00982DDD"/>
    <w:rsid w:val="00AB43FA"/>
    <w:rsid w:val="00AD75CD"/>
    <w:rsid w:val="00D40D14"/>
    <w:rsid w:val="00E61EDA"/>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92"/>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character" w:customStyle="1" w:styleId="CharacterStyle4">
    <w:name w:val="Character Style 4"/>
    <w:uiPriority w:val="99"/>
    <w:rsid w:val="00205392"/>
    <w:rPr>
      <w:rFonts w:ascii="Bookman Old Style" w:hAnsi="Bookman Old Style" w:cs="Bookman Old Style" w:hint="default"/>
      <w:sz w:val="24"/>
      <w:szCs w:val="24"/>
    </w:rPr>
  </w:style>
  <w:style w:type="paragraph" w:customStyle="1" w:styleId="Style1">
    <w:name w:val="Style1"/>
    <w:basedOn w:val="Normal"/>
    <w:link w:val="Style1Char"/>
    <w:qFormat/>
    <w:rsid w:val="00205392"/>
    <w:pPr>
      <w:widowControl/>
      <w:autoSpaceDE/>
      <w:autoSpaceDN/>
      <w:adjustRightInd/>
      <w:jc w:val="center"/>
    </w:pPr>
    <w:rPr>
      <w:rFonts w:ascii="Arial" w:hAnsi="Arial" w:cs="Arial"/>
      <w:b/>
    </w:rPr>
  </w:style>
  <w:style w:type="character" w:customStyle="1" w:styleId="Style1Char">
    <w:name w:val="Style1 Char"/>
    <w:basedOn w:val="DefaultParagraphFont"/>
    <w:link w:val="Style1"/>
    <w:rsid w:val="00205392"/>
    <w:rPr>
      <w:rFonts w:ascii="Arial" w:eastAsia="Times New Roman" w:hAnsi="Arial" w:cs="Arial"/>
      <w:b/>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2014-01-17T11:14:00Z</dcterms:created>
  <dcterms:modified xsi:type="dcterms:W3CDTF">2014-01-17T11:15:00Z</dcterms:modified>
</cp:coreProperties>
</file>