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38" w:rsidRDefault="009B5D38" w:rsidP="009F6854">
      <w:pPr>
        <w:spacing w:line="360" w:lineRule="auto"/>
        <w:jc w:val="center"/>
        <w:rPr>
          <w:b/>
          <w:sz w:val="24"/>
          <w:szCs w:val="24"/>
        </w:rPr>
      </w:pPr>
      <w:r w:rsidRPr="00782EC2">
        <w:rPr>
          <w:b/>
          <w:sz w:val="24"/>
          <w:szCs w:val="24"/>
        </w:rPr>
        <w:t>THE REPUBLIC OF SEYCHELLES</w:t>
      </w:r>
    </w:p>
    <w:p w:rsidR="00782EC2" w:rsidRPr="00782EC2" w:rsidRDefault="00782EC2" w:rsidP="009F6854">
      <w:pPr>
        <w:spacing w:line="360" w:lineRule="auto"/>
        <w:jc w:val="center"/>
        <w:rPr>
          <w:b/>
          <w:sz w:val="24"/>
          <w:szCs w:val="24"/>
        </w:rPr>
      </w:pPr>
    </w:p>
    <w:p w:rsidR="004B2937" w:rsidRDefault="009F6854" w:rsidP="009F6854">
      <w:pPr>
        <w:spacing w:line="360" w:lineRule="auto"/>
        <w:jc w:val="center"/>
        <w:rPr>
          <w:b/>
          <w:sz w:val="24"/>
          <w:szCs w:val="24"/>
        </w:rPr>
      </w:pPr>
      <w:r w:rsidRPr="00782EC2">
        <w:rPr>
          <w:b/>
          <w:sz w:val="24"/>
          <w:szCs w:val="24"/>
        </w:rPr>
        <w:t>IN THE SUPREME COURT OF SEYCHELLES</w:t>
      </w:r>
      <w:r w:rsidR="009B5D38" w:rsidRPr="00782EC2">
        <w:rPr>
          <w:b/>
          <w:sz w:val="24"/>
          <w:szCs w:val="24"/>
        </w:rPr>
        <w:t xml:space="preserve"> AT VICTORIA</w:t>
      </w:r>
    </w:p>
    <w:p w:rsidR="002367F1" w:rsidRDefault="002367F1" w:rsidP="009F6854">
      <w:pPr>
        <w:spacing w:line="360" w:lineRule="auto"/>
        <w:jc w:val="center"/>
        <w:rPr>
          <w:b/>
          <w:sz w:val="24"/>
          <w:szCs w:val="24"/>
        </w:rPr>
      </w:pPr>
    </w:p>
    <w:p w:rsidR="00782EC2" w:rsidRPr="002367F1" w:rsidRDefault="00782EC2" w:rsidP="009F6854">
      <w:pPr>
        <w:spacing w:line="360" w:lineRule="auto"/>
        <w:jc w:val="center"/>
        <w:rPr>
          <w:i/>
          <w:sz w:val="24"/>
          <w:szCs w:val="24"/>
        </w:rPr>
      </w:pPr>
      <w:r w:rsidRPr="002367F1">
        <w:rPr>
          <w:sz w:val="24"/>
          <w:szCs w:val="24"/>
        </w:rPr>
        <w:t>Civil Suit No. 340 of 2010</w:t>
      </w:r>
    </w:p>
    <w:p w:rsidR="0083594B" w:rsidRPr="002367F1" w:rsidRDefault="0083594B">
      <w:pPr>
        <w:pStyle w:val="Heading1"/>
        <w:jc w:val="center"/>
        <w:rPr>
          <w:bCs/>
          <w:szCs w:val="24"/>
          <w:u w:val="none"/>
        </w:rPr>
      </w:pPr>
    </w:p>
    <w:p w:rsidR="009F6854" w:rsidRPr="002367F1" w:rsidRDefault="00477A10" w:rsidP="00F36255">
      <w:pPr>
        <w:pStyle w:val="Heading1"/>
        <w:spacing w:line="360" w:lineRule="auto"/>
        <w:jc w:val="center"/>
        <w:rPr>
          <w:szCs w:val="24"/>
          <w:u w:val="none"/>
        </w:rPr>
      </w:pPr>
      <w:r w:rsidRPr="002367F1">
        <w:rPr>
          <w:szCs w:val="24"/>
          <w:u w:val="none"/>
        </w:rPr>
        <w:t>RAMESH PILLAY</w:t>
      </w:r>
      <w:r w:rsidR="00782EC2" w:rsidRPr="002367F1">
        <w:rPr>
          <w:szCs w:val="24"/>
          <w:u w:val="none"/>
        </w:rPr>
        <w:t>===========</w:t>
      </w:r>
      <w:r w:rsidR="002367F1">
        <w:rPr>
          <w:szCs w:val="24"/>
          <w:u w:val="none"/>
        </w:rPr>
        <w:t>==</w:t>
      </w:r>
      <w:r w:rsidR="00782EC2" w:rsidRPr="002367F1">
        <w:rPr>
          <w:szCs w:val="24"/>
          <w:u w:val="none"/>
        </w:rPr>
        <w:t>===========================PLAITNIFF</w:t>
      </w:r>
    </w:p>
    <w:p w:rsidR="009F6854" w:rsidRPr="002367F1" w:rsidRDefault="009F6854" w:rsidP="009F6854">
      <w:pPr>
        <w:pStyle w:val="Heading1"/>
        <w:spacing w:line="360" w:lineRule="auto"/>
        <w:jc w:val="center"/>
        <w:rPr>
          <w:szCs w:val="24"/>
          <w:u w:val="none"/>
        </w:rPr>
      </w:pPr>
      <w:r w:rsidRPr="002367F1">
        <w:rPr>
          <w:szCs w:val="24"/>
          <w:u w:val="none"/>
        </w:rPr>
        <w:t>VERSUS</w:t>
      </w:r>
    </w:p>
    <w:p w:rsidR="00536ADB" w:rsidRPr="002367F1" w:rsidRDefault="00477A10" w:rsidP="00782EC2">
      <w:pPr>
        <w:pStyle w:val="Heading1"/>
        <w:spacing w:line="360" w:lineRule="auto"/>
        <w:rPr>
          <w:szCs w:val="24"/>
          <w:u w:val="none"/>
        </w:rPr>
      </w:pPr>
      <w:r w:rsidRPr="002367F1">
        <w:rPr>
          <w:szCs w:val="24"/>
          <w:u w:val="none"/>
        </w:rPr>
        <w:t>S. RAJASUNDARAM</w:t>
      </w:r>
      <w:r w:rsidR="00782EC2" w:rsidRPr="002367F1">
        <w:rPr>
          <w:szCs w:val="24"/>
          <w:u w:val="none"/>
        </w:rPr>
        <w:t>============</w:t>
      </w:r>
      <w:r w:rsidR="002367F1">
        <w:rPr>
          <w:szCs w:val="24"/>
          <w:u w:val="none"/>
        </w:rPr>
        <w:t>=</w:t>
      </w:r>
      <w:r w:rsidR="00782EC2" w:rsidRPr="002367F1">
        <w:rPr>
          <w:szCs w:val="24"/>
          <w:u w:val="none"/>
        </w:rPr>
        <w:t>===================DEFENDANT NO.1</w:t>
      </w:r>
    </w:p>
    <w:p w:rsidR="009F6854" w:rsidRPr="002367F1" w:rsidRDefault="00536ADB" w:rsidP="00782EC2">
      <w:pPr>
        <w:pStyle w:val="Heading1"/>
        <w:spacing w:line="360" w:lineRule="auto"/>
        <w:rPr>
          <w:szCs w:val="24"/>
          <w:u w:val="none"/>
        </w:rPr>
      </w:pPr>
      <w:r w:rsidRPr="002367F1">
        <w:rPr>
          <w:szCs w:val="24"/>
          <w:u w:val="none"/>
        </w:rPr>
        <w:t>V.T. PANDIYARI PILLAY</w:t>
      </w:r>
      <w:r w:rsidR="00782EC2" w:rsidRPr="002367F1">
        <w:rPr>
          <w:szCs w:val="24"/>
          <w:u w:val="none"/>
        </w:rPr>
        <w:t>=================</w:t>
      </w:r>
      <w:r w:rsidR="002367F1">
        <w:rPr>
          <w:szCs w:val="24"/>
          <w:u w:val="none"/>
        </w:rPr>
        <w:t>=</w:t>
      </w:r>
      <w:r w:rsidR="00782EC2" w:rsidRPr="002367F1">
        <w:rPr>
          <w:szCs w:val="24"/>
          <w:u w:val="none"/>
        </w:rPr>
        <w:t>==========DEFENDANT NO.2</w:t>
      </w:r>
    </w:p>
    <w:p w:rsidR="00782EC2" w:rsidRDefault="00782EC2" w:rsidP="00782EC2"/>
    <w:p w:rsidR="00782EC2" w:rsidRDefault="00782EC2" w:rsidP="00782EC2"/>
    <w:p w:rsidR="00782EC2" w:rsidRDefault="00782EC2" w:rsidP="00782EC2">
      <w:pPr>
        <w:pBdr>
          <w:bottom w:val="single" w:sz="6" w:space="1" w:color="auto"/>
        </w:pBdr>
      </w:pPr>
    </w:p>
    <w:p w:rsidR="00782EC2" w:rsidRPr="00782EC2" w:rsidRDefault="00782EC2" w:rsidP="00782EC2"/>
    <w:p w:rsidR="00B71CB3" w:rsidRPr="002367F1" w:rsidRDefault="005B097B">
      <w:pPr>
        <w:spacing w:line="360" w:lineRule="auto"/>
        <w:jc w:val="both"/>
        <w:rPr>
          <w:i/>
          <w:sz w:val="24"/>
          <w:szCs w:val="24"/>
        </w:rPr>
      </w:pPr>
      <w:r w:rsidRPr="002367F1">
        <w:rPr>
          <w:i/>
          <w:sz w:val="24"/>
          <w:szCs w:val="24"/>
        </w:rPr>
        <w:t>M</w:t>
      </w:r>
      <w:r w:rsidR="00477A10" w:rsidRPr="002367F1">
        <w:rPr>
          <w:i/>
          <w:sz w:val="24"/>
          <w:szCs w:val="24"/>
        </w:rPr>
        <w:t xml:space="preserve">r B. Hoareau </w:t>
      </w:r>
      <w:r w:rsidR="00B71CB3" w:rsidRPr="002367F1">
        <w:rPr>
          <w:i/>
          <w:sz w:val="24"/>
          <w:szCs w:val="24"/>
        </w:rPr>
        <w:t xml:space="preserve">for the </w:t>
      </w:r>
      <w:r w:rsidR="009F6854" w:rsidRPr="002367F1">
        <w:rPr>
          <w:i/>
          <w:sz w:val="24"/>
          <w:szCs w:val="24"/>
        </w:rPr>
        <w:t>Plaintiff</w:t>
      </w:r>
    </w:p>
    <w:p w:rsidR="00C4183A" w:rsidRPr="002367F1" w:rsidRDefault="009F6854">
      <w:pPr>
        <w:pBdr>
          <w:bottom w:val="single" w:sz="6" w:space="1" w:color="auto"/>
        </w:pBdr>
        <w:spacing w:line="360" w:lineRule="auto"/>
        <w:jc w:val="both"/>
        <w:rPr>
          <w:i/>
          <w:sz w:val="24"/>
          <w:szCs w:val="24"/>
        </w:rPr>
      </w:pPr>
      <w:r w:rsidRPr="002367F1">
        <w:rPr>
          <w:i/>
          <w:sz w:val="24"/>
          <w:szCs w:val="24"/>
        </w:rPr>
        <w:t xml:space="preserve">Mr </w:t>
      </w:r>
      <w:r w:rsidR="00477A10" w:rsidRPr="002367F1">
        <w:rPr>
          <w:i/>
          <w:sz w:val="24"/>
          <w:szCs w:val="24"/>
        </w:rPr>
        <w:t>F. Bonte for the 2</w:t>
      </w:r>
      <w:r w:rsidR="00477A10" w:rsidRPr="002367F1">
        <w:rPr>
          <w:i/>
          <w:sz w:val="24"/>
          <w:szCs w:val="24"/>
          <w:vertAlign w:val="superscript"/>
        </w:rPr>
        <w:t>nd</w:t>
      </w:r>
      <w:r w:rsidR="00477A10" w:rsidRPr="002367F1">
        <w:rPr>
          <w:i/>
          <w:sz w:val="24"/>
          <w:szCs w:val="24"/>
        </w:rPr>
        <w:t xml:space="preserve"> </w:t>
      </w:r>
      <w:r w:rsidRPr="002367F1">
        <w:rPr>
          <w:i/>
          <w:sz w:val="24"/>
          <w:szCs w:val="24"/>
        </w:rPr>
        <w:t>Defendant</w:t>
      </w:r>
    </w:p>
    <w:p w:rsidR="00782EC2" w:rsidRDefault="00782EC2">
      <w:pPr>
        <w:spacing w:line="360" w:lineRule="auto"/>
        <w:jc w:val="both"/>
        <w:rPr>
          <w:sz w:val="24"/>
          <w:szCs w:val="24"/>
        </w:rPr>
      </w:pPr>
    </w:p>
    <w:p w:rsidR="00696851" w:rsidRDefault="00696851">
      <w:pPr>
        <w:spacing w:line="360" w:lineRule="auto"/>
        <w:jc w:val="both"/>
        <w:rPr>
          <w:sz w:val="24"/>
          <w:szCs w:val="24"/>
        </w:rPr>
      </w:pPr>
    </w:p>
    <w:p w:rsidR="009F6854" w:rsidRPr="009F6854" w:rsidRDefault="00477A10" w:rsidP="009F6854">
      <w:pPr>
        <w:spacing w:line="360" w:lineRule="auto"/>
        <w:jc w:val="center"/>
        <w:rPr>
          <w:b/>
          <w:sz w:val="24"/>
          <w:szCs w:val="24"/>
          <w:u w:val="single"/>
        </w:rPr>
      </w:pPr>
      <w:r>
        <w:rPr>
          <w:b/>
          <w:sz w:val="24"/>
          <w:szCs w:val="24"/>
          <w:u w:val="single"/>
        </w:rPr>
        <w:t>RULING</w:t>
      </w:r>
    </w:p>
    <w:p w:rsidR="009F6854" w:rsidRDefault="009F6854">
      <w:pPr>
        <w:spacing w:line="360" w:lineRule="auto"/>
        <w:jc w:val="both"/>
        <w:rPr>
          <w:sz w:val="24"/>
          <w:szCs w:val="24"/>
        </w:rPr>
      </w:pPr>
    </w:p>
    <w:p w:rsidR="009F6854" w:rsidRPr="002367F1" w:rsidRDefault="00782EC2">
      <w:pPr>
        <w:spacing w:line="360" w:lineRule="auto"/>
        <w:jc w:val="both"/>
        <w:rPr>
          <w:b/>
          <w:sz w:val="24"/>
          <w:szCs w:val="24"/>
          <w:u w:val="single"/>
        </w:rPr>
      </w:pPr>
      <w:r w:rsidRPr="002367F1">
        <w:rPr>
          <w:b/>
          <w:sz w:val="24"/>
          <w:szCs w:val="24"/>
          <w:u w:val="single"/>
        </w:rPr>
        <w:t>Egonda-Ntende, CJ</w:t>
      </w:r>
    </w:p>
    <w:p w:rsidR="009F6854" w:rsidRDefault="009F6854">
      <w:pPr>
        <w:spacing w:line="360" w:lineRule="auto"/>
        <w:jc w:val="both"/>
        <w:rPr>
          <w:sz w:val="24"/>
          <w:szCs w:val="24"/>
        </w:rPr>
      </w:pPr>
    </w:p>
    <w:p w:rsidR="00477A10" w:rsidRPr="00782EC2" w:rsidRDefault="00477A10" w:rsidP="00782EC2">
      <w:pPr>
        <w:pStyle w:val="ListParagraph"/>
        <w:numPr>
          <w:ilvl w:val="0"/>
          <w:numId w:val="17"/>
        </w:numPr>
        <w:spacing w:line="360" w:lineRule="auto"/>
        <w:jc w:val="both"/>
        <w:rPr>
          <w:sz w:val="24"/>
          <w:szCs w:val="24"/>
        </w:rPr>
      </w:pPr>
      <w:r w:rsidRPr="00782EC2">
        <w:rPr>
          <w:sz w:val="24"/>
          <w:szCs w:val="24"/>
        </w:rPr>
        <w:t>The Defendant no. 2 in this matter has raised a plea in l</w:t>
      </w:r>
      <w:r w:rsidR="002367F1">
        <w:rPr>
          <w:sz w:val="24"/>
          <w:szCs w:val="24"/>
        </w:rPr>
        <w:t>imine contending that this suit</w:t>
      </w:r>
      <w:r w:rsidRPr="00782EC2">
        <w:rPr>
          <w:sz w:val="24"/>
          <w:szCs w:val="24"/>
        </w:rPr>
        <w:t xml:space="preserve"> is res judicata and therefore ought to be dismissed.  The Defendant relies on the decision of the Court of Appeal in Seychelles Court of Appeal no. 6 of 2005, as the decision between the parties.  </w:t>
      </w:r>
    </w:p>
    <w:p w:rsidR="00477A10" w:rsidRDefault="00477A10">
      <w:pPr>
        <w:spacing w:line="360" w:lineRule="auto"/>
        <w:jc w:val="both"/>
        <w:rPr>
          <w:sz w:val="24"/>
          <w:szCs w:val="24"/>
        </w:rPr>
      </w:pPr>
    </w:p>
    <w:p w:rsidR="00782EC2" w:rsidRPr="00782EC2" w:rsidRDefault="00477A10" w:rsidP="00782EC2">
      <w:pPr>
        <w:pStyle w:val="ListParagraph"/>
        <w:numPr>
          <w:ilvl w:val="0"/>
          <w:numId w:val="17"/>
        </w:numPr>
        <w:spacing w:line="360" w:lineRule="auto"/>
        <w:jc w:val="both"/>
        <w:rPr>
          <w:sz w:val="24"/>
          <w:szCs w:val="24"/>
        </w:rPr>
      </w:pPr>
      <w:r w:rsidRPr="00782EC2">
        <w:rPr>
          <w:sz w:val="24"/>
          <w:szCs w:val="24"/>
        </w:rPr>
        <w:t xml:space="preserve">The Plaintiff objects to the plea in limine and asserts that the matter is not res judicata.  On the contrary it is arising because the executors have not complied with the order of the Court of Appeal in Seychelles Court of Appeal no. 6 of 2005. </w:t>
      </w:r>
    </w:p>
    <w:p w:rsidR="00782EC2" w:rsidRDefault="00782EC2" w:rsidP="00782EC2">
      <w:pPr>
        <w:spacing w:line="360" w:lineRule="auto"/>
        <w:ind w:firstLine="120"/>
        <w:jc w:val="both"/>
        <w:rPr>
          <w:sz w:val="24"/>
          <w:szCs w:val="24"/>
        </w:rPr>
      </w:pPr>
    </w:p>
    <w:p w:rsidR="00345D78" w:rsidRDefault="00477A10" w:rsidP="00345D78">
      <w:pPr>
        <w:pStyle w:val="ListParagraph"/>
        <w:numPr>
          <w:ilvl w:val="0"/>
          <w:numId w:val="17"/>
        </w:numPr>
        <w:spacing w:line="360" w:lineRule="auto"/>
        <w:jc w:val="both"/>
        <w:rPr>
          <w:sz w:val="24"/>
          <w:szCs w:val="24"/>
        </w:rPr>
      </w:pPr>
      <w:r w:rsidRPr="00782EC2">
        <w:rPr>
          <w:sz w:val="24"/>
          <w:szCs w:val="24"/>
        </w:rPr>
        <w:lastRenderedPageBreak/>
        <w:t xml:space="preserve">I have perused the plaint in this matter.  The Plaintiff is one of the beneficiaries of the Estate of the Deceased V.T. </w:t>
      </w:r>
      <w:r w:rsidR="00536ADB" w:rsidRPr="00782EC2">
        <w:rPr>
          <w:sz w:val="24"/>
          <w:szCs w:val="24"/>
        </w:rPr>
        <w:t>Thirumany</w:t>
      </w:r>
      <w:r w:rsidRPr="00782EC2">
        <w:rPr>
          <w:sz w:val="24"/>
          <w:szCs w:val="24"/>
        </w:rPr>
        <w:t xml:space="preserve"> Pillay.  The Defendants are the executors of the estate of the said deceased.  The plaint is contending that the distribution of the property by the Defendants was not in accordance both with the law and the decision of the Court of Appeal referred to</w:t>
      </w:r>
      <w:r w:rsidR="00782EC2" w:rsidRPr="00782EC2">
        <w:rPr>
          <w:sz w:val="24"/>
          <w:szCs w:val="24"/>
        </w:rPr>
        <w:t xml:space="preserve"> above, No. 6 of 2005</w:t>
      </w:r>
      <w:r w:rsidRPr="00782EC2">
        <w:rPr>
          <w:sz w:val="24"/>
          <w:szCs w:val="24"/>
        </w:rPr>
        <w:t>.  It is obvious that the parties in Seychelles Court of Appeal no.</w:t>
      </w:r>
      <w:r w:rsidR="00782EC2" w:rsidRPr="00782EC2">
        <w:rPr>
          <w:sz w:val="24"/>
          <w:szCs w:val="24"/>
        </w:rPr>
        <w:t xml:space="preserve"> 6 of 2005 and the present suit</w:t>
      </w:r>
      <w:r w:rsidRPr="00782EC2">
        <w:rPr>
          <w:sz w:val="24"/>
          <w:szCs w:val="24"/>
        </w:rPr>
        <w:t xml:space="preserve"> are different.  The Court of Appeal decision was in respect of an action between two different lines of beneficiaries.  So, clearly the parties are different.  The cause of action is also different.  </w:t>
      </w:r>
      <w:r w:rsidR="00345D78">
        <w:rPr>
          <w:sz w:val="24"/>
          <w:szCs w:val="24"/>
        </w:rPr>
        <w:t xml:space="preserve">The cause of action </w:t>
      </w:r>
      <w:r w:rsidRPr="00782EC2">
        <w:rPr>
          <w:sz w:val="24"/>
          <w:szCs w:val="24"/>
        </w:rPr>
        <w:t xml:space="preserve"> in the current case is </w:t>
      </w:r>
      <w:r w:rsidR="00345D78">
        <w:rPr>
          <w:sz w:val="24"/>
          <w:szCs w:val="24"/>
        </w:rPr>
        <w:t xml:space="preserve">arising out of </w:t>
      </w:r>
      <w:r w:rsidRPr="00782EC2">
        <w:rPr>
          <w:sz w:val="24"/>
          <w:szCs w:val="24"/>
        </w:rPr>
        <w:t>the actions of the executors</w:t>
      </w:r>
      <w:r w:rsidR="00345D78">
        <w:rPr>
          <w:sz w:val="24"/>
          <w:szCs w:val="24"/>
        </w:rPr>
        <w:t xml:space="preserve"> or one of the executors</w:t>
      </w:r>
      <w:r w:rsidRPr="00782EC2">
        <w:rPr>
          <w:sz w:val="24"/>
          <w:szCs w:val="24"/>
        </w:rPr>
        <w:t xml:space="preserve"> of the estate of the deceased rather than a dispute between the heirs</w:t>
      </w:r>
      <w:r w:rsidR="00345D78">
        <w:rPr>
          <w:sz w:val="24"/>
          <w:szCs w:val="24"/>
        </w:rPr>
        <w:t xml:space="preserve"> per se</w:t>
      </w:r>
      <w:r w:rsidRPr="00782EC2">
        <w:rPr>
          <w:sz w:val="24"/>
          <w:szCs w:val="24"/>
        </w:rPr>
        <w:t xml:space="preserve">.  </w:t>
      </w:r>
    </w:p>
    <w:p w:rsidR="00345D78" w:rsidRPr="00345D78" w:rsidRDefault="00345D78" w:rsidP="00345D78">
      <w:pPr>
        <w:pStyle w:val="ListParagraph"/>
        <w:rPr>
          <w:sz w:val="24"/>
          <w:szCs w:val="24"/>
        </w:rPr>
      </w:pPr>
    </w:p>
    <w:p w:rsidR="00345D78" w:rsidRPr="00345D78" w:rsidRDefault="00345D78" w:rsidP="00345D78">
      <w:pPr>
        <w:pStyle w:val="ListParagraph"/>
        <w:numPr>
          <w:ilvl w:val="0"/>
          <w:numId w:val="17"/>
        </w:numPr>
        <w:spacing w:line="360" w:lineRule="auto"/>
        <w:jc w:val="both"/>
        <w:rPr>
          <w:sz w:val="24"/>
          <w:szCs w:val="24"/>
        </w:rPr>
      </w:pPr>
      <w:r w:rsidRPr="00345D78">
        <w:rPr>
          <w:sz w:val="24"/>
          <w:szCs w:val="24"/>
        </w:rPr>
        <w:t xml:space="preserve">For res judicata to apply there must be three fold identity of subject matter, cause and parties in the first and the subsequent case. This was ably explained by </w:t>
      </w:r>
      <w:r w:rsidRPr="00345D78">
        <w:rPr>
          <w:sz w:val="24"/>
          <w:szCs w:val="24"/>
          <w:u w:val="single"/>
        </w:rPr>
        <w:t>Sir Georges Souyave, CJ, in Hoareau v Hemrick [1973] SLR 272 at 273</w:t>
      </w:r>
      <w:r w:rsidRPr="00345D78">
        <w:rPr>
          <w:sz w:val="24"/>
          <w:szCs w:val="24"/>
        </w:rPr>
        <w:t xml:space="preserve">. </w:t>
      </w:r>
    </w:p>
    <w:p w:rsidR="00345D78" w:rsidRDefault="00345D78" w:rsidP="00345D78">
      <w:pPr>
        <w:pStyle w:val="ListParagraph"/>
        <w:rPr>
          <w:sz w:val="24"/>
          <w:szCs w:val="24"/>
        </w:rPr>
      </w:pPr>
    </w:p>
    <w:p w:rsidR="00345D78" w:rsidRDefault="00345D78" w:rsidP="00345D78">
      <w:pPr>
        <w:pStyle w:val="ListParagraph"/>
        <w:ind w:left="1440" w:right="1106"/>
        <w:rPr>
          <w:sz w:val="24"/>
          <w:szCs w:val="24"/>
        </w:rPr>
      </w:pPr>
      <w:r>
        <w:rPr>
          <w:sz w:val="24"/>
          <w:szCs w:val="24"/>
        </w:rPr>
        <w:t xml:space="preserve">‘For the plea of res judicata to be applicable, there must be between the first case and the second case the threefold identity of “objet”, “cause” and “personnes”. </w:t>
      </w:r>
    </w:p>
    <w:p w:rsidR="00345D78" w:rsidRDefault="00345D78" w:rsidP="00345D78">
      <w:pPr>
        <w:pStyle w:val="ListParagraph"/>
        <w:ind w:left="1440" w:right="1106"/>
        <w:rPr>
          <w:sz w:val="24"/>
          <w:szCs w:val="24"/>
        </w:rPr>
      </w:pPr>
      <w:r>
        <w:rPr>
          <w:sz w:val="24"/>
          <w:szCs w:val="24"/>
        </w:rPr>
        <w:t>The “objet” is what is claimed. “La cause” is the fact, or the act, whence the right springs. It might be shortly described as the right which has been violated.’</w:t>
      </w:r>
    </w:p>
    <w:p w:rsidR="00345D78" w:rsidRPr="00782EC2" w:rsidRDefault="00345D78" w:rsidP="00345D78">
      <w:pPr>
        <w:pStyle w:val="ListParagraph"/>
        <w:spacing w:line="360" w:lineRule="auto"/>
        <w:jc w:val="both"/>
        <w:rPr>
          <w:sz w:val="24"/>
          <w:szCs w:val="24"/>
        </w:rPr>
      </w:pPr>
    </w:p>
    <w:p w:rsidR="00782EC2" w:rsidRDefault="00782EC2">
      <w:pPr>
        <w:spacing w:line="360" w:lineRule="auto"/>
        <w:jc w:val="both"/>
        <w:rPr>
          <w:sz w:val="24"/>
          <w:szCs w:val="24"/>
        </w:rPr>
      </w:pPr>
    </w:p>
    <w:p w:rsidR="00345D78" w:rsidRDefault="00345D78" w:rsidP="00782EC2">
      <w:pPr>
        <w:pStyle w:val="ListParagraph"/>
        <w:numPr>
          <w:ilvl w:val="0"/>
          <w:numId w:val="17"/>
        </w:numPr>
        <w:spacing w:line="360" w:lineRule="auto"/>
        <w:jc w:val="both"/>
        <w:rPr>
          <w:sz w:val="24"/>
          <w:szCs w:val="24"/>
        </w:rPr>
      </w:pPr>
      <w:r>
        <w:rPr>
          <w:sz w:val="24"/>
          <w:szCs w:val="24"/>
        </w:rPr>
        <w:t xml:space="preserve">In the instant case it is clear that the parties are different. In the first case it was heirs disputing over their share in the estate of their late father in accordance with the nature of their birthright. Now it is one of the heirs challenging the distribution of the estate by the executors, asserting that it is not in accordance with the decision of the </w:t>
      </w:r>
      <w:r w:rsidR="002367F1">
        <w:rPr>
          <w:sz w:val="24"/>
          <w:szCs w:val="24"/>
        </w:rPr>
        <w:t>C</w:t>
      </w:r>
      <w:r>
        <w:rPr>
          <w:sz w:val="24"/>
          <w:szCs w:val="24"/>
        </w:rPr>
        <w:t xml:space="preserve">ourt of </w:t>
      </w:r>
      <w:r w:rsidR="002367F1">
        <w:rPr>
          <w:sz w:val="24"/>
          <w:szCs w:val="24"/>
        </w:rPr>
        <w:t>A</w:t>
      </w:r>
      <w:r>
        <w:rPr>
          <w:sz w:val="24"/>
          <w:szCs w:val="24"/>
        </w:rPr>
        <w:t>ppeal in SCA No. 6 of 2005 and the law of succession. It is not the same cause of action in issue in this case as it was in the first one.</w:t>
      </w:r>
    </w:p>
    <w:p w:rsidR="00345D78" w:rsidRDefault="00345D78" w:rsidP="00345D78">
      <w:pPr>
        <w:pStyle w:val="ListParagraph"/>
        <w:spacing w:line="360" w:lineRule="auto"/>
        <w:jc w:val="both"/>
        <w:rPr>
          <w:sz w:val="24"/>
          <w:szCs w:val="24"/>
        </w:rPr>
      </w:pPr>
    </w:p>
    <w:p w:rsidR="00477A10" w:rsidRPr="00782EC2" w:rsidRDefault="00782EC2" w:rsidP="00782EC2">
      <w:pPr>
        <w:pStyle w:val="ListParagraph"/>
        <w:numPr>
          <w:ilvl w:val="0"/>
          <w:numId w:val="17"/>
        </w:numPr>
        <w:spacing w:line="360" w:lineRule="auto"/>
        <w:jc w:val="both"/>
        <w:rPr>
          <w:sz w:val="24"/>
          <w:szCs w:val="24"/>
        </w:rPr>
      </w:pPr>
      <w:r w:rsidRPr="00782EC2">
        <w:rPr>
          <w:sz w:val="24"/>
          <w:szCs w:val="24"/>
        </w:rPr>
        <w:t>In the e</w:t>
      </w:r>
      <w:r w:rsidR="00477A10" w:rsidRPr="00782EC2">
        <w:rPr>
          <w:sz w:val="24"/>
          <w:szCs w:val="24"/>
        </w:rPr>
        <w:t xml:space="preserve">nd result I am satisfied that this case is not res judicata and I dismiss the plea in limine.  </w:t>
      </w:r>
    </w:p>
    <w:p w:rsidR="00477A10" w:rsidRDefault="00477A10">
      <w:pPr>
        <w:spacing w:line="360" w:lineRule="auto"/>
        <w:jc w:val="both"/>
        <w:rPr>
          <w:sz w:val="24"/>
          <w:szCs w:val="24"/>
        </w:rPr>
      </w:pPr>
    </w:p>
    <w:p w:rsidR="00AC1BE3" w:rsidRDefault="00AC1BE3" w:rsidP="00AC1BE3">
      <w:pPr>
        <w:spacing w:line="360" w:lineRule="auto"/>
        <w:jc w:val="both"/>
        <w:rPr>
          <w:i/>
          <w:sz w:val="24"/>
          <w:szCs w:val="24"/>
        </w:rPr>
      </w:pPr>
      <w:r>
        <w:rPr>
          <w:sz w:val="24"/>
          <w:szCs w:val="24"/>
        </w:rPr>
        <w:t xml:space="preserve"> </w:t>
      </w:r>
    </w:p>
    <w:p w:rsidR="00AC1BE3" w:rsidRPr="00782EC2" w:rsidRDefault="00AC1BE3" w:rsidP="00782EC2">
      <w:pPr>
        <w:spacing w:line="360" w:lineRule="auto"/>
        <w:rPr>
          <w:sz w:val="24"/>
          <w:szCs w:val="24"/>
        </w:rPr>
      </w:pPr>
      <w:r w:rsidRPr="00782EC2">
        <w:rPr>
          <w:sz w:val="24"/>
          <w:szCs w:val="24"/>
        </w:rPr>
        <w:t xml:space="preserve">Signed, dated and delivered at Victoria, this </w:t>
      </w:r>
      <w:r w:rsidR="00477A10" w:rsidRPr="00782EC2">
        <w:rPr>
          <w:sz w:val="24"/>
          <w:szCs w:val="24"/>
        </w:rPr>
        <w:t>24</w:t>
      </w:r>
      <w:r w:rsidR="00477A10" w:rsidRPr="00782EC2">
        <w:rPr>
          <w:sz w:val="24"/>
          <w:szCs w:val="24"/>
          <w:vertAlign w:val="superscript"/>
        </w:rPr>
        <w:t>th</w:t>
      </w:r>
      <w:r w:rsidRPr="00782EC2">
        <w:rPr>
          <w:sz w:val="24"/>
          <w:szCs w:val="24"/>
        </w:rPr>
        <w:t xml:space="preserve"> day of </w:t>
      </w:r>
      <w:r w:rsidR="00477A10" w:rsidRPr="00782EC2">
        <w:rPr>
          <w:sz w:val="24"/>
          <w:szCs w:val="24"/>
        </w:rPr>
        <w:t>September</w:t>
      </w:r>
      <w:r w:rsidRPr="00782EC2">
        <w:rPr>
          <w:sz w:val="24"/>
          <w:szCs w:val="24"/>
        </w:rPr>
        <w:t xml:space="preserve"> 2012.</w:t>
      </w:r>
    </w:p>
    <w:p w:rsidR="00AC1BE3" w:rsidRDefault="00AC1BE3" w:rsidP="00AC1BE3">
      <w:pPr>
        <w:spacing w:line="360" w:lineRule="auto"/>
        <w:jc w:val="both"/>
        <w:rPr>
          <w:sz w:val="24"/>
          <w:szCs w:val="24"/>
        </w:rPr>
      </w:pPr>
    </w:p>
    <w:p w:rsidR="00AC1BE3" w:rsidRDefault="00AC1BE3" w:rsidP="00AC1BE3">
      <w:pPr>
        <w:spacing w:line="360" w:lineRule="auto"/>
        <w:jc w:val="both"/>
        <w:rPr>
          <w:sz w:val="24"/>
          <w:szCs w:val="24"/>
        </w:rPr>
      </w:pPr>
    </w:p>
    <w:p w:rsidR="00AC1BE3" w:rsidRDefault="00AC1BE3" w:rsidP="00AC1BE3">
      <w:pPr>
        <w:spacing w:line="360" w:lineRule="auto"/>
        <w:jc w:val="both"/>
        <w:rPr>
          <w:sz w:val="24"/>
          <w:szCs w:val="24"/>
        </w:rPr>
      </w:pPr>
    </w:p>
    <w:p w:rsidR="00AC1BE3" w:rsidRPr="00345D78" w:rsidRDefault="002367F1" w:rsidP="00782EC2">
      <w:pPr>
        <w:spacing w:line="360" w:lineRule="auto"/>
        <w:rPr>
          <w:sz w:val="24"/>
          <w:szCs w:val="24"/>
        </w:rPr>
      </w:pPr>
      <w:r>
        <w:rPr>
          <w:sz w:val="24"/>
          <w:szCs w:val="24"/>
        </w:rPr>
        <w:t>F.M. S. Egonda-Ntende</w:t>
      </w:r>
    </w:p>
    <w:p w:rsidR="00AC1BE3" w:rsidRPr="00AC1BE3" w:rsidRDefault="00AC1BE3" w:rsidP="00782EC2">
      <w:pPr>
        <w:spacing w:line="360" w:lineRule="auto"/>
        <w:rPr>
          <w:sz w:val="24"/>
          <w:szCs w:val="24"/>
          <w:u w:val="single"/>
        </w:rPr>
      </w:pPr>
      <w:r w:rsidRPr="00AC1BE3">
        <w:rPr>
          <w:b/>
          <w:sz w:val="24"/>
          <w:szCs w:val="24"/>
          <w:u w:val="single"/>
        </w:rPr>
        <w:t>CHIEF JUSTICE</w:t>
      </w:r>
    </w:p>
    <w:sectPr w:rsidR="00AC1BE3" w:rsidRPr="00AC1BE3" w:rsidSect="00F97E1A">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4AE" w:rsidRDefault="00F874AE">
      <w:r>
        <w:separator/>
      </w:r>
    </w:p>
  </w:endnote>
  <w:endnote w:type="continuationSeparator" w:id="1">
    <w:p w:rsidR="00F874AE" w:rsidRDefault="00F87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4AE" w:rsidRDefault="00F874AE">
      <w:r>
        <w:separator/>
      </w:r>
    </w:p>
  </w:footnote>
  <w:footnote w:type="continuationSeparator" w:id="1">
    <w:p w:rsidR="00F874AE" w:rsidRDefault="00F87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E2" w:rsidRDefault="000C1444">
    <w:pPr>
      <w:pStyle w:val="Header"/>
      <w:framePr w:wrap="around" w:vAnchor="text" w:hAnchor="margin" w:xAlign="center" w:y="1"/>
      <w:rPr>
        <w:rStyle w:val="PageNumber"/>
      </w:rPr>
    </w:pPr>
    <w:r>
      <w:rPr>
        <w:rStyle w:val="PageNumber"/>
      </w:rPr>
      <w:fldChar w:fldCharType="begin"/>
    </w:r>
    <w:r w:rsidR="000750E2">
      <w:rPr>
        <w:rStyle w:val="PageNumber"/>
      </w:rPr>
      <w:instrText xml:space="preserve">PAGE  </w:instrText>
    </w:r>
    <w:r>
      <w:rPr>
        <w:rStyle w:val="PageNumber"/>
      </w:rPr>
      <w:fldChar w:fldCharType="separate"/>
    </w:r>
    <w:r w:rsidR="000750E2">
      <w:rPr>
        <w:rStyle w:val="PageNumber"/>
        <w:noProof/>
      </w:rPr>
      <w:t>1</w:t>
    </w:r>
    <w:r>
      <w:rPr>
        <w:rStyle w:val="PageNumber"/>
      </w:rPr>
      <w:fldChar w:fldCharType="end"/>
    </w:r>
  </w:p>
  <w:p w:rsidR="000750E2" w:rsidRDefault="00075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0E2" w:rsidRDefault="000C1444">
    <w:pPr>
      <w:pStyle w:val="Header"/>
      <w:framePr w:wrap="around" w:vAnchor="text" w:hAnchor="margin" w:xAlign="center" w:y="1"/>
      <w:rPr>
        <w:rStyle w:val="PageNumber"/>
      </w:rPr>
    </w:pPr>
    <w:r>
      <w:rPr>
        <w:rStyle w:val="PageNumber"/>
      </w:rPr>
      <w:fldChar w:fldCharType="begin"/>
    </w:r>
    <w:r w:rsidR="000750E2">
      <w:rPr>
        <w:rStyle w:val="PageNumber"/>
      </w:rPr>
      <w:instrText xml:space="preserve">PAGE  </w:instrText>
    </w:r>
    <w:r>
      <w:rPr>
        <w:rStyle w:val="PageNumber"/>
      </w:rPr>
      <w:fldChar w:fldCharType="separate"/>
    </w:r>
    <w:r w:rsidR="0055610B">
      <w:rPr>
        <w:rStyle w:val="PageNumber"/>
        <w:noProof/>
      </w:rPr>
      <w:t>3</w:t>
    </w:r>
    <w:r>
      <w:rPr>
        <w:rStyle w:val="PageNumber"/>
      </w:rPr>
      <w:fldChar w:fldCharType="end"/>
    </w:r>
  </w:p>
  <w:p w:rsidR="000750E2" w:rsidRDefault="00075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63"/>
    <w:multiLevelType w:val="hybridMultilevel"/>
    <w:tmpl w:val="5F94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E35"/>
    <w:multiLevelType w:val="hybridMultilevel"/>
    <w:tmpl w:val="CC3A5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97AEE"/>
    <w:multiLevelType w:val="hybridMultilevel"/>
    <w:tmpl w:val="A2A87EC4"/>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96413"/>
    <w:multiLevelType w:val="hybridMultilevel"/>
    <w:tmpl w:val="95241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47C03"/>
    <w:multiLevelType w:val="hybridMultilevel"/>
    <w:tmpl w:val="A000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B1F18"/>
    <w:multiLevelType w:val="hybridMultilevel"/>
    <w:tmpl w:val="93DC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91D70"/>
    <w:multiLevelType w:val="hybridMultilevel"/>
    <w:tmpl w:val="35F0C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1379C4"/>
    <w:multiLevelType w:val="hybridMultilevel"/>
    <w:tmpl w:val="33C0D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6E56C4"/>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5176694"/>
    <w:multiLevelType w:val="hybridMultilevel"/>
    <w:tmpl w:val="214C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4B1B26"/>
    <w:multiLevelType w:val="hybridMultilevel"/>
    <w:tmpl w:val="A6F22F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B62265"/>
    <w:multiLevelType w:val="hybridMultilevel"/>
    <w:tmpl w:val="C9F69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72351A"/>
    <w:multiLevelType w:val="hybridMultilevel"/>
    <w:tmpl w:val="D8745522"/>
    <w:lvl w:ilvl="0" w:tplc="1562B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719C3"/>
    <w:multiLevelType w:val="hybridMultilevel"/>
    <w:tmpl w:val="37A4184C"/>
    <w:lvl w:ilvl="0" w:tplc="566E0C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E87B5D"/>
    <w:multiLevelType w:val="hybridMultilevel"/>
    <w:tmpl w:val="0090FC38"/>
    <w:lvl w:ilvl="0" w:tplc="58A8B6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3263D81"/>
    <w:multiLevelType w:val="hybridMultilevel"/>
    <w:tmpl w:val="FF0E5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021AED"/>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E600837"/>
    <w:multiLevelType w:val="hybridMultilevel"/>
    <w:tmpl w:val="873E0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1"/>
  </w:num>
  <w:num w:numId="4">
    <w:abstractNumId w:val="17"/>
  </w:num>
  <w:num w:numId="5">
    <w:abstractNumId w:val="14"/>
  </w:num>
  <w:num w:numId="6">
    <w:abstractNumId w:val="6"/>
  </w:num>
  <w:num w:numId="7">
    <w:abstractNumId w:val="13"/>
  </w:num>
  <w:num w:numId="8">
    <w:abstractNumId w:val="10"/>
  </w:num>
  <w:num w:numId="9">
    <w:abstractNumId w:val="5"/>
  </w:num>
  <w:num w:numId="10">
    <w:abstractNumId w:val="3"/>
  </w:num>
  <w:num w:numId="11">
    <w:abstractNumId w:val="7"/>
  </w:num>
  <w:num w:numId="12">
    <w:abstractNumId w:val="1"/>
  </w:num>
  <w:num w:numId="13">
    <w:abstractNumId w:val="15"/>
  </w:num>
  <w:num w:numId="14">
    <w:abstractNumId w:val="0"/>
  </w:num>
  <w:num w:numId="15">
    <w:abstractNumId w:val="12"/>
  </w:num>
  <w:num w:numId="16">
    <w:abstractNumId w:val="4"/>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380F"/>
    <w:rsid w:val="00010678"/>
    <w:rsid w:val="00021BDE"/>
    <w:rsid w:val="00050659"/>
    <w:rsid w:val="000547A9"/>
    <w:rsid w:val="00056309"/>
    <w:rsid w:val="00064725"/>
    <w:rsid w:val="00074648"/>
    <w:rsid w:val="000750E2"/>
    <w:rsid w:val="00081A3E"/>
    <w:rsid w:val="00090A8E"/>
    <w:rsid w:val="000924CE"/>
    <w:rsid w:val="00093E74"/>
    <w:rsid w:val="00095D20"/>
    <w:rsid w:val="00097E86"/>
    <w:rsid w:val="000A74E4"/>
    <w:rsid w:val="000B6713"/>
    <w:rsid w:val="000C1444"/>
    <w:rsid w:val="000E123B"/>
    <w:rsid w:val="000E22EC"/>
    <w:rsid w:val="000F4007"/>
    <w:rsid w:val="00103851"/>
    <w:rsid w:val="00110270"/>
    <w:rsid w:val="00115E0E"/>
    <w:rsid w:val="00127ADA"/>
    <w:rsid w:val="001311AC"/>
    <w:rsid w:val="00134AB0"/>
    <w:rsid w:val="00140A00"/>
    <w:rsid w:val="00157E75"/>
    <w:rsid w:val="00162D46"/>
    <w:rsid w:val="00170D4A"/>
    <w:rsid w:val="001718E6"/>
    <w:rsid w:val="0017656E"/>
    <w:rsid w:val="001A4378"/>
    <w:rsid w:val="001A5ED3"/>
    <w:rsid w:val="001B4800"/>
    <w:rsid w:val="001C71AD"/>
    <w:rsid w:val="001D4615"/>
    <w:rsid w:val="001D61B6"/>
    <w:rsid w:val="001E6D5D"/>
    <w:rsid w:val="001F5B11"/>
    <w:rsid w:val="001F5E61"/>
    <w:rsid w:val="002022A6"/>
    <w:rsid w:val="00202E36"/>
    <w:rsid w:val="00205B9E"/>
    <w:rsid w:val="00211F5B"/>
    <w:rsid w:val="00216BEF"/>
    <w:rsid w:val="002222F2"/>
    <w:rsid w:val="002367F1"/>
    <w:rsid w:val="002419CF"/>
    <w:rsid w:val="00252493"/>
    <w:rsid w:val="00256C17"/>
    <w:rsid w:val="002633DF"/>
    <w:rsid w:val="002633FD"/>
    <w:rsid w:val="002B0A72"/>
    <w:rsid w:val="002C4D49"/>
    <w:rsid w:val="002C6C87"/>
    <w:rsid w:val="002E5CAF"/>
    <w:rsid w:val="002F35C6"/>
    <w:rsid w:val="003318C9"/>
    <w:rsid w:val="00333213"/>
    <w:rsid w:val="00336BC8"/>
    <w:rsid w:val="00342D0E"/>
    <w:rsid w:val="00343B95"/>
    <w:rsid w:val="00345D78"/>
    <w:rsid w:val="00362DB3"/>
    <w:rsid w:val="00373CFC"/>
    <w:rsid w:val="003833E4"/>
    <w:rsid w:val="00394439"/>
    <w:rsid w:val="0039451E"/>
    <w:rsid w:val="003A3E87"/>
    <w:rsid w:val="003B11C3"/>
    <w:rsid w:val="003B6FB2"/>
    <w:rsid w:val="003C0B77"/>
    <w:rsid w:val="003C12FA"/>
    <w:rsid w:val="003D0591"/>
    <w:rsid w:val="003D11D7"/>
    <w:rsid w:val="003E3288"/>
    <w:rsid w:val="003F7517"/>
    <w:rsid w:val="00400E6A"/>
    <w:rsid w:val="00414D5B"/>
    <w:rsid w:val="00426BEC"/>
    <w:rsid w:val="004327E4"/>
    <w:rsid w:val="00433668"/>
    <w:rsid w:val="00433847"/>
    <w:rsid w:val="00456DC7"/>
    <w:rsid w:val="00466A3C"/>
    <w:rsid w:val="00472EDA"/>
    <w:rsid w:val="00473333"/>
    <w:rsid w:val="00477A10"/>
    <w:rsid w:val="00487633"/>
    <w:rsid w:val="004A3E85"/>
    <w:rsid w:val="004B2937"/>
    <w:rsid w:val="004C602B"/>
    <w:rsid w:val="004D793D"/>
    <w:rsid w:val="005047AD"/>
    <w:rsid w:val="005053C6"/>
    <w:rsid w:val="005231F4"/>
    <w:rsid w:val="00534C74"/>
    <w:rsid w:val="00536ADB"/>
    <w:rsid w:val="00544692"/>
    <w:rsid w:val="005463E1"/>
    <w:rsid w:val="0055610B"/>
    <w:rsid w:val="00562624"/>
    <w:rsid w:val="005639E8"/>
    <w:rsid w:val="005714C5"/>
    <w:rsid w:val="005779EC"/>
    <w:rsid w:val="005875A0"/>
    <w:rsid w:val="005921E7"/>
    <w:rsid w:val="005B097B"/>
    <w:rsid w:val="005C5196"/>
    <w:rsid w:val="005D3AD4"/>
    <w:rsid w:val="005E0185"/>
    <w:rsid w:val="00607A6C"/>
    <w:rsid w:val="00625D81"/>
    <w:rsid w:val="0063128C"/>
    <w:rsid w:val="00633476"/>
    <w:rsid w:val="0063380F"/>
    <w:rsid w:val="00643B57"/>
    <w:rsid w:val="00652352"/>
    <w:rsid w:val="006674AD"/>
    <w:rsid w:val="00675B57"/>
    <w:rsid w:val="00676E6B"/>
    <w:rsid w:val="0067720D"/>
    <w:rsid w:val="00680849"/>
    <w:rsid w:val="006859F4"/>
    <w:rsid w:val="00694905"/>
    <w:rsid w:val="00696851"/>
    <w:rsid w:val="00697C33"/>
    <w:rsid w:val="006A576C"/>
    <w:rsid w:val="006E4825"/>
    <w:rsid w:val="006F7FC3"/>
    <w:rsid w:val="00703ED0"/>
    <w:rsid w:val="00712EED"/>
    <w:rsid w:val="00716CC8"/>
    <w:rsid w:val="007372C8"/>
    <w:rsid w:val="007467EF"/>
    <w:rsid w:val="00757E2F"/>
    <w:rsid w:val="007621E0"/>
    <w:rsid w:val="00777665"/>
    <w:rsid w:val="00782EC2"/>
    <w:rsid w:val="007834DB"/>
    <w:rsid w:val="00794C33"/>
    <w:rsid w:val="00794FF3"/>
    <w:rsid w:val="007A0D8B"/>
    <w:rsid w:val="007A215A"/>
    <w:rsid w:val="007A5F36"/>
    <w:rsid w:val="007A6E81"/>
    <w:rsid w:val="007C41C3"/>
    <w:rsid w:val="007D2290"/>
    <w:rsid w:val="008006DA"/>
    <w:rsid w:val="008008EC"/>
    <w:rsid w:val="0080324D"/>
    <w:rsid w:val="008046C1"/>
    <w:rsid w:val="00826312"/>
    <w:rsid w:val="0083594B"/>
    <w:rsid w:val="00844CFA"/>
    <w:rsid w:val="00851B0A"/>
    <w:rsid w:val="00857376"/>
    <w:rsid w:val="00864AD1"/>
    <w:rsid w:val="00891636"/>
    <w:rsid w:val="008D3A93"/>
    <w:rsid w:val="008E4371"/>
    <w:rsid w:val="008E474A"/>
    <w:rsid w:val="008F5F8B"/>
    <w:rsid w:val="00904F16"/>
    <w:rsid w:val="00912DEB"/>
    <w:rsid w:val="0092557A"/>
    <w:rsid w:val="009268FB"/>
    <w:rsid w:val="00926CEE"/>
    <w:rsid w:val="00927FA2"/>
    <w:rsid w:val="00934721"/>
    <w:rsid w:val="00940F6D"/>
    <w:rsid w:val="00944960"/>
    <w:rsid w:val="00952AC5"/>
    <w:rsid w:val="00960EF7"/>
    <w:rsid w:val="00964840"/>
    <w:rsid w:val="0097155F"/>
    <w:rsid w:val="00977EBF"/>
    <w:rsid w:val="009843C8"/>
    <w:rsid w:val="009A45D8"/>
    <w:rsid w:val="009A7CCB"/>
    <w:rsid w:val="009B256E"/>
    <w:rsid w:val="009B2E1A"/>
    <w:rsid w:val="009B5D38"/>
    <w:rsid w:val="009C3757"/>
    <w:rsid w:val="009E313C"/>
    <w:rsid w:val="009F6854"/>
    <w:rsid w:val="00A050D0"/>
    <w:rsid w:val="00A05F58"/>
    <w:rsid w:val="00A10EDF"/>
    <w:rsid w:val="00A17625"/>
    <w:rsid w:val="00A26F84"/>
    <w:rsid w:val="00A34A66"/>
    <w:rsid w:val="00A40132"/>
    <w:rsid w:val="00A45AF4"/>
    <w:rsid w:val="00A574D0"/>
    <w:rsid w:val="00A62130"/>
    <w:rsid w:val="00A74164"/>
    <w:rsid w:val="00A7446A"/>
    <w:rsid w:val="00A86C1F"/>
    <w:rsid w:val="00A87005"/>
    <w:rsid w:val="00A90769"/>
    <w:rsid w:val="00A97786"/>
    <w:rsid w:val="00AA1793"/>
    <w:rsid w:val="00AA1800"/>
    <w:rsid w:val="00AB3A8C"/>
    <w:rsid w:val="00AB57C1"/>
    <w:rsid w:val="00AB685F"/>
    <w:rsid w:val="00AC1BE3"/>
    <w:rsid w:val="00AD01B6"/>
    <w:rsid w:val="00AD0A7C"/>
    <w:rsid w:val="00AD36D2"/>
    <w:rsid w:val="00AD5582"/>
    <w:rsid w:val="00AE2B29"/>
    <w:rsid w:val="00AE5F9D"/>
    <w:rsid w:val="00AF09EA"/>
    <w:rsid w:val="00AF5FE6"/>
    <w:rsid w:val="00B016DE"/>
    <w:rsid w:val="00B1221E"/>
    <w:rsid w:val="00B4479B"/>
    <w:rsid w:val="00B61A23"/>
    <w:rsid w:val="00B71CB3"/>
    <w:rsid w:val="00B80C48"/>
    <w:rsid w:val="00B87C22"/>
    <w:rsid w:val="00B97E9B"/>
    <w:rsid w:val="00BA1D22"/>
    <w:rsid w:val="00BA5969"/>
    <w:rsid w:val="00BB4D2D"/>
    <w:rsid w:val="00BC57EE"/>
    <w:rsid w:val="00BC5D2B"/>
    <w:rsid w:val="00BD6428"/>
    <w:rsid w:val="00BD64F4"/>
    <w:rsid w:val="00BE41BF"/>
    <w:rsid w:val="00C04CC3"/>
    <w:rsid w:val="00C0591A"/>
    <w:rsid w:val="00C10955"/>
    <w:rsid w:val="00C13B68"/>
    <w:rsid w:val="00C355E7"/>
    <w:rsid w:val="00C35E16"/>
    <w:rsid w:val="00C4183A"/>
    <w:rsid w:val="00C44187"/>
    <w:rsid w:val="00C5031E"/>
    <w:rsid w:val="00C55EFA"/>
    <w:rsid w:val="00C60753"/>
    <w:rsid w:val="00C624FC"/>
    <w:rsid w:val="00C75DE8"/>
    <w:rsid w:val="00C77CC6"/>
    <w:rsid w:val="00C84748"/>
    <w:rsid w:val="00C85728"/>
    <w:rsid w:val="00C97236"/>
    <w:rsid w:val="00CA5A19"/>
    <w:rsid w:val="00CB5276"/>
    <w:rsid w:val="00CC500F"/>
    <w:rsid w:val="00CC65D3"/>
    <w:rsid w:val="00CD3CA7"/>
    <w:rsid w:val="00CE5994"/>
    <w:rsid w:val="00CE6A56"/>
    <w:rsid w:val="00D057C5"/>
    <w:rsid w:val="00D11959"/>
    <w:rsid w:val="00D13A38"/>
    <w:rsid w:val="00D170CD"/>
    <w:rsid w:val="00D20CE3"/>
    <w:rsid w:val="00D20D33"/>
    <w:rsid w:val="00D37C94"/>
    <w:rsid w:val="00D50072"/>
    <w:rsid w:val="00D65603"/>
    <w:rsid w:val="00D67F7F"/>
    <w:rsid w:val="00DA1C42"/>
    <w:rsid w:val="00DA48BD"/>
    <w:rsid w:val="00DB7196"/>
    <w:rsid w:val="00DD120B"/>
    <w:rsid w:val="00DE071F"/>
    <w:rsid w:val="00DE6A30"/>
    <w:rsid w:val="00DF0967"/>
    <w:rsid w:val="00DF3BD2"/>
    <w:rsid w:val="00E068E8"/>
    <w:rsid w:val="00E16E82"/>
    <w:rsid w:val="00E20F00"/>
    <w:rsid w:val="00E27804"/>
    <w:rsid w:val="00E302B0"/>
    <w:rsid w:val="00E307AB"/>
    <w:rsid w:val="00E33D4D"/>
    <w:rsid w:val="00E47A90"/>
    <w:rsid w:val="00E56400"/>
    <w:rsid w:val="00E82C37"/>
    <w:rsid w:val="00E8373C"/>
    <w:rsid w:val="00E85BFD"/>
    <w:rsid w:val="00E964A9"/>
    <w:rsid w:val="00EA46C5"/>
    <w:rsid w:val="00EB3705"/>
    <w:rsid w:val="00EB7018"/>
    <w:rsid w:val="00EB7C48"/>
    <w:rsid w:val="00EC18AF"/>
    <w:rsid w:val="00EF18E7"/>
    <w:rsid w:val="00F0505A"/>
    <w:rsid w:val="00F3501F"/>
    <w:rsid w:val="00F35D8E"/>
    <w:rsid w:val="00F36255"/>
    <w:rsid w:val="00F54291"/>
    <w:rsid w:val="00F54E49"/>
    <w:rsid w:val="00F74AD6"/>
    <w:rsid w:val="00F874AE"/>
    <w:rsid w:val="00F912FB"/>
    <w:rsid w:val="00F94821"/>
    <w:rsid w:val="00F97E1A"/>
    <w:rsid w:val="00FA3666"/>
    <w:rsid w:val="00FA3863"/>
    <w:rsid w:val="00FA7899"/>
    <w:rsid w:val="00FB6344"/>
    <w:rsid w:val="00FC06FA"/>
    <w:rsid w:val="00FC52C0"/>
    <w:rsid w:val="00FE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E1A"/>
  </w:style>
  <w:style w:type="paragraph" w:styleId="Heading1">
    <w:name w:val="heading 1"/>
    <w:basedOn w:val="Normal"/>
    <w:next w:val="Normal"/>
    <w:qFormat/>
    <w:rsid w:val="00F97E1A"/>
    <w:pPr>
      <w:keepNext/>
      <w:outlineLvl w:val="0"/>
    </w:pPr>
    <w:rPr>
      <w:sz w:val="24"/>
      <w:u w:val="single"/>
    </w:rPr>
  </w:style>
  <w:style w:type="paragraph" w:styleId="Heading2">
    <w:name w:val="heading 2"/>
    <w:basedOn w:val="Normal"/>
    <w:next w:val="Normal"/>
    <w:qFormat/>
    <w:rsid w:val="00F97E1A"/>
    <w:pPr>
      <w:keepNext/>
      <w:jc w:val="center"/>
      <w:outlineLvl w:val="1"/>
    </w:pPr>
    <w:rPr>
      <w:b/>
      <w:sz w:val="24"/>
      <w:u w:val="single"/>
    </w:rPr>
  </w:style>
  <w:style w:type="paragraph" w:styleId="Heading3">
    <w:name w:val="heading 3"/>
    <w:basedOn w:val="Normal"/>
    <w:next w:val="Normal"/>
    <w:qFormat/>
    <w:rsid w:val="00F97E1A"/>
    <w:pPr>
      <w:keepNext/>
      <w:outlineLvl w:val="2"/>
    </w:pPr>
    <w:rPr>
      <w:sz w:val="24"/>
    </w:rPr>
  </w:style>
  <w:style w:type="paragraph" w:styleId="Heading4">
    <w:name w:val="heading 4"/>
    <w:basedOn w:val="Normal"/>
    <w:next w:val="Normal"/>
    <w:qFormat/>
    <w:rsid w:val="00F97E1A"/>
    <w:pPr>
      <w:keepNext/>
      <w:outlineLvl w:val="3"/>
    </w:pPr>
    <w:rPr>
      <w:b/>
      <w:sz w:val="24"/>
    </w:rPr>
  </w:style>
  <w:style w:type="paragraph" w:styleId="Heading5">
    <w:name w:val="heading 5"/>
    <w:basedOn w:val="Normal"/>
    <w:next w:val="Normal"/>
    <w:qFormat/>
    <w:rsid w:val="00F97E1A"/>
    <w:pPr>
      <w:keepNext/>
      <w:spacing w:line="360" w:lineRule="auto"/>
      <w:jc w:val="center"/>
      <w:outlineLvl w:val="4"/>
    </w:pPr>
    <w:rPr>
      <w:b/>
      <w:sz w:val="28"/>
      <w:u w:val="single"/>
    </w:rPr>
  </w:style>
  <w:style w:type="paragraph" w:styleId="Heading6">
    <w:name w:val="heading 6"/>
    <w:basedOn w:val="Normal"/>
    <w:next w:val="Normal"/>
    <w:qFormat/>
    <w:rsid w:val="00F97E1A"/>
    <w:pPr>
      <w:keepNext/>
      <w:spacing w:line="360" w:lineRule="auto"/>
      <w:jc w:val="center"/>
      <w:outlineLvl w:val="5"/>
    </w:pPr>
    <w:rPr>
      <w:sz w:val="28"/>
    </w:rPr>
  </w:style>
  <w:style w:type="paragraph" w:styleId="Heading7">
    <w:name w:val="heading 7"/>
    <w:basedOn w:val="Normal"/>
    <w:next w:val="Normal"/>
    <w:qFormat/>
    <w:rsid w:val="00F97E1A"/>
    <w:pPr>
      <w:keepNext/>
      <w:spacing w:line="360" w:lineRule="auto"/>
      <w:jc w:val="both"/>
      <w:outlineLvl w:val="6"/>
    </w:pPr>
    <w:rPr>
      <w:b/>
      <w:sz w:val="28"/>
      <w:u w:val="single"/>
    </w:rPr>
  </w:style>
  <w:style w:type="paragraph" w:styleId="Heading8">
    <w:name w:val="heading 8"/>
    <w:basedOn w:val="Normal"/>
    <w:next w:val="Normal"/>
    <w:qFormat/>
    <w:rsid w:val="00F97E1A"/>
    <w:pPr>
      <w:keepNext/>
      <w:spacing w:line="360" w:lineRule="auto"/>
      <w:jc w:val="both"/>
      <w:outlineLvl w:val="7"/>
    </w:pPr>
    <w:rPr>
      <w:rFonts w:ascii="Book Antiqua" w:hAnsi="Book Antiqua"/>
      <w:sz w:val="28"/>
    </w:rPr>
  </w:style>
  <w:style w:type="paragraph" w:styleId="Heading9">
    <w:name w:val="heading 9"/>
    <w:basedOn w:val="Normal"/>
    <w:next w:val="Normal"/>
    <w:qFormat/>
    <w:rsid w:val="00F97E1A"/>
    <w:pPr>
      <w:keepNext/>
      <w:spacing w:line="360" w:lineRule="auto"/>
      <w:jc w:val="both"/>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7E1A"/>
    <w:pPr>
      <w:spacing w:line="360" w:lineRule="auto"/>
      <w:jc w:val="both"/>
    </w:pPr>
    <w:rPr>
      <w:sz w:val="28"/>
    </w:rPr>
  </w:style>
  <w:style w:type="paragraph" w:styleId="Header">
    <w:name w:val="header"/>
    <w:basedOn w:val="Normal"/>
    <w:rsid w:val="00F97E1A"/>
    <w:pPr>
      <w:tabs>
        <w:tab w:val="center" w:pos="4320"/>
        <w:tab w:val="right" w:pos="8640"/>
      </w:tabs>
    </w:pPr>
  </w:style>
  <w:style w:type="character" w:styleId="PageNumber">
    <w:name w:val="page number"/>
    <w:basedOn w:val="DefaultParagraphFont"/>
    <w:rsid w:val="00F97E1A"/>
  </w:style>
  <w:style w:type="paragraph" w:styleId="BodyTextIndent">
    <w:name w:val="Body Text Indent"/>
    <w:basedOn w:val="Normal"/>
    <w:rsid w:val="00F97E1A"/>
    <w:pPr>
      <w:spacing w:line="360" w:lineRule="auto"/>
      <w:ind w:left="720" w:hanging="720"/>
      <w:jc w:val="both"/>
    </w:pPr>
    <w:rPr>
      <w:rFonts w:ascii="Arial Narrow" w:hAnsi="Arial Narrow"/>
      <w:sz w:val="28"/>
    </w:rPr>
  </w:style>
  <w:style w:type="paragraph" w:styleId="ListParagraph">
    <w:name w:val="List Paragraph"/>
    <w:basedOn w:val="Normal"/>
    <w:uiPriority w:val="34"/>
    <w:qFormat/>
    <w:rsid w:val="001F5B11"/>
    <w:pPr>
      <w:ind w:left="720"/>
      <w:contextualSpacing/>
    </w:pPr>
  </w:style>
  <w:style w:type="paragraph" w:styleId="BalloonText">
    <w:name w:val="Balloon Text"/>
    <w:basedOn w:val="Normal"/>
    <w:link w:val="BalloonTextChar"/>
    <w:rsid w:val="00345D78"/>
    <w:rPr>
      <w:rFonts w:ascii="Tahoma" w:hAnsi="Tahoma" w:cs="Tahoma"/>
      <w:sz w:val="16"/>
      <w:szCs w:val="16"/>
    </w:rPr>
  </w:style>
  <w:style w:type="character" w:customStyle="1" w:styleId="BalloonTextChar">
    <w:name w:val="Balloon Text Char"/>
    <w:basedOn w:val="DefaultParagraphFont"/>
    <w:link w:val="BalloonText"/>
    <w:rsid w:val="00345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130B-A23A-4000-AF31-5F09DCCE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SITTING OF WEDNESDAY 3RD NOVEMBER 1999 AT 9</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SITTING OF WEDNESDAY 3RD NOVEMBER 1999 AT 9</dc:title>
  <dc:creator>Lisette</dc:creator>
  <cp:lastModifiedBy>thelma1</cp:lastModifiedBy>
  <cp:revision>2</cp:revision>
  <cp:lastPrinted>2012-09-18T11:40:00Z</cp:lastPrinted>
  <dcterms:created xsi:type="dcterms:W3CDTF">2012-11-12T06:13:00Z</dcterms:created>
  <dcterms:modified xsi:type="dcterms:W3CDTF">2012-11-12T06:13:00Z</dcterms:modified>
</cp:coreProperties>
</file>