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B4" w:rsidRDefault="007135B4" w:rsidP="007135B4">
      <w:pPr>
        <w:spacing w:before="240" w:after="240" w:line="276" w:lineRule="auto"/>
        <w:ind w:left="357"/>
        <w:jc w:val="center"/>
        <w:rPr>
          <w:rFonts w:eastAsia="MS Mincho"/>
          <w:b/>
          <w:sz w:val="32"/>
          <w:szCs w:val="32"/>
        </w:rPr>
      </w:pPr>
      <w:proofErr w:type="spellStart"/>
      <w:r w:rsidRPr="0085302B">
        <w:rPr>
          <w:rFonts w:eastAsia="MS Mincho"/>
          <w:b/>
          <w:sz w:val="32"/>
          <w:szCs w:val="32"/>
        </w:rPr>
        <w:t>Folette</w:t>
      </w:r>
      <w:proofErr w:type="spellEnd"/>
      <w:r w:rsidRPr="0085302B">
        <w:rPr>
          <w:rFonts w:eastAsia="MS Mincho"/>
          <w:b/>
          <w:sz w:val="32"/>
          <w:szCs w:val="32"/>
        </w:rPr>
        <w:t xml:space="preserve"> v R</w:t>
      </w:r>
    </w:p>
    <w:p w:rsidR="007135B4" w:rsidRPr="0085302B" w:rsidRDefault="007135B4" w:rsidP="007135B4">
      <w:pPr>
        <w:spacing w:before="240" w:after="240" w:line="276" w:lineRule="auto"/>
        <w:ind w:left="357"/>
        <w:jc w:val="center"/>
        <w:rPr>
          <w:rFonts w:eastAsia="MS Mincho"/>
          <w:b/>
          <w:sz w:val="32"/>
          <w:szCs w:val="32"/>
        </w:rPr>
      </w:pPr>
      <w:r>
        <w:rPr>
          <w:rFonts w:eastAsia="MS Mincho"/>
          <w:b/>
          <w:sz w:val="32"/>
          <w:szCs w:val="32"/>
        </w:rPr>
        <w:t>(2013) SLR 237</w:t>
      </w:r>
    </w:p>
    <w:p w:rsidR="007135B4" w:rsidRPr="0085302B" w:rsidRDefault="007135B4" w:rsidP="007135B4">
      <w:pPr>
        <w:spacing w:before="240" w:after="240" w:line="276" w:lineRule="auto"/>
        <w:ind w:left="357"/>
        <w:jc w:val="both"/>
        <w:rPr>
          <w:rFonts w:eastAsia="MS Mincho"/>
          <w:sz w:val="32"/>
          <w:szCs w:val="32"/>
        </w:rPr>
      </w:pPr>
      <w:r w:rsidRPr="0085302B">
        <w:rPr>
          <w:rFonts w:eastAsia="MS Mincho"/>
          <w:sz w:val="32"/>
          <w:szCs w:val="32"/>
        </w:rPr>
        <w:t>Dodin J</w:t>
      </w:r>
    </w:p>
    <w:p w:rsidR="007135B4" w:rsidRPr="0085302B" w:rsidRDefault="007135B4" w:rsidP="007135B4">
      <w:pPr>
        <w:spacing w:before="240" w:after="240" w:line="276" w:lineRule="auto"/>
        <w:ind w:left="357"/>
        <w:jc w:val="both"/>
        <w:rPr>
          <w:rFonts w:eastAsia="MS Mincho"/>
          <w:sz w:val="32"/>
          <w:szCs w:val="32"/>
        </w:rPr>
      </w:pPr>
      <w:r w:rsidRPr="0085302B">
        <w:rPr>
          <w:rFonts w:eastAsia="MS Mincho"/>
          <w:sz w:val="32"/>
          <w:szCs w:val="32"/>
        </w:rPr>
        <w:t>23 May 2013</w:t>
      </w:r>
      <w:r w:rsidRPr="0085302B">
        <w:rPr>
          <w:rFonts w:eastAsia="MS Mincho"/>
          <w:sz w:val="32"/>
          <w:szCs w:val="32"/>
        </w:rPr>
        <w:tab/>
      </w:r>
      <w:r w:rsidRPr="0085302B">
        <w:rPr>
          <w:rFonts w:eastAsia="MS Mincho"/>
          <w:sz w:val="32"/>
          <w:szCs w:val="32"/>
        </w:rPr>
        <w:tab/>
      </w:r>
      <w:r w:rsidRPr="0085302B">
        <w:rPr>
          <w:rFonts w:eastAsia="MS Mincho"/>
          <w:sz w:val="32"/>
          <w:szCs w:val="32"/>
        </w:rPr>
        <w:tab/>
      </w:r>
      <w:r w:rsidRPr="0085302B">
        <w:rPr>
          <w:rFonts w:eastAsia="MS Mincho"/>
          <w:sz w:val="32"/>
          <w:szCs w:val="32"/>
        </w:rPr>
        <w:tab/>
      </w:r>
      <w:r w:rsidRPr="0085302B">
        <w:rPr>
          <w:rFonts w:eastAsia="MS Mincho"/>
          <w:sz w:val="32"/>
          <w:szCs w:val="32"/>
        </w:rPr>
        <w:tab/>
      </w:r>
      <w:r w:rsidRPr="0085302B">
        <w:rPr>
          <w:rFonts w:eastAsia="MS Mincho"/>
          <w:sz w:val="32"/>
          <w:szCs w:val="32"/>
        </w:rPr>
        <w:tab/>
        <w:t xml:space="preserve"> </w:t>
      </w:r>
      <w:proofErr w:type="spellStart"/>
      <w:r w:rsidRPr="0085302B">
        <w:rPr>
          <w:rFonts w:eastAsia="MS Mincho"/>
          <w:sz w:val="32"/>
          <w:szCs w:val="32"/>
        </w:rPr>
        <w:t>Crim</w:t>
      </w:r>
      <w:proofErr w:type="spellEnd"/>
      <w:r w:rsidRPr="0085302B">
        <w:rPr>
          <w:rFonts w:eastAsia="MS Mincho"/>
          <w:sz w:val="32"/>
          <w:szCs w:val="32"/>
        </w:rPr>
        <w:t xml:space="preserve"> App 17/2011</w:t>
      </w:r>
    </w:p>
    <w:p w:rsidR="007135B4" w:rsidRPr="0085302B" w:rsidRDefault="007135B4" w:rsidP="007135B4">
      <w:pPr>
        <w:spacing w:before="240" w:after="240" w:line="276" w:lineRule="auto"/>
        <w:ind w:left="357"/>
        <w:contextualSpacing/>
        <w:jc w:val="both"/>
        <w:rPr>
          <w:rFonts w:eastAsia="MS Mincho"/>
          <w:sz w:val="32"/>
          <w:szCs w:val="32"/>
        </w:rPr>
      </w:pPr>
      <w:r w:rsidRPr="0085302B">
        <w:rPr>
          <w:rFonts w:eastAsia="MS Mincho"/>
          <w:b/>
          <w:sz w:val="32"/>
          <w:szCs w:val="32"/>
        </w:rPr>
        <w:t>Counsel</w:t>
      </w:r>
      <w:r w:rsidRPr="0085302B">
        <w:rPr>
          <w:rFonts w:eastAsia="MS Mincho"/>
          <w:b/>
          <w:sz w:val="32"/>
          <w:szCs w:val="32"/>
        </w:rPr>
        <w:tab/>
      </w:r>
      <w:r w:rsidRPr="0085302B">
        <w:rPr>
          <w:rFonts w:eastAsia="MS Mincho"/>
          <w:sz w:val="32"/>
          <w:szCs w:val="32"/>
        </w:rPr>
        <w:t>N Gabriel for the appellant</w:t>
      </w:r>
    </w:p>
    <w:p w:rsidR="007135B4" w:rsidRPr="0085302B" w:rsidRDefault="007135B4" w:rsidP="007135B4">
      <w:pPr>
        <w:spacing w:before="240" w:after="240" w:line="276" w:lineRule="auto"/>
        <w:ind w:left="1797" w:firstLine="363"/>
        <w:jc w:val="both"/>
        <w:rPr>
          <w:rFonts w:eastAsia="MS Mincho"/>
          <w:sz w:val="32"/>
          <w:szCs w:val="32"/>
        </w:rPr>
      </w:pPr>
      <w:r w:rsidRPr="0085302B">
        <w:rPr>
          <w:rFonts w:eastAsia="MS Mincho"/>
          <w:sz w:val="32"/>
          <w:szCs w:val="32"/>
        </w:rPr>
        <w:t>E Gonthier for the respondent</w:t>
      </w:r>
    </w:p>
    <w:p w:rsidR="007135B4" w:rsidRPr="0085302B" w:rsidRDefault="007135B4" w:rsidP="007135B4">
      <w:pPr>
        <w:spacing w:after="240" w:line="276" w:lineRule="auto"/>
        <w:ind w:left="357"/>
        <w:jc w:val="both"/>
        <w:rPr>
          <w:rFonts w:eastAsia="MS Mincho"/>
          <w:b/>
          <w:sz w:val="32"/>
          <w:szCs w:val="32"/>
        </w:rPr>
      </w:pPr>
      <w:r w:rsidRPr="0085302B">
        <w:rPr>
          <w:rFonts w:eastAsia="MS Mincho"/>
          <w:b/>
          <w:sz w:val="32"/>
          <w:szCs w:val="32"/>
        </w:rPr>
        <w:t>DODIN J</w:t>
      </w:r>
    </w:p>
    <w:p w:rsidR="007135B4" w:rsidRPr="0085302B" w:rsidRDefault="007135B4" w:rsidP="007135B4">
      <w:pPr>
        <w:spacing w:before="240" w:after="240" w:line="276" w:lineRule="auto"/>
        <w:ind w:left="357"/>
        <w:jc w:val="both"/>
        <w:rPr>
          <w:rFonts w:eastAsia="MS Mincho"/>
          <w:sz w:val="32"/>
          <w:szCs w:val="32"/>
        </w:rPr>
      </w:pPr>
      <w:r w:rsidRPr="0085302B">
        <w:rPr>
          <w:rFonts w:eastAsia="MS Mincho"/>
          <w:sz w:val="32"/>
          <w:szCs w:val="32"/>
        </w:rPr>
        <w:t xml:space="preserve">The appellant Ricky </w:t>
      </w:r>
      <w:proofErr w:type="spellStart"/>
      <w:r w:rsidRPr="0085302B">
        <w:rPr>
          <w:rFonts w:eastAsia="MS Mincho"/>
          <w:sz w:val="32"/>
          <w:szCs w:val="32"/>
        </w:rPr>
        <w:t>Folette</w:t>
      </w:r>
      <w:proofErr w:type="spellEnd"/>
      <w:r w:rsidRPr="0085302B">
        <w:rPr>
          <w:rFonts w:eastAsia="MS Mincho"/>
          <w:sz w:val="32"/>
          <w:szCs w:val="32"/>
        </w:rPr>
        <w:t xml:space="preserve"> was charged with two counts being:</w:t>
      </w:r>
    </w:p>
    <w:p w:rsidR="007135B4" w:rsidRPr="0085302B" w:rsidRDefault="007135B4" w:rsidP="007135B4">
      <w:pPr>
        <w:numPr>
          <w:ilvl w:val="0"/>
          <w:numId w:val="1"/>
        </w:numPr>
        <w:spacing w:before="240" w:after="240" w:line="276" w:lineRule="auto"/>
        <w:ind w:left="1560" w:right="1134" w:hanging="426"/>
        <w:jc w:val="both"/>
        <w:rPr>
          <w:rFonts w:eastAsia="MS Mincho"/>
          <w:sz w:val="32"/>
          <w:szCs w:val="32"/>
        </w:rPr>
      </w:pPr>
      <w:r w:rsidRPr="0085302B">
        <w:rPr>
          <w:rFonts w:eastAsia="MS Mincho"/>
          <w:sz w:val="32"/>
          <w:szCs w:val="32"/>
        </w:rPr>
        <w:t>Housebreaking contrary to and punishable under s 289(a) of the Penal Code; and</w:t>
      </w:r>
    </w:p>
    <w:p w:rsidR="007135B4" w:rsidRPr="0085302B" w:rsidRDefault="007135B4" w:rsidP="007135B4">
      <w:pPr>
        <w:numPr>
          <w:ilvl w:val="0"/>
          <w:numId w:val="1"/>
        </w:numPr>
        <w:spacing w:before="240" w:after="240" w:line="276" w:lineRule="auto"/>
        <w:ind w:left="1560" w:right="1134" w:hanging="426"/>
        <w:jc w:val="both"/>
        <w:rPr>
          <w:rFonts w:eastAsia="MS Mincho"/>
          <w:sz w:val="32"/>
          <w:szCs w:val="32"/>
        </w:rPr>
      </w:pPr>
      <w:r w:rsidRPr="0085302B">
        <w:rPr>
          <w:rFonts w:eastAsia="MS Mincho"/>
          <w:sz w:val="32"/>
          <w:szCs w:val="32"/>
        </w:rPr>
        <w:t xml:space="preserve">Stealing from a dwelling house contrary to s 260 and punishable under s 264 of the Penal Code. </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The brief facts of the offence are that the appellant on 18 October 2006 at </w:t>
      </w:r>
      <w:proofErr w:type="spellStart"/>
      <w:r w:rsidRPr="0085302B">
        <w:rPr>
          <w:rFonts w:eastAsia="MS Mincho"/>
          <w:sz w:val="32"/>
          <w:szCs w:val="32"/>
        </w:rPr>
        <w:t>Amitie</w:t>
      </w:r>
      <w:proofErr w:type="spellEnd"/>
      <w:r w:rsidRPr="0085302B">
        <w:rPr>
          <w:rFonts w:eastAsia="MS Mincho"/>
          <w:sz w:val="32"/>
          <w:szCs w:val="32"/>
        </w:rPr>
        <w:t xml:space="preserve">, </w:t>
      </w:r>
      <w:proofErr w:type="spellStart"/>
      <w:r w:rsidRPr="0085302B">
        <w:rPr>
          <w:rFonts w:eastAsia="MS Mincho"/>
          <w:sz w:val="32"/>
          <w:szCs w:val="32"/>
        </w:rPr>
        <w:t>Praslin</w:t>
      </w:r>
      <w:proofErr w:type="spellEnd"/>
      <w:r w:rsidRPr="0085302B">
        <w:rPr>
          <w:rFonts w:eastAsia="MS Mincho"/>
          <w:sz w:val="32"/>
          <w:szCs w:val="32"/>
        </w:rPr>
        <w:t xml:space="preserve"> broke and entered the dwelling house of Gerry </w:t>
      </w:r>
      <w:proofErr w:type="spellStart"/>
      <w:r w:rsidRPr="0085302B">
        <w:rPr>
          <w:rFonts w:eastAsia="MS Mincho"/>
          <w:sz w:val="32"/>
          <w:szCs w:val="32"/>
        </w:rPr>
        <w:t>Uranie</w:t>
      </w:r>
      <w:proofErr w:type="spellEnd"/>
      <w:r w:rsidRPr="0085302B">
        <w:rPr>
          <w:rFonts w:eastAsia="MS Mincho"/>
          <w:sz w:val="32"/>
          <w:szCs w:val="32"/>
        </w:rPr>
        <w:t xml:space="preserve"> with intent to commit a felony namely stealing therein and that he did steal from the dwelling house of Gerry </w:t>
      </w:r>
      <w:proofErr w:type="spellStart"/>
      <w:r w:rsidRPr="0085302B">
        <w:rPr>
          <w:rFonts w:eastAsia="MS Mincho"/>
          <w:sz w:val="32"/>
          <w:szCs w:val="32"/>
        </w:rPr>
        <w:t>Uranie</w:t>
      </w:r>
      <w:proofErr w:type="spellEnd"/>
      <w:r w:rsidRPr="0085302B">
        <w:rPr>
          <w:rFonts w:eastAsia="MS Mincho"/>
          <w:sz w:val="32"/>
          <w:szCs w:val="32"/>
        </w:rPr>
        <w:t xml:space="preserve"> one silver digital camera make </w:t>
      </w:r>
      <w:proofErr w:type="spellStart"/>
      <w:r w:rsidRPr="0085302B">
        <w:rPr>
          <w:rFonts w:eastAsia="MS Mincho"/>
          <w:sz w:val="32"/>
          <w:szCs w:val="32"/>
        </w:rPr>
        <w:t>Eura</w:t>
      </w:r>
      <w:proofErr w:type="spellEnd"/>
      <w:r w:rsidRPr="0085302B">
        <w:rPr>
          <w:rFonts w:eastAsia="MS Mincho"/>
          <w:sz w:val="32"/>
          <w:szCs w:val="32"/>
        </w:rPr>
        <w:t xml:space="preserve"> Cyber, DVD 777 x together with its headphone, one silver ring and one set of binoculars all amounting to the total value of R 7,000 being the property of Gerry </w:t>
      </w:r>
      <w:proofErr w:type="spellStart"/>
      <w:r w:rsidRPr="0085302B">
        <w:rPr>
          <w:rFonts w:eastAsia="MS Mincho"/>
          <w:sz w:val="32"/>
          <w:szCs w:val="32"/>
        </w:rPr>
        <w:t>Uranie</w:t>
      </w:r>
      <w:proofErr w:type="spellEnd"/>
      <w:r w:rsidRPr="0085302B">
        <w:rPr>
          <w:rFonts w:eastAsia="MS Mincho"/>
          <w:sz w:val="32"/>
          <w:szCs w:val="32"/>
        </w:rPr>
        <w:t>.</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The appellant was convicted on his own guilty plea to both counts and was sentenced to a period of six years imprisonment for the offence of breaking and entering the dwelling house and to a period of one year imprisonment for the offence of stealing from the </w:t>
      </w:r>
      <w:r w:rsidRPr="0085302B">
        <w:rPr>
          <w:rFonts w:eastAsia="MS Mincho"/>
          <w:sz w:val="32"/>
          <w:szCs w:val="32"/>
        </w:rPr>
        <w:lastRenderedPageBreak/>
        <w:t>dwelling house. The sentences were to run consecutive to each other and consecutive to any sentence the appellant was then serving.</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The appellant now appeals to this Court against the whole of the decision of the Magistrate on the following grounds contained in the Memorandum of Appeal:</w:t>
      </w:r>
    </w:p>
    <w:p w:rsidR="007135B4" w:rsidRPr="0085302B" w:rsidRDefault="007135B4" w:rsidP="007135B4">
      <w:pPr>
        <w:numPr>
          <w:ilvl w:val="0"/>
          <w:numId w:val="2"/>
        </w:numPr>
        <w:spacing w:before="240" w:after="240" w:line="276" w:lineRule="auto"/>
        <w:ind w:left="1491" w:right="1134" w:hanging="357"/>
        <w:jc w:val="both"/>
        <w:rPr>
          <w:rFonts w:eastAsia="MS Mincho"/>
          <w:sz w:val="32"/>
          <w:szCs w:val="32"/>
        </w:rPr>
      </w:pPr>
      <w:r w:rsidRPr="0085302B">
        <w:rPr>
          <w:rFonts w:eastAsia="MS Mincho"/>
          <w:sz w:val="32"/>
          <w:szCs w:val="32"/>
        </w:rPr>
        <w:t>On Count 1 that the Magistrate erred in law by applying the minimum mandatory term of five years and adding an additional one year totaling six years, a sentence that would normally be reserved for a non-first offender as per s 27A(1) (b) of the Penal Code.</w:t>
      </w:r>
    </w:p>
    <w:p w:rsidR="007135B4" w:rsidRPr="0085302B" w:rsidRDefault="007135B4" w:rsidP="007135B4">
      <w:pPr>
        <w:numPr>
          <w:ilvl w:val="0"/>
          <w:numId w:val="2"/>
        </w:numPr>
        <w:spacing w:before="240" w:after="240" w:line="276" w:lineRule="auto"/>
        <w:ind w:left="1491" w:right="1134" w:hanging="357"/>
        <w:jc w:val="both"/>
        <w:rPr>
          <w:rFonts w:eastAsia="MS Mincho"/>
          <w:sz w:val="32"/>
          <w:szCs w:val="32"/>
        </w:rPr>
      </w:pPr>
      <w:r w:rsidRPr="0085302B">
        <w:rPr>
          <w:rFonts w:eastAsia="MS Mincho"/>
          <w:sz w:val="32"/>
          <w:szCs w:val="32"/>
        </w:rPr>
        <w:t>On Count 2 the sentence of one year for stealing from dwelling house imposed to run consecutively with the six years was manifestly harsh and excessive.</w:t>
      </w:r>
    </w:p>
    <w:p w:rsidR="007135B4" w:rsidRPr="0085302B" w:rsidRDefault="007135B4" w:rsidP="007135B4">
      <w:pPr>
        <w:numPr>
          <w:ilvl w:val="0"/>
          <w:numId w:val="2"/>
        </w:numPr>
        <w:spacing w:before="240" w:after="240" w:line="276" w:lineRule="auto"/>
        <w:ind w:left="1491" w:right="1134" w:hanging="357"/>
        <w:jc w:val="both"/>
        <w:rPr>
          <w:rFonts w:eastAsia="MS Mincho"/>
          <w:sz w:val="32"/>
          <w:szCs w:val="32"/>
        </w:rPr>
      </w:pPr>
      <w:r w:rsidRPr="0085302B">
        <w:rPr>
          <w:rFonts w:eastAsia="MS Mincho"/>
          <w:sz w:val="32"/>
          <w:szCs w:val="32"/>
        </w:rPr>
        <w:t>The Magistrate erred in law by failing to take into account a material particular before sentencing that is the age of the appellant who was a minor at the material time.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I must observe from the outset that I find this procedure of appeal used by the appellant to be most unusually formulated as no ground of appeal against conviction was raised in the Memorandum of Appeal despite the appellant claiming to be appealing against the whole decision of the Magistrate and concluding with the prayer to quash the sentences rather than claiming that the cumulative effect of the sentences was harsh and excessive. I would urge counsel to file clearer reasons and grounds of appeal in future and to separate any </w:t>
      </w:r>
      <w:r w:rsidRPr="0085302B">
        <w:rPr>
          <w:rFonts w:eastAsia="MS Mincho"/>
          <w:sz w:val="32"/>
          <w:szCs w:val="32"/>
        </w:rPr>
        <w:lastRenderedPageBreak/>
        <w:t>ground of appeal against conviction from the grounds of appeal against sentence so as to prevent the summary dismissal of appeal grounds that have not been clearly set out in accordance with set procedures to the detriment of the appellants. Be that as it may it is obvious that all the three grounds of appeal are against sentence only and I shall treat this appeal as such.</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Counsel for the appellant submitted that the offence of housebreaking under s 289(a) of Chapter XXIX of the Code which states that any person who breaks and enters a building, tent or vessel used as a human dwelling with intent to commit a felony therein or having committed a felony in any such building, tent or vessel breaks out thereof, is guilty of a felony termed ‘housebreaking’. By virtue of s </w:t>
      </w:r>
      <w:proofErr w:type="gramStart"/>
      <w:r w:rsidRPr="0085302B">
        <w:rPr>
          <w:rFonts w:eastAsia="MS Mincho"/>
          <w:sz w:val="32"/>
          <w:szCs w:val="32"/>
        </w:rPr>
        <w:t>27A(</w:t>
      </w:r>
      <w:proofErr w:type="gramEnd"/>
      <w:r w:rsidRPr="0085302B">
        <w:rPr>
          <w:rFonts w:eastAsia="MS Mincho"/>
          <w:sz w:val="32"/>
          <w:szCs w:val="32"/>
        </w:rPr>
        <w:t>1)(b) of the Penal Code Amendment Act 16 of 1995, in the case of conviction, the offender is liable to 10 years imprisonment.</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Counsel further submitted that the Magistrate did not address his mind to s </w:t>
      </w:r>
      <w:proofErr w:type="gramStart"/>
      <w:r w:rsidRPr="0085302B">
        <w:rPr>
          <w:rFonts w:eastAsia="MS Mincho"/>
          <w:sz w:val="32"/>
          <w:szCs w:val="32"/>
        </w:rPr>
        <w:t>27A(</w:t>
      </w:r>
      <w:proofErr w:type="gramEnd"/>
      <w:r w:rsidRPr="0085302B">
        <w:rPr>
          <w:rFonts w:eastAsia="MS Mincho"/>
          <w:sz w:val="32"/>
          <w:szCs w:val="32"/>
        </w:rPr>
        <w:t>1)(b) either before or after the taking of the guilty pleas and the passing the sentence. He erred on the section of law dealing with sentences and did not treat the appellant as a first offender. He admitted that the prosecution disclosed the record of previous convictions to the Court but maintained that such disclosure is not on record to show that the appellant had indeed any previous convictions or of what nature.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Counsel submitted that a similar offence has been defined under s </w:t>
      </w:r>
      <w:proofErr w:type="gramStart"/>
      <w:r w:rsidRPr="0085302B">
        <w:rPr>
          <w:rFonts w:eastAsia="MS Mincho"/>
          <w:sz w:val="32"/>
          <w:szCs w:val="32"/>
        </w:rPr>
        <w:t>27A(</w:t>
      </w:r>
      <w:proofErr w:type="gramEnd"/>
      <w:r w:rsidRPr="0085302B">
        <w:rPr>
          <w:rFonts w:eastAsia="MS Mincho"/>
          <w:sz w:val="32"/>
          <w:szCs w:val="32"/>
        </w:rPr>
        <w:t xml:space="preserve">2) as ‘an offence falling within the same Chapter as the offence for which the person is being sentenced.’ He submitted that there is no evidence in the proceedings that this was the case prior to passing sentence and further, the appellant was not given the opportunity to view the prosecution’s list of previous convictions and to contest its contents. Counsel concluded that in the circumstances </w:t>
      </w:r>
      <w:r w:rsidRPr="0085302B">
        <w:rPr>
          <w:rFonts w:eastAsia="MS Mincho"/>
          <w:sz w:val="32"/>
          <w:szCs w:val="32"/>
        </w:rPr>
        <w:lastRenderedPageBreak/>
        <w:t>the appellant should be treated as a first offender and a non-mandatory sentence should be imposed.</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On the second ground of appeal counsel submitted as the appellant had pleaded guilty at the beginning of his trial, this mitigating factor should have been treated in his </w:t>
      </w:r>
      <w:proofErr w:type="spellStart"/>
      <w:r w:rsidRPr="0085302B">
        <w:rPr>
          <w:rFonts w:eastAsia="MS Mincho"/>
          <w:sz w:val="32"/>
          <w:szCs w:val="32"/>
        </w:rPr>
        <w:t>favour</w:t>
      </w:r>
      <w:proofErr w:type="spellEnd"/>
      <w:r w:rsidRPr="0085302B">
        <w:rPr>
          <w:rFonts w:eastAsia="MS Mincho"/>
          <w:sz w:val="32"/>
          <w:szCs w:val="32"/>
        </w:rPr>
        <w:t xml:space="preserve">. He had not wasted the Court’s time and had saved resources considerably in view that he had been transported from prison to </w:t>
      </w:r>
      <w:proofErr w:type="spellStart"/>
      <w:r w:rsidRPr="0085302B">
        <w:rPr>
          <w:rFonts w:eastAsia="MS Mincho"/>
          <w:sz w:val="32"/>
          <w:szCs w:val="32"/>
        </w:rPr>
        <w:t>Praslin</w:t>
      </w:r>
      <w:proofErr w:type="spellEnd"/>
      <w:r w:rsidRPr="0085302B">
        <w:rPr>
          <w:rFonts w:eastAsia="MS Mincho"/>
          <w:sz w:val="32"/>
          <w:szCs w:val="32"/>
        </w:rPr>
        <w:t xml:space="preserve"> and may well have to be brought back again for continuation of trial. He submitted that the Magistrate should have considered concurrent sentences as an option particularly in view that the appellant was young, a first offender and unrepresented.</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On the third ground of appeal counsel submitted that the Magistrate ought to have adjourned the proceedings and sought more particulars on the age and status of the appellant prior to passing sentence. He submitted that in the instant case, the Magistrate has overlooked a material factor in that the appellant was young and may have been a juvenile at the time the offence was committed.</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Counsel further submitted that under the Children Act, a young person should not be sentenced to imprisonment if he can be suitably dealt with in any other way provided for under the Act. He referred the Court to the case of </w:t>
      </w:r>
      <w:r w:rsidRPr="0085302B">
        <w:rPr>
          <w:rFonts w:eastAsia="MS Mincho"/>
          <w:i/>
          <w:sz w:val="32"/>
          <w:szCs w:val="32"/>
        </w:rPr>
        <w:t xml:space="preserve">Vital v R </w:t>
      </w:r>
      <w:r w:rsidRPr="0085302B">
        <w:rPr>
          <w:rFonts w:eastAsia="MS Mincho"/>
          <w:sz w:val="32"/>
          <w:szCs w:val="32"/>
        </w:rPr>
        <w:t>(1981) SLR 35, which stated that a Magistrate should, before passing sentence of imprisonment on a young person, state in open court and place on record the reasons for passing a sentence of imprisonment instead of dealing with the young person in some other way.  He argued that at that time, the Children Act s 11(2) was applicable and a young person described in the Act as a person who is 14 years of age or upwards and under the age of 18 years.</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lastRenderedPageBreak/>
        <w:t>Counsel submitted that the Magistrate could have alternatively sought a probation report, which, although it is not a statutory requirement, might have offered some guidance on the facts and character of the offence and the antecedents of the offender, his age and family background.</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Counsel submitted that the Court can only alter a sentence imposed by the trial court if it is evident that the trial court has acted on a wrong principle or overlooked some material factor or if the sentence is manifestly excessive in view of the circumstances of the case. He referred the Court to the case of </w:t>
      </w:r>
      <w:r w:rsidRPr="0085302B">
        <w:rPr>
          <w:rFonts w:eastAsia="MS Mincho"/>
          <w:i/>
          <w:sz w:val="32"/>
          <w:szCs w:val="32"/>
        </w:rPr>
        <w:t>R v Newsome</w:t>
      </w:r>
      <w:r w:rsidRPr="0085302B">
        <w:rPr>
          <w:rFonts w:eastAsia="MS Mincho"/>
          <w:sz w:val="32"/>
          <w:szCs w:val="32"/>
        </w:rPr>
        <w:t xml:space="preserve"> (1970) 54 Cr App R 485 in support of his submission.</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Counsel submitted that in the circumstances the appellant’s sentences were manifestly harsh and excessive and wrong in law, especially for a young first offender. He moved the Court to quash the sentences imposed by the Magistrate in this case.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Counsel for the respondent submitted on ground 1 that at pages 2 to 3 of the record of proceedings the Magistrate inquired as to whether the accused had any previous criminal conviction and the prosecution stated that he did and the same was produced to the Court. The appellant was not a first-time offender. Counsel submitted that even if it had been the case that the appellant was a first offender, there is no evidence that the Magistrate considered the minimum mandatory term when imposing the sentence, as the Court made no mention of such when imposing the sentence. Counsel submitted that the sentence imposed by the Magistrate falls well within the provision of s 289 of the Penal Code. Counsel concluded that the Magistrate had correctly applied the power of sentencing and used his discretion to apply a sentence below the prescribed 10 years.</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lastRenderedPageBreak/>
        <w:t>On the second ground of appeal counsel submitted that the Magistrate rightly ordered the sentences to run consecutively as per the amended section of the Penal Code which mandates that it shall not be lawful for a court to direct that any sentence under Chapter XXVI, Chapter XXVIII and Chapter XXIX be executed or made to run concurrently with one another; and the offence in this case does fall under Chapter XXIX.</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On ground 3 of the appeal counsel submitted that the appellant’s age at the time was not on record and no evidence of his being a juvenile was submitted by the appellant. Counsel submitted that the fact that the appellant was not represented at the trial is not in issue as the appellant was informed of his constitutional right to legal representation and chose to defend the case himself and he was further given adequate advice before he pleaded guilty. </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Counsel hence moved the Court to dismiss the appeal and uphold the sentences imposed by the Magistrate.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This appeal raises three issues which need to be addressed. First whether the Magistrate imposed a mandatory minimum sentence for the offence which was committed in 2006 and if so was that sentence unlawful. Second, whether the cumulative effect of the consecutive sentences make the same harsh and excessive and third whether the Magistrate took into account all the mitigating factors including the young age of the appellant before passing sentence.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It cannot be disputed that the Magistrate advised the appellant and it is so recorded in the proceedings of the Magistrates’ Court that the first count the appellant was charged with carried a mandatory minimum sentence of five years and the Magistrate clearly stated that to the appellant prior to the appellant pleading guilty to the </w:t>
      </w:r>
      <w:r w:rsidRPr="0085302B">
        <w:rPr>
          <w:rFonts w:eastAsia="MS Mincho"/>
          <w:sz w:val="32"/>
          <w:szCs w:val="32"/>
        </w:rPr>
        <w:lastRenderedPageBreak/>
        <w:t>charges. I therefore find the submission of the respondent that the Magistrate did not consider the mandatory minimum sentence when imposing sentence on the appellant to be incorrect.</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However, counsel for the respondent maintained that even if the Magistrate had indeed considered imposing the mandatory minimum sentence since the maximum sentence that the Magistrate could impose was 10 years, the sentence imposed by the Magistrate was well within the prescribed sentence. That may be so but the issue is whether having so decided that he could not impose a sentence lower that five years for the first count the Magistrate unduly restricted himself to imposing a sentence of between 5 and 10 years instead of the full range of 0 to 10 years.</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Article 19(4) of the Constitution states that:</w:t>
      </w:r>
    </w:p>
    <w:p w:rsidR="007135B4" w:rsidRPr="0085302B" w:rsidRDefault="007135B4" w:rsidP="007135B4">
      <w:pPr>
        <w:spacing w:before="240" w:after="240" w:line="276" w:lineRule="auto"/>
        <w:ind w:left="1134" w:right="1134"/>
        <w:jc w:val="both"/>
        <w:rPr>
          <w:rFonts w:eastAsia="MS Mincho"/>
          <w:sz w:val="32"/>
          <w:szCs w:val="32"/>
        </w:rPr>
      </w:pPr>
      <w:r w:rsidRPr="0085302B">
        <w:rPr>
          <w:rFonts w:eastAsia="MS Mincho"/>
          <w:sz w:val="32"/>
          <w:szCs w:val="32"/>
        </w:rPr>
        <w:t>Except for the offence of genocide or an offence against humanity, a person shall not be held to be guilty of an offence on account of any act or omission that did not, at the time it took place, constitute an offence, and a penalty shall not be imposed for any offence that is more severe in degree or description than the maximum penalty that might have been imposed for the offence at the time when it was committed.</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This principle implies also that a court cannot consider imposing a mandatory minimum sentence for an offence for which, when it was committed, the mandatory minimum sentence was not the law in force. Secondly, courts must always be mindful in imposing sentence that it is not doing an injustice by imposing a </w:t>
      </w:r>
      <w:r w:rsidRPr="0085302B">
        <w:rPr>
          <w:rFonts w:eastAsia="MS Mincho"/>
          <w:sz w:val="32"/>
          <w:szCs w:val="32"/>
        </w:rPr>
        <w:lastRenderedPageBreak/>
        <w:t xml:space="preserve">sentence that did not exist at the time of the commission of the offence. </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Consequently I accept the appellant’s contention that the Magistrate limited his discretion in sentence by the belief that the Court must impose a mandatory minimum sentence for an offence which was committed when the law did not require a mandatory minimum sentence.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The second limb of this issue is whether the sentence imposed by the Magistrate was unlawful taking into account that the maximum sentence that could be imposed was 10 years. On the face of it, the Magistrate imposed a sentence that was well within the limit of the Court’s sentencing power. However one should always keep in mind when imposing sentence that a sentence must be proportionate to the offence. </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In the case of </w:t>
      </w:r>
      <w:r w:rsidRPr="0085302B">
        <w:rPr>
          <w:rFonts w:eastAsia="MS Mincho"/>
          <w:i/>
          <w:sz w:val="32"/>
          <w:szCs w:val="32"/>
        </w:rPr>
        <w:t xml:space="preserve">S v </w:t>
      </w:r>
      <w:proofErr w:type="spellStart"/>
      <w:r w:rsidRPr="0085302B">
        <w:rPr>
          <w:rFonts w:eastAsia="MS Mincho"/>
          <w:i/>
          <w:sz w:val="32"/>
          <w:szCs w:val="32"/>
        </w:rPr>
        <w:t>Vilakazi</w:t>
      </w:r>
      <w:proofErr w:type="spellEnd"/>
      <w:r w:rsidRPr="0085302B">
        <w:rPr>
          <w:rFonts w:eastAsia="MS Mincho"/>
          <w:sz w:val="32"/>
          <w:szCs w:val="32"/>
        </w:rPr>
        <w:t xml:space="preserve"> 2009 (1) SACR 552 (SCA) the South African Court made this most pertinent point that may be well applicable to our courts when imposing sentence: </w:t>
      </w:r>
    </w:p>
    <w:p w:rsidR="007135B4" w:rsidRPr="0085302B" w:rsidRDefault="007135B4" w:rsidP="007135B4">
      <w:pPr>
        <w:spacing w:before="240" w:after="240" w:line="276" w:lineRule="auto"/>
        <w:ind w:left="1134" w:right="1134"/>
        <w:jc w:val="both"/>
        <w:rPr>
          <w:rFonts w:eastAsia="MS Mincho"/>
          <w:sz w:val="32"/>
          <w:szCs w:val="32"/>
        </w:rPr>
      </w:pPr>
      <w:r w:rsidRPr="0085302B">
        <w:rPr>
          <w:rFonts w:eastAsia="MS Mincho"/>
          <w:sz w:val="32"/>
          <w:szCs w:val="32"/>
        </w:rPr>
        <w:t>It is incumbent upon a court in every case, before it imposes a prescribed sentence, to assess, upon a consideration of all the circumstances of the particular case, whether the prescribed sentence is indeed proportionate to the particular offence and that the essence of the inquiry is that disproportionate sentences are not to be imposed and that courts are not vehicles for injustice.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Considering the above, imposing 60% of the maximum sentence on a young offender who has pleaded guilty is very much </w:t>
      </w:r>
      <w:r w:rsidRPr="0085302B">
        <w:rPr>
          <w:rFonts w:eastAsia="MS Mincho"/>
          <w:sz w:val="32"/>
          <w:szCs w:val="32"/>
        </w:rPr>
        <w:lastRenderedPageBreak/>
        <w:t>disproportionate to the offence considering all the circumstances of the case and I therefore find that the sentence of six years imprisonment imposed by the Magistrate although not per se unlawful, is harsh and excessive in the circumstances.</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With regards to the second ground of appeal the issue is whether the sentence of one year imprisonment which was to run consecutive to the six years imposed for the first count is harsh and excessive. Since the two offences occurred during a single transaction the principle known as the single transaction rule should generally apply.</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In his text entitled </w:t>
      </w:r>
      <w:r w:rsidRPr="0085302B">
        <w:rPr>
          <w:rFonts w:eastAsia="MS Mincho"/>
          <w:i/>
          <w:sz w:val="32"/>
          <w:szCs w:val="32"/>
        </w:rPr>
        <w:t>Principles of Sentencing</w:t>
      </w:r>
      <w:r w:rsidRPr="0085302B">
        <w:rPr>
          <w:rFonts w:eastAsia="MS Mincho"/>
          <w:sz w:val="32"/>
          <w:szCs w:val="32"/>
        </w:rPr>
        <w:t xml:space="preserve"> (2nd </w:t>
      </w:r>
      <w:proofErr w:type="spellStart"/>
      <w:r w:rsidRPr="0085302B">
        <w:rPr>
          <w:rFonts w:eastAsia="MS Mincho"/>
          <w:sz w:val="32"/>
          <w:szCs w:val="32"/>
        </w:rPr>
        <w:t>ed</w:t>
      </w:r>
      <w:proofErr w:type="spellEnd"/>
      <w:r w:rsidRPr="0085302B">
        <w:rPr>
          <w:rFonts w:eastAsia="MS Mincho"/>
          <w:sz w:val="32"/>
          <w:szCs w:val="32"/>
        </w:rPr>
        <w:t xml:space="preserve">, 1979) 53 DA Thomas states: </w:t>
      </w:r>
    </w:p>
    <w:p w:rsidR="007135B4" w:rsidRPr="0085302B" w:rsidRDefault="007135B4" w:rsidP="007135B4">
      <w:pPr>
        <w:spacing w:before="240" w:after="240" w:line="276" w:lineRule="auto"/>
        <w:ind w:left="1134" w:right="1134"/>
        <w:jc w:val="both"/>
        <w:rPr>
          <w:rFonts w:eastAsia="MS Mincho"/>
          <w:sz w:val="32"/>
          <w:szCs w:val="32"/>
        </w:rPr>
      </w:pPr>
      <w:r w:rsidRPr="0085302B">
        <w:rPr>
          <w:rFonts w:eastAsia="MS Mincho"/>
          <w:sz w:val="32"/>
          <w:szCs w:val="32"/>
        </w:rPr>
        <w:t>The one-transaction rule can be stated simply: where two or more offences are committed in the course of a single transaction, all sentences in respect of these offences should be concurrent rather than consecutive.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The rule against double punishment should also generally be observed when the court is determining an appropriate sentence for each offence. The one transaction rule may assist in determining whether the sentences should be cumulative or concurrent but the Court must look at the aggregate sentence and consider whether the aggregate is just and appropriate or whether the total sentence is crushing and not in accordance with the totality principle.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In </w:t>
      </w:r>
      <w:r w:rsidRPr="0085302B">
        <w:rPr>
          <w:rFonts w:eastAsia="MS Mincho"/>
          <w:i/>
          <w:sz w:val="32"/>
          <w:szCs w:val="32"/>
        </w:rPr>
        <w:t>R v White</w:t>
      </w:r>
      <w:r w:rsidRPr="0085302B">
        <w:rPr>
          <w:rFonts w:eastAsia="MS Mincho"/>
          <w:sz w:val="32"/>
          <w:szCs w:val="32"/>
        </w:rPr>
        <w:t xml:space="preserve"> [2002] WASCA 112, [26] </w:t>
      </w:r>
      <w:proofErr w:type="spellStart"/>
      <w:r w:rsidRPr="0085302B">
        <w:rPr>
          <w:rFonts w:eastAsia="MS Mincho"/>
          <w:sz w:val="32"/>
          <w:szCs w:val="32"/>
        </w:rPr>
        <w:t>McKechnie</w:t>
      </w:r>
      <w:proofErr w:type="spellEnd"/>
      <w:r w:rsidRPr="0085302B">
        <w:rPr>
          <w:rFonts w:eastAsia="MS Mincho"/>
          <w:sz w:val="32"/>
          <w:szCs w:val="32"/>
        </w:rPr>
        <w:t xml:space="preserve"> J remarked on the above principles:</w:t>
      </w:r>
    </w:p>
    <w:p w:rsidR="007135B4" w:rsidRPr="0085302B" w:rsidRDefault="007135B4" w:rsidP="007135B4">
      <w:pPr>
        <w:spacing w:before="240" w:after="240" w:line="276" w:lineRule="auto"/>
        <w:ind w:left="1134" w:right="1134"/>
        <w:jc w:val="both"/>
        <w:rPr>
          <w:rFonts w:eastAsia="MS Mincho"/>
          <w:sz w:val="32"/>
          <w:szCs w:val="32"/>
        </w:rPr>
      </w:pPr>
      <w:r w:rsidRPr="0085302B">
        <w:rPr>
          <w:rFonts w:eastAsia="MS Mincho"/>
          <w:sz w:val="32"/>
          <w:szCs w:val="32"/>
        </w:rPr>
        <w:t xml:space="preserve">There is no hard and fast rule. In the end a judgment must be made to balance the principle that one </w:t>
      </w:r>
      <w:r w:rsidRPr="0085302B">
        <w:rPr>
          <w:rFonts w:eastAsia="MS Mincho"/>
          <w:sz w:val="32"/>
          <w:szCs w:val="32"/>
        </w:rPr>
        <w:lastRenderedPageBreak/>
        <w:t>transaction generally attracts concurrent sentences with the principle that the overall criminal conduct must be appropriately recognized and that distinct acts may in the circumstances attract distinct penalties. Proper weight must therefore be given to the exercise of the sentencing Judge’s discretion.</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It is true that current legislation has attempted to remove that discretion from the courts. Whatever may be one’s view on this, the fact remains that the Magistrate should have applied the principles that were applicable at the time the offences were committed. Since art 19(4) of the Constitution gives retroactive force only to the offence of genocide or an offence against humanity and not any other crime, the same principle considered in the first ground of appeal should apply to this ground of appeal provided always that the Magistrate could have used his discretion if he had found it appropriate and necessary to consider the two offences as sufficiently distinct and separate to imposed a consecutive sentence and if considering the totality of all the sentences it would not have made the consecutive sentence of one year imprisonment harsh and excessive.</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 xml:space="preserve">On the third ground of appeal, I find that the issue of the appellant’s age was considered by the Magistrate to the extent allowed by law. In fact there is no evidence to show that the appellant was actually a juvenile at the time of the commission of the offence, a fact that could have been easily established by producing the appellant’s birth certificate even on appeal. The records show that the Magistrate considered the mitigating factors before passing sentence which included the youthfulness of the appellant. Without more to go </w:t>
      </w:r>
      <w:r w:rsidRPr="0085302B">
        <w:rPr>
          <w:rFonts w:eastAsia="MS Mincho"/>
          <w:sz w:val="32"/>
          <w:szCs w:val="32"/>
        </w:rPr>
        <w:lastRenderedPageBreak/>
        <w:t xml:space="preserve">on, I find thus ground of appeal to be wanting in substance and I would dismiss that ground outright. </w:t>
      </w:r>
    </w:p>
    <w:p w:rsidR="007135B4" w:rsidRPr="0085302B" w:rsidRDefault="007135B4" w:rsidP="007135B4">
      <w:pPr>
        <w:numPr>
          <w:ilvl w:val="0"/>
          <w:numId w:val="4"/>
        </w:numPr>
        <w:spacing w:before="240" w:after="240" w:line="276" w:lineRule="auto"/>
        <w:ind w:left="357" w:firstLine="0"/>
        <w:jc w:val="both"/>
        <w:rPr>
          <w:rFonts w:eastAsia="MS Mincho"/>
          <w:sz w:val="32"/>
          <w:szCs w:val="32"/>
        </w:rPr>
      </w:pPr>
      <w:r w:rsidRPr="0085302B">
        <w:rPr>
          <w:rFonts w:eastAsia="MS Mincho"/>
          <w:sz w:val="32"/>
          <w:szCs w:val="32"/>
        </w:rPr>
        <w:t>Consequently, the appeal is allowed against sentence and only to the extent that the sentence of six years imposed by the Magistrate was misconceived, harsh and excessive considering all the circumstances of this case. I therefore set aside the sentence of six years imprisonment and impose a sentence of three years imprisonment in its place. I also find that the sentence of one year imprisonment for the second count was reasonable but that it should not have added to the sentence already imposed as the two offences were part of a single transaction. I hereby order that the sentence of one year’s imprisonment imposed for the second count run concurrently with the three years imprisonment imposed for the first count.</w:t>
      </w:r>
    </w:p>
    <w:p w:rsidR="00AD75CD" w:rsidRDefault="007135B4" w:rsidP="007135B4">
      <w:pPr>
        <w:numPr>
          <w:ilvl w:val="0"/>
          <w:numId w:val="4"/>
        </w:numPr>
        <w:spacing w:before="240" w:after="240" w:line="276" w:lineRule="auto"/>
        <w:ind w:left="357" w:firstLine="0"/>
        <w:jc w:val="both"/>
      </w:pPr>
      <w:r w:rsidRPr="0085302B">
        <w:rPr>
          <w:rFonts w:eastAsia="MS Mincho"/>
          <w:sz w:val="32"/>
          <w:szCs w:val="32"/>
        </w:rPr>
        <w:t>Judgment is entered accordingly</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D17"/>
    <w:multiLevelType w:val="hybridMultilevel"/>
    <w:tmpl w:val="7F50A3FE"/>
    <w:lvl w:ilvl="0" w:tplc="B2F29A56">
      <w:start w:val="1"/>
      <w:numFmt w:val="decimal"/>
      <w:lvlText w:val="%1"/>
      <w:lvlJc w:val="left"/>
      <w:pPr>
        <w:ind w:left="1429" w:hanging="360"/>
      </w:pPr>
      <w:rPr>
        <w:rFonts w:ascii="Cambria" w:eastAsia="MS Mincho" w:hAnsi="Cambria" w:cs="Times New Roman"/>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nsid w:val="3E5514A9"/>
    <w:multiLevelType w:val="hybridMultilevel"/>
    <w:tmpl w:val="B2ECAC14"/>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5B464804"/>
    <w:multiLevelType w:val="hybridMultilevel"/>
    <w:tmpl w:val="09068EDA"/>
    <w:lvl w:ilvl="0" w:tplc="B4E8B464">
      <w:start w:val="1"/>
      <w:numFmt w:val="decimal"/>
      <w:lvlText w:val="[%1]"/>
      <w:lvlJc w:val="left"/>
      <w:pPr>
        <w:ind w:left="1077" w:hanging="360"/>
      </w:pPr>
      <w:rPr>
        <w:rFonts w:hint="default"/>
        <w:sz w:val="32"/>
        <w:szCs w:val="3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6CBD4E69"/>
    <w:multiLevelType w:val="hybridMultilevel"/>
    <w:tmpl w:val="913C1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7135B4"/>
    <w:rsid w:val="000870B4"/>
    <w:rsid w:val="000A4006"/>
    <w:rsid w:val="00156AE5"/>
    <w:rsid w:val="001A0374"/>
    <w:rsid w:val="003700D7"/>
    <w:rsid w:val="003C2806"/>
    <w:rsid w:val="00482845"/>
    <w:rsid w:val="005756DB"/>
    <w:rsid w:val="00607A37"/>
    <w:rsid w:val="006A1786"/>
    <w:rsid w:val="006D36C9"/>
    <w:rsid w:val="006F3F87"/>
    <w:rsid w:val="007135B4"/>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B4"/>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2492</Words>
  <Characters>14205</Characters>
  <Application>Microsoft Office Word</Application>
  <DocSecurity>0</DocSecurity>
  <Lines>118</Lines>
  <Paragraphs>33</Paragraphs>
  <ScaleCrop>false</ScaleCrop>
  <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2014-07-18T07:30:00Z</dcterms:created>
  <dcterms:modified xsi:type="dcterms:W3CDTF">2014-07-18T07:31:00Z</dcterms:modified>
</cp:coreProperties>
</file>