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0134A2" w:rsidP="0057018F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57018F">
        <w:rPr>
          <w:b/>
          <w:sz w:val="24"/>
          <w:szCs w:val="24"/>
        </w:rPr>
        <w:t> </w:t>
      </w:r>
      <w:r w:rsidR="0057018F">
        <w:rPr>
          <w:b/>
          <w:sz w:val="24"/>
          <w:szCs w:val="24"/>
        </w:rPr>
        <w:t> </w:t>
      </w:r>
      <w:r w:rsidR="0057018F">
        <w:rPr>
          <w:b/>
          <w:sz w:val="24"/>
          <w:szCs w:val="24"/>
        </w:rPr>
        <w:t> </w:t>
      </w:r>
      <w:r w:rsidR="0057018F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96251D" w:rsidRPr="00B938BB" w:rsidRDefault="000134A2" w:rsidP="005701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 w:rsidR="00B938B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57018F">
        <w:rPr>
          <w:i/>
          <w:sz w:val="24"/>
          <w:szCs w:val="24"/>
        </w:rPr>
        <w:t> </w:t>
      </w:r>
      <w:r w:rsidR="0057018F">
        <w:rPr>
          <w:i/>
          <w:sz w:val="24"/>
          <w:szCs w:val="24"/>
        </w:rPr>
        <w:t> </w:t>
      </w:r>
      <w:r w:rsidR="0057018F">
        <w:rPr>
          <w:i/>
          <w:sz w:val="24"/>
          <w:szCs w:val="24"/>
        </w:rPr>
        <w:t> </w:t>
      </w:r>
      <w:r w:rsidR="0057018F">
        <w:rPr>
          <w:i/>
          <w:sz w:val="24"/>
          <w:szCs w:val="24"/>
        </w:rPr>
        <w:t> </w:t>
      </w:r>
      <w:r w:rsidR="0057018F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57018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96251D">
        <w:rPr>
          <w:b/>
          <w:sz w:val="28"/>
          <w:szCs w:val="28"/>
        </w:rPr>
        <w:t xml:space="preserve">CN </w:t>
      </w:r>
      <w:r w:rsidR="000134A2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0134A2">
        <w:rPr>
          <w:b/>
          <w:sz w:val="28"/>
          <w:szCs w:val="28"/>
        </w:rPr>
      </w:r>
      <w:r w:rsidR="000134A2">
        <w:rPr>
          <w:b/>
          <w:sz w:val="28"/>
          <w:szCs w:val="28"/>
        </w:rPr>
        <w:fldChar w:fldCharType="separate"/>
      </w:r>
      <w:r w:rsidR="0057018F">
        <w:rPr>
          <w:b/>
          <w:noProof/>
          <w:sz w:val="28"/>
          <w:szCs w:val="28"/>
        </w:rPr>
        <w:t>60</w:t>
      </w:r>
      <w:r w:rsidR="000134A2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0134A2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0134A2" w:rsidRPr="00B75AE2">
        <w:rPr>
          <w:b/>
          <w:sz w:val="28"/>
          <w:szCs w:val="28"/>
        </w:rPr>
      </w:r>
      <w:r w:rsidR="000134A2" w:rsidRPr="00B75AE2">
        <w:rPr>
          <w:b/>
          <w:sz w:val="28"/>
          <w:szCs w:val="28"/>
        </w:rPr>
        <w:fldChar w:fldCharType="separate"/>
      </w:r>
      <w:r w:rsidR="0057018F">
        <w:rPr>
          <w:b/>
          <w:noProof/>
          <w:sz w:val="28"/>
          <w:szCs w:val="28"/>
        </w:rPr>
        <w:t>13</w:t>
      </w:r>
      <w:r w:rsidR="000134A2" w:rsidRPr="00B75AE2">
        <w:rPr>
          <w:b/>
          <w:sz w:val="28"/>
          <w:szCs w:val="28"/>
        </w:rPr>
        <w:fldChar w:fldCharType="end"/>
      </w:r>
      <w:bookmarkEnd w:id="3"/>
    </w:p>
    <w:p w:rsidR="0096251D" w:rsidRPr="0096251D" w:rsidRDefault="0096251D" w:rsidP="0057018F">
      <w:pPr>
        <w:spacing w:before="120"/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 xml:space="preserve">Appeal from Magistrates Court decision </w:t>
      </w:r>
      <w:r w:rsidR="000134A2" w:rsidRPr="0096251D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96251D">
        <w:rPr>
          <w:b/>
          <w:sz w:val="24"/>
          <w:szCs w:val="24"/>
        </w:rPr>
        <w:instrText xml:space="preserve"> FORMTEXT </w:instrText>
      </w:r>
      <w:r w:rsidR="000134A2" w:rsidRPr="0096251D">
        <w:rPr>
          <w:b/>
          <w:sz w:val="24"/>
          <w:szCs w:val="24"/>
        </w:rPr>
      </w:r>
      <w:r w:rsidR="000134A2" w:rsidRPr="0096251D">
        <w:rPr>
          <w:b/>
          <w:sz w:val="24"/>
          <w:szCs w:val="24"/>
        </w:rPr>
        <w:fldChar w:fldCharType="separate"/>
      </w:r>
      <w:r w:rsidR="0057018F">
        <w:rPr>
          <w:b/>
          <w:sz w:val="24"/>
          <w:szCs w:val="24"/>
        </w:rPr>
        <w:t xml:space="preserve">PN </w:t>
      </w:r>
      <w:r w:rsidR="0057018F">
        <w:rPr>
          <w:b/>
          <w:noProof/>
          <w:sz w:val="24"/>
          <w:szCs w:val="24"/>
        </w:rPr>
        <w:t>43</w:t>
      </w:r>
      <w:r w:rsidR="000134A2" w:rsidRPr="0096251D">
        <w:rPr>
          <w:b/>
          <w:sz w:val="24"/>
          <w:szCs w:val="24"/>
        </w:rPr>
        <w:fldChar w:fldCharType="end"/>
      </w:r>
      <w:bookmarkEnd w:id="4"/>
      <w:r w:rsidRPr="0096251D">
        <w:rPr>
          <w:b/>
          <w:sz w:val="24"/>
          <w:szCs w:val="24"/>
        </w:rPr>
        <w:t>/20</w:t>
      </w:r>
      <w:r w:rsidR="000134A2" w:rsidRPr="0096251D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Pr="0096251D">
        <w:rPr>
          <w:b/>
          <w:sz w:val="24"/>
          <w:szCs w:val="24"/>
        </w:rPr>
        <w:instrText xml:space="preserve"> FORMTEXT </w:instrText>
      </w:r>
      <w:r w:rsidR="000134A2" w:rsidRPr="0096251D">
        <w:rPr>
          <w:b/>
          <w:sz w:val="24"/>
          <w:szCs w:val="24"/>
        </w:rPr>
      </w:r>
      <w:r w:rsidR="000134A2" w:rsidRPr="0096251D">
        <w:rPr>
          <w:b/>
          <w:sz w:val="24"/>
          <w:szCs w:val="24"/>
        </w:rPr>
        <w:fldChar w:fldCharType="separate"/>
      </w:r>
      <w:r w:rsidR="0057018F">
        <w:rPr>
          <w:b/>
          <w:noProof/>
          <w:sz w:val="24"/>
          <w:szCs w:val="24"/>
        </w:rPr>
        <w:t>13</w:t>
      </w:r>
      <w:r w:rsidR="000134A2" w:rsidRPr="0096251D">
        <w:rPr>
          <w:b/>
          <w:sz w:val="24"/>
          <w:szCs w:val="24"/>
        </w:rPr>
        <w:fldChar w:fldCharType="end"/>
      </w:r>
      <w:bookmarkEnd w:id="5"/>
    </w:p>
    <w:p w:rsidR="00A53837" w:rsidRPr="00606EEA" w:rsidRDefault="000134A2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56312E" w:rsidP="001D62B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0134A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578C2">
        <w:rPr>
          <w:b/>
          <w:sz w:val="24"/>
          <w:szCs w:val="24"/>
        </w:rPr>
        <w:instrText xml:space="preserve"> FORMTEXT </w:instrText>
      </w:r>
      <w:r w:rsidR="000134A2">
        <w:rPr>
          <w:b/>
          <w:sz w:val="24"/>
          <w:szCs w:val="24"/>
        </w:rPr>
      </w:r>
      <w:r w:rsidR="000134A2">
        <w:rPr>
          <w:b/>
          <w:sz w:val="24"/>
          <w:szCs w:val="24"/>
        </w:rPr>
        <w:fldChar w:fldCharType="separate"/>
      </w:r>
      <w:r w:rsidR="0057018F">
        <w:rPr>
          <w:b/>
          <w:noProof/>
          <w:sz w:val="24"/>
          <w:szCs w:val="24"/>
        </w:rPr>
        <w:t>3</w:t>
      </w:r>
      <w:r w:rsidR="000134A2">
        <w:rPr>
          <w:b/>
          <w:sz w:val="24"/>
          <w:szCs w:val="24"/>
        </w:rPr>
        <w:fldChar w:fldCharType="end"/>
      </w:r>
      <w:bookmarkEnd w:id="6"/>
      <w:r w:rsidR="000134A2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0134A2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0134A2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rPr>
          <w:b/>
          <w:sz w:val="24"/>
          <w:szCs w:val="24"/>
        </w:rPr>
        <w:instrText xml:space="preserve"> FORMTEXT </w:instrText>
      </w:r>
      <w:r w:rsidR="000134A2">
        <w:rPr>
          <w:b/>
          <w:sz w:val="24"/>
          <w:szCs w:val="24"/>
        </w:rPr>
      </w:r>
      <w:r w:rsidR="000134A2">
        <w:rPr>
          <w:b/>
          <w:sz w:val="24"/>
          <w:szCs w:val="24"/>
        </w:rPr>
        <w:fldChar w:fldCharType="separate"/>
      </w:r>
      <w:r w:rsidR="00AC5194">
        <w:rPr>
          <w:b/>
          <w:sz w:val="24"/>
          <w:szCs w:val="24"/>
        </w:rPr>
        <w:t>86</w:t>
      </w:r>
      <w:r w:rsidR="000134A2">
        <w:rPr>
          <w:b/>
          <w:sz w:val="24"/>
          <w:szCs w:val="24"/>
        </w:rPr>
        <w:fldChar w:fldCharType="end"/>
      </w:r>
      <w:bookmarkEnd w:id="7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8" w:name="Text40"/>
    <w:p w:rsidR="00FB2453" w:rsidRPr="00B119B1" w:rsidRDefault="000134A2" w:rsidP="00570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="0096251D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C623E4">
        <w:rPr>
          <w:b/>
          <w:noProof/>
          <w:sz w:val="24"/>
          <w:szCs w:val="24"/>
        </w:rPr>
        <w:t>JAVEN WILLIAM</w:t>
      </w:r>
      <w:r>
        <w:rPr>
          <w:b/>
          <w:sz w:val="24"/>
          <w:szCs w:val="24"/>
        </w:rPr>
        <w:fldChar w:fldCharType="end"/>
      </w:r>
      <w:bookmarkEnd w:id="8"/>
    </w:p>
    <w:bookmarkStart w:id="9" w:name="Dropdown13"/>
    <w:p w:rsidR="00B40898" w:rsidRDefault="000134A2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Appellant"/>
              <w:listEntry w:val="First Appellant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96251D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10" w:name="Text22"/>
      <w:r w:rsidRPr="0096251D">
        <w:rPr>
          <w:b/>
          <w:sz w:val="24"/>
          <w:szCs w:val="24"/>
        </w:rPr>
        <w:t>THE REPUBLIC</w:t>
      </w:r>
      <w:bookmarkEnd w:id="10"/>
    </w:p>
    <w:p w:rsidR="00E0467F" w:rsidRPr="0096251D" w:rsidRDefault="00E0467F" w:rsidP="0096251D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E0467F" w:rsidRPr="00E0467F" w:rsidRDefault="00E0467F" w:rsidP="0057018F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0134A2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0134A2">
        <w:rPr>
          <w:sz w:val="24"/>
          <w:szCs w:val="24"/>
        </w:rPr>
      </w:r>
      <w:r w:rsidR="000134A2">
        <w:rPr>
          <w:sz w:val="24"/>
          <w:szCs w:val="24"/>
        </w:rPr>
        <w:fldChar w:fldCharType="separate"/>
      </w:r>
      <w:r w:rsidR="0057018F">
        <w:rPr>
          <w:noProof/>
          <w:sz w:val="24"/>
          <w:szCs w:val="24"/>
        </w:rPr>
        <w:t>21 October 2013</w:t>
      </w:r>
      <w:r w:rsidR="000134A2">
        <w:rPr>
          <w:sz w:val="24"/>
          <w:szCs w:val="24"/>
        </w:rPr>
        <w:fldChar w:fldCharType="end"/>
      </w:r>
      <w:bookmarkEnd w:id="11"/>
      <w:r w:rsidR="000134A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134A2">
        <w:rPr>
          <w:sz w:val="24"/>
          <w:szCs w:val="24"/>
        </w:rPr>
        <w:fldChar w:fldCharType="end"/>
      </w:r>
    </w:p>
    <w:p w:rsidR="005F5FB0" w:rsidRDefault="00E0467F" w:rsidP="0057018F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4A2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4C3D80">
        <w:rPr>
          <w:sz w:val="24"/>
          <w:szCs w:val="24"/>
        </w:rPr>
        <w:instrText xml:space="preserve"> FORMTEXT </w:instrText>
      </w:r>
      <w:r w:rsidR="000134A2">
        <w:rPr>
          <w:sz w:val="24"/>
          <w:szCs w:val="24"/>
        </w:rPr>
      </w:r>
      <w:r w:rsidR="000134A2">
        <w:rPr>
          <w:sz w:val="24"/>
          <w:szCs w:val="24"/>
        </w:rPr>
        <w:fldChar w:fldCharType="separate"/>
      </w:r>
      <w:r w:rsidR="0057018F">
        <w:rPr>
          <w:noProof/>
          <w:sz w:val="24"/>
          <w:szCs w:val="24"/>
        </w:rPr>
        <w:t>Alexia Amesbury</w:t>
      </w:r>
      <w:r w:rsidR="000134A2">
        <w:rPr>
          <w:sz w:val="24"/>
          <w:szCs w:val="24"/>
        </w:rPr>
        <w:fldChar w:fldCharType="end"/>
      </w:r>
      <w:bookmarkEnd w:id="12"/>
      <w:r w:rsidR="000134A2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0134A2">
        <w:rPr>
          <w:sz w:val="24"/>
          <w:szCs w:val="24"/>
        </w:rPr>
        <w:fldChar w:fldCharType="end"/>
      </w:r>
      <w:r w:rsidR="000134A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134A2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3" w:name="Dropdown11"/>
      <w:r w:rsidR="000134A2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appellant"/>
              <w:listEntry w:val="first appellant"/>
              <w:listEntry w:val="appellants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0134A2">
        <w:rPr>
          <w:sz w:val="24"/>
          <w:szCs w:val="24"/>
        </w:rPr>
      </w:r>
      <w:r w:rsidR="000134A2">
        <w:rPr>
          <w:sz w:val="24"/>
          <w:szCs w:val="24"/>
        </w:rPr>
        <w:fldChar w:fldCharType="end"/>
      </w:r>
      <w:bookmarkEnd w:id="1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4A2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4"/>
          <w:szCs w:val="24"/>
        </w:rPr>
        <w:instrText xml:space="preserve"> FORMTEXT </w:instrText>
      </w:r>
      <w:r w:rsidR="000134A2">
        <w:rPr>
          <w:sz w:val="24"/>
          <w:szCs w:val="24"/>
        </w:rPr>
      </w:r>
      <w:r w:rsidR="000134A2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134A2">
        <w:rPr>
          <w:sz w:val="24"/>
          <w:szCs w:val="24"/>
        </w:rPr>
        <w:fldChar w:fldCharType="end"/>
      </w:r>
      <w:bookmarkEnd w:id="14"/>
    </w:p>
    <w:p w:rsidR="005F5FB0" w:rsidRDefault="009E05E5" w:rsidP="0057018F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4A2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C3D80">
        <w:rPr>
          <w:sz w:val="24"/>
          <w:szCs w:val="24"/>
        </w:rPr>
        <w:instrText xml:space="preserve"> FORMTEXT </w:instrText>
      </w:r>
      <w:r w:rsidR="000134A2">
        <w:rPr>
          <w:sz w:val="24"/>
          <w:szCs w:val="24"/>
        </w:rPr>
      </w:r>
      <w:r w:rsidR="000134A2">
        <w:rPr>
          <w:sz w:val="24"/>
          <w:szCs w:val="24"/>
        </w:rPr>
        <w:fldChar w:fldCharType="separate"/>
      </w:r>
      <w:r w:rsidR="0057018F">
        <w:rPr>
          <w:noProof/>
          <w:sz w:val="24"/>
          <w:szCs w:val="24"/>
        </w:rPr>
        <w:t>Benjamin Vipin</w:t>
      </w:r>
      <w:r w:rsidR="000134A2">
        <w:rPr>
          <w:sz w:val="24"/>
          <w:szCs w:val="24"/>
        </w:rPr>
        <w:fldChar w:fldCharType="end"/>
      </w:r>
      <w:bookmarkEnd w:id="15"/>
      <w:r w:rsidR="0096251D">
        <w:rPr>
          <w:sz w:val="24"/>
          <w:szCs w:val="24"/>
        </w:rPr>
        <w:t xml:space="preserve">, </w:t>
      </w:r>
      <w:bookmarkStart w:id="16" w:name="Dropdown14"/>
      <w:r w:rsidR="000134A2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0134A2">
        <w:rPr>
          <w:sz w:val="24"/>
          <w:szCs w:val="24"/>
        </w:rPr>
      </w:r>
      <w:r w:rsidR="000134A2">
        <w:rPr>
          <w:sz w:val="24"/>
          <w:szCs w:val="24"/>
        </w:rPr>
        <w:fldChar w:fldCharType="end"/>
      </w:r>
      <w:bookmarkEnd w:id="16"/>
      <w:r w:rsidR="000134A2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0134A2">
        <w:rPr>
          <w:sz w:val="24"/>
          <w:szCs w:val="24"/>
        </w:rPr>
        <w:fldChar w:fldCharType="end"/>
      </w:r>
      <w:r w:rsidR="000134A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134A2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7" w:name="Dropdown12"/>
      <w:r w:rsidR="0096251D">
        <w:rPr>
          <w:sz w:val="24"/>
          <w:szCs w:val="24"/>
        </w:rPr>
        <w:t>the Republic</w:t>
      </w:r>
      <w:bookmarkEnd w:id="17"/>
    </w:p>
    <w:p w:rsidR="00E6492F" w:rsidRPr="00E6492F" w:rsidRDefault="00E6492F" w:rsidP="002B5028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8" w:name="Text26"/>
      <w:r w:rsidR="000134A2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0134A2">
        <w:rPr>
          <w:sz w:val="24"/>
          <w:szCs w:val="24"/>
        </w:rPr>
      </w:r>
      <w:r w:rsidR="000134A2">
        <w:rPr>
          <w:sz w:val="24"/>
          <w:szCs w:val="24"/>
        </w:rPr>
        <w:fldChar w:fldCharType="separate"/>
      </w:r>
      <w:r w:rsidR="002B5028">
        <w:rPr>
          <w:noProof/>
          <w:sz w:val="24"/>
          <w:szCs w:val="24"/>
        </w:rPr>
        <w:t>18 November 2013</w:t>
      </w:r>
      <w:r w:rsidR="000134A2">
        <w:rPr>
          <w:sz w:val="24"/>
          <w:szCs w:val="24"/>
        </w:rPr>
        <w:fldChar w:fldCharType="end"/>
      </w:r>
      <w:bookmarkEnd w:id="1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9" w:name="Dropdown2"/>
    </w:p>
    <w:bookmarkStart w:id="20" w:name="Dropdown8"/>
    <w:bookmarkEnd w:id="19"/>
    <w:p w:rsidR="00C87FCA" w:rsidRDefault="000134A2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 w:rsidR="0018288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1" w:name="Dropdown9"/>
    <w:p w:rsidR="00C87FCA" w:rsidRDefault="000134A2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5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96251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1E82" w:rsidRPr="003F1E82" w:rsidRDefault="003F1E82" w:rsidP="003F1E82">
      <w:pPr>
        <w:pStyle w:val="JudgmentText"/>
      </w:pPr>
      <w:r w:rsidRPr="003F1E82">
        <w:lastRenderedPageBreak/>
        <w:t>The Appellant seeks leave to appeal against conviction a</w:t>
      </w:r>
      <w:r>
        <w:t xml:space="preserve">nd sentence imposed upon him by the </w:t>
      </w:r>
      <w:r w:rsidRPr="003F1E82">
        <w:t xml:space="preserve">Magistrate on June 2013 following his plea of Guilty to two charges, namely: </w:t>
      </w:r>
    </w:p>
    <w:p w:rsidR="003F1E82" w:rsidRPr="003F1E82" w:rsidRDefault="003F1E82" w:rsidP="003F1E82">
      <w:pPr>
        <w:pStyle w:val="JudgmentText"/>
      </w:pPr>
      <w:r w:rsidRPr="003F1E82">
        <w:t>[i] Burglary contrary to section 289[a] of the penal code. The Particulars ar</w:t>
      </w:r>
      <w:r>
        <w:t xml:space="preserve">e that the defendant, residing  </w:t>
      </w:r>
      <w:r w:rsidRPr="003F1E82">
        <w:t>at Grand Anse Praslin on the 23rd of June 2013 in the early hours broke a</w:t>
      </w:r>
      <w:r>
        <w:t xml:space="preserve">nd entered Ocean Jewel a guest </w:t>
      </w:r>
      <w:r w:rsidRPr="003F1E82">
        <w:t xml:space="preserve">house in room no 4 occupied by Amina Mustanr and Faisal Mushtaq </w:t>
      </w:r>
      <w:r>
        <w:t xml:space="preserve">with intent to commit a felony </w:t>
      </w:r>
      <w:r w:rsidRPr="003F1E82">
        <w:t xml:space="preserve">therein, namely stealing. </w:t>
      </w:r>
    </w:p>
    <w:p w:rsidR="003F1E82" w:rsidRPr="003F1E82" w:rsidRDefault="003F1E82" w:rsidP="003F1E82">
      <w:pPr>
        <w:pStyle w:val="JudgmentText"/>
      </w:pPr>
      <w:r w:rsidRPr="003F1E82">
        <w:lastRenderedPageBreak/>
        <w:t>[ii] Stealing from a dwelling house contrary to section 260 and punishab</w:t>
      </w:r>
      <w:r>
        <w:t xml:space="preserve">le under section 264[b] of the </w:t>
      </w:r>
      <w:r w:rsidRPr="003F1E82">
        <w:t>penal code. The Particulars are that the defendant residing at the addres</w:t>
      </w:r>
      <w:r>
        <w:t xml:space="preserve">s aforesaid and on the date </w:t>
      </w:r>
      <w:r w:rsidRPr="003F1E82">
        <w:t>aforesaid in the early hours stole from the dwelling house Ocean Je</w:t>
      </w:r>
      <w:r>
        <w:t xml:space="preserve">wel a guest house in room no 4 </w:t>
      </w:r>
      <w:r w:rsidRPr="003F1E82">
        <w:t>occupied by A</w:t>
      </w:r>
      <w:r>
        <w:t>mina Mustanr and Faisal Mushtaq one i</w:t>
      </w:r>
      <w:r w:rsidRPr="003F1E82">
        <w:t>phone 550 USD</w:t>
      </w:r>
      <w:r>
        <w:t>, sunglasses 300 USD, 2</w:t>
      </w:r>
      <w:r w:rsidR="009B6941">
        <w:t xml:space="preserve"> </w:t>
      </w:r>
      <w:r>
        <w:t xml:space="preserve">bangles </w:t>
      </w:r>
      <w:r w:rsidRPr="003F1E82">
        <w:t xml:space="preserve">100 USD being the property of the afaidsaid to the total value of </w:t>
      </w:r>
      <w:r w:rsidR="009B6941">
        <w:t>RS</w:t>
      </w:r>
      <w:r w:rsidRPr="003F1E82">
        <w:t xml:space="preserve">11,542. </w:t>
      </w:r>
    </w:p>
    <w:p w:rsidR="003F1E82" w:rsidRPr="003F1E82" w:rsidRDefault="003F1E82" w:rsidP="003F1E82">
      <w:pPr>
        <w:pStyle w:val="JudgmentText"/>
      </w:pPr>
      <w:r w:rsidRPr="003F1E82">
        <w:t>There was a further defendant on the charge sheet, named Ronny Holla</w:t>
      </w:r>
      <w:r w:rsidR="00551E4F">
        <w:t xml:space="preserve">nda, who faced one charge, </w:t>
      </w:r>
      <w:r w:rsidRPr="003F1E82">
        <w:t>namely: Receiving Stolen Property contrary to section 309[1] of the pen</w:t>
      </w:r>
      <w:r w:rsidR="00551E4F">
        <w:t xml:space="preserve">al code. This defendant is not </w:t>
      </w:r>
      <w:r w:rsidRPr="003F1E82">
        <w:t>part of this appeal but since he is referred to in these appeal proceeding</w:t>
      </w:r>
      <w:r w:rsidR="00551E4F">
        <w:t xml:space="preserve">s I set out the particulars of </w:t>
      </w:r>
      <w:r w:rsidRPr="003F1E82">
        <w:t xml:space="preserve">offence, which are: </w:t>
      </w:r>
    </w:p>
    <w:p w:rsidR="003F1E82" w:rsidRPr="003F1E82" w:rsidRDefault="003F1E82" w:rsidP="003F1E82">
      <w:pPr>
        <w:pStyle w:val="JudgmentText"/>
      </w:pPr>
      <w:r w:rsidRPr="003F1E82">
        <w:t>Ronny Hollanda residing at Grand Anse Praslin on 24th June 2013 did rec</w:t>
      </w:r>
      <w:r w:rsidR="00551E4F">
        <w:t xml:space="preserve">eive 1 phone knowing or having </w:t>
      </w:r>
      <w:r w:rsidRPr="003F1E82">
        <w:t xml:space="preserve">reason to believe the same to have been feloniously stolen. </w:t>
      </w:r>
    </w:p>
    <w:p w:rsidR="003F1E82" w:rsidRPr="003F1E82" w:rsidRDefault="003F1E82" w:rsidP="003F1E82">
      <w:pPr>
        <w:pStyle w:val="JudgmentText"/>
      </w:pPr>
      <w:r w:rsidRPr="003F1E82">
        <w:t xml:space="preserve">The Record shows that the Magistrate explained his constitutional rights to the Appellant </w:t>
      </w:r>
      <w:r w:rsidR="00551E4F">
        <w:t xml:space="preserve">and the </w:t>
      </w:r>
      <w:r w:rsidRPr="003F1E82">
        <w:t>Appellant elected to defend himself. The charges were read to the Appe</w:t>
      </w:r>
      <w:r w:rsidR="00551E4F">
        <w:t xml:space="preserve">llant and he pleaded Guilty to </w:t>
      </w:r>
      <w:r w:rsidRPr="003F1E82">
        <w:t>both charges. The remaining charge against defendant Hollanda was con</w:t>
      </w:r>
      <w:r w:rsidR="00551E4F">
        <w:t xml:space="preserve">tinued without plea. The facts </w:t>
      </w:r>
      <w:r w:rsidRPr="003F1E82">
        <w:t>were narrated to the Appellant as set out in the charge sheet. The c</w:t>
      </w:r>
      <w:r w:rsidR="00551E4F">
        <w:t xml:space="preserve">ourt was also advised that the </w:t>
      </w:r>
      <w:r w:rsidRPr="003F1E82">
        <w:t xml:space="preserve">Appellant had been seen committing the offence on CCTV and some stolen items were seen at his place, </w:t>
      </w:r>
    </w:p>
    <w:p w:rsidR="003F1E82" w:rsidRPr="003F1E82" w:rsidRDefault="003F1E82" w:rsidP="003F1E82">
      <w:pPr>
        <w:pStyle w:val="JudgmentText"/>
      </w:pPr>
      <w:r w:rsidRPr="003F1E82">
        <w:t>which I take to be his place of residence. The cour</w:t>
      </w:r>
      <w:r w:rsidR="00551E4F">
        <w:t xml:space="preserve">t then proceeded to convict the </w:t>
      </w:r>
      <w:r w:rsidRPr="003F1E82">
        <w:t>Appellant on hi</w:t>
      </w:r>
      <w:r w:rsidR="00551E4F">
        <w:t xml:space="preserve">s own </w:t>
      </w:r>
      <w:r w:rsidRPr="003F1E82">
        <w:t xml:space="preserve">plea. By way of mitigation the Appellant tendered his apologies to the owner. </w:t>
      </w:r>
    </w:p>
    <w:p w:rsidR="003F1E82" w:rsidRPr="003F1E82" w:rsidRDefault="003F1E82" w:rsidP="003F1E82">
      <w:pPr>
        <w:pStyle w:val="JudgmentText"/>
        <w:rPr>
          <w:u w:val="single"/>
        </w:rPr>
      </w:pPr>
      <w:r w:rsidRPr="003F1E82">
        <w:rPr>
          <w:u w:val="single"/>
        </w:rPr>
        <w:t>MITIGATION</w:t>
      </w:r>
    </w:p>
    <w:p w:rsidR="003F1E82" w:rsidRPr="003F1E82" w:rsidRDefault="003F1E82" w:rsidP="003F1E82">
      <w:pPr>
        <w:pStyle w:val="JudgmentText"/>
      </w:pPr>
      <w:r w:rsidRPr="003F1E82">
        <w:t>In my view the further points in favour of the Appellant were that h</w:t>
      </w:r>
      <w:r w:rsidR="00551E4F">
        <w:t xml:space="preserve">e was a first offender and had </w:t>
      </w:r>
      <w:r w:rsidRPr="003F1E82">
        <w:t xml:space="preserve">pleaded Guilty to the charges at the first opportunity. </w:t>
      </w:r>
    </w:p>
    <w:p w:rsidR="003F1E82" w:rsidRPr="00551E4F" w:rsidRDefault="003F1E82" w:rsidP="00551E4F">
      <w:pPr>
        <w:pStyle w:val="JudgmentText"/>
      </w:pPr>
      <w:r w:rsidRPr="00551E4F">
        <w:rPr>
          <w:u w:val="single"/>
        </w:rPr>
        <w:t>SENTENCE</w:t>
      </w:r>
    </w:p>
    <w:p w:rsidR="003F1E82" w:rsidRPr="003F1E82" w:rsidRDefault="003F1E82" w:rsidP="003F1E82">
      <w:pPr>
        <w:pStyle w:val="JudgmentText"/>
      </w:pPr>
      <w:r w:rsidRPr="003F1E82">
        <w:t>The Magistrate took into account that the victims were tourists and visit</w:t>
      </w:r>
      <w:r w:rsidR="00551E4F">
        <w:t xml:space="preserve">ors to the Seychelles and held </w:t>
      </w:r>
      <w:r w:rsidRPr="003F1E82">
        <w:t xml:space="preserve">that this was an aggravating factor. </w:t>
      </w:r>
    </w:p>
    <w:p w:rsidR="003F1E82" w:rsidRPr="003F1E82" w:rsidRDefault="003F1E82" w:rsidP="003F1E82">
      <w:pPr>
        <w:pStyle w:val="JudgmentText"/>
      </w:pPr>
      <w:r w:rsidRPr="003F1E82">
        <w:lastRenderedPageBreak/>
        <w:t>He imposed a sentence of 10 years imprisonment in respect of charge 1 an</w:t>
      </w:r>
      <w:r w:rsidR="00551E4F">
        <w:t xml:space="preserve">d 5 years in respect of charge </w:t>
      </w:r>
      <w:r w:rsidRPr="003F1E82">
        <w:t xml:space="preserve">2 and ordered that the sentences be consecutive. Accordingly the </w:t>
      </w:r>
      <w:r w:rsidR="00551E4F">
        <w:t xml:space="preserve">total term of imprisonment was </w:t>
      </w:r>
      <w:r w:rsidRPr="003F1E82">
        <w:t xml:space="preserve">fifteen [15] years. </w:t>
      </w:r>
    </w:p>
    <w:p w:rsidR="003F1E82" w:rsidRPr="003F1E82" w:rsidRDefault="003F1E82" w:rsidP="003F1E82">
      <w:pPr>
        <w:pStyle w:val="JudgmentText"/>
      </w:pPr>
      <w:r w:rsidRPr="003F1E82">
        <w:t xml:space="preserve">It is against this conviction and sentence that the Appellant entered his appeal. </w:t>
      </w:r>
    </w:p>
    <w:p w:rsidR="003F1E82" w:rsidRDefault="003F1E82" w:rsidP="003F1E82">
      <w:pPr>
        <w:pStyle w:val="JudgmentText"/>
      </w:pPr>
      <w:r w:rsidRPr="003F1E82">
        <w:t xml:space="preserve">Counsel for the Appellant at the hearing of the Appeal was cogniscant of </w:t>
      </w:r>
      <w:r w:rsidR="00551E4F">
        <w:t xml:space="preserve">section 309[1] of the Criminal </w:t>
      </w:r>
      <w:r w:rsidRPr="003F1E82">
        <w:t xml:space="preserve">Procedure Code but sought to maintain the appeal against conviction as </w:t>
      </w:r>
      <w:r w:rsidR="00551E4F">
        <w:t xml:space="preserve">well as sentence. I elected to </w:t>
      </w:r>
      <w:r w:rsidRPr="003F1E82">
        <w:t xml:space="preserve">consider the submissions in relation to conviction and sentence. </w:t>
      </w:r>
    </w:p>
    <w:p w:rsidR="00544E9F" w:rsidRDefault="00544E9F" w:rsidP="00544E9F">
      <w:pPr>
        <w:pStyle w:val="JudgmentText"/>
        <w:numPr>
          <w:ilvl w:val="0"/>
          <w:numId w:val="0"/>
        </w:numPr>
        <w:ind w:left="720" w:hanging="720"/>
        <w:rPr>
          <w:u w:val="single"/>
        </w:rPr>
      </w:pPr>
    </w:p>
    <w:p w:rsidR="003F1E82" w:rsidRPr="003F1E82" w:rsidRDefault="003F1E82" w:rsidP="003F1E82">
      <w:pPr>
        <w:pStyle w:val="JudgmentText"/>
        <w:rPr>
          <w:u w:val="single"/>
        </w:rPr>
      </w:pPr>
      <w:r w:rsidRPr="003F1E82">
        <w:rPr>
          <w:u w:val="single"/>
        </w:rPr>
        <w:t xml:space="preserve">GROUNDS OF APPEAL </w:t>
      </w:r>
    </w:p>
    <w:p w:rsidR="003F1E82" w:rsidRPr="003F1E82" w:rsidRDefault="003F1E82" w:rsidP="003F1E82">
      <w:pPr>
        <w:pStyle w:val="JudgmentText"/>
      </w:pPr>
      <w:r w:rsidRPr="003F1E82">
        <w:t>The grounds of appeal are set out in the Memorandum of Appeal and M</w:t>
      </w:r>
      <w:r w:rsidR="00551E4F">
        <w:t xml:space="preserve">rs Amesbury also relied on her </w:t>
      </w:r>
      <w:r w:rsidRPr="003F1E82">
        <w:t>submissions in court. Counsel for the Prosecution replied. The Submiss</w:t>
      </w:r>
      <w:r w:rsidR="00551E4F">
        <w:t xml:space="preserve">ions form part of this record. </w:t>
      </w:r>
      <w:r w:rsidRPr="003F1E82">
        <w:t>Mrs Amesbury also brought to the attention of the Court the case of Raymo</w:t>
      </w:r>
      <w:r w:rsidR="00551E4F">
        <w:t xml:space="preserve">nd Tarnecki v The Republic </w:t>
      </w:r>
      <w:r w:rsidRPr="003F1E82">
        <w:t xml:space="preserve">[Criminal Appeal No 4 of 1996]. </w:t>
      </w:r>
    </w:p>
    <w:p w:rsidR="003F1E82" w:rsidRPr="003F1E82" w:rsidRDefault="003F1E82" w:rsidP="003F1E82">
      <w:pPr>
        <w:pStyle w:val="JudgmentText"/>
      </w:pPr>
      <w:r w:rsidRPr="003F1E82">
        <w:t>It was submitted by Mrs Amesbury that at the time of the offence and con</w:t>
      </w:r>
      <w:r w:rsidR="00551E4F">
        <w:t xml:space="preserve">viction the Appellant was only </w:t>
      </w:r>
      <w:r w:rsidRPr="003F1E82">
        <w:t>16 years of age and was thus a child in terms of section 92 of the Children Act. She produc</w:t>
      </w:r>
      <w:r w:rsidR="00551E4F">
        <w:t xml:space="preserve">ed in support </w:t>
      </w:r>
      <w:r w:rsidRPr="003F1E82">
        <w:t>the Birth Certificate of the Appellant. She stated that the age of the Ap</w:t>
      </w:r>
      <w:r w:rsidR="00551E4F">
        <w:t xml:space="preserve">pellant should have been taken </w:t>
      </w:r>
      <w:r w:rsidRPr="003F1E82">
        <w:t>into account by the Magistrate and the Prosecution required the instr</w:t>
      </w:r>
      <w:r w:rsidR="00551E4F">
        <w:t xml:space="preserve">uction of the Attorney General </w:t>
      </w:r>
      <w:r w:rsidRPr="003F1E82">
        <w:t>before proceeding with the prosecution of the Appellant. There was</w:t>
      </w:r>
      <w:r w:rsidR="00551E4F">
        <w:t xml:space="preserve"> no such instruction. She also </w:t>
      </w:r>
      <w:r w:rsidRPr="003F1E82">
        <w:t>highlighted the fact that before plea was taken the Appellant did not have</w:t>
      </w:r>
      <w:r w:rsidR="00551E4F">
        <w:t xml:space="preserve"> access to advice from a legal </w:t>
      </w:r>
      <w:r w:rsidRPr="003F1E82">
        <w:t xml:space="preserve">representative or members of immediate family or a guardian. </w:t>
      </w:r>
    </w:p>
    <w:p w:rsidR="003F1E82" w:rsidRPr="003F1E82" w:rsidRDefault="003F1E82" w:rsidP="003F1E82">
      <w:pPr>
        <w:pStyle w:val="JudgmentText"/>
      </w:pPr>
      <w:r w:rsidRPr="003F1E82">
        <w:t xml:space="preserve">She also submitted that the phrase in the charge of burglary "in the early </w:t>
      </w:r>
      <w:r w:rsidR="00551E4F">
        <w:t xml:space="preserve">hours" was not consistent with </w:t>
      </w:r>
      <w:r w:rsidRPr="003F1E82">
        <w:t xml:space="preserve">the wording "at night" or "in the night" as set out in section 289 of the penal code. </w:t>
      </w:r>
    </w:p>
    <w:p w:rsidR="003F1E82" w:rsidRPr="003F1E82" w:rsidRDefault="003F1E82" w:rsidP="003F1E82">
      <w:pPr>
        <w:pStyle w:val="JudgmentText"/>
      </w:pPr>
      <w:r w:rsidRPr="003F1E82">
        <w:t>The final ground of the memorandum of appeal read as follows "The charge was also defec</w:t>
      </w:r>
      <w:r w:rsidR="00551E4F">
        <w:t xml:space="preserve">tive in that it </w:t>
      </w:r>
      <w:r w:rsidRPr="003F1E82">
        <w:t xml:space="preserve">charged two persons on the same indictment without making them </w:t>
      </w:r>
      <w:r w:rsidRPr="003F1E82">
        <w:lastRenderedPageBreak/>
        <w:t xml:space="preserve">joint offenders. These </w:t>
      </w:r>
      <w:r w:rsidR="00551E4F">
        <w:t xml:space="preserve">were two </w:t>
      </w:r>
      <w:r w:rsidRPr="003F1E82">
        <w:t xml:space="preserve">distinct offences committed by two distinct persons and on different days". </w:t>
      </w:r>
    </w:p>
    <w:p w:rsidR="003F1E82" w:rsidRDefault="003F1E82" w:rsidP="003F1E82">
      <w:pPr>
        <w:pStyle w:val="JudgmentText"/>
      </w:pPr>
      <w:r w:rsidRPr="003F1E82">
        <w:t xml:space="preserve">These points were all amplified in the oral submissions of Mrs Amesbury. </w:t>
      </w:r>
    </w:p>
    <w:p w:rsidR="00DE1834" w:rsidRPr="003F1E82" w:rsidRDefault="00DE1834" w:rsidP="00DE1834">
      <w:pPr>
        <w:pStyle w:val="JudgmentText"/>
        <w:numPr>
          <w:ilvl w:val="0"/>
          <w:numId w:val="0"/>
        </w:numPr>
        <w:ind w:left="720" w:hanging="720"/>
      </w:pPr>
    </w:p>
    <w:p w:rsidR="003F1E82" w:rsidRDefault="003F1E82" w:rsidP="003F1E82">
      <w:pPr>
        <w:pStyle w:val="JudgmentText"/>
      </w:pPr>
      <w:r w:rsidRPr="003F1E82">
        <w:t>Mr. Vipin for the Respondent submitted that no instruction from the</w:t>
      </w:r>
      <w:r w:rsidR="00551E4F">
        <w:t xml:space="preserve"> Attorney General was required </w:t>
      </w:r>
      <w:r w:rsidRPr="003F1E82">
        <w:t xml:space="preserve">since the Appellant, a child, was charged jointly with an adult in terms of </w:t>
      </w:r>
      <w:r w:rsidR="00551E4F">
        <w:t xml:space="preserve">section 113[e] of the Criminal </w:t>
      </w:r>
      <w:r w:rsidRPr="003F1E82">
        <w:t>Procedure Code. Mr. Vipin accepted that we had no precise knowledge of</w:t>
      </w:r>
      <w:r w:rsidR="00551E4F">
        <w:t xml:space="preserve"> the age of defendant Hollanda </w:t>
      </w:r>
      <w:r w:rsidRPr="003F1E82">
        <w:t>but asked that it be presumed that he was an adult. He submitted th</w:t>
      </w:r>
      <w:r w:rsidR="00551E4F">
        <w:t xml:space="preserve">at his view was supported by a </w:t>
      </w:r>
      <w:r w:rsidRPr="003F1E82">
        <w:t>consideration of section 93 of the Children Act and both sections should be considered together.</w:t>
      </w:r>
      <w:r w:rsidR="00551E4F">
        <w:t xml:space="preserve"> This </w:t>
      </w:r>
      <w:r w:rsidRPr="003F1E82">
        <w:t xml:space="preserve">section allows a child, when charged jointly with an adult to be dealt with in the adult court and not the </w:t>
      </w:r>
      <w:r w:rsidRPr="003F1E82">
        <w:br/>
        <w:t xml:space="preserve">juvenile court. Hence the Prosecution and conviction should stand. </w:t>
      </w:r>
    </w:p>
    <w:p w:rsidR="00551E4F" w:rsidRPr="003F1E82" w:rsidRDefault="00551E4F" w:rsidP="00551E4F">
      <w:pPr>
        <w:pStyle w:val="JudgmentText"/>
        <w:numPr>
          <w:ilvl w:val="0"/>
          <w:numId w:val="0"/>
        </w:numPr>
        <w:ind w:left="720"/>
      </w:pPr>
    </w:p>
    <w:p w:rsidR="003F1E82" w:rsidRPr="00551E4F" w:rsidRDefault="003F1E82" w:rsidP="003F1E82">
      <w:pPr>
        <w:pStyle w:val="JudgmentText"/>
        <w:rPr>
          <w:u w:val="single"/>
        </w:rPr>
      </w:pPr>
      <w:r w:rsidRPr="00551E4F">
        <w:rPr>
          <w:u w:val="single"/>
        </w:rPr>
        <w:t xml:space="preserve">CONSIDERATION OF THE SUBMISSIONS and FINDINGS </w:t>
      </w:r>
    </w:p>
    <w:p w:rsidR="003F1E82" w:rsidRPr="003F1E82" w:rsidRDefault="003F1E82" w:rsidP="003F1E82">
      <w:pPr>
        <w:pStyle w:val="JudgmentText"/>
      </w:pPr>
      <w:r w:rsidRPr="003F1E82">
        <w:t xml:space="preserve">I have considered all the submissions both written and oral. </w:t>
      </w:r>
    </w:p>
    <w:p w:rsidR="003F1E82" w:rsidRPr="003F1E82" w:rsidRDefault="003F1E82" w:rsidP="003F1E82">
      <w:pPr>
        <w:pStyle w:val="JudgmentText"/>
      </w:pPr>
      <w:r w:rsidRPr="003F1E82">
        <w:t>I look firstly at the point regarding the wording in the burglary charge.</w:t>
      </w:r>
      <w:r w:rsidR="00551E4F">
        <w:t xml:space="preserve"> There is no substance to this </w:t>
      </w:r>
      <w:r w:rsidRPr="003F1E82">
        <w:t xml:space="preserve">ground of appeal. </w:t>
      </w:r>
    </w:p>
    <w:p w:rsidR="003F1E82" w:rsidRPr="003F1E82" w:rsidRDefault="003F1E82" w:rsidP="003F1E82">
      <w:pPr>
        <w:pStyle w:val="JudgmentText"/>
      </w:pPr>
      <w:r w:rsidRPr="003F1E82">
        <w:t>Secondly, it was entirely proper that charges of burglary and stealing and receiving be included</w:t>
      </w:r>
      <w:r w:rsidR="00551E4F">
        <w:t xml:space="preserve"> in the </w:t>
      </w:r>
      <w:r w:rsidRPr="003F1E82">
        <w:t xml:space="preserve">same charge sheet. </w:t>
      </w:r>
    </w:p>
    <w:p w:rsidR="003F1E82" w:rsidRPr="003F1E82" w:rsidRDefault="003F1E82" w:rsidP="003F1E82">
      <w:pPr>
        <w:pStyle w:val="JudgmentText"/>
      </w:pPr>
      <w:r w:rsidRPr="003F1E82">
        <w:t xml:space="preserve">I now look at the remaining points which, for convenience, can be taken together. </w:t>
      </w:r>
    </w:p>
    <w:p w:rsidR="003F1E82" w:rsidRPr="003F1E82" w:rsidRDefault="003F1E82" w:rsidP="003F1E82">
      <w:pPr>
        <w:pStyle w:val="JudgmentText"/>
      </w:pPr>
      <w:r w:rsidRPr="003F1E82">
        <w:t>A child is defined in the interpretation section of the Children Act and me</w:t>
      </w:r>
      <w:r w:rsidR="00551E4F">
        <w:t xml:space="preserve">ans a person under 18 years of </w:t>
      </w:r>
      <w:r w:rsidRPr="003F1E82">
        <w:t>age and includes a young person. There is an exception to the genera</w:t>
      </w:r>
      <w:r w:rsidR="00551E4F">
        <w:t xml:space="preserve">l rule but this refers only to </w:t>
      </w:r>
      <w:r w:rsidRPr="003F1E82">
        <w:t xml:space="preserve">sections 9 to 14 and hence to Affiliation Orders only. </w:t>
      </w:r>
    </w:p>
    <w:p w:rsidR="003F1E82" w:rsidRPr="003F1E82" w:rsidRDefault="003F1E82" w:rsidP="003F1E82">
      <w:pPr>
        <w:pStyle w:val="JudgmentText"/>
      </w:pPr>
      <w:r w:rsidRPr="003F1E82">
        <w:t xml:space="preserve">I find that the Appellant was 16 years of age on the date of the offence </w:t>
      </w:r>
      <w:r w:rsidR="00551E4F">
        <w:t xml:space="preserve">and on the date when the Court </w:t>
      </w:r>
      <w:r w:rsidRPr="003F1E82">
        <w:t xml:space="preserve">imposed the conviction and sentence. I refer to the Certificate of Birth </w:t>
      </w:r>
      <w:r w:rsidRPr="003F1E82">
        <w:lastRenderedPageBreak/>
        <w:t xml:space="preserve">Number 1167 of 1996.C issued by the Civil Status Officer and produced to the Court by Mrs Amesbury which </w:t>
      </w:r>
      <w:r w:rsidR="00551E4F">
        <w:t xml:space="preserve">shows the date of birth of the </w:t>
      </w:r>
      <w:r w:rsidRPr="003F1E82">
        <w:t>Appellant to be is September 1996. The offences were committed on 23rd June 2</w:t>
      </w:r>
      <w:r w:rsidR="00551E4F">
        <w:t xml:space="preserve">013 and the </w:t>
      </w:r>
      <w:r w:rsidRPr="003F1E82">
        <w:t xml:space="preserve">Appellant was convicted on June 2013. </w:t>
      </w:r>
    </w:p>
    <w:p w:rsidR="003F1E82" w:rsidRPr="003F1E82" w:rsidRDefault="003F1E82" w:rsidP="003F1E82">
      <w:pPr>
        <w:pStyle w:val="JudgmentText"/>
      </w:pPr>
      <w:r w:rsidRPr="003F1E82">
        <w:t>In the earlier proceedings the Magistrate was not advised that this Appe</w:t>
      </w:r>
      <w:r w:rsidR="00551E4F">
        <w:t xml:space="preserve">llant was 16 years of age. The </w:t>
      </w:r>
      <w:r w:rsidRPr="003F1E82">
        <w:t>Appellant did not so advice. The Prosecutor did not do so. The formal charge sheet does not record t</w:t>
      </w:r>
      <w:r w:rsidR="00551E4F">
        <w:t xml:space="preserve">he </w:t>
      </w:r>
      <w:r w:rsidRPr="003F1E82">
        <w:t>age or date of birth of the Appellant. For that matter the charge sheet d</w:t>
      </w:r>
      <w:r w:rsidR="00551E4F">
        <w:t xml:space="preserve">id not show the age or date of </w:t>
      </w:r>
      <w:r w:rsidRPr="003F1E82">
        <w:t xml:space="preserve">birth of the other defendant called Ronny Hollanda. </w:t>
      </w:r>
    </w:p>
    <w:p w:rsidR="003F1E82" w:rsidRPr="003F1E82" w:rsidRDefault="003F1E82" w:rsidP="003F1E82">
      <w:pPr>
        <w:pStyle w:val="JudgmentText"/>
      </w:pPr>
      <w:r w:rsidRPr="003F1E82">
        <w:t>The Magistrate proceeded in his normal way. He explained the constitutional rights to the defe</w:t>
      </w:r>
      <w:r w:rsidR="00551E4F">
        <w:t xml:space="preserve">ndant </w:t>
      </w:r>
      <w:r w:rsidRPr="003F1E82">
        <w:t>who stated that he wished to defendant himself. He elected to plead</w:t>
      </w:r>
      <w:r w:rsidR="00551E4F">
        <w:t xml:space="preserve"> guilty to both charges and he </w:t>
      </w:r>
      <w:r w:rsidRPr="003F1E82">
        <w:t>agreed the brief facts. He mitigated on his own behalf. Thereafter he w</w:t>
      </w:r>
      <w:r w:rsidR="00551E4F">
        <w:t xml:space="preserve">as convicted and sentenced. In </w:t>
      </w:r>
      <w:r w:rsidRPr="003F1E82">
        <w:t>view of the paucity of information it is understandable why the Magist</w:t>
      </w:r>
      <w:r w:rsidR="00551E4F">
        <w:t xml:space="preserve">rate took the view that he had </w:t>
      </w:r>
      <w:r w:rsidRPr="003F1E82">
        <w:t xml:space="preserve">received unequivocal pleas and proceeded accordingly. </w:t>
      </w:r>
    </w:p>
    <w:p w:rsidR="003F1E82" w:rsidRPr="003F1E82" w:rsidRDefault="003F1E82" w:rsidP="0065519B">
      <w:pPr>
        <w:pStyle w:val="JudgmentText"/>
      </w:pPr>
      <w:r w:rsidRPr="003F1E82">
        <w:t>However it is now known that on the date the Appellant appeared in t</w:t>
      </w:r>
      <w:r w:rsidR="0065519B">
        <w:t xml:space="preserve">he Magistrates Court he was 16 </w:t>
      </w:r>
      <w:r w:rsidRPr="003F1E82">
        <w:t xml:space="preserve">years of age. No doubt if this had been known to the Magistrate, he </w:t>
      </w:r>
      <w:r w:rsidR="0065519B">
        <w:t xml:space="preserve">may have considered adopting a </w:t>
      </w:r>
      <w:r w:rsidRPr="003F1E82">
        <w:t xml:space="preserve">different approach. Even at this stage I do not know the age of the other </w:t>
      </w:r>
      <w:r w:rsidR="0065519B">
        <w:t xml:space="preserve">defendant, Hollanda. It is not </w:t>
      </w:r>
      <w:r w:rsidRPr="003F1E82">
        <w:t>shown on the c</w:t>
      </w:r>
      <w:r w:rsidR="0065519B">
        <w:t xml:space="preserve">harge sheet and Counsel for the </w:t>
      </w:r>
      <w:r w:rsidRPr="003F1E82">
        <w:t xml:space="preserve">Respondent was unable to give me this information </w:t>
      </w:r>
      <w:r w:rsidR="0065519B">
        <w:t xml:space="preserve">in </w:t>
      </w:r>
      <w:r w:rsidRPr="003F1E82">
        <w:t xml:space="preserve">court. </w:t>
      </w:r>
    </w:p>
    <w:p w:rsidR="003F1E82" w:rsidRPr="003F1E82" w:rsidRDefault="003F1E82" w:rsidP="003F1E82">
      <w:pPr>
        <w:pStyle w:val="JudgmentText"/>
      </w:pPr>
      <w:r w:rsidRPr="003F1E82">
        <w:t>I refer to Section 92 of the Children Act. It is as follows "No child shall be prosecuted for any</w:t>
      </w:r>
      <w:r w:rsidR="0065519B">
        <w:t xml:space="preserve"> offence…” </w:t>
      </w:r>
      <w:r w:rsidR="00DE1834">
        <w:t xml:space="preserve"> </w:t>
      </w:r>
      <w:r w:rsidRPr="003F1E82">
        <w:t xml:space="preserve">except- </w:t>
      </w:r>
      <w:r w:rsidR="00DE1834">
        <w:t>:</w:t>
      </w:r>
    </w:p>
    <w:p w:rsidR="003F1E82" w:rsidRPr="003F1E82" w:rsidRDefault="003F1E82" w:rsidP="0065519B">
      <w:pPr>
        <w:pStyle w:val="JudgmentText"/>
        <w:numPr>
          <w:ilvl w:val="1"/>
          <w:numId w:val="6"/>
        </w:numPr>
      </w:pPr>
      <w:r w:rsidRPr="003F1E82">
        <w:t xml:space="preserve">The offence of murder or an offence for which the penalty is death; or </w:t>
      </w:r>
    </w:p>
    <w:p w:rsidR="003F1E82" w:rsidRPr="003F1E82" w:rsidRDefault="003F1E82" w:rsidP="0065519B">
      <w:pPr>
        <w:pStyle w:val="JudgmentText"/>
        <w:numPr>
          <w:ilvl w:val="1"/>
          <w:numId w:val="6"/>
        </w:numPr>
      </w:pPr>
      <w:r w:rsidRPr="003F1E82">
        <w:t xml:space="preserve">On the instructions of the Attorney General. </w:t>
      </w:r>
    </w:p>
    <w:p w:rsidR="003F1E82" w:rsidRPr="003F1E82" w:rsidRDefault="003F1E82" w:rsidP="003F1E82">
      <w:pPr>
        <w:pStyle w:val="JudgmentText"/>
      </w:pPr>
      <w:r w:rsidRPr="003F1E82">
        <w:t xml:space="preserve">Hence, discounting the special cases mentioned in subsection [a] no child </w:t>
      </w:r>
      <w:r w:rsidR="0065519B">
        <w:t xml:space="preserve">shall be prosecuted unless the </w:t>
      </w:r>
      <w:r w:rsidRPr="003F1E82">
        <w:t xml:space="preserve">prosecution is instructed by the Attorney General. In my view that means </w:t>
      </w:r>
      <w:r w:rsidR="0065519B">
        <w:t xml:space="preserve">the written instruction of the </w:t>
      </w:r>
      <w:r w:rsidRPr="003F1E82">
        <w:t xml:space="preserve">Attorney General. Similar wording is sometimes used, for example, </w:t>
      </w:r>
      <w:r w:rsidRPr="0065519B">
        <w:rPr>
          <w:i/>
        </w:rPr>
        <w:t>"wi</w:t>
      </w:r>
      <w:r w:rsidR="0065519B" w:rsidRPr="0065519B">
        <w:rPr>
          <w:i/>
        </w:rPr>
        <w:t xml:space="preserve">th the consent of the Attorney </w:t>
      </w:r>
      <w:r w:rsidRPr="0065519B">
        <w:rPr>
          <w:i/>
        </w:rPr>
        <w:t>General".</w:t>
      </w:r>
      <w:r w:rsidRPr="003F1E82">
        <w:t xml:space="preserve"> The import of such </w:t>
      </w:r>
      <w:r w:rsidRPr="003F1E82">
        <w:lastRenderedPageBreak/>
        <w:t>phrasing is that the written sanction or appro</w:t>
      </w:r>
      <w:r w:rsidR="0065519B">
        <w:t xml:space="preserve">val of the Attorney General is </w:t>
      </w:r>
      <w:r w:rsidRPr="003F1E82">
        <w:t xml:space="preserve">a pre-condition to certain classes of prosecution. </w:t>
      </w:r>
    </w:p>
    <w:p w:rsidR="003F1E82" w:rsidRPr="003F1E82" w:rsidRDefault="003F1E82" w:rsidP="003F1E82">
      <w:pPr>
        <w:pStyle w:val="JudgmentText"/>
      </w:pPr>
      <w:r w:rsidRPr="003F1E82">
        <w:t>Counsel for the Respondent referred me to section 113[e] of the Criminal</w:t>
      </w:r>
      <w:r w:rsidR="0065519B">
        <w:t xml:space="preserve"> Procedure Code. This allows a </w:t>
      </w:r>
      <w:r w:rsidRPr="003F1E82">
        <w:t>charge sheet to include charges of burglary and Stealing and a charge of r</w:t>
      </w:r>
      <w:r w:rsidR="0065519B">
        <w:t xml:space="preserve">eceiving stolen property. This </w:t>
      </w:r>
      <w:r w:rsidRPr="003F1E82">
        <w:t>merely sets out a procedure which is in common use whereby char</w:t>
      </w:r>
      <w:r w:rsidR="0065519B">
        <w:t xml:space="preserve">ges based on the same facts or </w:t>
      </w:r>
      <w:r w:rsidRPr="003F1E82">
        <w:t>continuing circumstances can be brought in the same information or cha</w:t>
      </w:r>
      <w:r w:rsidR="0065519B">
        <w:t xml:space="preserve">rge sheet. Charges of stealing </w:t>
      </w:r>
      <w:r w:rsidRPr="003F1E82">
        <w:t>and receiving are often found on the same charge sheet with the same or</w:t>
      </w:r>
      <w:r w:rsidR="0065519B">
        <w:t xml:space="preserve"> different defendants. Section </w:t>
      </w:r>
      <w:r w:rsidRPr="003F1E82">
        <w:t xml:space="preserve">112 of the Criminal Procedure Code provides as follows: </w:t>
      </w:r>
      <w:r w:rsidRPr="0065519B">
        <w:rPr>
          <w:i/>
        </w:rPr>
        <w:t>"Any</w:t>
      </w:r>
      <w:r w:rsidR="0065519B" w:rsidRPr="0065519B">
        <w:rPr>
          <w:i/>
        </w:rPr>
        <w:t xml:space="preserve"> offences, whether felonies or </w:t>
      </w:r>
      <w:r w:rsidRPr="0065519B">
        <w:rPr>
          <w:i/>
        </w:rPr>
        <w:t>misdemeanors may be charged together in the same charge or informati</w:t>
      </w:r>
      <w:r w:rsidR="0065519B" w:rsidRPr="0065519B">
        <w:rPr>
          <w:i/>
        </w:rPr>
        <w:t xml:space="preserve">on if the offences charged are </w:t>
      </w:r>
      <w:r w:rsidRPr="0065519B">
        <w:rPr>
          <w:i/>
        </w:rPr>
        <w:t>founded on the same facts or form, or are part of a series of offences of t</w:t>
      </w:r>
      <w:r w:rsidR="0065519B" w:rsidRPr="0065519B">
        <w:rPr>
          <w:i/>
        </w:rPr>
        <w:t>he same or similar character".</w:t>
      </w:r>
      <w:r w:rsidR="0065519B">
        <w:t xml:space="preserve"> </w:t>
      </w:r>
      <w:r w:rsidRPr="003F1E82">
        <w:t>Similarly section 93 of the Children Act is procedural in nature. A child char</w:t>
      </w:r>
      <w:r w:rsidR="0065519B">
        <w:t xml:space="preserve">ged alone is dealt with in the </w:t>
      </w:r>
      <w:r w:rsidRPr="003F1E82">
        <w:t xml:space="preserve">juvenile court. A child charged jointly with an adult can be dealt with in the adult court. </w:t>
      </w:r>
    </w:p>
    <w:p w:rsidR="003F1E82" w:rsidRPr="003F1E82" w:rsidRDefault="003F1E82" w:rsidP="0065519B">
      <w:pPr>
        <w:pStyle w:val="JudgmentText"/>
      </w:pPr>
      <w:r w:rsidRPr="003F1E82">
        <w:t>I find that the Appellant was 16 years of age when he appeared in court</w:t>
      </w:r>
      <w:r w:rsidR="0065519B">
        <w:t xml:space="preserve"> to answer the two charges. He </w:t>
      </w:r>
      <w:r w:rsidRPr="003F1E82">
        <w:t>was a child in terms of section 92 of the Children Act. The Prosecut</w:t>
      </w:r>
      <w:r w:rsidR="0065519B">
        <w:t xml:space="preserve">ion required the prior written </w:t>
      </w:r>
      <w:r w:rsidRPr="003F1E82">
        <w:t xml:space="preserve">instruction of the Attorney General before proceeding with this prosecution. There was none. The Prosecution did not seek an adjournment to obtain this instruction. I take into account the precise wording of section 92, </w:t>
      </w:r>
      <w:r w:rsidRPr="00AA5CE3">
        <w:rPr>
          <w:i/>
        </w:rPr>
        <w:t xml:space="preserve">"No child shall be prosecuted for any </w:t>
      </w:r>
      <w:r w:rsidR="00AA5CE3" w:rsidRPr="00AA5CE3">
        <w:rPr>
          <w:i/>
        </w:rPr>
        <w:t>offence.</w:t>
      </w:r>
      <w:r w:rsidR="0065519B" w:rsidRPr="00AA5CE3">
        <w:rPr>
          <w:i/>
        </w:rPr>
        <w:t>"</w:t>
      </w:r>
      <w:r w:rsidR="0065519B">
        <w:t xml:space="preserve">. In my opinion these </w:t>
      </w:r>
      <w:r w:rsidRPr="003F1E82">
        <w:t>words mean exactly what they say. Mr. Vipin has produced no authority in sup</w:t>
      </w:r>
      <w:r w:rsidR="0065519B">
        <w:t xml:space="preserve">port of his submission that </w:t>
      </w:r>
      <w:r w:rsidRPr="003F1E82">
        <w:t>a child charged jointly with adult is in a different position to that of a</w:t>
      </w:r>
      <w:r w:rsidR="0065519B">
        <w:t xml:space="preserve"> child charged alone. I see no </w:t>
      </w:r>
      <w:r w:rsidRPr="003F1E82">
        <w:t>reason why there should be any difference. Section 113[e] of the Crimi</w:t>
      </w:r>
      <w:r w:rsidR="0065519B">
        <w:t xml:space="preserve">nal Code and section 93 of the </w:t>
      </w:r>
      <w:r w:rsidRPr="003F1E82">
        <w:t xml:space="preserve">Children Act are procedural and reflect common </w:t>
      </w:r>
      <w:r w:rsidR="0065519B">
        <w:t xml:space="preserve">practices and do not assist the </w:t>
      </w:r>
      <w:r w:rsidRPr="003F1E82">
        <w:t xml:space="preserve">Respondent. </w:t>
      </w:r>
    </w:p>
    <w:p w:rsidR="003F1E82" w:rsidRPr="003F1E82" w:rsidRDefault="003F1E82" w:rsidP="003F1E82">
      <w:pPr>
        <w:pStyle w:val="JudgmentText"/>
      </w:pPr>
      <w:r w:rsidRPr="003F1E82">
        <w:t>Section 92 of the Children Act is quite clear; it means exactly what it says. I</w:t>
      </w:r>
      <w:r w:rsidR="0065519B">
        <w:t xml:space="preserve">n the present matter the prior </w:t>
      </w:r>
      <w:r w:rsidRPr="003F1E82">
        <w:t>written instruction of the Attorney General was required for the prosecu</w:t>
      </w:r>
      <w:r w:rsidR="0065519B">
        <w:t xml:space="preserve">tion of the Appellant. No such </w:t>
      </w:r>
      <w:r w:rsidRPr="003F1E82">
        <w:t xml:space="preserve">instruction was obtained by the Prosecution. </w:t>
      </w:r>
    </w:p>
    <w:p w:rsidR="003F1E82" w:rsidRPr="003F1E82" w:rsidRDefault="003F1E82" w:rsidP="003F1E82">
      <w:pPr>
        <w:pStyle w:val="JudgmentText"/>
      </w:pPr>
      <w:r w:rsidRPr="003F1E82">
        <w:lastRenderedPageBreak/>
        <w:t xml:space="preserve">I refer to the final sub-paragraph of paragraph 1-286 of Archbold 2012 </w:t>
      </w:r>
      <w:r w:rsidR="0065519B">
        <w:t xml:space="preserve">which reads as follows, "Where </w:t>
      </w:r>
      <w:r w:rsidRPr="003F1E82">
        <w:t>some consent that is required to the institution of proceedings is not ob</w:t>
      </w:r>
      <w:r w:rsidR="0065519B">
        <w:t xml:space="preserve">tained, the whole of any trial </w:t>
      </w:r>
      <w:r w:rsidRPr="003F1E82">
        <w:t>that takes place, including committal proceedings, is a nullity and a conviction which occurs in such circumstances will be quashed". In the present matter the proceedings in</w:t>
      </w:r>
      <w:r w:rsidR="0065519B">
        <w:t xml:space="preserve"> the magistrate’s court were a </w:t>
      </w:r>
      <w:r w:rsidRPr="003F1E82">
        <w:t xml:space="preserve">nullity. </w:t>
      </w:r>
    </w:p>
    <w:p w:rsidR="003F1E82" w:rsidRPr="003F1E82" w:rsidRDefault="003F1E82" w:rsidP="003F1E82">
      <w:pPr>
        <w:pStyle w:val="JudgmentText"/>
      </w:pPr>
      <w:r w:rsidRPr="003F1E82">
        <w:t>According this appeal against conviction and sentence succeeds. The</w:t>
      </w:r>
      <w:r w:rsidR="0065519B">
        <w:t xml:space="preserve"> conviction is quashed and the </w:t>
      </w:r>
      <w:r w:rsidRPr="003F1E82">
        <w:t xml:space="preserve">sentence set aside. The Appellant is discharged. </w:t>
      </w:r>
    </w:p>
    <w:p w:rsidR="003F1E82" w:rsidRDefault="003F1E82" w:rsidP="00544E9F">
      <w:pPr>
        <w:pStyle w:val="JudgmentText"/>
        <w:numPr>
          <w:ilvl w:val="0"/>
          <w:numId w:val="0"/>
        </w:numPr>
        <w:ind w:left="720" w:hanging="720"/>
      </w:pPr>
    </w:p>
    <w:p w:rsidR="00544E9F" w:rsidRPr="00544E9F" w:rsidRDefault="00544E9F" w:rsidP="00544E9F">
      <w:pPr>
        <w:pStyle w:val="JudgmentText"/>
        <w:numPr>
          <w:ilvl w:val="0"/>
          <w:numId w:val="0"/>
        </w:numPr>
        <w:ind w:left="720" w:hanging="720"/>
        <w:sectPr w:rsidR="00544E9F" w:rsidRPr="00544E9F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2B502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2" w:name="Text19"/>
      <w:r w:rsidR="000134A2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0134A2">
        <w:rPr>
          <w:sz w:val="24"/>
          <w:szCs w:val="24"/>
        </w:rPr>
      </w:r>
      <w:r w:rsidR="000134A2">
        <w:rPr>
          <w:sz w:val="24"/>
          <w:szCs w:val="24"/>
        </w:rPr>
        <w:fldChar w:fldCharType="separate"/>
      </w:r>
      <w:r w:rsidR="002B5028">
        <w:rPr>
          <w:noProof/>
          <w:sz w:val="24"/>
          <w:szCs w:val="24"/>
        </w:rPr>
        <w:t>18 November 2013</w:t>
      </w:r>
      <w:r w:rsidR="000134A2">
        <w:rPr>
          <w:sz w:val="24"/>
          <w:szCs w:val="24"/>
        </w:rPr>
        <w:fldChar w:fldCharType="end"/>
      </w:r>
      <w:bookmarkEnd w:id="22"/>
    </w:p>
    <w:p w:rsidR="0023057E" w:rsidRDefault="0023057E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23057E" w:rsidRDefault="0023057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544E9F" w:rsidRDefault="00544E9F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44E9F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3" w:name="Dropdown6"/>
    <w:p w:rsidR="00E33F35" w:rsidRPr="002A7376" w:rsidRDefault="000134A2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5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0134A2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0134A2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101" w:rsidRDefault="004B4101" w:rsidP="00DB6D34">
      <w:r>
        <w:separator/>
      </w:r>
    </w:p>
  </w:endnote>
  <w:endnote w:type="continuationSeparator" w:id="1">
    <w:p w:rsidR="004B4101" w:rsidRDefault="004B4101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82" w:rsidRDefault="000134A2">
    <w:pPr>
      <w:pStyle w:val="Footer"/>
      <w:jc w:val="center"/>
    </w:pPr>
    <w:fldSimple w:instr=" PAGE   \* MERGEFORMAT ">
      <w:r w:rsidR="00F846C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101" w:rsidRDefault="004B4101" w:rsidP="00DB6D34">
      <w:r>
        <w:separator/>
      </w:r>
    </w:p>
  </w:footnote>
  <w:footnote w:type="continuationSeparator" w:id="1">
    <w:p w:rsidR="004B4101" w:rsidRDefault="004B4101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0CA00974"/>
    <w:multiLevelType w:val="singleLevel"/>
    <w:tmpl w:val="C3CE423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18F"/>
    <w:rsid w:val="00005BEF"/>
    <w:rsid w:val="000134A2"/>
    <w:rsid w:val="00030C81"/>
    <w:rsid w:val="0006489F"/>
    <w:rsid w:val="00075573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82880"/>
    <w:rsid w:val="001A038E"/>
    <w:rsid w:val="001D30F7"/>
    <w:rsid w:val="001D62B4"/>
    <w:rsid w:val="001E4ED8"/>
    <w:rsid w:val="001E64E5"/>
    <w:rsid w:val="0020244B"/>
    <w:rsid w:val="0023057E"/>
    <w:rsid w:val="00231C17"/>
    <w:rsid w:val="00236AAC"/>
    <w:rsid w:val="0024353F"/>
    <w:rsid w:val="00290E14"/>
    <w:rsid w:val="002A02B8"/>
    <w:rsid w:val="002A7376"/>
    <w:rsid w:val="002B2255"/>
    <w:rsid w:val="002B4478"/>
    <w:rsid w:val="002B5028"/>
    <w:rsid w:val="002C7560"/>
    <w:rsid w:val="002D06AA"/>
    <w:rsid w:val="002D67FC"/>
    <w:rsid w:val="002E6963"/>
    <w:rsid w:val="002F40A1"/>
    <w:rsid w:val="00301D88"/>
    <w:rsid w:val="00304E76"/>
    <w:rsid w:val="00317D0C"/>
    <w:rsid w:val="003647E7"/>
    <w:rsid w:val="0037250D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3F1E82"/>
    <w:rsid w:val="004156B9"/>
    <w:rsid w:val="0041756D"/>
    <w:rsid w:val="00445BFA"/>
    <w:rsid w:val="00452BB6"/>
    <w:rsid w:val="0046133B"/>
    <w:rsid w:val="004B4101"/>
    <w:rsid w:val="004C3D80"/>
    <w:rsid w:val="004F1E88"/>
    <w:rsid w:val="004F3823"/>
    <w:rsid w:val="005067A5"/>
    <w:rsid w:val="00516E73"/>
    <w:rsid w:val="005207C8"/>
    <w:rsid w:val="00530663"/>
    <w:rsid w:val="005326C0"/>
    <w:rsid w:val="00544E9F"/>
    <w:rsid w:val="0055036F"/>
    <w:rsid w:val="005514D6"/>
    <w:rsid w:val="00551E4F"/>
    <w:rsid w:val="00552704"/>
    <w:rsid w:val="0056312E"/>
    <w:rsid w:val="0057018F"/>
    <w:rsid w:val="00572AB3"/>
    <w:rsid w:val="005836AC"/>
    <w:rsid w:val="00584583"/>
    <w:rsid w:val="00594FAC"/>
    <w:rsid w:val="005B7E5E"/>
    <w:rsid w:val="005F5FB0"/>
    <w:rsid w:val="00606587"/>
    <w:rsid w:val="00606EEA"/>
    <w:rsid w:val="006174DB"/>
    <w:rsid w:val="0064023C"/>
    <w:rsid w:val="00647461"/>
    <w:rsid w:val="0065519B"/>
    <w:rsid w:val="006578C2"/>
    <w:rsid w:val="00666D33"/>
    <w:rsid w:val="00695110"/>
    <w:rsid w:val="006A58E4"/>
    <w:rsid w:val="006D36C9"/>
    <w:rsid w:val="007175A6"/>
    <w:rsid w:val="00744508"/>
    <w:rsid w:val="00745949"/>
    <w:rsid w:val="00762FE4"/>
    <w:rsid w:val="0079561F"/>
    <w:rsid w:val="007A474F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0341"/>
    <w:rsid w:val="0083298A"/>
    <w:rsid w:val="00841387"/>
    <w:rsid w:val="008472B3"/>
    <w:rsid w:val="008478D6"/>
    <w:rsid w:val="008778ED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0310B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B6941"/>
    <w:rsid w:val="009E05E5"/>
    <w:rsid w:val="009F1B68"/>
    <w:rsid w:val="009F4DC4"/>
    <w:rsid w:val="00A11166"/>
    <w:rsid w:val="00A14038"/>
    <w:rsid w:val="00A42850"/>
    <w:rsid w:val="00A46984"/>
    <w:rsid w:val="00A53837"/>
    <w:rsid w:val="00A80E4E"/>
    <w:rsid w:val="00AA5CE3"/>
    <w:rsid w:val="00AB4A4F"/>
    <w:rsid w:val="00AC3885"/>
    <w:rsid w:val="00AC5194"/>
    <w:rsid w:val="00AD0BF3"/>
    <w:rsid w:val="00AD75CD"/>
    <w:rsid w:val="00B05D6E"/>
    <w:rsid w:val="00B119B1"/>
    <w:rsid w:val="00B14612"/>
    <w:rsid w:val="00B23E73"/>
    <w:rsid w:val="00B40898"/>
    <w:rsid w:val="00B4124C"/>
    <w:rsid w:val="00B4625E"/>
    <w:rsid w:val="00B50BE7"/>
    <w:rsid w:val="00B710AB"/>
    <w:rsid w:val="00B75AE2"/>
    <w:rsid w:val="00B9148E"/>
    <w:rsid w:val="00B938BB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5517"/>
    <w:rsid w:val="00C55FDF"/>
    <w:rsid w:val="00C5739F"/>
    <w:rsid w:val="00C623E4"/>
    <w:rsid w:val="00C87FCA"/>
    <w:rsid w:val="00CA1B0C"/>
    <w:rsid w:val="00CA7795"/>
    <w:rsid w:val="00CA7F40"/>
    <w:rsid w:val="00CB3C7E"/>
    <w:rsid w:val="00D03314"/>
    <w:rsid w:val="00D06A0F"/>
    <w:rsid w:val="00D32304"/>
    <w:rsid w:val="00D82047"/>
    <w:rsid w:val="00DB6D34"/>
    <w:rsid w:val="00DD4E02"/>
    <w:rsid w:val="00DE08C1"/>
    <w:rsid w:val="00DE1834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80416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74DC2"/>
    <w:rsid w:val="00F804CC"/>
    <w:rsid w:val="00F82A83"/>
    <w:rsid w:val="00F83B3D"/>
    <w:rsid w:val="00F846CB"/>
    <w:rsid w:val="00FA5F6B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312E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6312E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6312E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2E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56312E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56312E"/>
    <w:pPr>
      <w:spacing w:after="240"/>
      <w:ind w:left="1440" w:right="720"/>
      <w:jc w:val="both"/>
    </w:pPr>
    <w:rPr>
      <w:sz w:val="24"/>
      <w:szCs w:val="24"/>
    </w:rPr>
  </w:style>
  <w:style w:type="paragraph" w:customStyle="1" w:styleId="Style">
    <w:name w:val="Style"/>
    <w:rsid w:val="003F1E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pouponneau\Local%20Settings\Temporary%20Internet%20Files\Content.MSO\BDD9927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4C8B-CF3B-43B4-A320-030C1B61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BDD99276.dotx</Template>
  <TotalTime>2</TotalTime>
  <Pages>7</Pages>
  <Words>1786</Words>
  <Characters>10181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Thelma</cp:lastModifiedBy>
  <cp:revision>2</cp:revision>
  <cp:lastPrinted>2013-11-27T07:11:00Z</cp:lastPrinted>
  <dcterms:created xsi:type="dcterms:W3CDTF">2013-11-30T08:56:00Z</dcterms:created>
  <dcterms:modified xsi:type="dcterms:W3CDTF">2013-11-30T08:56:00Z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