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41"/>
    <w:p w:rsidR="0096251D" w:rsidRDefault="00866D55"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bookmarkStart w:id="1" w:name="_GoBack"/>
      <w:bookmarkEnd w:id="1"/>
      <w:r w:rsidR="007E3A07">
        <w:rPr>
          <w:b/>
          <w:sz w:val="24"/>
          <w:szCs w:val="24"/>
        </w:rPr>
        <w:t> </w:t>
      </w:r>
      <w:r w:rsidR="007E3A07">
        <w:rPr>
          <w:b/>
          <w:sz w:val="24"/>
          <w:szCs w:val="24"/>
        </w:rPr>
        <w:t> </w:t>
      </w:r>
      <w:r w:rsidR="007E3A07">
        <w:rPr>
          <w:b/>
          <w:sz w:val="24"/>
          <w:szCs w:val="24"/>
        </w:rPr>
        <w:t> </w:t>
      </w:r>
      <w:r w:rsidR="007E3A07">
        <w:rPr>
          <w:b/>
          <w:sz w:val="24"/>
          <w:szCs w:val="24"/>
        </w:rPr>
        <w:t> </w:t>
      </w:r>
      <w:r w:rsidR="007E3A07">
        <w:rPr>
          <w:b/>
          <w:sz w:val="24"/>
          <w:szCs w:val="24"/>
        </w:rPr>
        <w:t> </w:t>
      </w:r>
      <w:r w:rsidRPr="0096251D">
        <w:rPr>
          <w:b/>
          <w:sz w:val="24"/>
          <w:szCs w:val="24"/>
        </w:rPr>
        <w:fldChar w:fldCharType="end"/>
      </w:r>
      <w:bookmarkEnd w:id="0"/>
    </w:p>
    <w:bookmarkStart w:id="2" w:name="Text42"/>
    <w:p w:rsidR="007779A2" w:rsidRDefault="00866D55" w:rsidP="00CA7795">
      <w:pPr>
        <w:jc w:val="center"/>
        <w:rPr>
          <w:i/>
          <w:sz w:val="24"/>
          <w:szCs w:val="24"/>
        </w:rPr>
        <w:sectPr w:rsidR="007779A2" w:rsidSect="00B938BB">
          <w:footerReference w:type="default" r:id="rId9"/>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7E3A07">
        <w:rPr>
          <w:i/>
          <w:sz w:val="24"/>
          <w:szCs w:val="24"/>
        </w:rPr>
        <w:t> </w:t>
      </w:r>
      <w:r w:rsidR="007E3A07">
        <w:rPr>
          <w:i/>
          <w:sz w:val="24"/>
          <w:szCs w:val="24"/>
        </w:rPr>
        <w:t> </w:t>
      </w:r>
      <w:r w:rsidR="007E3A07">
        <w:rPr>
          <w:i/>
          <w:sz w:val="24"/>
          <w:szCs w:val="24"/>
        </w:rPr>
        <w:t> </w:t>
      </w:r>
      <w:r w:rsidR="007E3A07">
        <w:rPr>
          <w:i/>
          <w:sz w:val="24"/>
          <w:szCs w:val="24"/>
        </w:rPr>
        <w:t> </w:t>
      </w:r>
      <w:r w:rsidR="007E3A07">
        <w:rPr>
          <w:i/>
          <w:sz w:val="24"/>
          <w:szCs w:val="24"/>
        </w:rPr>
        <w:t> </w:t>
      </w:r>
      <w:r>
        <w:rPr>
          <w:i/>
          <w:sz w:val="24"/>
          <w:szCs w:val="24"/>
        </w:rPr>
        <w:fldChar w:fldCharType="end"/>
      </w:r>
      <w:bookmarkEnd w:id="2"/>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3" w:name="Dropdown15"/>
      <w:r w:rsidR="00866D55">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866D55">
        <w:rPr>
          <w:b/>
          <w:sz w:val="28"/>
          <w:szCs w:val="28"/>
        </w:rPr>
      </w:r>
      <w:r w:rsidR="00866D55">
        <w:rPr>
          <w:b/>
          <w:sz w:val="28"/>
          <w:szCs w:val="28"/>
        </w:rPr>
        <w:fldChar w:fldCharType="end"/>
      </w:r>
      <w:bookmarkEnd w:id="3"/>
      <w:r w:rsidR="0096251D">
        <w:rPr>
          <w:b/>
          <w:sz w:val="28"/>
          <w:szCs w:val="28"/>
        </w:rPr>
        <w:t xml:space="preserve"> </w:t>
      </w:r>
      <w:r w:rsidR="00866D55">
        <w:rPr>
          <w:b/>
          <w:sz w:val="28"/>
          <w:szCs w:val="28"/>
        </w:rPr>
        <w:fldChar w:fldCharType="begin">
          <w:ffData>
            <w:name w:val="Text35"/>
            <w:enabled/>
            <w:calcOnExit w:val="0"/>
            <w:textInput/>
          </w:ffData>
        </w:fldChar>
      </w:r>
      <w:bookmarkStart w:id="4" w:name="Text35"/>
      <w:r w:rsidR="005F5FB0">
        <w:rPr>
          <w:b/>
          <w:sz w:val="28"/>
          <w:szCs w:val="28"/>
        </w:rPr>
        <w:instrText xml:space="preserve"> FORMTEXT </w:instrText>
      </w:r>
      <w:r w:rsidR="00866D55">
        <w:rPr>
          <w:b/>
          <w:sz w:val="28"/>
          <w:szCs w:val="28"/>
        </w:rPr>
      </w:r>
      <w:r w:rsidR="00866D55">
        <w:rPr>
          <w:b/>
          <w:sz w:val="28"/>
          <w:szCs w:val="28"/>
        </w:rPr>
        <w:fldChar w:fldCharType="separate"/>
      </w:r>
      <w:r w:rsidR="007E3A07">
        <w:rPr>
          <w:b/>
          <w:noProof/>
          <w:sz w:val="28"/>
          <w:szCs w:val="28"/>
        </w:rPr>
        <w:t>39</w:t>
      </w:r>
      <w:r w:rsidR="00866D55">
        <w:rPr>
          <w:b/>
          <w:sz w:val="28"/>
          <w:szCs w:val="28"/>
        </w:rPr>
        <w:fldChar w:fldCharType="end"/>
      </w:r>
      <w:bookmarkEnd w:id="4"/>
      <w:r w:rsidRPr="00B75AE2">
        <w:rPr>
          <w:b/>
          <w:sz w:val="28"/>
          <w:szCs w:val="28"/>
        </w:rPr>
        <w:t>/</w:t>
      </w:r>
      <w:r w:rsidR="00C87FCA" w:rsidRPr="00B75AE2">
        <w:rPr>
          <w:b/>
          <w:sz w:val="28"/>
          <w:szCs w:val="28"/>
        </w:rPr>
        <w:t>20</w:t>
      </w:r>
      <w:r w:rsidR="00866D55" w:rsidRPr="00B75AE2">
        <w:rPr>
          <w:b/>
          <w:sz w:val="28"/>
          <w:szCs w:val="28"/>
        </w:rPr>
        <w:fldChar w:fldCharType="begin">
          <w:ffData>
            <w:name w:val="Text33"/>
            <w:enabled/>
            <w:calcOnExit w:val="0"/>
            <w:textInput/>
          </w:ffData>
        </w:fldChar>
      </w:r>
      <w:bookmarkStart w:id="5" w:name="Text33"/>
      <w:r w:rsidR="00C87FCA" w:rsidRPr="00B75AE2">
        <w:rPr>
          <w:b/>
          <w:sz w:val="28"/>
          <w:szCs w:val="28"/>
        </w:rPr>
        <w:instrText xml:space="preserve"> FORMTEXT </w:instrText>
      </w:r>
      <w:r w:rsidR="00866D55" w:rsidRPr="00B75AE2">
        <w:rPr>
          <w:b/>
          <w:sz w:val="28"/>
          <w:szCs w:val="28"/>
        </w:rPr>
      </w:r>
      <w:r w:rsidR="00866D55" w:rsidRPr="00B75AE2">
        <w:rPr>
          <w:b/>
          <w:sz w:val="28"/>
          <w:szCs w:val="28"/>
        </w:rPr>
        <w:fldChar w:fldCharType="separate"/>
      </w:r>
      <w:r w:rsidR="007E3A07">
        <w:rPr>
          <w:b/>
          <w:noProof/>
          <w:sz w:val="28"/>
          <w:szCs w:val="28"/>
        </w:rPr>
        <w:t>14</w:t>
      </w:r>
      <w:r w:rsidR="00866D55" w:rsidRPr="00B75AE2">
        <w:rPr>
          <w:b/>
          <w:sz w:val="28"/>
          <w:szCs w:val="28"/>
        </w:rPr>
        <w:fldChar w:fldCharType="end"/>
      </w:r>
      <w:bookmarkEnd w:id="5"/>
    </w:p>
    <w:p w:rsidR="00A53837" w:rsidRPr="00606EEA" w:rsidRDefault="00866D55"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866D55">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866D55">
        <w:rPr>
          <w:b/>
          <w:sz w:val="24"/>
          <w:szCs w:val="24"/>
        </w:rPr>
      </w:r>
      <w:r w:rsidR="00866D55">
        <w:rPr>
          <w:b/>
          <w:sz w:val="24"/>
          <w:szCs w:val="24"/>
        </w:rPr>
        <w:fldChar w:fldCharType="separate"/>
      </w:r>
      <w:r w:rsidR="007E3A07">
        <w:rPr>
          <w:b/>
          <w:noProof/>
          <w:sz w:val="24"/>
          <w:szCs w:val="24"/>
        </w:rPr>
        <w:t>14</w:t>
      </w:r>
      <w:r w:rsidR="00866D55">
        <w:rPr>
          <w:b/>
          <w:sz w:val="24"/>
          <w:szCs w:val="24"/>
        </w:rPr>
        <w:fldChar w:fldCharType="end"/>
      </w:r>
      <w:bookmarkEnd w:id="6"/>
      <w:r w:rsidR="00866D55">
        <w:rPr>
          <w:b/>
          <w:sz w:val="24"/>
          <w:szCs w:val="24"/>
        </w:rPr>
        <w:fldChar w:fldCharType="begin"/>
      </w:r>
      <w:r w:rsidR="003F0F8D">
        <w:rPr>
          <w:b/>
          <w:sz w:val="24"/>
          <w:szCs w:val="24"/>
        </w:rPr>
        <w:instrText xml:space="preserve">  </w:instrText>
      </w:r>
      <w:r w:rsidR="00866D55">
        <w:rPr>
          <w:b/>
          <w:sz w:val="24"/>
          <w:szCs w:val="24"/>
        </w:rPr>
        <w:fldChar w:fldCharType="end"/>
      </w:r>
      <w:r w:rsidR="00DB6D34" w:rsidRPr="00606EEA">
        <w:rPr>
          <w:b/>
          <w:sz w:val="24"/>
          <w:szCs w:val="24"/>
        </w:rPr>
        <w:t>] SCSC</w:t>
      </w:r>
      <w:r>
        <w:rPr>
          <w:b/>
          <w:sz w:val="24"/>
          <w:szCs w:val="24"/>
        </w:rPr>
        <w:t xml:space="preserve"> </w:t>
      </w:r>
      <w:r w:rsidR="00866D55">
        <w:rPr>
          <w:b/>
          <w:sz w:val="24"/>
          <w:szCs w:val="24"/>
        </w:rPr>
        <w:fldChar w:fldCharType="begin">
          <w:ffData>
            <w:name w:val="Text47"/>
            <w:enabled/>
            <w:calcOnExit w:val="0"/>
            <w:textInput/>
          </w:ffData>
        </w:fldChar>
      </w:r>
      <w:bookmarkStart w:id="7" w:name="Text47"/>
      <w:r>
        <w:rPr>
          <w:b/>
          <w:sz w:val="24"/>
          <w:szCs w:val="24"/>
        </w:rPr>
        <w:instrText xml:space="preserve"> FORMTEXT </w:instrText>
      </w:r>
      <w:r w:rsidR="00866D55">
        <w:rPr>
          <w:b/>
          <w:sz w:val="24"/>
          <w:szCs w:val="24"/>
        </w:rPr>
      </w:r>
      <w:r w:rsidR="00866D55">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866D55">
        <w:rPr>
          <w:b/>
          <w:sz w:val="24"/>
          <w:szCs w:val="24"/>
        </w:rPr>
        <w:fldChar w:fldCharType="end"/>
      </w:r>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8" w:name="Text40"/>
      <w:bookmarkStart w:id="9" w:name="Text22"/>
      <w:r w:rsidRPr="0096251D">
        <w:rPr>
          <w:b/>
          <w:sz w:val="24"/>
          <w:szCs w:val="24"/>
        </w:rPr>
        <w:t>THE REPUBLIC</w:t>
      </w:r>
      <w:bookmarkEnd w:id="8"/>
      <w:bookmarkEnd w:id="9"/>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bookmarkStart w:id="10" w:name="Text46"/>
    <w:p w:rsidR="007779A2" w:rsidRPr="000827FA" w:rsidRDefault="00866D55"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7E3A07">
        <w:rPr>
          <w:b/>
          <w:sz w:val="24"/>
          <w:szCs w:val="24"/>
        </w:rPr>
        <w:t>PATRICK TAMBOO</w:t>
      </w:r>
      <w:r>
        <w:rPr>
          <w:b/>
          <w:sz w:val="24"/>
          <w:szCs w:val="24"/>
        </w:rPr>
        <w:fldChar w:fldCharType="end"/>
      </w:r>
      <w:bookmarkEnd w:id="10"/>
    </w:p>
    <w:bookmarkStart w:id="11" w:name="Dropdown16"/>
    <w:p w:rsidR="007779A2" w:rsidRDefault="00866D55"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end"/>
      </w:r>
      <w:bookmarkEnd w:id="11"/>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2" w:name="Text34"/>
      <w:r w:rsidR="00866D55">
        <w:rPr>
          <w:sz w:val="24"/>
          <w:szCs w:val="24"/>
        </w:rPr>
        <w:fldChar w:fldCharType="begin">
          <w:ffData>
            <w:name w:val="Text34"/>
            <w:enabled/>
            <w:calcOnExit w:val="0"/>
            <w:textInput/>
          </w:ffData>
        </w:fldChar>
      </w:r>
      <w:r w:rsidR="000827FA">
        <w:rPr>
          <w:sz w:val="24"/>
          <w:szCs w:val="24"/>
        </w:rPr>
        <w:instrText xml:space="preserve"> FORMTEXT </w:instrText>
      </w:r>
      <w:r w:rsidR="00866D55">
        <w:rPr>
          <w:sz w:val="24"/>
          <w:szCs w:val="24"/>
        </w:rPr>
      </w:r>
      <w:r w:rsidR="00866D55">
        <w:rPr>
          <w:sz w:val="24"/>
          <w:szCs w:val="24"/>
        </w:rPr>
        <w:fldChar w:fldCharType="separate"/>
      </w:r>
      <w:r w:rsidR="007E3A07">
        <w:rPr>
          <w:noProof/>
          <w:sz w:val="24"/>
          <w:szCs w:val="24"/>
        </w:rPr>
        <w:t>17 October 201</w:t>
      </w:r>
      <w:r w:rsidR="00866D55">
        <w:rPr>
          <w:sz w:val="24"/>
          <w:szCs w:val="24"/>
        </w:rPr>
        <w:fldChar w:fldCharType="end"/>
      </w:r>
      <w:bookmarkEnd w:id="12"/>
      <w:r w:rsidR="00866D55">
        <w:rPr>
          <w:sz w:val="24"/>
          <w:szCs w:val="24"/>
        </w:rPr>
        <w:fldChar w:fldCharType="begin"/>
      </w:r>
      <w:r w:rsidR="003F0F8D">
        <w:rPr>
          <w:sz w:val="24"/>
          <w:szCs w:val="24"/>
        </w:rPr>
        <w:instrText xml:space="preserve">  </w:instrText>
      </w:r>
      <w:r w:rsidR="00866D55">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866D55">
        <w:rPr>
          <w:sz w:val="24"/>
          <w:szCs w:val="24"/>
        </w:rPr>
        <w:fldChar w:fldCharType="begin">
          <w:ffData>
            <w:name w:val="Text29"/>
            <w:enabled/>
            <w:calcOnExit w:val="0"/>
            <w:textInput/>
          </w:ffData>
        </w:fldChar>
      </w:r>
      <w:r w:rsidR="007779A2">
        <w:rPr>
          <w:sz w:val="24"/>
          <w:szCs w:val="24"/>
        </w:rPr>
        <w:instrText xml:space="preserve"> FORMTEXT </w:instrText>
      </w:r>
      <w:r w:rsidR="00866D55">
        <w:rPr>
          <w:sz w:val="24"/>
          <w:szCs w:val="24"/>
        </w:rPr>
      </w:r>
      <w:r w:rsidR="00866D55">
        <w:rPr>
          <w:sz w:val="24"/>
          <w:szCs w:val="24"/>
        </w:rPr>
        <w:fldChar w:fldCharType="separate"/>
      </w:r>
      <w:r w:rsidR="007E3A07">
        <w:rPr>
          <w:noProof/>
          <w:sz w:val="24"/>
          <w:szCs w:val="24"/>
        </w:rPr>
        <w:t>Mr Ananth Subramanian</w:t>
      </w:r>
      <w:r w:rsidR="00866D55">
        <w:rPr>
          <w:sz w:val="24"/>
          <w:szCs w:val="24"/>
        </w:rPr>
        <w:fldChar w:fldCharType="end"/>
      </w:r>
      <w:r w:rsidR="007779A2">
        <w:rPr>
          <w:sz w:val="24"/>
          <w:szCs w:val="24"/>
        </w:rPr>
        <w:t xml:space="preserve">, </w:t>
      </w:r>
      <w:r w:rsidR="00866D55">
        <w:rPr>
          <w:sz w:val="24"/>
          <w:szCs w:val="24"/>
        </w:rPr>
        <w:fldChar w:fldCharType="begin">
          <w:ffData>
            <w:name w:val="Dropdown14"/>
            <w:enabled/>
            <w:calcOnExit w:val="0"/>
            <w:ddList>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866D55">
        <w:rPr>
          <w:sz w:val="24"/>
          <w:szCs w:val="24"/>
        </w:rPr>
      </w:r>
      <w:r w:rsidR="00866D55">
        <w:rPr>
          <w:sz w:val="24"/>
          <w:szCs w:val="24"/>
        </w:rPr>
        <w:fldChar w:fldCharType="end"/>
      </w:r>
      <w:r w:rsidR="00866D55">
        <w:rPr>
          <w:sz w:val="24"/>
          <w:szCs w:val="24"/>
        </w:rPr>
        <w:fldChar w:fldCharType="begin"/>
      </w:r>
      <w:r w:rsidR="007779A2">
        <w:rPr>
          <w:sz w:val="24"/>
          <w:szCs w:val="24"/>
        </w:rPr>
        <w:instrText xml:space="preserve"> ASK  "Enter Respondent Lawyer Full Name"  \* MERGEFORMAT </w:instrText>
      </w:r>
      <w:r w:rsidR="00866D55">
        <w:rPr>
          <w:sz w:val="24"/>
          <w:szCs w:val="24"/>
        </w:rPr>
        <w:fldChar w:fldCharType="end"/>
      </w:r>
      <w:r w:rsidR="00866D55">
        <w:rPr>
          <w:sz w:val="24"/>
          <w:szCs w:val="24"/>
        </w:rPr>
        <w:fldChar w:fldCharType="begin"/>
      </w:r>
      <w:r w:rsidR="007779A2">
        <w:rPr>
          <w:sz w:val="24"/>
          <w:szCs w:val="24"/>
        </w:rPr>
        <w:instrText xml:space="preserve">  </w:instrText>
      </w:r>
      <w:r w:rsidR="00866D55">
        <w:rPr>
          <w:sz w:val="24"/>
          <w:szCs w:val="24"/>
        </w:rPr>
        <w:fldChar w:fldCharType="end"/>
      </w:r>
      <w:r w:rsidR="007779A2">
        <w:rPr>
          <w:sz w:val="24"/>
          <w:szCs w:val="24"/>
        </w:rPr>
        <w:t xml:space="preserve"> for the Republic</w:t>
      </w:r>
      <w:r w:rsidR="00866D55">
        <w:rPr>
          <w:sz w:val="24"/>
          <w:szCs w:val="24"/>
        </w:rPr>
        <w:fldChar w:fldCharType="begin"/>
      </w:r>
      <w:r w:rsidR="00F804CC">
        <w:rPr>
          <w:sz w:val="24"/>
          <w:szCs w:val="24"/>
        </w:rPr>
        <w:instrText xml:space="preserve"> ASK  "Enter Appellant Lawyer full name"  \* MERGEFORMAT </w:instrText>
      </w:r>
      <w:r w:rsidR="00866D55">
        <w:rPr>
          <w:sz w:val="24"/>
          <w:szCs w:val="24"/>
        </w:rPr>
        <w:fldChar w:fldCharType="end"/>
      </w:r>
      <w:r w:rsidR="00866D55">
        <w:rPr>
          <w:sz w:val="24"/>
          <w:szCs w:val="24"/>
        </w:rPr>
        <w:fldChar w:fldCharType="begin"/>
      </w:r>
      <w:r w:rsidR="003F0F8D">
        <w:rPr>
          <w:sz w:val="24"/>
          <w:szCs w:val="24"/>
        </w:rPr>
        <w:instrText xml:space="preserve">  </w:instrText>
      </w:r>
      <w:r w:rsidR="00866D55">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66D55">
        <w:rPr>
          <w:sz w:val="24"/>
          <w:szCs w:val="24"/>
        </w:rPr>
        <w:fldChar w:fldCharType="begin">
          <w:ffData>
            <w:name w:val="Text29"/>
            <w:enabled/>
            <w:calcOnExit w:val="0"/>
            <w:textInput/>
          </w:ffData>
        </w:fldChar>
      </w:r>
      <w:bookmarkStart w:id="13" w:name="Text29"/>
      <w:r w:rsidR="004C3D80">
        <w:rPr>
          <w:sz w:val="24"/>
          <w:szCs w:val="24"/>
        </w:rPr>
        <w:instrText xml:space="preserve"> FORMTEXT </w:instrText>
      </w:r>
      <w:r w:rsidR="00866D55">
        <w:rPr>
          <w:sz w:val="24"/>
          <w:szCs w:val="24"/>
        </w:rPr>
      </w:r>
      <w:r w:rsidR="00866D55">
        <w:rPr>
          <w:sz w:val="24"/>
          <w:szCs w:val="24"/>
        </w:rPr>
        <w:fldChar w:fldCharType="separate"/>
      </w:r>
      <w:r w:rsidR="007E3A07">
        <w:rPr>
          <w:noProof/>
          <w:sz w:val="24"/>
          <w:szCs w:val="24"/>
        </w:rPr>
        <w:t>Mrs Amesbury</w:t>
      </w:r>
      <w:r w:rsidR="00866D55">
        <w:rPr>
          <w:sz w:val="24"/>
          <w:szCs w:val="24"/>
        </w:rPr>
        <w:fldChar w:fldCharType="end"/>
      </w:r>
      <w:bookmarkEnd w:id="13"/>
      <w:r w:rsidR="00866D55">
        <w:rPr>
          <w:sz w:val="24"/>
          <w:szCs w:val="24"/>
        </w:rPr>
        <w:fldChar w:fldCharType="begin"/>
      </w:r>
      <w:r w:rsidR="00F804CC">
        <w:rPr>
          <w:sz w:val="24"/>
          <w:szCs w:val="24"/>
        </w:rPr>
        <w:instrText xml:space="preserve"> ASK  "Enter Respondent Lawyer Full Name"  \* MERGEFORMAT </w:instrText>
      </w:r>
      <w:r w:rsidR="00866D55">
        <w:rPr>
          <w:sz w:val="24"/>
          <w:szCs w:val="24"/>
        </w:rPr>
        <w:fldChar w:fldCharType="end"/>
      </w:r>
      <w:r w:rsidR="00866D55">
        <w:rPr>
          <w:sz w:val="24"/>
          <w:szCs w:val="24"/>
        </w:rPr>
        <w:fldChar w:fldCharType="begin"/>
      </w:r>
      <w:r w:rsidR="003F0F8D">
        <w:rPr>
          <w:sz w:val="24"/>
          <w:szCs w:val="24"/>
        </w:rPr>
        <w:instrText xml:space="preserve">  </w:instrText>
      </w:r>
      <w:r w:rsidR="00866D55">
        <w:rPr>
          <w:sz w:val="24"/>
          <w:szCs w:val="24"/>
        </w:rPr>
        <w:fldChar w:fldCharType="end"/>
      </w:r>
      <w:r w:rsidR="003F0F8D">
        <w:rPr>
          <w:sz w:val="24"/>
          <w:szCs w:val="24"/>
        </w:rPr>
        <w:t xml:space="preserve"> </w:t>
      </w:r>
      <w:r>
        <w:rPr>
          <w:sz w:val="24"/>
          <w:szCs w:val="24"/>
        </w:rPr>
        <w:t xml:space="preserve">for </w:t>
      </w:r>
      <w:bookmarkStart w:id="14" w:name="Dropdown12"/>
      <w:r w:rsidR="0096251D">
        <w:rPr>
          <w:sz w:val="24"/>
          <w:szCs w:val="24"/>
        </w:rPr>
        <w:t xml:space="preserve">the </w:t>
      </w:r>
      <w:bookmarkStart w:id="15" w:name="Dropdown17"/>
      <w:bookmarkEnd w:id="14"/>
      <w:r w:rsidR="00866D55">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866D55">
        <w:rPr>
          <w:sz w:val="24"/>
          <w:szCs w:val="24"/>
        </w:rPr>
      </w:r>
      <w:r w:rsidR="00866D55">
        <w:rPr>
          <w:sz w:val="24"/>
          <w:szCs w:val="24"/>
        </w:rPr>
        <w:fldChar w:fldCharType="end"/>
      </w:r>
      <w:bookmarkEnd w:id="15"/>
    </w:p>
    <w:p w:rsidR="007779A2" w:rsidRDefault="007779A2" w:rsidP="00A53837">
      <w:pPr>
        <w:rPr>
          <w:sz w:val="24"/>
          <w:szCs w:val="24"/>
        </w:rPr>
      </w:pPr>
      <w:r>
        <w:rPr>
          <w:sz w:val="24"/>
          <w:szCs w:val="24"/>
        </w:rPr>
        <w:lastRenderedPageBreak/>
        <w:tab/>
      </w:r>
      <w:r>
        <w:rPr>
          <w:sz w:val="24"/>
          <w:szCs w:val="24"/>
        </w:rPr>
        <w:tab/>
      </w:r>
      <w:r>
        <w:rPr>
          <w:sz w:val="24"/>
          <w:szCs w:val="24"/>
        </w:rPr>
        <w:tab/>
      </w:r>
      <w:r w:rsidR="00866D55">
        <w:rPr>
          <w:sz w:val="24"/>
          <w:szCs w:val="24"/>
        </w:rPr>
        <w:fldChar w:fldCharType="begin">
          <w:ffData>
            <w:name w:val="Text45"/>
            <w:enabled/>
            <w:calcOnExit w:val="0"/>
            <w:textInput/>
          </w:ffData>
        </w:fldChar>
      </w:r>
      <w:bookmarkStart w:id="16" w:name="Text45"/>
      <w:r>
        <w:rPr>
          <w:sz w:val="24"/>
          <w:szCs w:val="24"/>
        </w:rPr>
        <w:instrText xml:space="preserve"> FORMTEXT </w:instrText>
      </w:r>
      <w:r w:rsidR="00866D55">
        <w:rPr>
          <w:sz w:val="24"/>
          <w:szCs w:val="24"/>
        </w:rPr>
      </w:r>
      <w:r w:rsidR="00866D55">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66D55">
        <w:rPr>
          <w:sz w:val="24"/>
          <w:szCs w:val="24"/>
        </w:rPr>
        <w:fldChar w:fldCharType="end"/>
      </w:r>
      <w:bookmarkEnd w:id="16"/>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7" w:name="Text26"/>
      <w:r w:rsidR="00866D55">
        <w:rPr>
          <w:sz w:val="24"/>
          <w:szCs w:val="24"/>
        </w:rPr>
        <w:fldChar w:fldCharType="begin">
          <w:ffData>
            <w:name w:val="Text26"/>
            <w:enabled/>
            <w:calcOnExit w:val="0"/>
            <w:textInput>
              <w:type w:val="date"/>
              <w:format w:val=""/>
            </w:textInput>
          </w:ffData>
        </w:fldChar>
      </w:r>
      <w:r w:rsidR="00E91FA1">
        <w:rPr>
          <w:sz w:val="24"/>
          <w:szCs w:val="24"/>
        </w:rPr>
        <w:instrText xml:space="preserve"> FORMTEXT </w:instrText>
      </w:r>
      <w:r w:rsidR="00866D55">
        <w:rPr>
          <w:sz w:val="24"/>
          <w:szCs w:val="24"/>
        </w:rPr>
      </w:r>
      <w:r w:rsidR="00866D55">
        <w:rPr>
          <w:sz w:val="24"/>
          <w:szCs w:val="24"/>
        </w:rPr>
        <w:fldChar w:fldCharType="separate"/>
      </w:r>
      <w:r w:rsidR="007E3A07">
        <w:rPr>
          <w:noProof/>
          <w:sz w:val="24"/>
          <w:szCs w:val="24"/>
        </w:rPr>
        <w:t>28 October 2014</w:t>
      </w:r>
      <w:r w:rsidR="00866D55">
        <w:rPr>
          <w:sz w:val="24"/>
          <w:szCs w:val="24"/>
        </w:rPr>
        <w:fldChar w:fldCharType="end"/>
      </w:r>
      <w:bookmarkEnd w:id="17"/>
    </w:p>
    <w:p w:rsidR="00D06A0F" w:rsidRPr="00C87FCA" w:rsidRDefault="00D06A0F" w:rsidP="00E57D4D">
      <w:pPr>
        <w:pBdr>
          <w:top w:val="dotted" w:sz="4" w:space="1" w:color="auto"/>
          <w:bottom w:val="dotted" w:sz="4" w:space="1" w:color="auto"/>
        </w:pBdr>
        <w:jc w:val="center"/>
        <w:rPr>
          <w:sz w:val="24"/>
          <w:szCs w:val="24"/>
          <w:highlight w:val="lightGray"/>
        </w:rPr>
      </w:pPr>
      <w:bookmarkStart w:id="18" w:name="Dropdown2"/>
    </w:p>
    <w:bookmarkStart w:id="19" w:name="Dropdown8"/>
    <w:bookmarkEnd w:id="18"/>
    <w:p w:rsidR="00C87FCA" w:rsidRDefault="00866D55"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3"/>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Pr>
          <w:b/>
          <w:sz w:val="24"/>
          <w:szCs w:val="24"/>
        </w:rPr>
      </w:r>
      <w:r>
        <w:rPr>
          <w:b/>
          <w:sz w:val="24"/>
          <w:szCs w:val="24"/>
        </w:rPr>
        <w:fldChar w:fldCharType="end"/>
      </w:r>
      <w:bookmarkEnd w:id="1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0" w:name="Dropdown9"/>
    <w:p w:rsidR="00C87FCA" w:rsidRDefault="00866D55"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6"/>
              <w:listEntry w:val="Renaud J"/>
              <w:listEntry w:val="Burhan J"/>
              <w:listEntry w:val="Dodin J"/>
              <w:listEntry w:val="Robinson J"/>
              <w:listEntry w:val="De Silva J"/>
              <w:listEntry w:val="McKee J"/>
              <w:listEntry w:val="Akiiki-Kiiza J"/>
            </w:ddList>
          </w:ffData>
        </w:fldChar>
      </w:r>
      <w:r w:rsidR="00E9512E">
        <w:rPr>
          <w:b/>
          <w:sz w:val="24"/>
          <w:szCs w:val="24"/>
        </w:rPr>
        <w:instrText xml:space="preserve"> FORMDROPDOWN </w:instrText>
      </w:r>
      <w:r>
        <w:rPr>
          <w:b/>
          <w:sz w:val="24"/>
          <w:szCs w:val="24"/>
        </w:rPr>
      </w:r>
      <w:r>
        <w:rPr>
          <w:b/>
          <w:sz w:val="24"/>
          <w:szCs w:val="24"/>
        </w:rPr>
        <w:fldChar w:fldCharType="end"/>
      </w:r>
      <w:bookmarkEnd w:id="20"/>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7E3A07" w:rsidP="00A64EF1">
      <w:pPr>
        <w:pStyle w:val="JudgmentText"/>
      </w:pPr>
      <w:r>
        <w:lastRenderedPageBreak/>
        <w:t>The accused in this case was remanded in custody upon the application of the prosecution on the 22</w:t>
      </w:r>
      <w:r w:rsidRPr="007E3A07">
        <w:rPr>
          <w:vertAlign w:val="superscript"/>
        </w:rPr>
        <w:t>nd</w:t>
      </w:r>
      <w:r>
        <w:t xml:space="preserve"> August 2014.  He </w:t>
      </w:r>
      <w:r w:rsidR="007701E6">
        <w:t xml:space="preserve">has been </w:t>
      </w:r>
      <w:r>
        <w:t>appearing</w:t>
      </w:r>
      <w:r w:rsidR="007701E6">
        <w:t xml:space="preserve"> in Court</w:t>
      </w:r>
      <w:r>
        <w:t xml:space="preserve"> every 14 days.  His case is fixed hear</w:t>
      </w:r>
      <w:r w:rsidR="007701E6">
        <w:t>ing</w:t>
      </w:r>
      <w:r>
        <w:t xml:space="preserve"> in June 2015.  This is due to the busy schedule of his counsel.  It is now about</w:t>
      </w:r>
      <w:r w:rsidR="007701E6">
        <w:t xml:space="preserve"> </w:t>
      </w:r>
      <w:r>
        <w:t>2 months since th</w:t>
      </w:r>
      <w:r w:rsidR="007701E6">
        <w:t>e</w:t>
      </w:r>
      <w:r>
        <w:t xml:space="preserve"> order</w:t>
      </w:r>
      <w:r w:rsidR="007701E6">
        <w:t xml:space="preserve"> to remand him</w:t>
      </w:r>
      <w:r>
        <w:t xml:space="preserve"> was made by this Court.  His learned counsel has now moved the Court to release her client on bail basically on the following grounds.</w:t>
      </w:r>
    </w:p>
    <w:p w:rsidR="007E3A07" w:rsidRPr="0055403F" w:rsidRDefault="007E3A07" w:rsidP="007E3A07">
      <w:pPr>
        <w:pStyle w:val="JudgmentText"/>
        <w:numPr>
          <w:ilvl w:val="0"/>
          <w:numId w:val="7"/>
        </w:numPr>
        <w:rPr>
          <w:i/>
        </w:rPr>
      </w:pPr>
      <w:r w:rsidRPr="0055403F">
        <w:rPr>
          <w:i/>
        </w:rPr>
        <w:lastRenderedPageBreak/>
        <w:t>That in other cases of similar nature, the accused person had been released on bail.</w:t>
      </w:r>
    </w:p>
    <w:p w:rsidR="007E3A07" w:rsidRPr="0055403F" w:rsidRDefault="007E3A07" w:rsidP="007E3A07">
      <w:pPr>
        <w:pStyle w:val="JudgmentText"/>
        <w:numPr>
          <w:ilvl w:val="0"/>
          <w:numId w:val="7"/>
        </w:numPr>
        <w:rPr>
          <w:i/>
        </w:rPr>
      </w:pPr>
      <w:r w:rsidRPr="0055403F">
        <w:rPr>
          <w:i/>
        </w:rPr>
        <w:t>That the case has been fixed for hearing in June 2015, hence there is likely to be a delay in finalis</w:t>
      </w:r>
      <w:r w:rsidR="00D57813">
        <w:rPr>
          <w:i/>
        </w:rPr>
        <w:t>ing it</w:t>
      </w:r>
      <w:r w:rsidRPr="0055403F">
        <w:rPr>
          <w:i/>
        </w:rPr>
        <w:t>.</w:t>
      </w:r>
    </w:p>
    <w:p w:rsidR="007E3A07" w:rsidRPr="0055403F" w:rsidRDefault="007E3A07" w:rsidP="007E3A07">
      <w:pPr>
        <w:pStyle w:val="JudgmentText"/>
        <w:numPr>
          <w:ilvl w:val="0"/>
          <w:numId w:val="7"/>
        </w:numPr>
        <w:rPr>
          <w:i/>
        </w:rPr>
      </w:pPr>
      <w:r w:rsidRPr="0055403F">
        <w:rPr>
          <w:i/>
        </w:rPr>
        <w:t xml:space="preserve">That the Court has to consider what is provided for in Article 18 (7) of the Constitution but not to consider what </w:t>
      </w:r>
      <w:r w:rsidR="00030BD6" w:rsidRPr="0055403F">
        <w:rPr>
          <w:i/>
        </w:rPr>
        <w:t>the Court has come to term in “</w:t>
      </w:r>
      <w:r w:rsidR="0056224F" w:rsidRPr="0055403F">
        <w:rPr>
          <w:i/>
        </w:rPr>
        <w:t>changing</w:t>
      </w:r>
      <w:r w:rsidR="00030BD6" w:rsidRPr="0055403F">
        <w:rPr>
          <w:i/>
        </w:rPr>
        <w:t xml:space="preserve"> circumstances” and that it is the </w:t>
      </w:r>
      <w:r w:rsidR="00D57813">
        <w:rPr>
          <w:i/>
        </w:rPr>
        <w:t>prosecution</w:t>
      </w:r>
      <w:r w:rsidR="00030BD6" w:rsidRPr="0055403F">
        <w:rPr>
          <w:i/>
        </w:rPr>
        <w:t xml:space="preserve"> which has to show that the circumstances have not changed but not the accused person.</w:t>
      </w:r>
    </w:p>
    <w:p w:rsidR="00030BD6" w:rsidRPr="0055403F" w:rsidRDefault="00D57813" w:rsidP="00D57813">
      <w:pPr>
        <w:pStyle w:val="JudgmentText"/>
      </w:pPr>
      <w:r>
        <w:t>On the other hand the learned</w:t>
      </w:r>
      <w:r w:rsidR="00030BD6" w:rsidRPr="0055403F">
        <w:t xml:space="preserve"> Counsel came for the Republic</w:t>
      </w:r>
      <w:r>
        <w:t>,</w:t>
      </w:r>
      <w:r w:rsidR="00030BD6" w:rsidRPr="0055403F">
        <w:t xml:space="preserve"> Mrs Lansinglu maintained that, the reasons advanced by the prosecution 2 months earlier are still the same and have not change</w:t>
      </w:r>
      <w:r w:rsidR="002344AE">
        <w:t>d</w:t>
      </w:r>
      <w:r w:rsidR="00030BD6" w:rsidRPr="0055403F">
        <w:t>.  Hence, the accused should be kept on remand.</w:t>
      </w:r>
    </w:p>
    <w:p w:rsidR="00D57813" w:rsidRDefault="00030BD6" w:rsidP="00030BD6">
      <w:pPr>
        <w:pStyle w:val="JudgmentText"/>
      </w:pPr>
      <w:r>
        <w:t xml:space="preserve">It </w:t>
      </w:r>
      <w:r w:rsidR="00D57813">
        <w:t>i</w:t>
      </w:r>
      <w:r>
        <w:t xml:space="preserve">s to be noted that the right to be released on bail at the pre-trial stage, is under Article 18 (7) of the Constitution and once a person has been charged, the law to be considered </w:t>
      </w:r>
      <w:r w:rsidR="00D57813">
        <w:t xml:space="preserve">in </w:t>
      </w:r>
      <w:r>
        <w:t xml:space="preserve">Section 179 and 195 </w:t>
      </w:r>
      <w:r w:rsidR="008C3B2D">
        <w:t xml:space="preserve">of the Criminal Procedure Code.  However in both instances it must be emphasized that the right to bail is a qualified right to be determined judiciously by the Courts.  </w:t>
      </w:r>
      <w:r w:rsidR="00D57813">
        <w:t>O</w:t>
      </w:r>
      <w:r w:rsidR="008C3B2D">
        <w:t xml:space="preserve">nce a charge has been laid against an accused person, it is the duty of the Court to ensure that he is afforded a fair hearing within reasonable time.  (See Article 19 (1) of the Constitution.)  </w:t>
      </w:r>
    </w:p>
    <w:p w:rsidR="00030BD6" w:rsidRDefault="008C3B2D" w:rsidP="00030BD6">
      <w:pPr>
        <w:pStyle w:val="JudgmentText"/>
      </w:pPr>
      <w:r>
        <w:t>The reasons given to this Court 2 months ago by the prosecution for remanding the accused person, and which the Court agreed with, are as follows:-</w:t>
      </w:r>
    </w:p>
    <w:p w:rsidR="008C3B2D" w:rsidRPr="0055403F" w:rsidRDefault="008C3B2D" w:rsidP="008C3B2D">
      <w:pPr>
        <w:pStyle w:val="JudgmentText"/>
        <w:numPr>
          <w:ilvl w:val="0"/>
          <w:numId w:val="8"/>
        </w:numPr>
        <w:rPr>
          <w:i/>
        </w:rPr>
      </w:pPr>
      <w:r w:rsidRPr="0055403F">
        <w:rPr>
          <w:i/>
        </w:rPr>
        <w:t xml:space="preserve">That the offence charged against the respondent herein are of serious nature; that the offence of trafficking in a </w:t>
      </w:r>
      <w:r w:rsidR="000871B4">
        <w:rPr>
          <w:i/>
        </w:rPr>
        <w:t>C</w:t>
      </w:r>
      <w:r w:rsidRPr="0055403F">
        <w:rPr>
          <w:i/>
        </w:rPr>
        <w:t xml:space="preserve">ontrolled </w:t>
      </w:r>
      <w:r w:rsidR="000871B4">
        <w:rPr>
          <w:i/>
        </w:rPr>
        <w:t>D</w:t>
      </w:r>
      <w:r w:rsidRPr="0055403F">
        <w:rPr>
          <w:i/>
        </w:rPr>
        <w:t>rug namely cannabis R</w:t>
      </w:r>
      <w:r w:rsidR="000871B4">
        <w:rPr>
          <w:i/>
        </w:rPr>
        <w:t>e</w:t>
      </w:r>
      <w:r w:rsidRPr="0055403F">
        <w:rPr>
          <w:i/>
        </w:rPr>
        <w:t>sin having a total weight of 43.3 grams which carries a minimum mandatory sentence of 16 years imprisonment and a maximum of 50 years imprisonment and a fine of SR 500,000/- if convicted.</w:t>
      </w:r>
    </w:p>
    <w:p w:rsidR="008C3B2D" w:rsidRPr="0055403F" w:rsidRDefault="008C3B2D" w:rsidP="008C3B2D">
      <w:pPr>
        <w:pStyle w:val="JudgmentText"/>
        <w:numPr>
          <w:ilvl w:val="0"/>
          <w:numId w:val="8"/>
        </w:numPr>
        <w:rPr>
          <w:i/>
        </w:rPr>
      </w:pPr>
      <w:r w:rsidRPr="0055403F">
        <w:rPr>
          <w:i/>
        </w:rPr>
        <w:t xml:space="preserve">That the offence of assaulting NDEA agents and obstructing the NDEA agents while performing their duties charged against the respondent herein, also carries </w:t>
      </w:r>
      <w:r w:rsidRPr="0055403F">
        <w:rPr>
          <w:i/>
        </w:rPr>
        <w:lastRenderedPageBreak/>
        <w:t>a minimum mandatory sentence of 20 years imprisonment and a fine of SR 5, 000,000 upon conviction.</w:t>
      </w:r>
    </w:p>
    <w:p w:rsidR="008C3B2D" w:rsidRPr="0055403F" w:rsidRDefault="00E228BC" w:rsidP="008C3B2D">
      <w:pPr>
        <w:pStyle w:val="JudgmentText"/>
        <w:numPr>
          <w:ilvl w:val="0"/>
          <w:numId w:val="8"/>
        </w:numPr>
        <w:rPr>
          <w:i/>
        </w:rPr>
      </w:pPr>
      <w:r w:rsidRPr="0055403F">
        <w:rPr>
          <w:i/>
        </w:rPr>
        <w:t xml:space="preserve">That the amount of drug, namely cannabis Resin which was recovered from the respondent had a weight of 43.3 grams which is above the prescribed statutory limit and give raise to a rebutable presumption of having possessed the said </w:t>
      </w:r>
      <w:r w:rsidR="000871B4">
        <w:rPr>
          <w:i/>
        </w:rPr>
        <w:t>C</w:t>
      </w:r>
      <w:r w:rsidRPr="0055403F">
        <w:rPr>
          <w:i/>
        </w:rPr>
        <w:t>ontrolled drugs for purposes of trafficking.</w:t>
      </w:r>
    </w:p>
    <w:p w:rsidR="00E228BC" w:rsidRPr="0055403F" w:rsidRDefault="00E228BC" w:rsidP="008C3B2D">
      <w:pPr>
        <w:pStyle w:val="JudgmentText"/>
        <w:numPr>
          <w:ilvl w:val="0"/>
          <w:numId w:val="8"/>
        </w:numPr>
        <w:rPr>
          <w:i/>
        </w:rPr>
      </w:pPr>
      <w:r w:rsidRPr="0055403F">
        <w:rPr>
          <w:i/>
        </w:rPr>
        <w:t>That the drugs offences are on the rise in the country and endangering the peace, public order and morality especially of the young generation.</w:t>
      </w:r>
    </w:p>
    <w:p w:rsidR="00E228BC" w:rsidRPr="0055403F" w:rsidRDefault="00E228BC" w:rsidP="008C3B2D">
      <w:pPr>
        <w:pStyle w:val="JudgmentText"/>
        <w:numPr>
          <w:ilvl w:val="0"/>
          <w:numId w:val="8"/>
        </w:numPr>
        <w:rPr>
          <w:i/>
        </w:rPr>
      </w:pPr>
      <w:r w:rsidRPr="0055403F">
        <w:rPr>
          <w:i/>
        </w:rPr>
        <w:t>“That there are substantial grounds to believe that if the accused is release on bail and not remanded he is likely to abscond thus obstructing the course of justice, as on the day of his arrest, the accused, assaulted and obstructed the NDEA agents and tried to escape from the scene so as to evade arrest, and resisted arrest, and attempted to dispose of the exhibit.”</w:t>
      </w:r>
    </w:p>
    <w:p w:rsidR="00E228BC" w:rsidRDefault="00E228BC" w:rsidP="00E228BC">
      <w:pPr>
        <w:pStyle w:val="JudgmentText"/>
      </w:pPr>
      <w:r>
        <w:t>The Court after reviewing the evidence before it</w:t>
      </w:r>
      <w:r w:rsidR="00D57813">
        <w:t>, from</w:t>
      </w:r>
      <w:r w:rsidR="00987EB2">
        <w:t xml:space="preserve"> the </w:t>
      </w:r>
      <w:r>
        <w:t xml:space="preserve">affidavit deponed in support of the motion and after consideration </w:t>
      </w:r>
      <w:r w:rsidR="0056224F">
        <w:t>of both statutory and case law, it remanded the accused person in custody till further notice, but would be produced every 14 days as per Section 179 of the Criminal Procedure Code.</w:t>
      </w:r>
    </w:p>
    <w:p w:rsidR="0056224F" w:rsidRDefault="0056224F" w:rsidP="00E228BC">
      <w:pPr>
        <w:pStyle w:val="JudgmentText"/>
      </w:pPr>
      <w:r>
        <w:t xml:space="preserve">Mrs Amesbury the learned counsel for the accused was of a view that the Court should not coin the term “changing circumstances” while </w:t>
      </w:r>
      <w:r w:rsidR="00D57813">
        <w:t>revising the application to release the acc</w:t>
      </w:r>
      <w:r w:rsidR="002344AE">
        <w:t>use</w:t>
      </w:r>
      <w:r w:rsidR="00D57813">
        <w:t>d on bail as</w:t>
      </w:r>
      <w:r>
        <w:t xml:space="preserve"> such phrase is not any where in the Constitution o</w:t>
      </w:r>
      <w:r w:rsidR="00D57813">
        <w:t>r</w:t>
      </w:r>
      <w:r>
        <w:t xml:space="preserve"> </w:t>
      </w:r>
      <w:r w:rsidR="00D57813">
        <w:t xml:space="preserve">in </w:t>
      </w:r>
      <w:r>
        <w:t xml:space="preserve">the Criminal Procedure Code.  However, with due respect to the learned counsel, Courts from time to time </w:t>
      </w:r>
      <w:r w:rsidR="00656344">
        <w:t xml:space="preserve">elaborate </w:t>
      </w:r>
      <w:r w:rsidR="00AA0CE5">
        <w:t>on</w:t>
      </w:r>
      <w:r w:rsidR="00104E7F">
        <w:t xml:space="preserve"> a given statutory law </w:t>
      </w:r>
      <w:r w:rsidR="00AA0CE5">
        <w:t xml:space="preserve">as to how it </w:t>
      </w:r>
      <w:r w:rsidR="00104E7F">
        <w:t xml:space="preserve">operates.  From a careful perusal of the </w:t>
      </w:r>
      <w:r w:rsidR="00C55EEF">
        <w:t>authorities, both</w:t>
      </w:r>
      <w:r w:rsidR="00104E7F">
        <w:t xml:space="preserve"> by the Supreme Court and the Court of Appeal the phrase “changing circumstances” has been repeatedly used whereby the Court can b</w:t>
      </w:r>
      <w:r w:rsidR="00AA0CE5">
        <w:t>ase</w:t>
      </w:r>
      <w:r w:rsidR="00104E7F">
        <w:t xml:space="preserve"> itself to review its earlier decisions refusing a grant of bail </w:t>
      </w:r>
      <w:r w:rsidR="00AA0CE5">
        <w:t>to an accused person</w:t>
      </w:r>
      <w:r w:rsidR="00104E7F">
        <w:t>.</w:t>
      </w:r>
    </w:p>
    <w:p w:rsidR="002344AE" w:rsidRDefault="002344AE" w:rsidP="002344AE">
      <w:pPr>
        <w:pStyle w:val="JudgmentText"/>
        <w:numPr>
          <w:ilvl w:val="0"/>
          <w:numId w:val="0"/>
        </w:numPr>
        <w:ind w:left="720" w:hanging="720"/>
      </w:pPr>
    </w:p>
    <w:p w:rsidR="002344AE" w:rsidRDefault="002344AE" w:rsidP="002344AE">
      <w:pPr>
        <w:pStyle w:val="JudgmentText"/>
        <w:numPr>
          <w:ilvl w:val="0"/>
          <w:numId w:val="0"/>
        </w:numPr>
        <w:ind w:left="720" w:hanging="720"/>
      </w:pPr>
    </w:p>
    <w:p w:rsidR="00104E7F" w:rsidRDefault="00104E7F" w:rsidP="00E228BC">
      <w:pPr>
        <w:pStyle w:val="JudgmentText"/>
      </w:pPr>
      <w:r>
        <w:lastRenderedPageBreak/>
        <w:t xml:space="preserve">In the case of </w:t>
      </w:r>
      <w:r w:rsidRPr="00104E7F">
        <w:rPr>
          <w:b/>
          <w:u w:val="single"/>
        </w:rPr>
        <w:t xml:space="preserve">REPUBLIC VS ROSELINE &amp; ORS [1987] S.L.R 1 </w:t>
      </w:r>
      <w:r>
        <w:t xml:space="preserve">the Court held that </w:t>
      </w:r>
    </w:p>
    <w:p w:rsidR="00104E7F" w:rsidRDefault="00104E7F" w:rsidP="00104E7F">
      <w:pPr>
        <w:pStyle w:val="JudgmentText"/>
        <w:numPr>
          <w:ilvl w:val="0"/>
          <w:numId w:val="0"/>
        </w:numPr>
        <w:ind w:left="720"/>
        <w:rPr>
          <w:i/>
        </w:rPr>
      </w:pPr>
      <w:r>
        <w:t xml:space="preserve">“ </w:t>
      </w:r>
      <w:r w:rsidRPr="00104E7F">
        <w:rPr>
          <w:i/>
        </w:rPr>
        <w:t xml:space="preserve">when circumstances under which an accused were remanded has not changed it was justified to extend the remand”. </w:t>
      </w:r>
    </w:p>
    <w:p w:rsidR="00AA0CE5" w:rsidRPr="00104E7F" w:rsidRDefault="00AA0CE5" w:rsidP="00AA0CE5">
      <w:pPr>
        <w:pStyle w:val="JudgmentText"/>
      </w:pPr>
      <w:r>
        <w:t>The Court was considering whether to release an accused after initial refusal to grant him  bail and had remanded him.</w:t>
      </w:r>
    </w:p>
    <w:p w:rsidR="00104E7F" w:rsidRDefault="00104E7F" w:rsidP="00442C81">
      <w:pPr>
        <w:pStyle w:val="JudgmentText"/>
      </w:pPr>
      <w:r>
        <w:t xml:space="preserve"> In the case of </w:t>
      </w:r>
      <w:r w:rsidRPr="00442C81">
        <w:rPr>
          <w:b/>
          <w:u w:val="single"/>
        </w:rPr>
        <w:t>R VS SLOUGH JUSTICES, EX PARTE DUNCAN [1982] CRIMINAL APPEAL REPORTS 38</w:t>
      </w:r>
      <w:r w:rsidRPr="00D415EE">
        <w:rPr>
          <w:b/>
        </w:rPr>
        <w:t xml:space="preserve">4 </w:t>
      </w:r>
      <w:r>
        <w:t>the Court in England held that,</w:t>
      </w:r>
    </w:p>
    <w:p w:rsidR="00442C81" w:rsidRPr="00442C81" w:rsidRDefault="00104E7F" w:rsidP="00442C81">
      <w:pPr>
        <w:pStyle w:val="JudgmentText"/>
        <w:numPr>
          <w:ilvl w:val="0"/>
          <w:numId w:val="0"/>
        </w:numPr>
        <w:ind w:left="720"/>
        <w:jc w:val="left"/>
        <w:rPr>
          <w:i/>
        </w:rPr>
      </w:pPr>
      <w:r>
        <w:t>“</w:t>
      </w:r>
      <w:r w:rsidRPr="00442C81">
        <w:rPr>
          <w:i/>
        </w:rPr>
        <w:t>The Court should not hear arguments as to the fact</w:t>
      </w:r>
      <w:r w:rsidR="002163D8">
        <w:rPr>
          <w:i/>
        </w:rPr>
        <w:t>s</w:t>
      </w:r>
      <w:r w:rsidRPr="00442C81">
        <w:rPr>
          <w:i/>
        </w:rPr>
        <w:t xml:space="preserve"> or law which it has previously heard </w:t>
      </w:r>
      <w:r w:rsidRPr="002344AE">
        <w:rPr>
          <w:b/>
          <w:u w:val="single"/>
        </w:rPr>
        <w:t>UNLESS</w:t>
      </w:r>
      <w:r w:rsidRPr="002344AE">
        <w:rPr>
          <w:b/>
          <w:i/>
        </w:rPr>
        <w:t xml:space="preserve"> </w:t>
      </w:r>
      <w:r w:rsidRPr="00442C81">
        <w:rPr>
          <w:i/>
        </w:rPr>
        <w:t>there has been such a change in the circumstances as might have</w:t>
      </w:r>
      <w:r w:rsidR="00442C81" w:rsidRPr="00442C81">
        <w:rPr>
          <w:i/>
        </w:rPr>
        <w:t xml:space="preserve"> affected the earlier decision”.</w:t>
      </w:r>
      <w:r w:rsidR="00B710DD">
        <w:rPr>
          <w:i/>
        </w:rPr>
        <w:t xml:space="preserve"> (emphasis mine)</w:t>
      </w:r>
      <w:r w:rsidR="002344AE">
        <w:rPr>
          <w:i/>
        </w:rPr>
        <w:tab/>
      </w:r>
    </w:p>
    <w:p w:rsidR="00104E7F" w:rsidRDefault="00442C81" w:rsidP="00442C81">
      <w:pPr>
        <w:pStyle w:val="JudgmentText"/>
      </w:pPr>
      <w:r>
        <w:t xml:space="preserve"> In the case of </w:t>
      </w:r>
      <w:r w:rsidRPr="00442C81">
        <w:rPr>
          <w:b/>
          <w:u w:val="single"/>
        </w:rPr>
        <w:t>KENNETH STEV ESPARON VS THE REPUBLIC SCA NO. 1/2014</w:t>
      </w:r>
      <w:r>
        <w:t xml:space="preserve">, the Court of appeal reviewed the law on bail, and held inter alia, in paragraph 47, that; while the Court, </w:t>
      </w:r>
      <w:r w:rsidR="00B710DD">
        <w:t xml:space="preserve">is </w:t>
      </w:r>
      <w:r>
        <w:t>review</w:t>
      </w:r>
      <w:r w:rsidR="00B710DD">
        <w:t>ing</w:t>
      </w:r>
      <w:r>
        <w:t xml:space="preserve"> refusal to bail, </w:t>
      </w:r>
      <w:r w:rsidR="00B710DD">
        <w:t>i</w:t>
      </w:r>
      <w:r>
        <w:t>t should consider among other things</w:t>
      </w:r>
      <w:r w:rsidR="00B710DD">
        <w:t>,</w:t>
      </w:r>
      <w:r>
        <w:t xml:space="preserve"> whether there has been a change of circumstances since the decision to deny him bail.</w:t>
      </w:r>
      <w:r w:rsidR="00523BA4">
        <w:t xml:space="preserve">  There are many other authorities of this court to the effect.  Hence, </w:t>
      </w:r>
      <w:r w:rsidR="00B710DD">
        <w:t xml:space="preserve">it is </w:t>
      </w:r>
      <w:r w:rsidR="00523BA4">
        <w:t xml:space="preserve">my considered view that it is now settled </w:t>
      </w:r>
      <w:r w:rsidR="00B710DD">
        <w:t xml:space="preserve">that </w:t>
      </w:r>
      <w:r w:rsidR="00523BA4">
        <w:t>a change of circumstances is part and parcel of our law while reapplying for bail before the same court which had earlier refuse to grant it.</w:t>
      </w:r>
    </w:p>
    <w:p w:rsidR="00523BA4" w:rsidRDefault="00523BA4" w:rsidP="00442C81">
      <w:pPr>
        <w:pStyle w:val="JudgmentText"/>
      </w:pPr>
      <w:r>
        <w:t>In the instant case, has any change of circumstances</w:t>
      </w:r>
      <w:r w:rsidR="00B710DD">
        <w:t xml:space="preserve"> happened </w:t>
      </w:r>
      <w:r w:rsidR="00BB21BB">
        <w:t xml:space="preserve"> since this court remand</w:t>
      </w:r>
      <w:r w:rsidR="00B710DD">
        <w:t>ed</w:t>
      </w:r>
      <w:r w:rsidR="00BB21BB">
        <w:t xml:space="preserve"> the accused 2 months </w:t>
      </w:r>
      <w:r w:rsidR="00363E56">
        <w:t>ago?</w:t>
      </w:r>
      <w:r w:rsidR="00BB21BB">
        <w:t xml:space="preserve">  The case has already been fixed for hearing </w:t>
      </w:r>
      <w:r w:rsidR="00B710DD">
        <w:t>in June 2015.  This seemingly far off</w:t>
      </w:r>
      <w:r w:rsidR="00BB21BB">
        <w:t xml:space="preserve"> date has been necessitated because </w:t>
      </w:r>
      <w:r w:rsidR="00124652">
        <w:t>the learned counsel for the accused could not get any earlier date than June 2015</w:t>
      </w:r>
      <w:r w:rsidR="00B710DD">
        <w:t xml:space="preserve"> due to her busy schedule</w:t>
      </w:r>
      <w:r w:rsidR="00124652">
        <w:t>.</w:t>
      </w:r>
    </w:p>
    <w:p w:rsidR="00124652" w:rsidRDefault="00124652" w:rsidP="00442C81">
      <w:pPr>
        <w:pStyle w:val="JudgmentText"/>
      </w:pPr>
      <w:r>
        <w:t xml:space="preserve">In the premises therefore, </w:t>
      </w:r>
      <w:r w:rsidR="00B710DD">
        <w:t>there has been no</w:t>
      </w:r>
      <w:r>
        <w:t xml:space="preserve"> change in the original reasons </w:t>
      </w:r>
      <w:r w:rsidR="00B710DD">
        <w:t>advanced by</w:t>
      </w:r>
      <w:r>
        <w:t xml:space="preserve"> the prosecution </w:t>
      </w:r>
      <w:r w:rsidR="00B710DD">
        <w:t xml:space="preserve">while </w:t>
      </w:r>
      <w:r>
        <w:t>see</w:t>
      </w:r>
      <w:r w:rsidR="00F62C7E">
        <w:t>k</w:t>
      </w:r>
      <w:r>
        <w:t>ing t</w:t>
      </w:r>
      <w:r w:rsidR="00F62C7E">
        <w:t xml:space="preserve">he </w:t>
      </w:r>
      <w:r>
        <w:t xml:space="preserve"> </w:t>
      </w:r>
      <w:r w:rsidR="00F62C7E">
        <w:t>remand</w:t>
      </w:r>
      <w:r>
        <w:t xml:space="preserve"> </w:t>
      </w:r>
      <w:r w:rsidR="00F62C7E">
        <w:t xml:space="preserve">of </w:t>
      </w:r>
      <w:r>
        <w:t>the accu</w:t>
      </w:r>
      <w:r w:rsidR="00F62C7E">
        <w:t xml:space="preserve">sed in prison </w:t>
      </w:r>
      <w:r w:rsidR="00B710DD">
        <w:t>2 months ago</w:t>
      </w:r>
      <w:r w:rsidR="00F62C7E">
        <w:t>.</w:t>
      </w:r>
    </w:p>
    <w:p w:rsidR="002344AE" w:rsidRDefault="002344AE" w:rsidP="002344AE">
      <w:pPr>
        <w:pStyle w:val="JudgmentText"/>
        <w:numPr>
          <w:ilvl w:val="0"/>
          <w:numId w:val="0"/>
        </w:numPr>
        <w:ind w:left="720" w:hanging="720"/>
      </w:pPr>
    </w:p>
    <w:p w:rsidR="002344AE" w:rsidRDefault="002344AE" w:rsidP="002344AE">
      <w:pPr>
        <w:pStyle w:val="JudgmentText"/>
        <w:numPr>
          <w:ilvl w:val="0"/>
          <w:numId w:val="0"/>
        </w:numPr>
        <w:ind w:left="720" w:hanging="720"/>
      </w:pPr>
    </w:p>
    <w:p w:rsidR="00F62C7E" w:rsidRDefault="00F62C7E" w:rsidP="00442C81">
      <w:pPr>
        <w:pStyle w:val="JudgmentText"/>
      </w:pPr>
      <w:r>
        <w:lastRenderedPageBreak/>
        <w:t xml:space="preserve">All in all </w:t>
      </w:r>
      <w:r w:rsidR="00B710DD">
        <w:t>the accused will remain on remand, but be produced every 14 days before this Court.  Of course he has a right to reapply if and when circumstances change from those advanced when he was first remanded.</w:t>
      </w:r>
    </w:p>
    <w:p w:rsidR="00C55EEF" w:rsidRDefault="00C55EEF" w:rsidP="00C55EEF">
      <w:pPr>
        <w:pStyle w:val="JudgmentText"/>
        <w:numPr>
          <w:ilvl w:val="0"/>
          <w:numId w:val="0"/>
        </w:numPr>
        <w:ind w:left="720"/>
      </w:pPr>
      <w:r>
        <w:t>Order accordingly.</w:t>
      </w:r>
    </w:p>
    <w:p w:rsidR="00E6492F" w:rsidRDefault="00866D55"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1" w:name="Text19"/>
      <w:r w:rsidR="00866D55">
        <w:rPr>
          <w:sz w:val="24"/>
          <w:szCs w:val="24"/>
        </w:rPr>
        <w:fldChar w:fldCharType="begin">
          <w:ffData>
            <w:name w:val="Text19"/>
            <w:enabled/>
            <w:calcOnExit w:val="0"/>
            <w:textInput>
              <w:type w:val="date"/>
              <w:format w:val=""/>
            </w:textInput>
          </w:ffData>
        </w:fldChar>
      </w:r>
      <w:r w:rsidR="00101D12">
        <w:rPr>
          <w:sz w:val="24"/>
          <w:szCs w:val="24"/>
        </w:rPr>
        <w:instrText xml:space="preserve"> FORMTEXT </w:instrText>
      </w:r>
      <w:r w:rsidR="00866D55">
        <w:rPr>
          <w:sz w:val="24"/>
          <w:szCs w:val="24"/>
        </w:rPr>
      </w:r>
      <w:r w:rsidR="00866D55">
        <w:rPr>
          <w:sz w:val="24"/>
          <w:szCs w:val="24"/>
        </w:rPr>
        <w:fldChar w:fldCharType="separate"/>
      </w:r>
      <w:r w:rsidR="00C55EEF">
        <w:rPr>
          <w:noProof/>
          <w:sz w:val="24"/>
          <w:szCs w:val="24"/>
        </w:rPr>
        <w:t>28 october 2014.</w:t>
      </w:r>
      <w:r w:rsidR="00866D55">
        <w:rPr>
          <w:sz w:val="24"/>
          <w:szCs w:val="24"/>
        </w:rPr>
        <w:fldChar w:fldCharType="end"/>
      </w:r>
      <w:bookmarkEnd w:id="21"/>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C55EEF">
          <w:type w:val="continuous"/>
          <w:pgSz w:w="12240" w:h="15840"/>
          <w:pgMar w:top="1440" w:right="1440" w:bottom="5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2" w:name="Dropdown6"/>
    <w:p w:rsidR="00E33F35" w:rsidRPr="002A7376" w:rsidRDefault="00866D55"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6"/>
              <w:listEntry w:val="B Renaud"/>
              <w:listEntry w:val="M Burhan"/>
              <w:listEntry w:val="G Dodin"/>
              <w:listEntry w:val="F Robinson"/>
              <w:listEntry w:val="E De Silva"/>
              <w:listEntry w:val="C McKee"/>
              <w:listEntry w:val="D Akiiki-Kiiza"/>
            </w:ddList>
          </w:ffData>
        </w:fldChar>
      </w:r>
      <w:r w:rsidR="00E9512E">
        <w:rPr>
          <w:sz w:val="24"/>
          <w:szCs w:val="24"/>
        </w:rPr>
        <w:instrText xml:space="preserve"> FORMDROPDOWN </w:instrText>
      </w:r>
      <w:r>
        <w:rPr>
          <w:sz w:val="24"/>
          <w:szCs w:val="24"/>
        </w:rPr>
      </w:r>
      <w:r>
        <w:rPr>
          <w:sz w:val="24"/>
          <w:szCs w:val="24"/>
        </w:rPr>
        <w:fldChar w:fldCharType="end"/>
      </w:r>
      <w:bookmarkEnd w:id="22"/>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866D55" w:rsidRPr="00E33F35">
        <w:rPr>
          <w:b/>
          <w:sz w:val="24"/>
          <w:szCs w:val="24"/>
        </w:rPr>
        <w:fldChar w:fldCharType="begin"/>
      </w:r>
      <w:r w:rsidR="007C2809" w:rsidRPr="00E33F35">
        <w:rPr>
          <w:b/>
          <w:sz w:val="24"/>
          <w:szCs w:val="24"/>
        </w:rPr>
        <w:instrText xml:space="preserve">  </w:instrText>
      </w:r>
      <w:r w:rsidR="00866D55"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9A4" w:rsidRDefault="000169A4" w:rsidP="00DB6D34">
      <w:r>
        <w:separator/>
      </w:r>
    </w:p>
  </w:endnote>
  <w:endnote w:type="continuationSeparator" w:id="0">
    <w:p w:rsidR="000169A4" w:rsidRDefault="000169A4"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C2" w:rsidRDefault="0033763B">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9A4" w:rsidRDefault="000169A4" w:rsidP="00DB6D34">
      <w:r>
        <w:separator/>
      </w:r>
    </w:p>
  </w:footnote>
  <w:footnote w:type="continuationSeparator" w:id="0">
    <w:p w:rsidR="000169A4" w:rsidRDefault="000169A4"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235B1B79"/>
    <w:multiLevelType w:val="hybridMultilevel"/>
    <w:tmpl w:val="1F8EE434"/>
    <w:lvl w:ilvl="0" w:tplc="9B6AA00A">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57A4E0E"/>
    <w:multiLevelType w:val="hybridMultilevel"/>
    <w:tmpl w:val="6E0C1B58"/>
    <w:lvl w:ilvl="0" w:tplc="D3AA9A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D6"/>
    <w:rsid w:val="00005BEF"/>
    <w:rsid w:val="000169A4"/>
    <w:rsid w:val="00030BD6"/>
    <w:rsid w:val="00030C81"/>
    <w:rsid w:val="00036B28"/>
    <w:rsid w:val="0006489F"/>
    <w:rsid w:val="00070A36"/>
    <w:rsid w:val="00075573"/>
    <w:rsid w:val="000827FA"/>
    <w:rsid w:val="000871B4"/>
    <w:rsid w:val="00091036"/>
    <w:rsid w:val="000A10B8"/>
    <w:rsid w:val="000B0E14"/>
    <w:rsid w:val="000D1DD3"/>
    <w:rsid w:val="000E39A5"/>
    <w:rsid w:val="000E7400"/>
    <w:rsid w:val="001008BC"/>
    <w:rsid w:val="00101D12"/>
    <w:rsid w:val="00104E7F"/>
    <w:rsid w:val="00117CBF"/>
    <w:rsid w:val="00124652"/>
    <w:rsid w:val="00126A10"/>
    <w:rsid w:val="001376AB"/>
    <w:rsid w:val="00144612"/>
    <w:rsid w:val="001529B0"/>
    <w:rsid w:val="0016510C"/>
    <w:rsid w:val="00180158"/>
    <w:rsid w:val="001D30F7"/>
    <w:rsid w:val="001E4ED8"/>
    <w:rsid w:val="0020244B"/>
    <w:rsid w:val="002163D8"/>
    <w:rsid w:val="00231C17"/>
    <w:rsid w:val="002344AE"/>
    <w:rsid w:val="00236AAC"/>
    <w:rsid w:val="0024353F"/>
    <w:rsid w:val="00290E14"/>
    <w:rsid w:val="002A7376"/>
    <w:rsid w:val="002B2255"/>
    <w:rsid w:val="002B4478"/>
    <w:rsid w:val="002C7560"/>
    <w:rsid w:val="002D06AA"/>
    <w:rsid w:val="002D67FC"/>
    <w:rsid w:val="002E6963"/>
    <w:rsid w:val="002F40A1"/>
    <w:rsid w:val="00301D88"/>
    <w:rsid w:val="00304E76"/>
    <w:rsid w:val="0033763B"/>
    <w:rsid w:val="00362044"/>
    <w:rsid w:val="00363E56"/>
    <w:rsid w:val="003647E7"/>
    <w:rsid w:val="0037270D"/>
    <w:rsid w:val="00377341"/>
    <w:rsid w:val="003838CC"/>
    <w:rsid w:val="003862CB"/>
    <w:rsid w:val="0038700C"/>
    <w:rsid w:val="003A26C5"/>
    <w:rsid w:val="003B461C"/>
    <w:rsid w:val="003B4C19"/>
    <w:rsid w:val="003D58AA"/>
    <w:rsid w:val="003D7B97"/>
    <w:rsid w:val="003E2ABC"/>
    <w:rsid w:val="003F0F8D"/>
    <w:rsid w:val="004156B9"/>
    <w:rsid w:val="00442C81"/>
    <w:rsid w:val="00445BFA"/>
    <w:rsid w:val="00452BB6"/>
    <w:rsid w:val="0046133B"/>
    <w:rsid w:val="004B243A"/>
    <w:rsid w:val="004C3D80"/>
    <w:rsid w:val="004C4411"/>
    <w:rsid w:val="004D30C6"/>
    <w:rsid w:val="004E275C"/>
    <w:rsid w:val="004F3823"/>
    <w:rsid w:val="005207C8"/>
    <w:rsid w:val="00523BA4"/>
    <w:rsid w:val="00530663"/>
    <w:rsid w:val="0055036F"/>
    <w:rsid w:val="005514D6"/>
    <w:rsid w:val="00552704"/>
    <w:rsid w:val="0055403F"/>
    <w:rsid w:val="0056224F"/>
    <w:rsid w:val="00572AB3"/>
    <w:rsid w:val="005836AC"/>
    <w:rsid w:val="00584583"/>
    <w:rsid w:val="00594FAC"/>
    <w:rsid w:val="005B7F60"/>
    <w:rsid w:val="005F5FB0"/>
    <w:rsid w:val="00606587"/>
    <w:rsid w:val="00606EEA"/>
    <w:rsid w:val="006174DB"/>
    <w:rsid w:val="0064023C"/>
    <w:rsid w:val="00652E54"/>
    <w:rsid w:val="00656344"/>
    <w:rsid w:val="006578C2"/>
    <w:rsid w:val="0066176B"/>
    <w:rsid w:val="00666D33"/>
    <w:rsid w:val="00695110"/>
    <w:rsid w:val="006A58E4"/>
    <w:rsid w:val="006D36C9"/>
    <w:rsid w:val="007175A6"/>
    <w:rsid w:val="00744508"/>
    <w:rsid w:val="007701E6"/>
    <w:rsid w:val="007779A2"/>
    <w:rsid w:val="007A47DC"/>
    <w:rsid w:val="007B6178"/>
    <w:rsid w:val="007C2809"/>
    <w:rsid w:val="007D416E"/>
    <w:rsid w:val="007E3A07"/>
    <w:rsid w:val="00804251"/>
    <w:rsid w:val="00807411"/>
    <w:rsid w:val="00811847"/>
    <w:rsid w:val="00814CF5"/>
    <w:rsid w:val="00816425"/>
    <w:rsid w:val="00821758"/>
    <w:rsid w:val="00823079"/>
    <w:rsid w:val="0083298A"/>
    <w:rsid w:val="00841387"/>
    <w:rsid w:val="008472B3"/>
    <w:rsid w:val="008478D6"/>
    <w:rsid w:val="00861092"/>
    <w:rsid w:val="00866D55"/>
    <w:rsid w:val="008A4049"/>
    <w:rsid w:val="008A5208"/>
    <w:rsid w:val="008C0FD6"/>
    <w:rsid w:val="008C3B2D"/>
    <w:rsid w:val="008E1DB1"/>
    <w:rsid w:val="008E512C"/>
    <w:rsid w:val="008E7749"/>
    <w:rsid w:val="008E7F92"/>
    <w:rsid w:val="008F0C10"/>
    <w:rsid w:val="008F38F7"/>
    <w:rsid w:val="00902D3C"/>
    <w:rsid w:val="00914679"/>
    <w:rsid w:val="00926D09"/>
    <w:rsid w:val="009336BA"/>
    <w:rsid w:val="00937FB4"/>
    <w:rsid w:val="0094087C"/>
    <w:rsid w:val="00951EC0"/>
    <w:rsid w:val="0096041D"/>
    <w:rsid w:val="0096251D"/>
    <w:rsid w:val="00981287"/>
    <w:rsid w:val="00983045"/>
    <w:rsid w:val="00987EB2"/>
    <w:rsid w:val="009C02C9"/>
    <w:rsid w:val="009E05E5"/>
    <w:rsid w:val="009F1B68"/>
    <w:rsid w:val="009F4DC4"/>
    <w:rsid w:val="00A11166"/>
    <w:rsid w:val="00A14038"/>
    <w:rsid w:val="00A26E91"/>
    <w:rsid w:val="00A42850"/>
    <w:rsid w:val="00A53837"/>
    <w:rsid w:val="00A56988"/>
    <w:rsid w:val="00A57954"/>
    <w:rsid w:val="00A64EF1"/>
    <w:rsid w:val="00A737C3"/>
    <w:rsid w:val="00A80E4E"/>
    <w:rsid w:val="00AA0CE5"/>
    <w:rsid w:val="00AB4A4F"/>
    <w:rsid w:val="00AC3885"/>
    <w:rsid w:val="00AD0BF3"/>
    <w:rsid w:val="00AD75CD"/>
    <w:rsid w:val="00B05D6E"/>
    <w:rsid w:val="00B119B1"/>
    <w:rsid w:val="00B14612"/>
    <w:rsid w:val="00B23E73"/>
    <w:rsid w:val="00B260C7"/>
    <w:rsid w:val="00B40898"/>
    <w:rsid w:val="00B4124C"/>
    <w:rsid w:val="00B4625E"/>
    <w:rsid w:val="00B710DD"/>
    <w:rsid w:val="00B75AE2"/>
    <w:rsid w:val="00B9148E"/>
    <w:rsid w:val="00B938BB"/>
    <w:rsid w:val="00B94805"/>
    <w:rsid w:val="00BA6027"/>
    <w:rsid w:val="00BA70E6"/>
    <w:rsid w:val="00BB21BB"/>
    <w:rsid w:val="00BC1D95"/>
    <w:rsid w:val="00BD4287"/>
    <w:rsid w:val="00BD60D5"/>
    <w:rsid w:val="00BE1D00"/>
    <w:rsid w:val="00BE3628"/>
    <w:rsid w:val="00BE424C"/>
    <w:rsid w:val="00BF5CC9"/>
    <w:rsid w:val="00C036A5"/>
    <w:rsid w:val="00C065A3"/>
    <w:rsid w:val="00C14327"/>
    <w:rsid w:val="00C22967"/>
    <w:rsid w:val="00C35333"/>
    <w:rsid w:val="00C411C9"/>
    <w:rsid w:val="00C55EEF"/>
    <w:rsid w:val="00C55FDF"/>
    <w:rsid w:val="00C5739F"/>
    <w:rsid w:val="00C80F58"/>
    <w:rsid w:val="00C87FCA"/>
    <w:rsid w:val="00CA1B0C"/>
    <w:rsid w:val="00CA7795"/>
    <w:rsid w:val="00CA7F40"/>
    <w:rsid w:val="00CB3C7E"/>
    <w:rsid w:val="00D03314"/>
    <w:rsid w:val="00D06A0F"/>
    <w:rsid w:val="00D415EE"/>
    <w:rsid w:val="00D57813"/>
    <w:rsid w:val="00D8003D"/>
    <w:rsid w:val="00D82047"/>
    <w:rsid w:val="00DB3886"/>
    <w:rsid w:val="00DB6D34"/>
    <w:rsid w:val="00DD4E02"/>
    <w:rsid w:val="00DE08C1"/>
    <w:rsid w:val="00DF2970"/>
    <w:rsid w:val="00DF303A"/>
    <w:rsid w:val="00E0467F"/>
    <w:rsid w:val="00E0505F"/>
    <w:rsid w:val="00E07F07"/>
    <w:rsid w:val="00E228BC"/>
    <w:rsid w:val="00E30B60"/>
    <w:rsid w:val="00E33F35"/>
    <w:rsid w:val="00E35862"/>
    <w:rsid w:val="00E41E94"/>
    <w:rsid w:val="00E55C69"/>
    <w:rsid w:val="00E57D4D"/>
    <w:rsid w:val="00E6492F"/>
    <w:rsid w:val="00E65691"/>
    <w:rsid w:val="00E91FA1"/>
    <w:rsid w:val="00E944E2"/>
    <w:rsid w:val="00E9512E"/>
    <w:rsid w:val="00EA6F17"/>
    <w:rsid w:val="00EB0712"/>
    <w:rsid w:val="00EC12D0"/>
    <w:rsid w:val="00EC2355"/>
    <w:rsid w:val="00EC6290"/>
    <w:rsid w:val="00ED76D9"/>
    <w:rsid w:val="00EF2051"/>
    <w:rsid w:val="00F00A19"/>
    <w:rsid w:val="00F444A5"/>
    <w:rsid w:val="00F6169F"/>
    <w:rsid w:val="00F62C7E"/>
    <w:rsid w:val="00F804CC"/>
    <w:rsid w:val="00F82A83"/>
    <w:rsid w:val="00F83B3D"/>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oopramanian\Local%20Settings\Temporary%20Internet%20Files\Content.MSO\3B5E8AC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00F66-C11F-442E-A200-A6BCAF9B9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3B5E8AC2</Template>
  <TotalTime>0</TotalTime>
  <Pages>5</Pages>
  <Words>1065</Words>
  <Characters>6071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m.soopramanian</dc:creator>
  <cp:lastModifiedBy>Telma</cp:lastModifiedBy>
  <cp:revision>2</cp:revision>
  <cp:lastPrinted>2014-10-29T10:54:00Z</cp:lastPrinted>
  <dcterms:created xsi:type="dcterms:W3CDTF">2014-11-20T05:54:00Z</dcterms:created>
  <dcterms:modified xsi:type="dcterms:W3CDTF">2014-11-20T05:54:00Z</dcterms:modified>
</cp:coreProperties>
</file>