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p w:rsidR="00E94E48" w:rsidRDefault="00E83A3A" w:rsidP="00E94E48">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E94E48" w:rsidRPr="0096251D">
        <w:rPr>
          <w:b/>
          <w:sz w:val="24"/>
          <w:szCs w:val="24"/>
        </w:rPr>
        <w:instrText xml:space="preserve"> FORMTEXT </w:instrText>
      </w:r>
      <w:r w:rsidRPr="0096251D">
        <w:rPr>
          <w:b/>
          <w:sz w:val="24"/>
          <w:szCs w:val="24"/>
        </w:rPr>
      </w:r>
      <w:r w:rsidRPr="0096251D">
        <w:rPr>
          <w:b/>
          <w:sz w:val="24"/>
          <w:szCs w:val="24"/>
        </w:rPr>
        <w:fldChar w:fldCharType="separate"/>
      </w:r>
      <w:r w:rsidR="000A2B20">
        <w:rPr>
          <w:b/>
          <w:sz w:val="24"/>
          <w:szCs w:val="24"/>
        </w:rPr>
        <w:t> </w:t>
      </w:r>
      <w:r w:rsidR="000A2B20">
        <w:rPr>
          <w:b/>
          <w:sz w:val="24"/>
          <w:szCs w:val="24"/>
        </w:rPr>
        <w:t> </w:t>
      </w:r>
      <w:r w:rsidR="000A2B20">
        <w:rPr>
          <w:b/>
          <w:sz w:val="24"/>
          <w:szCs w:val="24"/>
        </w:rPr>
        <w:t> </w:t>
      </w:r>
      <w:r w:rsidR="000A2B20">
        <w:rPr>
          <w:b/>
          <w:sz w:val="24"/>
          <w:szCs w:val="24"/>
        </w:rPr>
        <w:t> </w:t>
      </w:r>
      <w:r w:rsidR="000A2B20">
        <w:rPr>
          <w:b/>
          <w:sz w:val="24"/>
          <w:szCs w:val="24"/>
        </w:rPr>
        <w:t> </w:t>
      </w:r>
      <w:r w:rsidRPr="0096251D">
        <w:rPr>
          <w:b/>
          <w:sz w:val="24"/>
          <w:szCs w:val="24"/>
        </w:rPr>
        <w:fldChar w:fldCharType="end"/>
      </w:r>
      <w:bookmarkEnd w:id="0"/>
    </w:p>
    <w:bookmarkStart w:id="1" w:name="Text42"/>
    <w:p w:rsidR="00E94E48" w:rsidRPr="00B938BB" w:rsidRDefault="00E83A3A" w:rsidP="00E94E48">
      <w:pPr>
        <w:jc w:val="center"/>
        <w:rPr>
          <w:i/>
          <w:sz w:val="24"/>
          <w:szCs w:val="24"/>
        </w:rPr>
      </w:pPr>
      <w:r>
        <w:rPr>
          <w:i/>
          <w:sz w:val="24"/>
          <w:szCs w:val="24"/>
        </w:rPr>
        <w:fldChar w:fldCharType="begin">
          <w:ffData>
            <w:name w:val="Text42"/>
            <w:enabled/>
            <w:calcOnExit w:val="0"/>
            <w:textInput>
              <w:default w:val="[Names of parties/witnesses/places etc] in this [order/ruling] not to be published in any form without prior written authorisation of the Court"/>
            </w:textInput>
          </w:ffData>
        </w:fldChar>
      </w:r>
      <w:r w:rsidR="00B444D1">
        <w:rPr>
          <w:i/>
          <w:sz w:val="24"/>
          <w:szCs w:val="24"/>
        </w:rPr>
        <w:instrText xml:space="preserve"> FORMTEXT </w:instrText>
      </w:r>
      <w:r>
        <w:rPr>
          <w:i/>
          <w:sz w:val="24"/>
          <w:szCs w:val="24"/>
        </w:rPr>
      </w:r>
      <w:r>
        <w:rPr>
          <w:i/>
          <w:sz w:val="24"/>
          <w:szCs w:val="24"/>
        </w:rPr>
        <w:fldChar w:fldCharType="separate"/>
      </w:r>
      <w:r w:rsidR="000A2B20">
        <w:rPr>
          <w:i/>
          <w:sz w:val="24"/>
          <w:szCs w:val="24"/>
        </w:rPr>
        <w:t> </w:t>
      </w:r>
      <w:r w:rsidR="000A2B20">
        <w:rPr>
          <w:i/>
          <w:sz w:val="24"/>
          <w:szCs w:val="24"/>
        </w:rPr>
        <w:t> </w:t>
      </w:r>
      <w:r w:rsidR="000A2B20">
        <w:rPr>
          <w:i/>
          <w:sz w:val="24"/>
          <w:szCs w:val="24"/>
        </w:rPr>
        <w:t> </w:t>
      </w:r>
      <w:r w:rsidR="000A2B20">
        <w:rPr>
          <w:i/>
          <w:sz w:val="24"/>
          <w:szCs w:val="24"/>
        </w:rPr>
        <w:t> </w:t>
      </w:r>
      <w:r w:rsidR="000A2B20">
        <w:rPr>
          <w:i/>
          <w:sz w:val="24"/>
          <w:szCs w:val="24"/>
        </w:rPr>
        <w:t> </w:t>
      </w:r>
      <w:r>
        <w:rPr>
          <w:i/>
          <w:sz w:val="24"/>
          <w:szCs w:val="24"/>
        </w:rPr>
        <w:fldChar w:fldCharType="end"/>
      </w:r>
      <w:bookmarkEnd w:id="1"/>
    </w:p>
    <w:p w:rsidR="00E94E48" w:rsidRDefault="00E94E48"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r w:rsidR="006A2C88">
        <w:rPr>
          <w:b/>
          <w:sz w:val="28"/>
          <w:szCs w:val="28"/>
        </w:rPr>
        <w:t xml:space="preserve">MA </w:t>
      </w:r>
      <w:r w:rsidR="00E83A3A">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E83A3A">
        <w:rPr>
          <w:b/>
          <w:sz w:val="28"/>
          <w:szCs w:val="28"/>
        </w:rPr>
      </w:r>
      <w:r w:rsidR="00E83A3A">
        <w:rPr>
          <w:b/>
          <w:sz w:val="28"/>
          <w:szCs w:val="28"/>
        </w:rPr>
        <w:fldChar w:fldCharType="separate"/>
      </w:r>
      <w:r w:rsidR="000A2B20">
        <w:rPr>
          <w:b/>
          <w:noProof/>
          <w:sz w:val="28"/>
          <w:szCs w:val="28"/>
        </w:rPr>
        <w:t>235</w:t>
      </w:r>
      <w:r w:rsidR="00E83A3A">
        <w:rPr>
          <w:b/>
          <w:sz w:val="28"/>
          <w:szCs w:val="28"/>
        </w:rPr>
        <w:fldChar w:fldCharType="end"/>
      </w:r>
      <w:bookmarkEnd w:id="2"/>
      <w:r w:rsidRPr="00B75AE2">
        <w:rPr>
          <w:b/>
          <w:sz w:val="28"/>
          <w:szCs w:val="28"/>
        </w:rPr>
        <w:t>/</w:t>
      </w:r>
      <w:r w:rsidR="00C87FCA" w:rsidRPr="00B75AE2">
        <w:rPr>
          <w:b/>
          <w:sz w:val="28"/>
          <w:szCs w:val="28"/>
        </w:rPr>
        <w:t>20</w:t>
      </w:r>
      <w:r w:rsidR="00E83A3A"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E83A3A" w:rsidRPr="00B75AE2">
        <w:rPr>
          <w:b/>
          <w:sz w:val="28"/>
          <w:szCs w:val="28"/>
        </w:rPr>
      </w:r>
      <w:r w:rsidR="00E83A3A" w:rsidRPr="00B75AE2">
        <w:rPr>
          <w:b/>
          <w:sz w:val="28"/>
          <w:szCs w:val="28"/>
        </w:rPr>
        <w:fldChar w:fldCharType="separate"/>
      </w:r>
      <w:r w:rsidR="000A2B20">
        <w:rPr>
          <w:b/>
          <w:noProof/>
          <w:sz w:val="28"/>
          <w:szCs w:val="28"/>
        </w:rPr>
        <w:t>13</w:t>
      </w:r>
      <w:r w:rsidR="00E83A3A" w:rsidRPr="00B75AE2">
        <w:rPr>
          <w:b/>
          <w:sz w:val="28"/>
          <w:szCs w:val="28"/>
        </w:rPr>
        <w:fldChar w:fldCharType="end"/>
      </w:r>
      <w:bookmarkEnd w:id="3"/>
    </w:p>
    <w:p w:rsidR="006A2C88" w:rsidRPr="006A2C88" w:rsidRDefault="006A2C88" w:rsidP="005460DE">
      <w:pPr>
        <w:spacing w:before="120"/>
        <w:jc w:val="center"/>
        <w:rPr>
          <w:b/>
          <w:sz w:val="24"/>
          <w:szCs w:val="24"/>
        </w:rPr>
      </w:pPr>
      <w:r w:rsidRPr="006A2C88">
        <w:rPr>
          <w:b/>
          <w:sz w:val="24"/>
          <w:szCs w:val="24"/>
        </w:rPr>
        <w:t>(</w:t>
      </w:r>
      <w:proofErr w:type="gramStart"/>
      <w:r w:rsidRPr="006A2C88">
        <w:rPr>
          <w:b/>
          <w:sz w:val="24"/>
          <w:szCs w:val="24"/>
        </w:rPr>
        <w:t>arising</w:t>
      </w:r>
      <w:proofErr w:type="gramEnd"/>
      <w:r w:rsidRPr="006A2C88">
        <w:rPr>
          <w:b/>
          <w:sz w:val="24"/>
          <w:szCs w:val="24"/>
        </w:rPr>
        <w:t xml:space="preserve"> in </w:t>
      </w:r>
      <w:bookmarkStart w:id="4" w:name="Dropdown15"/>
      <w:r w:rsidR="00E83A3A">
        <w:rPr>
          <w:b/>
          <w:sz w:val="24"/>
          <w:szCs w:val="24"/>
        </w:rPr>
        <w:fldChar w:fldCharType="begin">
          <w:ffData>
            <w:name w:val="Dropdown15"/>
            <w:enabled/>
            <w:calcOnExit w:val="0"/>
            <w:ddList>
              <w:listEntry w:val="CS"/>
              <w:listEntry w:val="DC"/>
              <w:listEntry w:val="XP"/>
              <w:listEntry w:val="CC"/>
              <w:listEntry w:val="CA"/>
            </w:ddList>
          </w:ffData>
        </w:fldChar>
      </w:r>
      <w:r w:rsidR="005460DE">
        <w:rPr>
          <w:b/>
          <w:sz w:val="24"/>
          <w:szCs w:val="24"/>
        </w:rPr>
        <w:instrText xml:space="preserve"> FORMDROPDOWN </w:instrText>
      </w:r>
      <w:r w:rsidR="00E83A3A">
        <w:rPr>
          <w:b/>
          <w:sz w:val="24"/>
          <w:szCs w:val="24"/>
        </w:rPr>
      </w:r>
      <w:r w:rsidR="00E83A3A">
        <w:rPr>
          <w:b/>
          <w:sz w:val="24"/>
          <w:szCs w:val="24"/>
        </w:rPr>
        <w:fldChar w:fldCharType="end"/>
      </w:r>
      <w:bookmarkEnd w:id="4"/>
      <w:r>
        <w:rPr>
          <w:b/>
          <w:sz w:val="24"/>
          <w:szCs w:val="24"/>
        </w:rPr>
        <w:t xml:space="preserve"> </w:t>
      </w:r>
      <w:r w:rsidR="00E83A3A">
        <w:rPr>
          <w:b/>
          <w:sz w:val="24"/>
          <w:szCs w:val="24"/>
        </w:rPr>
        <w:fldChar w:fldCharType="begin">
          <w:ffData>
            <w:name w:val="Text38"/>
            <w:enabled/>
            <w:calcOnExit w:val="0"/>
            <w:textInput/>
          </w:ffData>
        </w:fldChar>
      </w:r>
      <w:bookmarkStart w:id="5" w:name="Text38"/>
      <w:r>
        <w:rPr>
          <w:b/>
          <w:sz w:val="24"/>
          <w:szCs w:val="24"/>
        </w:rPr>
        <w:instrText xml:space="preserve"> FORMTEXT </w:instrText>
      </w:r>
      <w:r w:rsidR="00E83A3A">
        <w:rPr>
          <w:b/>
          <w:sz w:val="24"/>
          <w:szCs w:val="24"/>
        </w:rPr>
      </w:r>
      <w:r w:rsidR="00E83A3A">
        <w:rPr>
          <w:b/>
          <w:sz w:val="24"/>
          <w:szCs w:val="24"/>
        </w:rPr>
        <w:fldChar w:fldCharType="separate"/>
      </w:r>
      <w:r w:rsidR="000A2B20">
        <w:rPr>
          <w:b/>
          <w:noProof/>
          <w:sz w:val="24"/>
          <w:szCs w:val="24"/>
        </w:rPr>
        <w:t>157</w:t>
      </w:r>
      <w:r w:rsidR="00E83A3A">
        <w:rPr>
          <w:b/>
          <w:sz w:val="24"/>
          <w:szCs w:val="24"/>
        </w:rPr>
        <w:fldChar w:fldCharType="end"/>
      </w:r>
      <w:bookmarkEnd w:id="5"/>
      <w:r>
        <w:rPr>
          <w:b/>
          <w:sz w:val="24"/>
          <w:szCs w:val="24"/>
        </w:rPr>
        <w:t>/20</w:t>
      </w:r>
      <w:r w:rsidR="00E83A3A">
        <w:rPr>
          <w:b/>
          <w:sz w:val="24"/>
          <w:szCs w:val="24"/>
        </w:rPr>
        <w:fldChar w:fldCharType="begin">
          <w:ffData>
            <w:name w:val="Text39"/>
            <w:enabled/>
            <w:calcOnExit w:val="0"/>
            <w:textInput/>
          </w:ffData>
        </w:fldChar>
      </w:r>
      <w:bookmarkStart w:id="6" w:name="Text39"/>
      <w:r>
        <w:rPr>
          <w:b/>
          <w:sz w:val="24"/>
          <w:szCs w:val="24"/>
        </w:rPr>
        <w:instrText xml:space="preserve"> FORMTEXT </w:instrText>
      </w:r>
      <w:r w:rsidR="00E83A3A">
        <w:rPr>
          <w:b/>
          <w:sz w:val="24"/>
          <w:szCs w:val="24"/>
        </w:rPr>
      </w:r>
      <w:r w:rsidR="00E83A3A">
        <w:rPr>
          <w:b/>
          <w:sz w:val="24"/>
          <w:szCs w:val="24"/>
        </w:rPr>
        <w:fldChar w:fldCharType="separate"/>
      </w:r>
      <w:r w:rsidR="000A2B20">
        <w:rPr>
          <w:b/>
          <w:noProof/>
          <w:sz w:val="24"/>
          <w:szCs w:val="24"/>
        </w:rPr>
        <w:t>11</w:t>
      </w:r>
      <w:r w:rsidR="00E83A3A">
        <w:rPr>
          <w:b/>
          <w:sz w:val="24"/>
          <w:szCs w:val="24"/>
        </w:rPr>
        <w:fldChar w:fldCharType="end"/>
      </w:r>
      <w:bookmarkEnd w:id="6"/>
      <w:r>
        <w:rPr>
          <w:b/>
          <w:sz w:val="24"/>
          <w:szCs w:val="24"/>
        </w:rPr>
        <w:t>)</w:t>
      </w:r>
    </w:p>
    <w:p w:rsidR="00A53837" w:rsidRPr="00606EEA" w:rsidRDefault="00E83A3A"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E3237" w:rsidP="00AE3237">
      <w:pPr>
        <w:spacing w:before="240" w:after="160"/>
        <w:ind w:left="6480"/>
        <w:rPr>
          <w:b/>
          <w:sz w:val="24"/>
          <w:szCs w:val="24"/>
        </w:rPr>
      </w:pPr>
      <w:r>
        <w:rPr>
          <w:b/>
          <w:sz w:val="24"/>
          <w:szCs w:val="24"/>
        </w:rPr>
        <w:t xml:space="preserve">       </w:t>
      </w:r>
      <w:r w:rsidR="00DB6D34" w:rsidRPr="00606EEA">
        <w:rPr>
          <w:b/>
          <w:sz w:val="24"/>
          <w:szCs w:val="24"/>
        </w:rPr>
        <w:t>[201</w:t>
      </w:r>
      <w:r w:rsidR="00E83A3A">
        <w:rPr>
          <w:b/>
          <w:sz w:val="24"/>
          <w:szCs w:val="24"/>
        </w:rPr>
        <w:fldChar w:fldCharType="begin">
          <w:ffData>
            <w:name w:val="Text4"/>
            <w:enabled/>
            <w:calcOnExit w:val="0"/>
            <w:textInput/>
          </w:ffData>
        </w:fldChar>
      </w:r>
      <w:bookmarkStart w:id="7" w:name="Text4"/>
      <w:r w:rsidR="006578C2">
        <w:rPr>
          <w:b/>
          <w:sz w:val="24"/>
          <w:szCs w:val="24"/>
        </w:rPr>
        <w:instrText xml:space="preserve"> FORMTEXT </w:instrText>
      </w:r>
      <w:r w:rsidR="00E83A3A">
        <w:rPr>
          <w:b/>
          <w:sz w:val="24"/>
          <w:szCs w:val="24"/>
        </w:rPr>
      </w:r>
      <w:r w:rsidR="00E83A3A">
        <w:rPr>
          <w:b/>
          <w:sz w:val="24"/>
          <w:szCs w:val="24"/>
        </w:rPr>
        <w:fldChar w:fldCharType="separate"/>
      </w:r>
      <w:r w:rsidR="000A2B20">
        <w:rPr>
          <w:b/>
          <w:noProof/>
          <w:sz w:val="24"/>
          <w:szCs w:val="24"/>
        </w:rPr>
        <w:t>4</w:t>
      </w:r>
      <w:r w:rsidR="00E83A3A">
        <w:rPr>
          <w:b/>
          <w:sz w:val="24"/>
          <w:szCs w:val="24"/>
        </w:rPr>
        <w:fldChar w:fldCharType="end"/>
      </w:r>
      <w:bookmarkEnd w:id="7"/>
      <w:r w:rsidR="00E83A3A">
        <w:rPr>
          <w:b/>
          <w:sz w:val="24"/>
          <w:szCs w:val="24"/>
        </w:rPr>
        <w:fldChar w:fldCharType="begin"/>
      </w:r>
      <w:r w:rsidR="003F0F8D">
        <w:rPr>
          <w:b/>
          <w:sz w:val="24"/>
          <w:szCs w:val="24"/>
        </w:rPr>
        <w:instrText xml:space="preserve">  </w:instrText>
      </w:r>
      <w:r w:rsidR="00E83A3A">
        <w:rPr>
          <w:b/>
          <w:sz w:val="24"/>
          <w:szCs w:val="24"/>
        </w:rPr>
        <w:fldChar w:fldCharType="end"/>
      </w:r>
      <w:r w:rsidR="00DB6D34" w:rsidRPr="00606EEA">
        <w:rPr>
          <w:b/>
          <w:sz w:val="24"/>
          <w:szCs w:val="24"/>
        </w:rPr>
        <w:t>] SCSC</w:t>
      </w:r>
      <w:r>
        <w:rPr>
          <w:b/>
          <w:sz w:val="24"/>
          <w:szCs w:val="24"/>
        </w:rPr>
        <w:t xml:space="preserve"> </w:t>
      </w:r>
      <w:r w:rsidR="00E83A3A">
        <w:rPr>
          <w:b/>
          <w:sz w:val="24"/>
          <w:szCs w:val="24"/>
        </w:rPr>
        <w:fldChar w:fldCharType="begin">
          <w:ffData>
            <w:name w:val="Text43"/>
            <w:enabled/>
            <w:calcOnExit w:val="0"/>
            <w:textInput/>
          </w:ffData>
        </w:fldChar>
      </w:r>
      <w:bookmarkStart w:id="8" w:name="Text43"/>
      <w:r>
        <w:rPr>
          <w:b/>
          <w:sz w:val="24"/>
          <w:szCs w:val="24"/>
        </w:rPr>
        <w:instrText xml:space="preserve"> FORMTEXT </w:instrText>
      </w:r>
      <w:r w:rsidR="00E83A3A">
        <w:rPr>
          <w:b/>
          <w:sz w:val="24"/>
          <w:szCs w:val="24"/>
        </w:rPr>
      </w:r>
      <w:r w:rsidR="00E83A3A">
        <w:rPr>
          <w:b/>
          <w:sz w:val="24"/>
          <w:szCs w:val="24"/>
        </w:rPr>
        <w:fldChar w:fldCharType="separate"/>
      </w:r>
      <w:r w:rsidR="00631B53">
        <w:rPr>
          <w:b/>
          <w:noProof/>
          <w:sz w:val="24"/>
          <w:szCs w:val="24"/>
        </w:rPr>
        <w:t>64</w:t>
      </w:r>
      <w:r w:rsidR="00E83A3A">
        <w:rPr>
          <w:b/>
          <w:sz w:val="24"/>
          <w:szCs w:val="24"/>
        </w:rPr>
        <w:fldChar w:fldCharType="end"/>
      </w:r>
      <w:bookmarkEnd w:id="8"/>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9" w:name="Text20"/>
    <w:p w:rsidR="00FB2453" w:rsidRPr="00B119B1" w:rsidRDefault="00E83A3A"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0A2B20">
        <w:rPr>
          <w:b/>
          <w:sz w:val="24"/>
          <w:szCs w:val="24"/>
        </w:rPr>
        <w:t>HEDGE FUNDS INVESTMENT MANAGEMENT LTD</w:t>
      </w:r>
      <w:r w:rsidRPr="00B119B1">
        <w:rPr>
          <w:b/>
          <w:sz w:val="24"/>
          <w:szCs w:val="24"/>
        </w:rPr>
        <w:fldChar w:fldCharType="end"/>
      </w:r>
      <w:bookmarkEnd w:id="9"/>
    </w:p>
    <w:bookmarkStart w:id="10" w:name="Dropdown13"/>
    <w:p w:rsidR="00B40898" w:rsidRDefault="00E83A3A" w:rsidP="00B40898">
      <w:pPr>
        <w:spacing w:after="240"/>
        <w:jc w:val="center"/>
        <w:rPr>
          <w:sz w:val="24"/>
          <w:szCs w:val="24"/>
        </w:rPr>
        <w:sectPr w:rsidR="00B40898" w:rsidSect="00EF2051">
          <w:footerReference w:type="default" r:id="rId9"/>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result w:val="2"/>
              <w:listEntry w:val="Petitioner"/>
              <w:listEntry w:val="First Petitioner"/>
              <w:listEntry w:val="Applicant"/>
              <w:listEntry w:val="First Applicant"/>
            </w:ddList>
          </w:ffData>
        </w:fldChar>
      </w:r>
      <w:r w:rsidR="00B0414B">
        <w:rPr>
          <w:sz w:val="24"/>
          <w:szCs w:val="24"/>
        </w:rPr>
        <w:instrText xml:space="preserve"> FORMDROPDOWN </w:instrText>
      </w:r>
      <w:r>
        <w:rPr>
          <w:sz w:val="24"/>
          <w:szCs w:val="24"/>
        </w:rPr>
      </w:r>
      <w:r>
        <w:rPr>
          <w:sz w:val="24"/>
          <w:szCs w:val="24"/>
        </w:rPr>
        <w:fldChar w:fldCharType="end"/>
      </w:r>
      <w:bookmarkEnd w:id="10"/>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11" w:name="Text22"/>
    <w:p w:rsidR="00B119B1" w:rsidRDefault="00E83A3A"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0A2B20">
        <w:rPr>
          <w:b/>
          <w:noProof/>
          <w:sz w:val="24"/>
          <w:szCs w:val="24"/>
        </w:rPr>
        <w:t>RAMINDER PANESAR</w:t>
      </w:r>
      <w:r w:rsidRPr="00B119B1">
        <w:rPr>
          <w:b/>
          <w:sz w:val="24"/>
          <w:szCs w:val="24"/>
        </w:rPr>
        <w:fldChar w:fldCharType="end"/>
      </w:r>
      <w:bookmarkEnd w:id="11"/>
    </w:p>
    <w:bookmarkStart w:id="12" w:name="Dropdown14"/>
    <w:p w:rsidR="00B40898" w:rsidRDefault="00E83A3A"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result w:val="1"/>
              <w:listEntry w:val="Respondent"/>
              <w:listEntry w:val="First Respondent"/>
            </w:ddList>
          </w:ffData>
        </w:fldChar>
      </w:r>
      <w:r w:rsidR="006A2C88">
        <w:rPr>
          <w:sz w:val="24"/>
          <w:szCs w:val="24"/>
        </w:rPr>
        <w:instrText xml:space="preserve"> FORMDROPDOWN </w:instrText>
      </w:r>
      <w:r>
        <w:rPr>
          <w:sz w:val="24"/>
          <w:szCs w:val="24"/>
        </w:rPr>
      </w:r>
      <w:r>
        <w:rPr>
          <w:sz w:val="24"/>
          <w:szCs w:val="24"/>
        </w:rPr>
        <w:fldChar w:fldCharType="end"/>
      </w:r>
      <w:bookmarkEnd w:id="12"/>
    </w:p>
    <w:p w:rsidR="000A2B20" w:rsidRDefault="000A2B20" w:rsidP="000A2B20">
      <w:pPr>
        <w:jc w:val="center"/>
        <w:rPr>
          <w:b/>
          <w:sz w:val="24"/>
          <w:szCs w:val="24"/>
        </w:rPr>
      </w:pPr>
      <w:r>
        <w:rPr>
          <w:b/>
          <w:sz w:val="24"/>
          <w:szCs w:val="24"/>
        </w:rPr>
        <w:lastRenderedPageBreak/>
        <w:t>ASHLEY FRENCH</w:t>
      </w:r>
    </w:p>
    <w:p w:rsidR="000A2B20" w:rsidRDefault="000A2B20" w:rsidP="00951EC0">
      <w:pPr>
        <w:jc w:val="center"/>
        <w:rPr>
          <w:sz w:val="24"/>
          <w:szCs w:val="24"/>
        </w:rPr>
      </w:pPr>
      <w:r>
        <w:rPr>
          <w:sz w:val="24"/>
          <w:szCs w:val="24"/>
        </w:rPr>
        <w:t>Second Respondent</w:t>
      </w:r>
    </w:p>
    <w:p w:rsidR="000A2B20" w:rsidRDefault="000A2B20" w:rsidP="000A2B20">
      <w:pPr>
        <w:rPr>
          <w:sz w:val="24"/>
          <w:szCs w:val="24"/>
        </w:rPr>
      </w:pPr>
    </w:p>
    <w:p w:rsidR="000A2B20" w:rsidRPr="000A2B20" w:rsidRDefault="000A2B20" w:rsidP="000A2B20">
      <w:pPr>
        <w:jc w:val="center"/>
        <w:rPr>
          <w:b/>
          <w:sz w:val="24"/>
          <w:szCs w:val="24"/>
        </w:rPr>
      </w:pPr>
      <w:r>
        <w:rPr>
          <w:b/>
          <w:sz w:val="24"/>
          <w:szCs w:val="24"/>
        </w:rPr>
        <w:t>HEDGEINTRO INTERNATIONAL LTD</w:t>
      </w:r>
    </w:p>
    <w:p w:rsidR="000A2B20" w:rsidRPr="000A2B20" w:rsidRDefault="000A2B20" w:rsidP="000A2B20">
      <w:pPr>
        <w:jc w:val="center"/>
        <w:rPr>
          <w:sz w:val="24"/>
          <w:szCs w:val="24"/>
        </w:rPr>
        <w:sectPr w:rsidR="000A2B20" w:rsidRPr="000A2B20" w:rsidSect="00EF2051">
          <w:type w:val="continuous"/>
          <w:pgSz w:w="12240" w:h="15840"/>
          <w:pgMar w:top="1440" w:right="1440" w:bottom="1440" w:left="1440" w:header="720" w:footer="720" w:gutter="0"/>
          <w:cols w:space="720"/>
          <w:formProt w:val="0"/>
          <w:docGrid w:linePitch="360"/>
        </w:sectPr>
      </w:pPr>
      <w:r>
        <w:rPr>
          <w:sz w:val="24"/>
          <w:szCs w:val="24"/>
        </w:rPr>
        <w:t>Third Respondent</w:t>
      </w:r>
    </w:p>
    <w:p w:rsidR="00E0467F" w:rsidRPr="00B605B4" w:rsidRDefault="00E0467F" w:rsidP="00E57D4D">
      <w:pPr>
        <w:pBdr>
          <w:bottom w:val="single" w:sz="4" w:space="1" w:color="auto"/>
        </w:pBdr>
        <w:jc w:val="center"/>
        <w:rPr>
          <w:sz w:val="12"/>
          <w:szCs w:val="12"/>
        </w:rPr>
      </w:pPr>
    </w:p>
    <w:p w:rsidR="00E0467F" w:rsidRPr="00E0467F" w:rsidRDefault="00E83A3A" w:rsidP="00C22967">
      <w:pPr>
        <w:spacing w:before="240" w:after="120"/>
        <w:rPr>
          <w:sz w:val="24"/>
          <w:szCs w:val="24"/>
        </w:rPr>
      </w:pPr>
      <w:r>
        <w:rPr>
          <w:sz w:val="24"/>
          <w:szCs w:val="24"/>
        </w:rPr>
        <w:fldChar w:fldCharType="begin"/>
      </w:r>
      <w:r w:rsidR="003F0F8D">
        <w:rPr>
          <w:sz w:val="24"/>
          <w:szCs w:val="24"/>
        </w:rPr>
        <w:instrText xml:space="preserve">  </w:instrText>
      </w:r>
      <w:r>
        <w:rPr>
          <w:sz w:val="24"/>
          <w:szCs w:val="24"/>
        </w:rPr>
        <w:fldChar w:fldCharType="end"/>
      </w:r>
    </w:p>
    <w:p w:rsidR="005F5FB0" w:rsidRDefault="00E0467F" w:rsidP="00B0414B">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0A2B20">
        <w:rPr>
          <w:sz w:val="24"/>
          <w:szCs w:val="24"/>
        </w:rPr>
        <w:t xml:space="preserve">Mr. </w:t>
      </w:r>
      <w:r w:rsidR="00DA666B">
        <w:rPr>
          <w:sz w:val="24"/>
          <w:szCs w:val="24"/>
        </w:rPr>
        <w:t xml:space="preserve">S. Rouillon </w:t>
      </w:r>
      <w:r w:rsidR="009E05E5">
        <w:rPr>
          <w:sz w:val="24"/>
          <w:szCs w:val="24"/>
        </w:rPr>
        <w:t xml:space="preserve">for </w:t>
      </w:r>
      <w:bookmarkStart w:id="13" w:name="Dropdown11"/>
      <w:r w:rsidR="00E83A3A">
        <w:rPr>
          <w:sz w:val="24"/>
          <w:szCs w:val="24"/>
        </w:rPr>
        <w:fldChar w:fldCharType="begin">
          <w:ffData>
            <w:name w:val="Dropdown11"/>
            <w:enabled/>
            <w:calcOnExit w:val="0"/>
            <w:ddList>
              <w:result w:val="3"/>
              <w:listEntry w:val="petitioner"/>
              <w:listEntry w:val="first petitioner"/>
              <w:listEntry w:val="petitioners"/>
              <w:listEntry w:val="applicant"/>
              <w:listEntry w:val="first applicant"/>
              <w:listEntry w:val="applicants"/>
            </w:ddList>
          </w:ffData>
        </w:fldChar>
      </w:r>
      <w:r w:rsidR="00B0414B">
        <w:rPr>
          <w:sz w:val="24"/>
          <w:szCs w:val="24"/>
        </w:rPr>
        <w:instrText xml:space="preserve"> FORMDROPDOWN </w:instrText>
      </w:r>
      <w:r w:rsidR="00E83A3A">
        <w:rPr>
          <w:sz w:val="24"/>
          <w:szCs w:val="24"/>
        </w:rPr>
      </w:r>
      <w:r w:rsidR="00E83A3A">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83A3A">
        <w:rPr>
          <w:sz w:val="24"/>
          <w:szCs w:val="24"/>
        </w:rPr>
        <w:fldChar w:fldCharType="begin">
          <w:ffData>
            <w:name w:val="Text36"/>
            <w:enabled/>
            <w:calcOnExit w:val="0"/>
            <w:textInput/>
          </w:ffData>
        </w:fldChar>
      </w:r>
      <w:bookmarkStart w:id="14" w:name="Text36"/>
      <w:r>
        <w:rPr>
          <w:sz w:val="24"/>
          <w:szCs w:val="24"/>
        </w:rPr>
        <w:instrText xml:space="preserve"> FORMTEXT </w:instrText>
      </w:r>
      <w:r w:rsidR="00E83A3A">
        <w:rPr>
          <w:sz w:val="24"/>
          <w:szCs w:val="24"/>
        </w:rPr>
      </w:r>
      <w:r w:rsidR="00E83A3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E83A3A">
        <w:rPr>
          <w:sz w:val="24"/>
          <w:szCs w:val="24"/>
        </w:rPr>
        <w:fldChar w:fldCharType="end"/>
      </w:r>
      <w:bookmarkEnd w:id="14"/>
    </w:p>
    <w:p w:rsidR="00DA666B" w:rsidRDefault="00DA666B" w:rsidP="00A53837">
      <w:pPr>
        <w:rPr>
          <w:sz w:val="24"/>
          <w:szCs w:val="24"/>
        </w:rPr>
      </w:pPr>
      <w:r>
        <w:rPr>
          <w:sz w:val="24"/>
          <w:szCs w:val="24"/>
        </w:rPr>
        <w:lastRenderedPageBreak/>
        <w:tab/>
      </w:r>
      <w:r>
        <w:rPr>
          <w:sz w:val="24"/>
          <w:szCs w:val="24"/>
        </w:rPr>
        <w:tab/>
      </w:r>
      <w:r>
        <w:rPr>
          <w:sz w:val="24"/>
          <w:szCs w:val="24"/>
        </w:rPr>
        <w:tab/>
        <w:t>Mr. J. Renaud for the 1</w:t>
      </w:r>
      <w:r w:rsidRPr="00DA666B">
        <w:rPr>
          <w:sz w:val="24"/>
          <w:szCs w:val="24"/>
          <w:vertAlign w:val="superscript"/>
        </w:rPr>
        <w:t>st</w:t>
      </w:r>
      <w:r>
        <w:rPr>
          <w:sz w:val="24"/>
          <w:szCs w:val="24"/>
        </w:rPr>
        <w:t xml:space="preserve"> Respondent</w:t>
      </w:r>
      <w:r w:rsidR="009E05E5">
        <w:rPr>
          <w:sz w:val="24"/>
          <w:szCs w:val="24"/>
        </w:rPr>
        <w:tab/>
      </w:r>
      <w:r w:rsidR="009E05E5">
        <w:rPr>
          <w:sz w:val="24"/>
          <w:szCs w:val="24"/>
        </w:rPr>
        <w:tab/>
      </w:r>
      <w:r w:rsidR="009E05E5">
        <w:rPr>
          <w:sz w:val="24"/>
          <w:szCs w:val="24"/>
        </w:rPr>
        <w:tab/>
      </w:r>
    </w:p>
    <w:p w:rsidR="00DA666B" w:rsidRDefault="000A2B20" w:rsidP="005F1FC0">
      <w:pPr>
        <w:ind w:left="1440" w:firstLine="720"/>
        <w:rPr>
          <w:sz w:val="24"/>
          <w:szCs w:val="24"/>
        </w:rPr>
      </w:pPr>
      <w:r>
        <w:rPr>
          <w:sz w:val="24"/>
          <w:szCs w:val="24"/>
        </w:rPr>
        <w:t>Mr. A. Derjacques</w:t>
      </w:r>
      <w:r w:rsidR="00E83A3A">
        <w:rPr>
          <w:sz w:val="24"/>
          <w:szCs w:val="24"/>
        </w:rPr>
        <w:fldChar w:fldCharType="begin"/>
      </w:r>
      <w:r w:rsidR="00F804CC">
        <w:rPr>
          <w:sz w:val="24"/>
          <w:szCs w:val="24"/>
        </w:rPr>
        <w:instrText xml:space="preserve"> ASK  "Enter Respondent Lawyer Full Name"  \* MERGEFORMAT </w:instrText>
      </w:r>
      <w:r w:rsidR="00E83A3A">
        <w:rPr>
          <w:sz w:val="24"/>
          <w:szCs w:val="24"/>
        </w:rPr>
        <w:fldChar w:fldCharType="end"/>
      </w:r>
      <w:r w:rsidR="00E83A3A">
        <w:rPr>
          <w:sz w:val="24"/>
          <w:szCs w:val="24"/>
        </w:rPr>
        <w:fldChar w:fldCharType="begin"/>
      </w:r>
      <w:r w:rsidR="003F0F8D">
        <w:rPr>
          <w:sz w:val="24"/>
          <w:szCs w:val="24"/>
        </w:rPr>
        <w:instrText xml:space="preserve">  </w:instrText>
      </w:r>
      <w:r w:rsidR="00E83A3A">
        <w:rPr>
          <w:sz w:val="24"/>
          <w:szCs w:val="24"/>
        </w:rPr>
        <w:fldChar w:fldCharType="end"/>
      </w:r>
      <w:r w:rsidR="003F0F8D">
        <w:rPr>
          <w:sz w:val="24"/>
          <w:szCs w:val="24"/>
        </w:rPr>
        <w:t xml:space="preserve"> </w:t>
      </w:r>
      <w:r w:rsidR="009E05E5">
        <w:rPr>
          <w:sz w:val="24"/>
          <w:szCs w:val="24"/>
        </w:rPr>
        <w:t xml:space="preserve">for </w:t>
      </w:r>
      <w:bookmarkStart w:id="15" w:name="Dropdown12"/>
      <w:r w:rsidR="00DA666B">
        <w:rPr>
          <w:sz w:val="24"/>
          <w:szCs w:val="24"/>
        </w:rPr>
        <w:t>the 2</w:t>
      </w:r>
      <w:r w:rsidR="00DA666B" w:rsidRPr="00DA666B">
        <w:rPr>
          <w:sz w:val="24"/>
          <w:szCs w:val="24"/>
          <w:vertAlign w:val="superscript"/>
        </w:rPr>
        <w:t>nd</w:t>
      </w:r>
      <w:r w:rsidR="00DA666B">
        <w:rPr>
          <w:sz w:val="24"/>
          <w:szCs w:val="24"/>
        </w:rPr>
        <w:t xml:space="preserve"> </w:t>
      </w:r>
      <w:r w:rsidR="00E83A3A">
        <w:rPr>
          <w:sz w:val="24"/>
          <w:szCs w:val="24"/>
        </w:rPr>
        <w:fldChar w:fldCharType="begin">
          <w:ffData>
            <w:name w:val="Dropdown12"/>
            <w:enabled/>
            <w:calcOnExit w:val="0"/>
            <w:ddList>
              <w:listEntry w:val="respondent"/>
              <w:listEntry w:val="first respondent"/>
              <w:listEntry w:val="respondents"/>
            </w:ddList>
          </w:ffData>
        </w:fldChar>
      </w:r>
      <w:r w:rsidR="00CF77E2">
        <w:rPr>
          <w:sz w:val="24"/>
          <w:szCs w:val="24"/>
        </w:rPr>
        <w:instrText xml:space="preserve"> FORMDROPDOWN </w:instrText>
      </w:r>
      <w:r w:rsidR="00E83A3A">
        <w:rPr>
          <w:sz w:val="24"/>
          <w:szCs w:val="24"/>
        </w:rPr>
      </w:r>
      <w:r w:rsidR="00E83A3A">
        <w:rPr>
          <w:sz w:val="24"/>
          <w:szCs w:val="24"/>
        </w:rPr>
        <w:fldChar w:fldCharType="end"/>
      </w:r>
      <w:bookmarkEnd w:id="15"/>
    </w:p>
    <w:p w:rsidR="00DA666B" w:rsidRDefault="00DA666B" w:rsidP="00DA666B">
      <w:pPr>
        <w:rPr>
          <w:sz w:val="24"/>
          <w:szCs w:val="24"/>
        </w:rPr>
        <w:sectPr w:rsidR="00DA666B"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Pr>
          <w:sz w:val="24"/>
          <w:szCs w:val="24"/>
        </w:rPr>
        <w:tab/>
        <w:t>3</w:t>
      </w:r>
      <w:r w:rsidRPr="00DA666B">
        <w:rPr>
          <w:sz w:val="24"/>
          <w:szCs w:val="24"/>
          <w:vertAlign w:val="superscript"/>
        </w:rPr>
        <w:t>rd</w:t>
      </w:r>
      <w:r>
        <w:rPr>
          <w:sz w:val="24"/>
          <w:szCs w:val="24"/>
        </w:rPr>
        <w:t xml:space="preserve"> Respondent – Unrepresented</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E83A3A">
        <w:rPr>
          <w:sz w:val="24"/>
          <w:szCs w:val="24"/>
        </w:rPr>
        <w:fldChar w:fldCharType="begin">
          <w:ffData>
            <w:name w:val="Text37"/>
            <w:enabled/>
            <w:calcOnExit w:val="0"/>
            <w:textInput/>
          </w:ffData>
        </w:fldChar>
      </w:r>
      <w:bookmarkStart w:id="16" w:name="Text37"/>
      <w:r>
        <w:rPr>
          <w:sz w:val="24"/>
          <w:szCs w:val="24"/>
        </w:rPr>
        <w:instrText xml:space="preserve"> FORMTEXT </w:instrText>
      </w:r>
      <w:r w:rsidR="00E83A3A">
        <w:rPr>
          <w:sz w:val="24"/>
          <w:szCs w:val="24"/>
        </w:rPr>
      </w:r>
      <w:r w:rsidR="00E83A3A">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E83A3A">
        <w:rPr>
          <w:sz w:val="24"/>
          <w:szCs w:val="24"/>
        </w:rPr>
        <w:fldChar w:fldCharType="end"/>
      </w:r>
      <w:bookmarkEnd w:id="16"/>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7" w:name="Text26"/>
      <w:r w:rsidR="000A2B20">
        <w:rPr>
          <w:sz w:val="24"/>
          <w:szCs w:val="24"/>
        </w:rPr>
        <w:t>19 February 2014</w:t>
      </w:r>
      <w:r w:rsidR="00E83A3A">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E83A3A">
        <w:rPr>
          <w:sz w:val="24"/>
          <w:szCs w:val="24"/>
        </w:rPr>
      </w:r>
      <w:r w:rsidR="00E83A3A">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83A3A">
        <w:rPr>
          <w:sz w:val="24"/>
          <w:szCs w:val="24"/>
        </w:rPr>
        <w:fldChar w:fldCharType="end"/>
      </w:r>
      <w:bookmarkEnd w:id="17"/>
    </w:p>
    <w:p w:rsidR="00D06A0F" w:rsidRPr="00C87FCA" w:rsidRDefault="00D06A0F" w:rsidP="00E57D4D">
      <w:pPr>
        <w:pBdr>
          <w:top w:val="dotted" w:sz="4" w:space="1" w:color="auto"/>
          <w:bottom w:val="dotted" w:sz="4" w:space="1" w:color="auto"/>
        </w:pBdr>
        <w:jc w:val="center"/>
        <w:rPr>
          <w:sz w:val="24"/>
          <w:szCs w:val="24"/>
          <w:highlight w:val="lightGray"/>
        </w:rPr>
      </w:pPr>
      <w:bookmarkStart w:id="18" w:name="Dropdown2"/>
    </w:p>
    <w:bookmarkStart w:id="19" w:name="Dropdown8"/>
    <w:bookmarkEnd w:id="18"/>
    <w:p w:rsidR="00C87FCA" w:rsidRDefault="00E83A3A" w:rsidP="001E576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1"/>
              <w:listEntry w:val="ORDER"/>
              <w:listEntry w:val="RULING"/>
              <w:listEntry w:val="JUDGMENT BY CONSENT"/>
            </w:ddList>
          </w:ffData>
        </w:fldChar>
      </w:r>
      <w:r w:rsidR="001E576A">
        <w:rPr>
          <w:b/>
          <w:sz w:val="24"/>
          <w:szCs w:val="24"/>
        </w:rPr>
        <w:instrText xml:space="preserve"> FORMDROPDOWN </w:instrText>
      </w:r>
      <w:r>
        <w:rPr>
          <w:b/>
          <w:sz w:val="24"/>
          <w:szCs w:val="24"/>
        </w:rPr>
      </w:r>
      <w:r>
        <w:rPr>
          <w:b/>
          <w:sz w:val="24"/>
          <w:szCs w:val="24"/>
        </w:rPr>
        <w:fldChar w:fldCharType="end"/>
      </w:r>
      <w:bookmarkEnd w:id="19"/>
      <w:r w:rsidR="006A2C88">
        <w:rPr>
          <w:b/>
          <w:sz w:val="24"/>
          <w:szCs w:val="24"/>
        </w:rPr>
        <w:t xml:space="preserve"> ON </w:t>
      </w:r>
      <w:bookmarkStart w:id="20" w:name="Dropdown16"/>
      <w:r>
        <w:rPr>
          <w:b/>
          <w:sz w:val="24"/>
          <w:szCs w:val="24"/>
        </w:rPr>
        <w:fldChar w:fldCharType="begin">
          <w:ffData>
            <w:name w:val="Dropdown16"/>
            <w:enabled/>
            <w:calcOnExit w:val="0"/>
            <w:ddList>
              <w:listEntry w:val="MOTION"/>
              <w:listEntry w:val="PETITION"/>
            </w:ddList>
          </w:ffData>
        </w:fldChar>
      </w:r>
      <w:r w:rsidR="001E576A">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1" w:name="Dropdown9"/>
    <w:p w:rsidR="00C87FCA" w:rsidRDefault="00E83A3A"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A2B20" w:rsidRDefault="000A2B20" w:rsidP="000A2B20">
      <w:pPr>
        <w:spacing w:line="360" w:lineRule="auto"/>
        <w:jc w:val="both"/>
        <w:rPr>
          <w:rFonts w:ascii="Bookman Old Style" w:hAnsi="Bookman Old Style"/>
          <w:sz w:val="24"/>
          <w:szCs w:val="24"/>
        </w:rPr>
      </w:pPr>
    </w:p>
    <w:p w:rsidR="000A2B20" w:rsidRPr="00424700" w:rsidRDefault="000A2B20" w:rsidP="000A2B20">
      <w:pPr>
        <w:pStyle w:val="JudgmentText"/>
      </w:pPr>
      <w:r w:rsidRPr="00424700">
        <w:t>This is the ruling on the motion - dated the 30</w:t>
      </w:r>
      <w:r w:rsidRPr="00424700">
        <w:rPr>
          <w:vertAlign w:val="superscript"/>
        </w:rPr>
        <w:t>th</w:t>
      </w:r>
      <w:r w:rsidRPr="00424700">
        <w:t xml:space="preserve"> of September 2013 -filed by the applicant-</w:t>
      </w:r>
      <w:r>
        <w:t>c</w:t>
      </w:r>
      <w:r w:rsidRPr="00424700">
        <w:t>ompany “Hedge Funds Investment Management Limited” seeking leave to intervene in the instant suit</w:t>
      </w:r>
      <w:r>
        <w:t>,</w:t>
      </w:r>
      <w:r w:rsidRPr="00424700">
        <w:t xml:space="preserve"> Civil Side 157 of 2011.</w:t>
      </w:r>
    </w:p>
    <w:p w:rsidR="000A2B20" w:rsidRDefault="000A2B20" w:rsidP="000A2B20">
      <w:pPr>
        <w:spacing w:line="360" w:lineRule="auto"/>
        <w:jc w:val="both"/>
        <w:rPr>
          <w:rFonts w:ascii="Bookman Old Style" w:hAnsi="Bookman Old Style"/>
          <w:sz w:val="24"/>
          <w:szCs w:val="24"/>
        </w:rPr>
      </w:pPr>
    </w:p>
    <w:p w:rsidR="000A2B20" w:rsidRPr="00424700" w:rsidRDefault="000A2B20" w:rsidP="000A2B20">
      <w:pPr>
        <w:pStyle w:val="JudgmentText"/>
      </w:pPr>
      <w:r w:rsidRPr="00424700">
        <w:t xml:space="preserve">I </w:t>
      </w:r>
      <w:r>
        <w:t>meticulously</w:t>
      </w:r>
      <w:r w:rsidRPr="00424700">
        <w:t xml:space="preserve"> perused the affidavit of </w:t>
      </w:r>
      <w:proofErr w:type="spellStart"/>
      <w:r w:rsidRPr="00424700">
        <w:t>Tushar</w:t>
      </w:r>
      <w:proofErr w:type="spellEnd"/>
      <w:r w:rsidRPr="00424700">
        <w:t xml:space="preserve"> Patel, director of the applicant- company</w:t>
      </w:r>
      <w:r>
        <w:t xml:space="preserve"> and other relevant documents</w:t>
      </w:r>
      <w:r w:rsidRPr="00424700">
        <w:t xml:space="preserve"> filed in support of the motion. I also went through </w:t>
      </w:r>
      <w:r>
        <w:t xml:space="preserve">the objections to the motion canvassed in </w:t>
      </w:r>
      <w:r w:rsidRPr="00424700">
        <w:t>the counter</w:t>
      </w:r>
      <w:r>
        <w:t>-</w:t>
      </w:r>
      <w:r w:rsidRPr="00424700">
        <w:t xml:space="preserve">affidavit filed by the </w:t>
      </w:r>
      <w:r>
        <w:t>1</w:t>
      </w:r>
      <w:r w:rsidRPr="00C8034C">
        <w:rPr>
          <w:vertAlign w:val="superscript"/>
        </w:rPr>
        <w:t>st</w:t>
      </w:r>
      <w:r w:rsidRPr="00424700">
        <w:t>defendant</w:t>
      </w:r>
      <w:r>
        <w:t>/respondent</w:t>
      </w:r>
      <w:r w:rsidRPr="00424700">
        <w:t xml:space="preserve"> Ashley French</w:t>
      </w:r>
      <w:r>
        <w:t xml:space="preserve">, </w:t>
      </w:r>
      <w:r w:rsidRPr="00424700">
        <w:t>dated the 25</w:t>
      </w:r>
      <w:r w:rsidRPr="00C8034C">
        <w:rPr>
          <w:vertAlign w:val="superscript"/>
        </w:rPr>
        <w:t>th</w:t>
      </w:r>
      <w:r w:rsidRPr="00424700">
        <w:t xml:space="preserve">October 2013, and the objections and submissions filed by the </w:t>
      </w:r>
      <w:r>
        <w:t>2</w:t>
      </w:r>
      <w:r w:rsidRPr="00C8034C">
        <w:rPr>
          <w:vertAlign w:val="superscript"/>
        </w:rPr>
        <w:t>nd</w:t>
      </w:r>
      <w:r>
        <w:t xml:space="preserve"> defendant/respondent</w:t>
      </w:r>
      <w:r w:rsidRPr="00424700">
        <w:t xml:space="preserve">, </w:t>
      </w:r>
      <w:r>
        <w:t>dated 4</w:t>
      </w:r>
      <w:r w:rsidRPr="00C8034C">
        <w:rPr>
          <w:vertAlign w:val="superscript"/>
        </w:rPr>
        <w:t>th</w:t>
      </w:r>
      <w:r>
        <w:t xml:space="preserve"> November 2013 </w:t>
      </w:r>
      <w:r w:rsidRPr="00424700">
        <w:t>opposing the motion.</w:t>
      </w:r>
    </w:p>
    <w:p w:rsidR="000A2B20" w:rsidRPr="00424700" w:rsidRDefault="000A2B20" w:rsidP="000A2B20">
      <w:pPr>
        <w:pStyle w:val="JudgmentText"/>
      </w:pPr>
      <w:r w:rsidRPr="00424700">
        <w:t xml:space="preserve">Obviously, the application for intervention by </w:t>
      </w:r>
      <w:r>
        <w:t xml:space="preserve">an interested person - </w:t>
      </w:r>
      <w:r w:rsidRPr="00424700">
        <w:t xml:space="preserve">a third party </w:t>
      </w:r>
      <w:r>
        <w:t xml:space="preserve">- </w:t>
      </w:r>
      <w:r w:rsidRPr="00424700">
        <w:t xml:space="preserve">to a suit is governed by </w:t>
      </w:r>
      <w:r>
        <w:t>S</w:t>
      </w:r>
      <w:r w:rsidRPr="00424700">
        <w:t>ection</w:t>
      </w:r>
      <w:r>
        <w:t>s</w:t>
      </w:r>
      <w:r w:rsidRPr="00424700">
        <w:t xml:space="preserve"> 117 to 120 of the </w:t>
      </w:r>
      <w:r>
        <w:t>C</w:t>
      </w:r>
      <w:r w:rsidRPr="00424700">
        <w:t xml:space="preserve">ode of </w:t>
      </w:r>
      <w:r>
        <w:t>C</w:t>
      </w:r>
      <w:r w:rsidRPr="00424700">
        <w:t xml:space="preserve">ivil </w:t>
      </w:r>
      <w:r>
        <w:t>P</w:t>
      </w:r>
      <w:r w:rsidRPr="00424700">
        <w:t>rocedure. These sections read thus:</w:t>
      </w:r>
    </w:p>
    <w:p w:rsidR="000A2B20" w:rsidRPr="0045519E" w:rsidRDefault="000A2B20" w:rsidP="0045519E">
      <w:pPr>
        <w:pStyle w:val="JudgmentText"/>
        <w:numPr>
          <w:ilvl w:val="0"/>
          <w:numId w:val="0"/>
        </w:numPr>
        <w:ind w:left="720"/>
        <w:rPr>
          <w:i/>
        </w:rPr>
      </w:pPr>
      <w:r w:rsidRPr="0045519E">
        <w:rPr>
          <w:i/>
        </w:rPr>
        <w:t xml:space="preserve">117. </w:t>
      </w:r>
      <w:r w:rsidRPr="0045519E">
        <w:rPr>
          <w:i/>
        </w:rPr>
        <w:tab/>
        <w:t>Every person interested in the event of a pending suit shall be entitled to be made a party thereto in order to maintain his rights, provided that his application to intervene is made before all parties to the suit have closed their cases.</w:t>
      </w:r>
    </w:p>
    <w:p w:rsidR="000A2B20" w:rsidRPr="0045519E" w:rsidRDefault="000A2B20" w:rsidP="0045519E">
      <w:pPr>
        <w:pStyle w:val="JudgmentText"/>
        <w:numPr>
          <w:ilvl w:val="0"/>
          <w:numId w:val="0"/>
        </w:numPr>
        <w:ind w:left="720"/>
        <w:rPr>
          <w:i/>
        </w:rPr>
      </w:pPr>
      <w:r w:rsidRPr="0045519E">
        <w:rPr>
          <w:i/>
        </w:rPr>
        <w:t xml:space="preserve">118. </w:t>
      </w:r>
      <w:r w:rsidRPr="0045519E">
        <w:rPr>
          <w:i/>
        </w:rPr>
        <w:tab/>
        <w:t>An application to intervene in a suit shall be made by way of motion with an affidavit containing the grounds on which the applicant relies in support thereof.</w:t>
      </w:r>
    </w:p>
    <w:p w:rsidR="000A2B20" w:rsidRPr="0045519E" w:rsidRDefault="000A2B20" w:rsidP="0045519E">
      <w:pPr>
        <w:pStyle w:val="JudgmentText"/>
        <w:numPr>
          <w:ilvl w:val="0"/>
          <w:numId w:val="0"/>
        </w:numPr>
        <w:ind w:left="720"/>
        <w:rPr>
          <w:i/>
        </w:rPr>
      </w:pPr>
      <w:r w:rsidRPr="0045519E">
        <w:rPr>
          <w:i/>
        </w:rPr>
        <w:t xml:space="preserve">119. </w:t>
      </w:r>
      <w:r w:rsidRPr="0045519E">
        <w:rPr>
          <w:i/>
        </w:rPr>
        <w:tab/>
        <w:t>Notice of such motion shall be served upon all the parties to the suit.</w:t>
      </w:r>
    </w:p>
    <w:p w:rsidR="000A2B20" w:rsidRPr="0045519E" w:rsidRDefault="000A2B20" w:rsidP="0045519E">
      <w:pPr>
        <w:pStyle w:val="JudgmentText"/>
        <w:numPr>
          <w:ilvl w:val="0"/>
          <w:numId w:val="0"/>
        </w:numPr>
        <w:ind w:left="720"/>
        <w:rPr>
          <w:i/>
        </w:rPr>
      </w:pPr>
      <w:r w:rsidRPr="0045519E">
        <w:rPr>
          <w:i/>
        </w:rPr>
        <w:t xml:space="preserve">120. </w:t>
      </w:r>
      <w:r w:rsidRPr="0045519E">
        <w:rPr>
          <w:i/>
        </w:rPr>
        <w:tab/>
        <w:t>If leave to intervene is granted by the court, the intervener shall, within the period fixed by the court, file a statement of his demand and of the material facts on which it is based and shall at the same time supply a copy of such statement to the other parties to the suit.</w:t>
      </w:r>
    </w:p>
    <w:p w:rsidR="000A2B20" w:rsidRPr="00424700" w:rsidRDefault="000A2B20" w:rsidP="0045519E">
      <w:pPr>
        <w:pStyle w:val="JudgmentText"/>
      </w:pPr>
      <w:r w:rsidRPr="00424700">
        <w:t xml:space="preserve">Before I proceed to consider the application on the merits, I wish to make the following finding on the interpretation of the law under </w:t>
      </w:r>
      <w:r>
        <w:t>S</w:t>
      </w:r>
      <w:r w:rsidRPr="00424700">
        <w:t xml:space="preserve">ection 117 </w:t>
      </w:r>
      <w:r>
        <w:t xml:space="preserve">quoted </w:t>
      </w:r>
      <w:r w:rsidRPr="00424700">
        <w:t xml:space="preserve">supra, in view of the fact that the </w:t>
      </w:r>
      <w:r>
        <w:t>2</w:t>
      </w:r>
      <w:r w:rsidRPr="00DB2824">
        <w:rPr>
          <w:vertAlign w:val="superscript"/>
        </w:rPr>
        <w:t>nd</w:t>
      </w:r>
      <w:r w:rsidRPr="00424700">
        <w:t xml:space="preserve">defendant has misconstrued </w:t>
      </w:r>
      <w:r>
        <w:t xml:space="preserve">the expression </w:t>
      </w:r>
      <w:r w:rsidRPr="00424700">
        <w:t>"</w:t>
      </w:r>
      <w:r w:rsidRPr="00424700">
        <w:rPr>
          <w:b/>
        </w:rPr>
        <w:t xml:space="preserve">before all parties to the suit </w:t>
      </w:r>
      <w:r w:rsidRPr="00424700">
        <w:rPr>
          <w:b/>
        </w:rPr>
        <w:lastRenderedPageBreak/>
        <w:t>have closed their cases."</w:t>
      </w:r>
      <w:r>
        <w:t>Indeed, t</w:t>
      </w:r>
      <w:r w:rsidRPr="00424700">
        <w:t xml:space="preserve">he </w:t>
      </w:r>
      <w:r>
        <w:t>phrase “</w:t>
      </w:r>
      <w:r w:rsidRPr="00424700">
        <w:t>closing of a case</w:t>
      </w:r>
      <w:r>
        <w:t>” in civil proceedings,</w:t>
      </w:r>
      <w:r w:rsidRPr="00424700">
        <w:t xml:space="preserve"> does not mean the clos</w:t>
      </w:r>
      <w:r>
        <w:t>ing</w:t>
      </w:r>
      <w:r w:rsidRPr="00424700">
        <w:t xml:space="preserve"> of pleadings, as </w:t>
      </w:r>
      <w:r>
        <w:t xml:space="preserve">misinterpreted </w:t>
      </w:r>
      <w:r w:rsidRPr="00424700">
        <w:t>by Mr Renaud</w:t>
      </w:r>
      <w:r>
        <w:t>,</w:t>
      </w:r>
      <w:r w:rsidRPr="00424700">
        <w:t xml:space="preserve"> learned counsel for the</w:t>
      </w:r>
      <w:r>
        <w:t xml:space="preserve"> 2</w:t>
      </w:r>
      <w:r w:rsidRPr="005F3C04">
        <w:rPr>
          <w:vertAlign w:val="superscript"/>
        </w:rPr>
        <w:t>nd</w:t>
      </w:r>
      <w:r>
        <w:rPr>
          <w:vertAlign w:val="superscript"/>
        </w:rPr>
        <w:t xml:space="preserve"> </w:t>
      </w:r>
      <w:r w:rsidRPr="00424700">
        <w:t>respondent, in his submissions.</w:t>
      </w:r>
      <w:r>
        <w:t xml:space="preserve"> If I were to accept his submission in this respect, I would have to import additional words in Section 117 of the Seychelles Code of Civil Procedure. This, with due respect to Mr Renaud, I am not empowered to do as this Court thereby would legislate rather than interpret the law.</w:t>
      </w:r>
    </w:p>
    <w:p w:rsidR="000A2B20" w:rsidRPr="00424700" w:rsidRDefault="000A2B20" w:rsidP="0045519E">
      <w:pPr>
        <w:pStyle w:val="JudgmentText"/>
        <w:rPr>
          <w:b/>
        </w:rPr>
      </w:pPr>
      <w:r w:rsidRPr="00424700">
        <w:t>On the subject of closure of pleadings, it is interesting to note that</w:t>
      </w:r>
      <w:r>
        <w:t xml:space="preserve"> under S</w:t>
      </w:r>
      <w:r w:rsidRPr="00424700">
        <w:t>ection 146</w:t>
      </w:r>
      <w:r>
        <w:t xml:space="preserve"> of the </w:t>
      </w:r>
      <w:r w:rsidRPr="00424700">
        <w:t xml:space="preserve">Code of Civil Procedure parties are </w:t>
      </w:r>
      <w:r>
        <w:t xml:space="preserve">indeed, </w:t>
      </w:r>
      <w:r w:rsidRPr="00424700">
        <w:t xml:space="preserve">permitted, with the leave of the court, to amend their pleadings </w:t>
      </w:r>
      <w:r w:rsidRPr="001A14DA">
        <w:rPr>
          <w:i/>
          <w:u w:val="single"/>
        </w:rPr>
        <w:t>at any stage of the proceedings</w:t>
      </w:r>
      <w:r w:rsidRPr="00424700">
        <w:t>, whe</w:t>
      </w:r>
      <w:r>
        <w:t xml:space="preserve">never </w:t>
      </w:r>
      <w:r w:rsidRPr="00424700">
        <w:t xml:space="preserve">it is necessary for determining the real questions in controversy between the parties. </w:t>
      </w:r>
      <w:r>
        <w:t>Therefore, a c</w:t>
      </w:r>
      <w:r w:rsidRPr="00424700">
        <w:t>losure of pleadings does not, in fact, have th</w:t>
      </w:r>
      <w:r>
        <w:t xml:space="preserve">e seal of </w:t>
      </w:r>
      <w:r w:rsidRPr="00424700">
        <w:t xml:space="preserve">absolute </w:t>
      </w:r>
      <w:r>
        <w:t xml:space="preserve">conclusiveness </w:t>
      </w:r>
      <w:r w:rsidRPr="00424700">
        <w:t xml:space="preserve">in the strict sense of the term </w:t>
      </w:r>
      <w:r w:rsidRPr="00424700">
        <w:rPr>
          <w:b/>
        </w:rPr>
        <w:t>closure</w:t>
      </w:r>
      <w:r>
        <w:rPr>
          <w:b/>
        </w:rPr>
        <w:t xml:space="preserve">, </w:t>
      </w:r>
      <w:r w:rsidRPr="0041790F">
        <w:t xml:space="preserve">the </w:t>
      </w:r>
      <w:r>
        <w:t>meaning of which appears to be relative in the civil proceedings</w:t>
      </w:r>
      <w:r w:rsidRPr="00424700">
        <w:rPr>
          <w:b/>
        </w:rPr>
        <w:t xml:space="preserve">. </w:t>
      </w:r>
    </w:p>
    <w:p w:rsidR="000A2B20" w:rsidRPr="00424700" w:rsidRDefault="000A2B20" w:rsidP="0045519E">
      <w:pPr>
        <w:pStyle w:val="JudgmentText"/>
      </w:pPr>
      <w:r>
        <w:t xml:space="preserve">Needless to say, </w:t>
      </w:r>
      <w:r w:rsidRPr="00424700">
        <w:t>in the Code of Civil Procedure,</w:t>
      </w:r>
      <w:r>
        <w:t xml:space="preserve"> the </w:t>
      </w:r>
      <w:r w:rsidRPr="00424700">
        <w:t xml:space="preserve">provisions as to Intervention </w:t>
      </w:r>
      <w:r>
        <w:t xml:space="preserve">are intended for the protection of </w:t>
      </w:r>
      <w:r w:rsidRPr="00424700">
        <w:t xml:space="preserve">third party's rights and interest </w:t>
      </w:r>
      <w:r>
        <w:t>in any subject matter under</w:t>
      </w:r>
      <w:r w:rsidRPr="00424700">
        <w:t xml:space="preserve"> adjudication</w:t>
      </w:r>
      <w:r>
        <w:t>, between other parties.</w:t>
      </w:r>
      <w:r w:rsidRPr="00424700">
        <w:t xml:space="preserve"> This is</w:t>
      </w:r>
      <w:r>
        <w:t>,</w:t>
      </w:r>
      <w:r w:rsidRPr="00424700">
        <w:t xml:space="preserve"> in fact </w:t>
      </w:r>
      <w:r>
        <w:t>founded on</w:t>
      </w:r>
      <w:r w:rsidRPr="00424700">
        <w:t xml:space="preserve"> the age old </w:t>
      </w:r>
      <w:r>
        <w:t>Latin maxim</w:t>
      </w:r>
      <w:r w:rsidRPr="00424700">
        <w:t xml:space="preserve">, </w:t>
      </w:r>
      <w:r w:rsidRPr="00424700">
        <w:rPr>
          <w:b/>
        </w:rPr>
        <w:t xml:space="preserve">Res inter </w:t>
      </w:r>
      <w:proofErr w:type="spellStart"/>
      <w:r w:rsidRPr="00424700">
        <w:rPr>
          <w:b/>
        </w:rPr>
        <w:t>alio</w:t>
      </w:r>
      <w:proofErr w:type="spellEnd"/>
      <w:r>
        <w:rPr>
          <w:b/>
        </w:rPr>
        <w:t xml:space="preserve"> </w:t>
      </w:r>
      <w:proofErr w:type="spellStart"/>
      <w:r w:rsidRPr="00424700">
        <w:rPr>
          <w:b/>
        </w:rPr>
        <w:t>sactaalteri</w:t>
      </w:r>
      <w:proofErr w:type="spellEnd"/>
      <w:r>
        <w:rPr>
          <w:b/>
        </w:rPr>
        <w:t xml:space="preserve"> </w:t>
      </w:r>
      <w:proofErr w:type="spellStart"/>
      <w:r w:rsidRPr="00424700">
        <w:rPr>
          <w:b/>
        </w:rPr>
        <w:t>nocere</w:t>
      </w:r>
      <w:proofErr w:type="spellEnd"/>
      <w:r>
        <w:rPr>
          <w:b/>
        </w:rPr>
        <w:t xml:space="preserve"> </w:t>
      </w:r>
      <w:r w:rsidRPr="00424700">
        <w:rPr>
          <w:b/>
        </w:rPr>
        <w:t>non</w:t>
      </w:r>
      <w:r>
        <w:rPr>
          <w:b/>
        </w:rPr>
        <w:t xml:space="preserve"> </w:t>
      </w:r>
      <w:proofErr w:type="spellStart"/>
      <w:r w:rsidRPr="00424700">
        <w:rPr>
          <w:b/>
        </w:rPr>
        <w:t>debet</w:t>
      </w:r>
      <w:proofErr w:type="spellEnd"/>
      <w:r w:rsidRPr="00424700">
        <w:rPr>
          <w:b/>
        </w:rPr>
        <w:t>;</w:t>
      </w:r>
      <w:r w:rsidRPr="00424700">
        <w:t xml:space="preserve"> </w:t>
      </w:r>
      <w:r>
        <w:t xml:space="preserve">meaning </w:t>
      </w:r>
      <w:r w:rsidRPr="00424700">
        <w:t>that things done between strangers ought not to affect a third person, who is a stranger to the litigation or transaction.</w:t>
      </w:r>
    </w:p>
    <w:p w:rsidR="000A2B20" w:rsidRPr="00424700" w:rsidRDefault="000A2B20" w:rsidP="0045519E">
      <w:pPr>
        <w:pStyle w:val="JudgmentText"/>
      </w:pPr>
      <w:r w:rsidRPr="00424700">
        <w:t xml:space="preserve">This view is further strengthened by the words </w:t>
      </w:r>
      <w:r w:rsidRPr="00FD678B">
        <w:rPr>
          <w:b/>
        </w:rPr>
        <w:t>“shall be entitled</w:t>
      </w:r>
      <w:r>
        <w:rPr>
          <w:b/>
        </w:rPr>
        <w:t xml:space="preserve"> to</w:t>
      </w:r>
      <w:r w:rsidRPr="00FD678B">
        <w:rPr>
          <w:b/>
        </w:rPr>
        <w:t xml:space="preserve">” </w:t>
      </w:r>
      <w:r w:rsidRPr="00424700">
        <w:t xml:space="preserve">used by the legislature in </w:t>
      </w:r>
      <w:r>
        <w:t>S</w:t>
      </w:r>
      <w:r w:rsidRPr="00424700">
        <w:t xml:space="preserve">ection 117, which </w:t>
      </w:r>
      <w:r>
        <w:t xml:space="preserve">in fact, </w:t>
      </w:r>
      <w:r w:rsidRPr="00424700">
        <w:t>read</w:t>
      </w:r>
      <w:r>
        <w:t>s thus: “</w:t>
      </w:r>
      <w:r w:rsidRPr="00424700">
        <w:rPr>
          <w:b/>
        </w:rPr>
        <w:t xml:space="preserve">Every person interested in the event of a pending suit </w:t>
      </w:r>
      <w:r w:rsidRPr="00424700">
        <w:rPr>
          <w:b/>
          <w:u w:val="single"/>
        </w:rPr>
        <w:t>shall be entitled to</w:t>
      </w:r>
      <w:r w:rsidRPr="00424700">
        <w:rPr>
          <w:b/>
        </w:rPr>
        <w:t xml:space="preserve"> be made a party thereto</w:t>
      </w:r>
      <w:r>
        <w:rPr>
          <w:b/>
        </w:rPr>
        <w:t xml:space="preserve">”. </w:t>
      </w:r>
      <w:r w:rsidRPr="00453B7E">
        <w:t>Hence,</w:t>
      </w:r>
      <w:r>
        <w:t xml:space="preserve"> </w:t>
      </w:r>
      <w:r w:rsidRPr="00453B7E">
        <w:t>to my mind, t</w:t>
      </w:r>
      <w:r w:rsidRPr="00424700">
        <w:t>he only duty of the court in considering such applications is to determine the entitlement of the applicant to be made a party to the suit. Once it has been established prima facie, that the applicant has an interest in the subject matter, or in the outcome of the pending suit, he has a right to intervene, which cannot be denied by the Court</w:t>
      </w:r>
      <w:r>
        <w:t xml:space="preserve"> and it is mandatory. </w:t>
      </w:r>
    </w:p>
    <w:p w:rsidR="000A2B20" w:rsidRPr="00424700" w:rsidRDefault="000A2B20" w:rsidP="0045519E">
      <w:pPr>
        <w:pStyle w:val="JudgmentText"/>
      </w:pPr>
      <w:r w:rsidRPr="00424700">
        <w:t>Thus, it is evident that a</w:t>
      </w:r>
      <w:r>
        <w:t>n interested</w:t>
      </w:r>
      <w:r w:rsidRPr="00424700">
        <w:t xml:space="preserve"> third party </w:t>
      </w:r>
      <w:r>
        <w:t>has a statutory</w:t>
      </w:r>
      <w:r w:rsidRPr="00424700">
        <w:t xml:space="preserve"> right to intervene in </w:t>
      </w:r>
      <w:r>
        <w:t xml:space="preserve">any </w:t>
      </w:r>
      <w:r w:rsidRPr="00424700">
        <w:t>suit,</w:t>
      </w:r>
      <w:r>
        <w:t xml:space="preserve"> if the</w:t>
      </w:r>
      <w:r w:rsidRPr="00424700">
        <w:t xml:space="preserve"> outcome</w:t>
      </w:r>
      <w:r>
        <w:t xml:space="preserve"> of which</w:t>
      </w:r>
      <w:r w:rsidRPr="00424700">
        <w:t xml:space="preserve"> affects or is likely to affect his </w:t>
      </w:r>
      <w:r>
        <w:t xml:space="preserve">rights and </w:t>
      </w:r>
      <w:r w:rsidRPr="00424700">
        <w:t>interest</w:t>
      </w:r>
      <w:r>
        <w:t>. As I see it, this right</w:t>
      </w:r>
      <w:r w:rsidRPr="00424700">
        <w:t xml:space="preserve"> is no less sacrosanct than that of the right</w:t>
      </w:r>
      <w:r>
        <w:t>s</w:t>
      </w:r>
      <w:r w:rsidRPr="00424700">
        <w:t xml:space="preserve"> of the parties to the suit</w:t>
      </w:r>
      <w:r>
        <w:t xml:space="preserve"> to claim or defend their respective interests in the proceedings.</w:t>
      </w:r>
    </w:p>
    <w:p w:rsidR="000A2B20" w:rsidRPr="00424700" w:rsidRDefault="000A2B20" w:rsidP="0045519E">
      <w:pPr>
        <w:pStyle w:val="JudgmentText"/>
      </w:pPr>
      <w:r w:rsidRPr="00424700">
        <w:lastRenderedPageBreak/>
        <w:t xml:space="preserve">In light of all of the above, </w:t>
      </w:r>
      <w:r>
        <w:t>having</w:t>
      </w:r>
      <w:r w:rsidRPr="00424700">
        <w:t xml:space="preserve"> perused the relevant documents adduced by the parties and </w:t>
      </w:r>
      <w:r>
        <w:t xml:space="preserve">having </w:t>
      </w:r>
      <w:r w:rsidRPr="00424700">
        <w:t>diligently analysed the submissions</w:t>
      </w:r>
      <w:r>
        <w:t xml:space="preserve"> of counsel,</w:t>
      </w:r>
      <w:r w:rsidRPr="00424700">
        <w:t xml:space="preserve"> I find the following facts have been established on a balance of probabilities</w:t>
      </w:r>
      <w:r>
        <w:t xml:space="preserve"> and to my satisfaction</w:t>
      </w:r>
      <w:r w:rsidRPr="00424700">
        <w:t>:</w:t>
      </w:r>
    </w:p>
    <w:p w:rsidR="000A2B20" w:rsidRPr="00424700" w:rsidRDefault="000A2B20" w:rsidP="0045519E">
      <w:pPr>
        <w:pStyle w:val="JudgmentText"/>
        <w:numPr>
          <w:ilvl w:val="3"/>
          <w:numId w:val="6"/>
        </w:numPr>
        <w:ind w:left="1080" w:hanging="360"/>
      </w:pPr>
      <w:r w:rsidRPr="00424700">
        <w:t>The Applicant herein has a substantive interest, in the event and outcome of the instant suit CS157/2011.</w:t>
      </w:r>
    </w:p>
    <w:p w:rsidR="000A2B20" w:rsidRPr="00424700" w:rsidRDefault="000A2B20" w:rsidP="0045519E">
      <w:pPr>
        <w:pStyle w:val="JudgmentText"/>
        <w:numPr>
          <w:ilvl w:val="3"/>
          <w:numId w:val="6"/>
        </w:numPr>
        <w:ind w:left="1080" w:hanging="360"/>
      </w:pPr>
      <w:r w:rsidRPr="00424700">
        <w:t>The applicant is entitled to be made a party to the suit in order to maintain his rights.</w:t>
      </w:r>
    </w:p>
    <w:p w:rsidR="000A2B20" w:rsidRPr="00424700" w:rsidRDefault="0045519E" w:rsidP="0045519E">
      <w:pPr>
        <w:pStyle w:val="JudgmentText"/>
        <w:numPr>
          <w:ilvl w:val="0"/>
          <w:numId w:val="0"/>
        </w:numPr>
        <w:ind w:left="720"/>
      </w:pPr>
      <w:r>
        <w:t xml:space="preserve">3.   </w:t>
      </w:r>
      <w:r w:rsidR="000A2B20" w:rsidRPr="00424700">
        <w:t>The application has been made before all parties to the suit have closed their cases.</w:t>
      </w:r>
    </w:p>
    <w:p w:rsidR="000A2B20" w:rsidRPr="00424700" w:rsidRDefault="000A2B20" w:rsidP="0045519E">
      <w:pPr>
        <w:pStyle w:val="JudgmentText"/>
        <w:numPr>
          <w:ilvl w:val="3"/>
          <w:numId w:val="9"/>
        </w:numPr>
        <w:ind w:left="1080" w:hanging="360"/>
      </w:pPr>
      <w:r w:rsidRPr="00424700">
        <w:t xml:space="preserve">The affidavit filed in support if the application reveals a nexus between </w:t>
      </w:r>
      <w:r>
        <w:t>the applicant’s</w:t>
      </w:r>
      <w:r w:rsidRPr="00424700">
        <w:t xml:space="preserve"> interest and the subject matter involved in the instant suit.</w:t>
      </w:r>
    </w:p>
    <w:p w:rsidR="000A2B20" w:rsidRPr="00424700" w:rsidRDefault="000A2B20" w:rsidP="0045519E">
      <w:pPr>
        <w:pStyle w:val="JudgmentText"/>
        <w:numPr>
          <w:ilvl w:val="3"/>
          <w:numId w:val="9"/>
        </w:numPr>
        <w:ind w:left="1080" w:hanging="360"/>
      </w:pPr>
      <w:r w:rsidRPr="00424700">
        <w:t xml:space="preserve">The application is not frivolous or vexatious in its nature or orientation nor is it </w:t>
      </w:r>
      <w:proofErr w:type="gramStart"/>
      <w:r w:rsidRPr="00424700">
        <w:t>an</w:t>
      </w:r>
      <w:proofErr w:type="gramEnd"/>
      <w:r w:rsidRPr="00424700">
        <w:t xml:space="preserve"> abuse of process as alleged by the defendants.</w:t>
      </w:r>
    </w:p>
    <w:p w:rsidR="000A2B20" w:rsidRPr="00424700" w:rsidRDefault="000A2B20" w:rsidP="0045519E">
      <w:pPr>
        <w:pStyle w:val="JudgmentText"/>
        <w:numPr>
          <w:ilvl w:val="3"/>
          <w:numId w:val="9"/>
        </w:numPr>
        <w:ind w:left="1080" w:hanging="360"/>
      </w:pPr>
      <w:r w:rsidRPr="00424700">
        <w:t>The application is maintainable in law and on facts.</w:t>
      </w:r>
    </w:p>
    <w:p w:rsidR="000A2B20" w:rsidRPr="00424700" w:rsidRDefault="000A2B20" w:rsidP="0045519E">
      <w:pPr>
        <w:pStyle w:val="JudgmentText"/>
        <w:numPr>
          <w:ilvl w:val="3"/>
          <w:numId w:val="9"/>
        </w:numPr>
        <w:ind w:left="1080" w:hanging="360"/>
      </w:pPr>
      <w:r w:rsidRPr="00424700">
        <w:t>Granting of leave to intervene will in no way result in prejudice to the parties to the suit,</w:t>
      </w:r>
      <w:r>
        <w:t xml:space="preserve"> but</w:t>
      </w:r>
      <w:r w:rsidRPr="00424700">
        <w:t xml:space="preserve"> doing otherwise would undoubtedly cause prejudice and </w:t>
      </w:r>
      <w:r>
        <w:t>infringe</w:t>
      </w:r>
      <w:r w:rsidRPr="00424700">
        <w:t xml:space="preserve"> the applicant's right to be heard in a suit, the outcome of which affects or is likely to affect his interest.</w:t>
      </w:r>
    </w:p>
    <w:p w:rsidR="000A2B20" w:rsidRDefault="000A2B20" w:rsidP="000A2B20">
      <w:pPr>
        <w:spacing w:line="360" w:lineRule="auto"/>
        <w:ind w:left="360"/>
        <w:jc w:val="both"/>
        <w:rPr>
          <w:rFonts w:ascii="Bookman Old Style" w:hAnsi="Bookman Old Style"/>
          <w:sz w:val="24"/>
          <w:szCs w:val="24"/>
        </w:rPr>
      </w:pPr>
    </w:p>
    <w:p w:rsidR="000A2B20" w:rsidRDefault="000A2B20" w:rsidP="0045519E">
      <w:pPr>
        <w:pStyle w:val="JudgmentText"/>
      </w:pPr>
      <w:r w:rsidRPr="00E96FF9">
        <w:t xml:space="preserve">For these reasons, I find it just, necessary and even undeniable, that the applicant should be granted leave and be allowed to intervene in the instant suit in order to maintain </w:t>
      </w:r>
      <w:r>
        <w:t>its</w:t>
      </w:r>
      <w:r w:rsidRPr="00E96FF9">
        <w:t xml:space="preserve"> rights.</w:t>
      </w:r>
      <w:r>
        <w:t xml:space="preserve"> </w:t>
      </w:r>
      <w:r w:rsidRPr="00E96FF9">
        <w:t xml:space="preserve">Objections of the defendants </w:t>
      </w:r>
      <w:r>
        <w:t xml:space="preserve">are therefore, </w:t>
      </w:r>
      <w:r w:rsidRPr="00E96FF9">
        <w:t xml:space="preserve">overruled and leave granted for the applicant to intervene in the pending suit. Motion allowed accordingly. </w:t>
      </w:r>
    </w:p>
    <w:p w:rsidR="000A2B20" w:rsidRPr="00E96FF9" w:rsidRDefault="000A2B20" w:rsidP="0045519E">
      <w:pPr>
        <w:pStyle w:val="JudgmentText"/>
      </w:pPr>
      <w:r w:rsidRPr="00E96FF9">
        <w:t xml:space="preserve">For the avoidance of doubt, since leave to intervene has been granted by the court, the intervener should, within the period </w:t>
      </w:r>
      <w:r>
        <w:t xml:space="preserve">of </w:t>
      </w:r>
      <w:r w:rsidRPr="00E96FF9">
        <w:t xml:space="preserve">three weeks from the date hereof, file a statement of </w:t>
      </w:r>
      <w:r>
        <w:t>its</w:t>
      </w:r>
      <w:r w:rsidRPr="00E96FF9">
        <w:t xml:space="preserve"> demand and of the material facts on which it is based and should at the same time supply a copy of such statement to the other parties to the suit.</w:t>
      </w:r>
    </w:p>
    <w:p w:rsidR="0006489F" w:rsidRPr="00552704" w:rsidRDefault="0006489F" w:rsidP="000A2B20">
      <w:pPr>
        <w:pStyle w:val="JudgmentText"/>
        <w:numPr>
          <w:ilvl w:val="0"/>
          <w:numId w:val="0"/>
        </w:numPr>
        <w:ind w:left="720" w:hanging="720"/>
      </w:pPr>
      <w:bookmarkStart w:id="22" w:name="_GoBack"/>
      <w:bookmarkEnd w:id="22"/>
    </w:p>
    <w:p w:rsidR="00E6492F" w:rsidRDefault="00E83A3A"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3" w:name="Text19"/>
      <w:r w:rsidR="00E83A3A">
        <w:rPr>
          <w:sz w:val="24"/>
          <w:szCs w:val="24"/>
        </w:rPr>
        <w:fldChar w:fldCharType="begin">
          <w:ffData>
            <w:name w:val="Text19"/>
            <w:enabled/>
            <w:calcOnExit w:val="0"/>
            <w:textInput>
              <w:type w:val="date"/>
              <w:format w:val=""/>
            </w:textInput>
          </w:ffData>
        </w:fldChar>
      </w:r>
      <w:r w:rsidR="00101D12">
        <w:rPr>
          <w:sz w:val="24"/>
          <w:szCs w:val="24"/>
        </w:rPr>
        <w:instrText xml:space="preserve"> FORMTEXT </w:instrText>
      </w:r>
      <w:r w:rsidR="00E83A3A">
        <w:rPr>
          <w:sz w:val="24"/>
          <w:szCs w:val="24"/>
        </w:rPr>
      </w:r>
      <w:r w:rsidR="00E83A3A">
        <w:rPr>
          <w:sz w:val="24"/>
          <w:szCs w:val="24"/>
        </w:rPr>
        <w:fldChar w:fldCharType="separate"/>
      </w:r>
      <w:r w:rsidR="0045519E">
        <w:rPr>
          <w:noProof/>
          <w:sz w:val="24"/>
          <w:szCs w:val="24"/>
        </w:rPr>
        <w:t>19 February 2014</w:t>
      </w:r>
      <w:r w:rsidR="00E83A3A">
        <w:rPr>
          <w:sz w:val="24"/>
          <w:szCs w:val="24"/>
        </w:rPr>
        <w:fldChar w:fldCharType="end"/>
      </w:r>
      <w:bookmarkEnd w:id="23"/>
    </w:p>
    <w:p w:rsidR="00BD0BE9" w:rsidRDefault="00BD0BE9" w:rsidP="0006489F">
      <w:pPr>
        <w:pStyle w:val="ListParagraph"/>
        <w:widowControl/>
        <w:autoSpaceDE/>
        <w:autoSpaceDN/>
        <w:adjustRightInd/>
        <w:spacing w:line="360" w:lineRule="auto"/>
        <w:ind w:left="0"/>
        <w:contextualSpacing w:val="0"/>
        <w:jc w:val="both"/>
        <w:rPr>
          <w:sz w:val="24"/>
          <w:szCs w:val="24"/>
        </w:rPr>
        <w:sectPr w:rsidR="00BD0BE9"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BD0BE9" w:rsidRDefault="00BD0BE9" w:rsidP="0006489F">
      <w:pPr>
        <w:pStyle w:val="ListParagraph"/>
        <w:widowControl/>
        <w:autoSpaceDE/>
        <w:autoSpaceDN/>
        <w:adjustRightInd/>
        <w:spacing w:after="120"/>
        <w:ind w:left="0"/>
        <w:contextualSpacing w:val="0"/>
        <w:jc w:val="both"/>
        <w:rPr>
          <w:sz w:val="24"/>
          <w:szCs w:val="24"/>
        </w:rPr>
        <w:sectPr w:rsidR="00BD0BE9"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4" w:name="Dropdown6"/>
    <w:p w:rsidR="00E33F35" w:rsidRPr="002A7376" w:rsidRDefault="00E83A3A"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4"/>
    </w:p>
    <w:bookmarkStart w:id="25" w:name="Dropdown7"/>
    <w:p w:rsidR="009E05E5" w:rsidRPr="00E33F35" w:rsidRDefault="00E83A3A"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5"/>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1CA" w:rsidRDefault="001761CA" w:rsidP="00DB6D34">
      <w:r>
        <w:separator/>
      </w:r>
    </w:p>
  </w:endnote>
  <w:endnote w:type="continuationSeparator" w:id="0">
    <w:p w:rsidR="001761CA" w:rsidRDefault="001761CA"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CA" w:rsidRDefault="001761CA">
    <w:pPr>
      <w:pStyle w:val="Footer"/>
      <w:jc w:val="center"/>
    </w:pPr>
    <w:r>
      <w:fldChar w:fldCharType="begin"/>
    </w:r>
    <w:r>
      <w:instrText xml:space="preserve"> PAGE   \* MERGEFORMAT </w:instrText>
    </w:r>
    <w:r>
      <w:fldChar w:fldCharType="separate"/>
    </w:r>
    <w:r w:rsidR="00827F7D">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1CA" w:rsidRDefault="001761CA" w:rsidP="00DB6D34">
      <w:r>
        <w:separator/>
      </w:r>
    </w:p>
  </w:footnote>
  <w:footnote w:type="continuationSeparator" w:id="0">
    <w:p w:rsidR="001761CA" w:rsidRDefault="001761CA"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1D8537AC"/>
    <w:multiLevelType w:val="hybridMultilevel"/>
    <w:tmpl w:val="DDD4B98A"/>
    <w:lvl w:ilvl="0" w:tplc="55B6C068">
      <w:start w:val="1"/>
      <w:numFmt w:val="decimal"/>
      <w:lvlText w:val="%1."/>
      <w:lvlJc w:val="left"/>
      <w:pPr>
        <w:ind w:left="720" w:hanging="360"/>
      </w:pPr>
    </w:lvl>
    <w:lvl w:ilvl="1" w:tplc="0E702CE8">
      <w:start w:val="1"/>
      <w:numFmt w:val="lowerLetter"/>
      <w:lvlText w:val="%2."/>
      <w:lvlJc w:val="left"/>
      <w:pPr>
        <w:ind w:left="1080" w:hanging="360"/>
      </w:pPr>
    </w:lvl>
    <w:lvl w:ilvl="2" w:tplc="403A4818">
      <w:start w:val="1"/>
      <w:numFmt w:val="lowerRoman"/>
      <w:lvlText w:val="%3."/>
      <w:lvlJc w:val="right"/>
      <w:pPr>
        <w:ind w:left="1440" w:hanging="360"/>
      </w:pPr>
    </w:lvl>
    <w:lvl w:ilvl="3" w:tplc="1E4A6CF4">
      <w:start w:val="1"/>
      <w:numFmt w:val="decimal"/>
      <w:lvlText w:val="%4."/>
      <w:lvlJc w:val="left"/>
      <w:pPr>
        <w:ind w:left="1800" w:hanging="360"/>
      </w:pPr>
    </w:lvl>
    <w:lvl w:ilvl="4" w:tplc="55A05D06">
      <w:start w:val="1"/>
      <w:numFmt w:val="lowerLetter"/>
      <w:lvlText w:val="%5."/>
      <w:lvlJc w:val="left"/>
      <w:pPr>
        <w:ind w:left="2160" w:hanging="360"/>
      </w:pPr>
    </w:lvl>
    <w:lvl w:ilvl="5" w:tplc="37A07A28">
      <w:start w:val="1"/>
      <w:numFmt w:val="lowerRoman"/>
      <w:lvlText w:val="%6."/>
      <w:lvlJc w:val="right"/>
      <w:pPr>
        <w:ind w:left="2520" w:hanging="360"/>
      </w:pPr>
    </w:lvl>
    <w:lvl w:ilvl="6" w:tplc="C794FF1E">
      <w:start w:val="1"/>
      <w:numFmt w:val="decimal"/>
      <w:lvlText w:val="%7."/>
      <w:lvlJc w:val="left"/>
      <w:pPr>
        <w:ind w:left="2880" w:hanging="360"/>
      </w:pPr>
    </w:lvl>
    <w:lvl w:ilvl="7" w:tplc="C0366B48">
      <w:start w:val="1"/>
      <w:numFmt w:val="lowerLetter"/>
      <w:lvlText w:val="%8."/>
      <w:lvlJc w:val="left"/>
      <w:pPr>
        <w:ind w:left="3240" w:hanging="360"/>
      </w:pPr>
    </w:lvl>
    <w:lvl w:ilvl="8" w:tplc="28AA59BC">
      <w:start w:val="1"/>
      <w:numFmt w:val="lowerRoman"/>
      <w:lvlText w:val="%9."/>
      <w:lvlJc w:val="right"/>
      <w:pPr>
        <w:ind w:left="3600" w:hanging="36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9E"/>
    <w:rsid w:val="00005BEF"/>
    <w:rsid w:val="0002497E"/>
    <w:rsid w:val="00030C81"/>
    <w:rsid w:val="0006489F"/>
    <w:rsid w:val="00075573"/>
    <w:rsid w:val="00091036"/>
    <w:rsid w:val="000A10B8"/>
    <w:rsid w:val="000A2B20"/>
    <w:rsid w:val="000D1DD3"/>
    <w:rsid w:val="000E39A5"/>
    <w:rsid w:val="000E7400"/>
    <w:rsid w:val="001008BC"/>
    <w:rsid w:val="00101D12"/>
    <w:rsid w:val="00117CBF"/>
    <w:rsid w:val="00126A10"/>
    <w:rsid w:val="001376AB"/>
    <w:rsid w:val="00144612"/>
    <w:rsid w:val="0016510C"/>
    <w:rsid w:val="00171F06"/>
    <w:rsid w:val="001761CA"/>
    <w:rsid w:val="00180158"/>
    <w:rsid w:val="00185139"/>
    <w:rsid w:val="00186F92"/>
    <w:rsid w:val="001E3539"/>
    <w:rsid w:val="001E4ED8"/>
    <w:rsid w:val="001E576A"/>
    <w:rsid w:val="0020244B"/>
    <w:rsid w:val="00231C17"/>
    <w:rsid w:val="00236AAC"/>
    <w:rsid w:val="0024353F"/>
    <w:rsid w:val="00290E14"/>
    <w:rsid w:val="002A7376"/>
    <w:rsid w:val="002B2255"/>
    <w:rsid w:val="002C7560"/>
    <w:rsid w:val="002D06AA"/>
    <w:rsid w:val="002D67FC"/>
    <w:rsid w:val="002E6963"/>
    <w:rsid w:val="002F40A1"/>
    <w:rsid w:val="00301D88"/>
    <w:rsid w:val="00304E76"/>
    <w:rsid w:val="003378B9"/>
    <w:rsid w:val="003647E7"/>
    <w:rsid w:val="0037270D"/>
    <w:rsid w:val="0037684B"/>
    <w:rsid w:val="00377341"/>
    <w:rsid w:val="003838CC"/>
    <w:rsid w:val="003862CB"/>
    <w:rsid w:val="0038700C"/>
    <w:rsid w:val="003B461C"/>
    <w:rsid w:val="003B4C19"/>
    <w:rsid w:val="003D58AA"/>
    <w:rsid w:val="003D7B97"/>
    <w:rsid w:val="003E2ABC"/>
    <w:rsid w:val="003F0F8D"/>
    <w:rsid w:val="003F4761"/>
    <w:rsid w:val="004156B9"/>
    <w:rsid w:val="00445BFA"/>
    <w:rsid w:val="00452BB6"/>
    <w:rsid w:val="0045519E"/>
    <w:rsid w:val="0046133B"/>
    <w:rsid w:val="004706DB"/>
    <w:rsid w:val="004873AB"/>
    <w:rsid w:val="004C3D80"/>
    <w:rsid w:val="004F3823"/>
    <w:rsid w:val="005207C8"/>
    <w:rsid w:val="00530663"/>
    <w:rsid w:val="005460DE"/>
    <w:rsid w:val="0055036F"/>
    <w:rsid w:val="005514D6"/>
    <w:rsid w:val="00552704"/>
    <w:rsid w:val="00572AB3"/>
    <w:rsid w:val="005836AC"/>
    <w:rsid w:val="00584583"/>
    <w:rsid w:val="00594FAC"/>
    <w:rsid w:val="005F1FC0"/>
    <w:rsid w:val="005F5FB0"/>
    <w:rsid w:val="00606587"/>
    <w:rsid w:val="00606EEA"/>
    <w:rsid w:val="006174DB"/>
    <w:rsid w:val="00621984"/>
    <w:rsid w:val="00631B53"/>
    <w:rsid w:val="0064023C"/>
    <w:rsid w:val="006578C2"/>
    <w:rsid w:val="00666D33"/>
    <w:rsid w:val="006A2C88"/>
    <w:rsid w:val="006A58E4"/>
    <w:rsid w:val="006D36C9"/>
    <w:rsid w:val="007175A6"/>
    <w:rsid w:val="00744508"/>
    <w:rsid w:val="007820CB"/>
    <w:rsid w:val="007A47DC"/>
    <w:rsid w:val="007B6178"/>
    <w:rsid w:val="007C2809"/>
    <w:rsid w:val="007D416E"/>
    <w:rsid w:val="007E5472"/>
    <w:rsid w:val="00807411"/>
    <w:rsid w:val="00814CF5"/>
    <w:rsid w:val="00816425"/>
    <w:rsid w:val="00821758"/>
    <w:rsid w:val="00823079"/>
    <w:rsid w:val="00823890"/>
    <w:rsid w:val="00827F7D"/>
    <w:rsid w:val="0083298A"/>
    <w:rsid w:val="00841387"/>
    <w:rsid w:val="008472B3"/>
    <w:rsid w:val="008478D6"/>
    <w:rsid w:val="00861993"/>
    <w:rsid w:val="008A5208"/>
    <w:rsid w:val="008A58A5"/>
    <w:rsid w:val="008C0FD6"/>
    <w:rsid w:val="008E1DB1"/>
    <w:rsid w:val="008E512C"/>
    <w:rsid w:val="008E7749"/>
    <w:rsid w:val="008E7F92"/>
    <w:rsid w:val="008F0C10"/>
    <w:rsid w:val="008F311B"/>
    <w:rsid w:val="008F38F7"/>
    <w:rsid w:val="00902D3C"/>
    <w:rsid w:val="00922CDD"/>
    <w:rsid w:val="00926D09"/>
    <w:rsid w:val="009336BA"/>
    <w:rsid w:val="00937FB4"/>
    <w:rsid w:val="0094087C"/>
    <w:rsid w:val="00951EC0"/>
    <w:rsid w:val="0096041D"/>
    <w:rsid w:val="00981287"/>
    <w:rsid w:val="00983045"/>
    <w:rsid w:val="0099672E"/>
    <w:rsid w:val="009D15F5"/>
    <w:rsid w:val="009E05E5"/>
    <w:rsid w:val="009F1B68"/>
    <w:rsid w:val="009F4DC4"/>
    <w:rsid w:val="00A11166"/>
    <w:rsid w:val="00A14038"/>
    <w:rsid w:val="00A3626F"/>
    <w:rsid w:val="00A42850"/>
    <w:rsid w:val="00A53837"/>
    <w:rsid w:val="00A80E4E"/>
    <w:rsid w:val="00AB1DE9"/>
    <w:rsid w:val="00AB5741"/>
    <w:rsid w:val="00AC3885"/>
    <w:rsid w:val="00AD75CD"/>
    <w:rsid w:val="00AE3237"/>
    <w:rsid w:val="00B0414B"/>
    <w:rsid w:val="00B05D6E"/>
    <w:rsid w:val="00B119B1"/>
    <w:rsid w:val="00B14612"/>
    <w:rsid w:val="00B23E73"/>
    <w:rsid w:val="00B40898"/>
    <w:rsid w:val="00B4124C"/>
    <w:rsid w:val="00B444D1"/>
    <w:rsid w:val="00B4625E"/>
    <w:rsid w:val="00B605B4"/>
    <w:rsid w:val="00B75AE2"/>
    <w:rsid w:val="00B9148E"/>
    <w:rsid w:val="00B94805"/>
    <w:rsid w:val="00BA6027"/>
    <w:rsid w:val="00BC1D95"/>
    <w:rsid w:val="00BD0BE9"/>
    <w:rsid w:val="00BD4287"/>
    <w:rsid w:val="00BD60D5"/>
    <w:rsid w:val="00BE1D00"/>
    <w:rsid w:val="00BE3628"/>
    <w:rsid w:val="00BE424C"/>
    <w:rsid w:val="00BF5CC9"/>
    <w:rsid w:val="00C036A5"/>
    <w:rsid w:val="00C065A3"/>
    <w:rsid w:val="00C14327"/>
    <w:rsid w:val="00C22967"/>
    <w:rsid w:val="00C35333"/>
    <w:rsid w:val="00C55FDF"/>
    <w:rsid w:val="00C5739F"/>
    <w:rsid w:val="00C87FCA"/>
    <w:rsid w:val="00CA1B0C"/>
    <w:rsid w:val="00CA7795"/>
    <w:rsid w:val="00CA7F40"/>
    <w:rsid w:val="00CB3C7E"/>
    <w:rsid w:val="00CF77E2"/>
    <w:rsid w:val="00D03314"/>
    <w:rsid w:val="00D06A0F"/>
    <w:rsid w:val="00D82047"/>
    <w:rsid w:val="00DA292E"/>
    <w:rsid w:val="00DA666B"/>
    <w:rsid w:val="00DB6D34"/>
    <w:rsid w:val="00DD4E02"/>
    <w:rsid w:val="00DE08C1"/>
    <w:rsid w:val="00DF2970"/>
    <w:rsid w:val="00DF303A"/>
    <w:rsid w:val="00E0467F"/>
    <w:rsid w:val="00E0505F"/>
    <w:rsid w:val="00E30B60"/>
    <w:rsid w:val="00E33F35"/>
    <w:rsid w:val="00E35862"/>
    <w:rsid w:val="00E41E94"/>
    <w:rsid w:val="00E55C69"/>
    <w:rsid w:val="00E57D4D"/>
    <w:rsid w:val="00E6492F"/>
    <w:rsid w:val="00E65691"/>
    <w:rsid w:val="00E83A3A"/>
    <w:rsid w:val="00E91FA1"/>
    <w:rsid w:val="00E944E2"/>
    <w:rsid w:val="00E94E48"/>
    <w:rsid w:val="00EA6F17"/>
    <w:rsid w:val="00EC12D0"/>
    <w:rsid w:val="00EC2355"/>
    <w:rsid w:val="00EC6290"/>
    <w:rsid w:val="00EF2051"/>
    <w:rsid w:val="00EF3834"/>
    <w:rsid w:val="00F00A19"/>
    <w:rsid w:val="00F338B0"/>
    <w:rsid w:val="00F3686A"/>
    <w:rsid w:val="00F7059D"/>
    <w:rsid w:val="00F74500"/>
    <w:rsid w:val="00F804CC"/>
    <w:rsid w:val="00F82A83"/>
    <w:rsid w:val="00F83B3D"/>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D4DFDD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D229E-6771-4DD8-A3E6-0E0BABE33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D4DFDDDE</Template>
  <TotalTime>0</TotalTime>
  <Pages>5</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Telma</cp:lastModifiedBy>
  <cp:revision>2</cp:revision>
  <cp:lastPrinted>2013-08-26T11:27:00Z</cp:lastPrinted>
  <dcterms:created xsi:type="dcterms:W3CDTF">2014-10-17T05:48:00Z</dcterms:created>
  <dcterms:modified xsi:type="dcterms:W3CDTF">2014-10-17T05:48:00Z</dcterms:modified>
</cp:coreProperties>
</file>