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EE" w:rsidRDefault="00EA2EEE" w:rsidP="00101774">
      <w:pPr>
        <w:spacing w:line="360" w:lineRule="auto"/>
        <w:jc w:val="center"/>
        <w:rPr>
          <w:b/>
          <w:sz w:val="28"/>
          <w:szCs w:val="28"/>
        </w:rPr>
      </w:pPr>
    </w:p>
    <w:p w:rsidR="00EA2EEE" w:rsidRPr="00606EEA" w:rsidRDefault="00EA2EEE" w:rsidP="00101774">
      <w:pPr>
        <w:spacing w:line="360" w:lineRule="auto"/>
        <w:jc w:val="center"/>
        <w:rPr>
          <w:b/>
          <w:sz w:val="28"/>
          <w:szCs w:val="28"/>
        </w:rPr>
      </w:pPr>
      <w:r w:rsidRPr="00606EEA">
        <w:rPr>
          <w:b/>
          <w:sz w:val="28"/>
          <w:szCs w:val="28"/>
        </w:rPr>
        <w:t>IN THE SUPREME COURT OF SEYCHELLES</w:t>
      </w:r>
    </w:p>
    <w:p w:rsidR="00EA2EEE" w:rsidRPr="00B75AE2" w:rsidRDefault="00EA2EEE" w:rsidP="00101774">
      <w:pPr>
        <w:spacing w:before="240" w:line="360" w:lineRule="auto"/>
        <w:jc w:val="center"/>
        <w:rPr>
          <w:b/>
          <w:sz w:val="28"/>
          <w:szCs w:val="28"/>
        </w:rPr>
      </w:pPr>
      <w:r w:rsidRPr="00B75AE2">
        <w:rPr>
          <w:b/>
          <w:sz w:val="28"/>
          <w:szCs w:val="28"/>
        </w:rPr>
        <w:t xml:space="preserve">Civil Side: </w:t>
      </w:r>
      <w:r w:rsidR="001D0DDE">
        <w:rPr>
          <w:b/>
          <w:sz w:val="28"/>
          <w:szCs w:val="28"/>
        </w:rPr>
        <w:t xml:space="preserve">CS </w:t>
      </w:r>
      <w:r>
        <w:rPr>
          <w:b/>
          <w:sz w:val="28"/>
          <w:szCs w:val="28"/>
        </w:rPr>
        <w:t>6</w:t>
      </w:r>
      <w:r w:rsidRPr="00B75AE2">
        <w:rPr>
          <w:b/>
          <w:sz w:val="28"/>
          <w:szCs w:val="28"/>
        </w:rPr>
        <w:t>/20</w:t>
      </w:r>
      <w:r>
        <w:rPr>
          <w:b/>
          <w:sz w:val="28"/>
          <w:szCs w:val="28"/>
        </w:rPr>
        <w:t>15</w:t>
      </w:r>
    </w:p>
    <w:p w:rsidR="00EA2EEE" w:rsidRPr="00606EEA" w:rsidRDefault="006345A6" w:rsidP="00101774">
      <w:pPr>
        <w:spacing w:before="120" w:line="360" w:lineRule="auto"/>
        <w:jc w:val="center"/>
        <w:rPr>
          <w:b/>
          <w:sz w:val="24"/>
          <w:szCs w:val="24"/>
        </w:rPr>
      </w:pPr>
      <w:r>
        <w:rPr>
          <w:b/>
          <w:sz w:val="24"/>
          <w:szCs w:val="24"/>
          <w:highlight w:val="lightGray"/>
        </w:rPr>
        <w:fldChar w:fldCharType="begin"/>
      </w:r>
      <w:r w:rsidR="00EA2EEE">
        <w:rPr>
          <w:b/>
          <w:sz w:val="24"/>
          <w:szCs w:val="24"/>
          <w:highlight w:val="lightGray"/>
        </w:rPr>
        <w:instrText xml:space="preserve">  </w:instrText>
      </w:r>
      <w:r>
        <w:rPr>
          <w:b/>
          <w:sz w:val="24"/>
          <w:szCs w:val="24"/>
          <w:highlight w:val="lightGray"/>
        </w:rPr>
        <w:fldChar w:fldCharType="end"/>
      </w:r>
    </w:p>
    <w:p w:rsidR="00EA2EEE" w:rsidRPr="00606EEA" w:rsidRDefault="00EA2EEE" w:rsidP="00101774">
      <w:pPr>
        <w:spacing w:before="240" w:after="160" w:line="360" w:lineRule="auto"/>
        <w:ind w:left="6480"/>
        <w:rPr>
          <w:b/>
          <w:sz w:val="24"/>
          <w:szCs w:val="24"/>
        </w:rPr>
      </w:pPr>
      <w:r>
        <w:rPr>
          <w:b/>
          <w:sz w:val="24"/>
          <w:szCs w:val="24"/>
        </w:rPr>
        <w:t xml:space="preserve">       </w:t>
      </w:r>
      <w:r w:rsidRPr="00606EEA">
        <w:rPr>
          <w:b/>
          <w:sz w:val="24"/>
          <w:szCs w:val="24"/>
        </w:rPr>
        <w:t>[201</w:t>
      </w:r>
      <w:r>
        <w:rPr>
          <w:b/>
          <w:sz w:val="24"/>
          <w:szCs w:val="24"/>
        </w:rPr>
        <w:t>5</w:t>
      </w:r>
      <w:r w:rsidR="006345A6">
        <w:rPr>
          <w:b/>
          <w:sz w:val="24"/>
          <w:szCs w:val="24"/>
        </w:rPr>
        <w:fldChar w:fldCharType="begin"/>
      </w:r>
      <w:r>
        <w:rPr>
          <w:b/>
          <w:sz w:val="24"/>
          <w:szCs w:val="24"/>
        </w:rPr>
        <w:instrText xml:space="preserve">  </w:instrText>
      </w:r>
      <w:r w:rsidR="006345A6">
        <w:rPr>
          <w:b/>
          <w:sz w:val="24"/>
          <w:szCs w:val="24"/>
        </w:rPr>
        <w:fldChar w:fldCharType="end"/>
      </w:r>
      <w:r w:rsidRPr="00606EEA">
        <w:rPr>
          <w:b/>
          <w:sz w:val="24"/>
          <w:szCs w:val="24"/>
        </w:rPr>
        <w:t>] SCSC</w:t>
      </w:r>
      <w:r>
        <w:rPr>
          <w:b/>
          <w:sz w:val="24"/>
          <w:szCs w:val="24"/>
        </w:rPr>
        <w:t xml:space="preserve"> </w:t>
      </w:r>
      <w:r w:rsidR="001D0DDE">
        <w:rPr>
          <w:b/>
          <w:sz w:val="24"/>
          <w:szCs w:val="24"/>
        </w:rPr>
        <w:t>167</w:t>
      </w:r>
    </w:p>
    <w:p w:rsidR="00EA2EEE" w:rsidRPr="00606EEA" w:rsidRDefault="00EA2EEE" w:rsidP="00101774">
      <w:pPr>
        <w:pBdr>
          <w:bottom w:val="single" w:sz="4" w:space="5" w:color="auto"/>
        </w:pBdr>
        <w:spacing w:line="360" w:lineRule="auto"/>
        <w:jc w:val="center"/>
        <w:rPr>
          <w:b/>
          <w:sz w:val="24"/>
          <w:szCs w:val="24"/>
        </w:rPr>
      </w:pPr>
    </w:p>
    <w:p w:rsidR="00EA2EEE" w:rsidRDefault="00EA2EEE" w:rsidP="00101774">
      <w:pPr>
        <w:spacing w:line="360" w:lineRule="auto"/>
        <w:rPr>
          <w:sz w:val="24"/>
          <w:szCs w:val="24"/>
        </w:rPr>
      </w:pPr>
    </w:p>
    <w:p w:rsidR="00EA2EEE" w:rsidRDefault="00EA2EEE" w:rsidP="00101774">
      <w:pPr>
        <w:spacing w:line="360" w:lineRule="auto"/>
        <w:jc w:val="center"/>
        <w:rPr>
          <w:b/>
          <w:caps/>
          <w:sz w:val="24"/>
          <w:szCs w:val="24"/>
        </w:rPr>
      </w:pPr>
      <w:bookmarkStart w:id="0" w:name="Dropdown13"/>
      <w:r>
        <w:rPr>
          <w:b/>
          <w:caps/>
          <w:sz w:val="24"/>
          <w:szCs w:val="24"/>
        </w:rPr>
        <w:t>THOMAS GEIGENBERGER</w:t>
      </w:r>
    </w:p>
    <w:p w:rsidR="00EA2EEE" w:rsidRDefault="00AC0A87" w:rsidP="00101774">
      <w:pPr>
        <w:spacing w:line="360" w:lineRule="auto"/>
        <w:jc w:val="center"/>
        <w:rPr>
          <w:b/>
          <w:caps/>
          <w:sz w:val="24"/>
          <w:szCs w:val="24"/>
        </w:rPr>
      </w:pPr>
      <w:r>
        <w:rPr>
          <w:b/>
          <w:caps/>
          <w:sz w:val="24"/>
          <w:szCs w:val="24"/>
        </w:rPr>
        <w:t>Electing his legal domicile in the c</w:t>
      </w:r>
      <w:r w:rsidR="00EA2EEE">
        <w:rPr>
          <w:b/>
          <w:caps/>
          <w:sz w:val="24"/>
          <w:szCs w:val="24"/>
        </w:rPr>
        <w:t>h</w:t>
      </w:r>
      <w:r>
        <w:rPr>
          <w:b/>
          <w:caps/>
          <w:sz w:val="24"/>
          <w:szCs w:val="24"/>
        </w:rPr>
        <w:t>A</w:t>
      </w:r>
      <w:r w:rsidR="00EA2EEE">
        <w:rPr>
          <w:b/>
          <w:caps/>
          <w:sz w:val="24"/>
          <w:szCs w:val="24"/>
        </w:rPr>
        <w:t>mbers of</w:t>
      </w:r>
    </w:p>
    <w:p w:rsidR="00EA2EEE" w:rsidRDefault="00EA2EEE" w:rsidP="00101774">
      <w:pPr>
        <w:spacing w:line="360" w:lineRule="auto"/>
        <w:jc w:val="center"/>
        <w:rPr>
          <w:b/>
          <w:caps/>
          <w:sz w:val="24"/>
          <w:szCs w:val="24"/>
        </w:rPr>
      </w:pPr>
      <w:r>
        <w:rPr>
          <w:b/>
          <w:caps/>
          <w:sz w:val="24"/>
          <w:szCs w:val="24"/>
        </w:rPr>
        <w:t>ms natasha faulconer-alton</w:t>
      </w:r>
    </w:p>
    <w:p w:rsidR="00EA2EEE" w:rsidRDefault="00EA2EEE" w:rsidP="00101774">
      <w:pPr>
        <w:spacing w:line="360" w:lineRule="auto"/>
        <w:jc w:val="center"/>
        <w:rPr>
          <w:b/>
          <w:caps/>
          <w:sz w:val="24"/>
          <w:szCs w:val="24"/>
        </w:rPr>
      </w:pPr>
      <w:r>
        <w:rPr>
          <w:b/>
          <w:caps/>
          <w:sz w:val="24"/>
          <w:szCs w:val="24"/>
        </w:rPr>
        <w:t>suite 213</w:t>
      </w:r>
    </w:p>
    <w:p w:rsidR="00EA2EEE" w:rsidRDefault="00EA2EEE" w:rsidP="00101774">
      <w:pPr>
        <w:spacing w:line="360" w:lineRule="auto"/>
        <w:jc w:val="center"/>
        <w:rPr>
          <w:b/>
          <w:caps/>
          <w:sz w:val="24"/>
          <w:szCs w:val="24"/>
        </w:rPr>
      </w:pPr>
      <w:r>
        <w:rPr>
          <w:b/>
          <w:caps/>
          <w:sz w:val="24"/>
          <w:szCs w:val="24"/>
        </w:rPr>
        <w:t>PREMIERE BUILDING</w:t>
      </w:r>
    </w:p>
    <w:p w:rsidR="00EA2EEE" w:rsidRDefault="00EA2EEE" w:rsidP="00101774">
      <w:pPr>
        <w:spacing w:line="360" w:lineRule="auto"/>
        <w:jc w:val="center"/>
        <w:rPr>
          <w:b/>
          <w:caps/>
          <w:sz w:val="24"/>
          <w:szCs w:val="24"/>
        </w:rPr>
      </w:pPr>
      <w:r>
        <w:rPr>
          <w:b/>
          <w:caps/>
          <w:sz w:val="24"/>
          <w:szCs w:val="24"/>
        </w:rPr>
        <w:t xml:space="preserve">VICTORIA </w:t>
      </w:r>
    </w:p>
    <w:bookmarkEnd w:id="0"/>
    <w:p w:rsidR="00EA2EEE" w:rsidRDefault="00EA2EEE" w:rsidP="00101774">
      <w:pPr>
        <w:spacing w:after="240" w:line="360" w:lineRule="auto"/>
        <w:jc w:val="center"/>
        <w:rPr>
          <w:sz w:val="24"/>
          <w:szCs w:val="24"/>
        </w:rPr>
        <w:sectPr w:rsidR="00EA2EEE" w:rsidSect="00EA2EEE">
          <w:footerReference w:type="default" r:id="rId7"/>
          <w:pgSz w:w="12240" w:h="15840"/>
          <w:pgMar w:top="540" w:right="1440" w:bottom="1440" w:left="1440" w:header="720" w:footer="720" w:gutter="0"/>
          <w:cols w:space="720"/>
          <w:docGrid w:linePitch="360"/>
        </w:sectPr>
      </w:pPr>
      <w:r>
        <w:rPr>
          <w:sz w:val="24"/>
          <w:szCs w:val="24"/>
        </w:rPr>
        <w:t>Applicant</w:t>
      </w:r>
    </w:p>
    <w:p w:rsidR="00EA2EEE" w:rsidRDefault="00EA2EEE" w:rsidP="00101774">
      <w:pPr>
        <w:spacing w:line="360" w:lineRule="auto"/>
        <w:jc w:val="center"/>
        <w:rPr>
          <w:b/>
          <w:sz w:val="24"/>
          <w:szCs w:val="24"/>
        </w:rPr>
      </w:pPr>
    </w:p>
    <w:p w:rsidR="00EA2EEE" w:rsidRDefault="00EA2EEE" w:rsidP="00101774">
      <w:pPr>
        <w:spacing w:line="360" w:lineRule="auto"/>
        <w:rPr>
          <w:sz w:val="24"/>
          <w:szCs w:val="24"/>
        </w:rPr>
        <w:sectPr w:rsidR="00EA2EEE" w:rsidSect="00EF2051">
          <w:type w:val="continuous"/>
          <w:pgSz w:w="12240" w:h="15840"/>
          <w:pgMar w:top="1440" w:right="1440" w:bottom="1440" w:left="1440" w:header="720" w:footer="720" w:gutter="0"/>
          <w:cols w:space="720"/>
          <w:formProt w:val="0"/>
          <w:docGrid w:linePitch="360"/>
        </w:sectPr>
      </w:pPr>
    </w:p>
    <w:p w:rsidR="00EA2EEE" w:rsidRDefault="00EA2EEE" w:rsidP="00101774">
      <w:pPr>
        <w:spacing w:before="120" w:line="360" w:lineRule="auto"/>
        <w:jc w:val="center"/>
        <w:rPr>
          <w:sz w:val="24"/>
          <w:szCs w:val="24"/>
        </w:rPr>
      </w:pPr>
      <w:r>
        <w:rPr>
          <w:sz w:val="24"/>
          <w:szCs w:val="24"/>
        </w:rPr>
        <w:lastRenderedPageBreak/>
        <w:t>Versus</w:t>
      </w:r>
    </w:p>
    <w:p w:rsidR="00EA2EEE" w:rsidRDefault="00EA2EEE" w:rsidP="00101774">
      <w:pPr>
        <w:spacing w:before="120" w:line="360" w:lineRule="auto"/>
        <w:jc w:val="center"/>
        <w:rPr>
          <w:sz w:val="24"/>
          <w:szCs w:val="24"/>
        </w:rPr>
      </w:pPr>
    </w:p>
    <w:p w:rsidR="00EA2EEE" w:rsidRPr="00EA2EEE" w:rsidRDefault="00EA2EEE" w:rsidP="00101774">
      <w:pPr>
        <w:spacing w:line="360" w:lineRule="auto"/>
        <w:jc w:val="center"/>
        <w:rPr>
          <w:b/>
          <w:caps/>
          <w:sz w:val="24"/>
          <w:szCs w:val="24"/>
        </w:rPr>
      </w:pPr>
      <w:r w:rsidRPr="00EA2EEE">
        <w:rPr>
          <w:b/>
          <w:caps/>
          <w:sz w:val="24"/>
          <w:szCs w:val="24"/>
        </w:rPr>
        <w:t>MONIQUE HERMITTE</w:t>
      </w:r>
    </w:p>
    <w:p w:rsidR="00EA2EEE" w:rsidRDefault="00EA2EEE" w:rsidP="00101774">
      <w:pPr>
        <w:spacing w:line="360" w:lineRule="auto"/>
        <w:ind w:left="90" w:firstLine="180"/>
        <w:jc w:val="center"/>
        <w:rPr>
          <w:b/>
          <w:caps/>
          <w:sz w:val="24"/>
          <w:szCs w:val="24"/>
        </w:rPr>
      </w:pPr>
      <w:r w:rsidRPr="00EA2EEE">
        <w:rPr>
          <w:b/>
          <w:caps/>
          <w:sz w:val="24"/>
          <w:szCs w:val="24"/>
        </w:rPr>
        <w:t>ANSE POULES BLEU</w:t>
      </w:r>
    </w:p>
    <w:p w:rsidR="00EA2EEE" w:rsidRPr="00EA2EEE" w:rsidRDefault="00EA2EEE" w:rsidP="00101774">
      <w:pPr>
        <w:spacing w:line="360" w:lineRule="auto"/>
        <w:jc w:val="center"/>
        <w:rPr>
          <w:b/>
          <w:caps/>
          <w:sz w:val="24"/>
          <w:szCs w:val="24"/>
        </w:rPr>
      </w:pPr>
      <w:r>
        <w:rPr>
          <w:b/>
          <w:caps/>
          <w:sz w:val="24"/>
          <w:szCs w:val="24"/>
        </w:rPr>
        <w:t>MAHE</w:t>
      </w:r>
    </w:p>
    <w:p w:rsidR="00EA2EEE" w:rsidRDefault="00EA2EEE" w:rsidP="00101774">
      <w:pPr>
        <w:spacing w:after="240" w:line="360" w:lineRule="auto"/>
        <w:jc w:val="center"/>
        <w:rPr>
          <w:sz w:val="24"/>
          <w:szCs w:val="24"/>
        </w:rPr>
      </w:pPr>
      <w:r>
        <w:rPr>
          <w:sz w:val="24"/>
          <w:szCs w:val="24"/>
        </w:rPr>
        <w:t>First Respondent</w:t>
      </w:r>
    </w:p>
    <w:p w:rsidR="00EA2EEE" w:rsidRDefault="00EA2EEE" w:rsidP="00101774">
      <w:pPr>
        <w:spacing w:before="120" w:line="360" w:lineRule="auto"/>
        <w:jc w:val="center"/>
        <w:rPr>
          <w:sz w:val="24"/>
          <w:szCs w:val="24"/>
        </w:rPr>
      </w:pPr>
      <w:r>
        <w:rPr>
          <w:sz w:val="24"/>
          <w:szCs w:val="24"/>
        </w:rPr>
        <w:t>versus</w:t>
      </w:r>
    </w:p>
    <w:p w:rsidR="00EA2EEE" w:rsidRDefault="00EA2EEE" w:rsidP="00101774">
      <w:pPr>
        <w:spacing w:line="360" w:lineRule="auto"/>
        <w:jc w:val="center"/>
        <w:rPr>
          <w:sz w:val="24"/>
          <w:szCs w:val="24"/>
        </w:rPr>
      </w:pPr>
    </w:p>
    <w:p w:rsidR="00EA2EEE" w:rsidRPr="00EA2EEE" w:rsidRDefault="00EA2EEE" w:rsidP="00101774">
      <w:pPr>
        <w:spacing w:line="360" w:lineRule="auto"/>
        <w:jc w:val="center"/>
        <w:rPr>
          <w:b/>
          <w:caps/>
          <w:sz w:val="24"/>
          <w:szCs w:val="24"/>
        </w:rPr>
      </w:pPr>
      <w:r w:rsidRPr="00EA2EEE">
        <w:rPr>
          <w:b/>
          <w:caps/>
          <w:sz w:val="24"/>
          <w:szCs w:val="24"/>
        </w:rPr>
        <w:t>PAUL</w:t>
      </w:r>
      <w:r w:rsidR="00AC0A87">
        <w:rPr>
          <w:b/>
          <w:caps/>
          <w:sz w:val="24"/>
          <w:szCs w:val="24"/>
        </w:rPr>
        <w:t xml:space="preserve"> </w:t>
      </w:r>
      <w:r w:rsidRPr="00EA2EEE">
        <w:rPr>
          <w:b/>
          <w:caps/>
          <w:sz w:val="24"/>
          <w:szCs w:val="24"/>
        </w:rPr>
        <w:t>HERMITTE</w:t>
      </w:r>
    </w:p>
    <w:p w:rsidR="00EA2EEE" w:rsidRDefault="00EA2EEE" w:rsidP="00101774">
      <w:pPr>
        <w:spacing w:line="360" w:lineRule="auto"/>
        <w:ind w:left="360"/>
        <w:jc w:val="center"/>
        <w:rPr>
          <w:b/>
          <w:caps/>
          <w:sz w:val="24"/>
          <w:szCs w:val="24"/>
        </w:rPr>
      </w:pPr>
      <w:r w:rsidRPr="00EA2EEE">
        <w:rPr>
          <w:b/>
          <w:caps/>
          <w:sz w:val="24"/>
          <w:szCs w:val="24"/>
        </w:rPr>
        <w:t>ANSE POULES BLEU</w:t>
      </w:r>
    </w:p>
    <w:p w:rsidR="00EA2EEE" w:rsidRPr="00EA2EEE" w:rsidRDefault="00EA2EEE" w:rsidP="00101774">
      <w:pPr>
        <w:spacing w:line="360" w:lineRule="auto"/>
        <w:ind w:left="90"/>
        <w:jc w:val="center"/>
        <w:rPr>
          <w:b/>
          <w:caps/>
          <w:sz w:val="24"/>
          <w:szCs w:val="24"/>
        </w:rPr>
      </w:pPr>
      <w:r>
        <w:rPr>
          <w:b/>
          <w:caps/>
          <w:sz w:val="24"/>
          <w:szCs w:val="24"/>
        </w:rPr>
        <w:t>MAHE</w:t>
      </w:r>
    </w:p>
    <w:p w:rsidR="00EA2EEE" w:rsidRDefault="00EA2EEE" w:rsidP="00101774">
      <w:pPr>
        <w:spacing w:after="240" w:line="360" w:lineRule="auto"/>
        <w:jc w:val="center"/>
        <w:rPr>
          <w:sz w:val="24"/>
          <w:szCs w:val="24"/>
        </w:rPr>
        <w:sectPr w:rsidR="00EA2EEE" w:rsidSect="00EF2051">
          <w:type w:val="continuous"/>
          <w:pgSz w:w="12240" w:h="15840"/>
          <w:pgMar w:top="1440" w:right="1440" w:bottom="1440" w:left="1440" w:header="720" w:footer="720" w:gutter="0"/>
          <w:cols w:space="720"/>
          <w:docGrid w:linePitch="360"/>
        </w:sectPr>
      </w:pPr>
      <w:r>
        <w:rPr>
          <w:sz w:val="24"/>
          <w:szCs w:val="24"/>
        </w:rPr>
        <w:t>Second Respondent</w:t>
      </w:r>
    </w:p>
    <w:p w:rsidR="00EA2EEE" w:rsidRDefault="00EA2EEE" w:rsidP="00101774">
      <w:pPr>
        <w:spacing w:after="240" w:line="360" w:lineRule="auto"/>
        <w:jc w:val="center"/>
        <w:rPr>
          <w:sz w:val="24"/>
          <w:szCs w:val="24"/>
        </w:rPr>
      </w:pPr>
    </w:p>
    <w:p w:rsidR="00EA2EEE" w:rsidRDefault="00EA2EEE" w:rsidP="00101774">
      <w:pPr>
        <w:spacing w:after="240" w:line="360" w:lineRule="auto"/>
        <w:jc w:val="center"/>
        <w:rPr>
          <w:sz w:val="24"/>
          <w:szCs w:val="24"/>
        </w:rPr>
        <w:sectPr w:rsidR="00EA2EEE" w:rsidSect="00EF2051">
          <w:type w:val="continuous"/>
          <w:pgSz w:w="12240" w:h="15840"/>
          <w:pgMar w:top="1440" w:right="1440" w:bottom="1440" w:left="1440" w:header="720" w:footer="720" w:gutter="0"/>
          <w:cols w:space="720"/>
          <w:docGrid w:linePitch="360"/>
        </w:sectPr>
      </w:pPr>
    </w:p>
    <w:p w:rsidR="00EA2EEE" w:rsidRDefault="00EA2EEE" w:rsidP="00101774">
      <w:pPr>
        <w:spacing w:line="360" w:lineRule="auto"/>
        <w:jc w:val="center"/>
        <w:rPr>
          <w:sz w:val="24"/>
          <w:szCs w:val="24"/>
        </w:rPr>
        <w:sectPr w:rsidR="00EA2EEE" w:rsidSect="00EF2051">
          <w:type w:val="continuous"/>
          <w:pgSz w:w="12240" w:h="15840"/>
          <w:pgMar w:top="1440" w:right="1440" w:bottom="1440" w:left="1440" w:header="720" w:footer="720" w:gutter="0"/>
          <w:cols w:space="720"/>
          <w:formProt w:val="0"/>
          <w:docGrid w:linePitch="360"/>
        </w:sectPr>
      </w:pPr>
    </w:p>
    <w:p w:rsidR="00EA2EEE" w:rsidRPr="00695110" w:rsidRDefault="00EA2EEE" w:rsidP="00101774">
      <w:pPr>
        <w:pBdr>
          <w:bottom w:val="single" w:sz="4" w:space="1" w:color="auto"/>
        </w:pBdr>
        <w:spacing w:line="360" w:lineRule="auto"/>
        <w:jc w:val="center"/>
        <w:rPr>
          <w:sz w:val="12"/>
          <w:szCs w:val="12"/>
        </w:rPr>
      </w:pPr>
    </w:p>
    <w:p w:rsidR="00EA2EEE" w:rsidRPr="00E0467F" w:rsidRDefault="00EA2EEE" w:rsidP="00101774">
      <w:pPr>
        <w:spacing w:before="240" w:after="120" w:line="360" w:lineRule="auto"/>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Pr>
          <w:sz w:val="24"/>
          <w:szCs w:val="24"/>
        </w:rPr>
        <w:t>Wednesday 19</w:t>
      </w:r>
      <w:r w:rsidRPr="00EA2EEE">
        <w:rPr>
          <w:sz w:val="24"/>
          <w:szCs w:val="24"/>
          <w:vertAlign w:val="superscript"/>
        </w:rPr>
        <w:t>th</w:t>
      </w:r>
      <w:r>
        <w:rPr>
          <w:sz w:val="24"/>
          <w:szCs w:val="24"/>
        </w:rPr>
        <w:t xml:space="preserve"> May 2015.</w:t>
      </w:r>
      <w:r w:rsidR="006345A6">
        <w:rPr>
          <w:sz w:val="24"/>
          <w:szCs w:val="24"/>
        </w:rPr>
        <w:fldChar w:fldCharType="begin"/>
      </w:r>
      <w:r>
        <w:rPr>
          <w:sz w:val="24"/>
          <w:szCs w:val="24"/>
        </w:rPr>
        <w:instrText xml:space="preserve">  </w:instrText>
      </w:r>
      <w:r w:rsidR="006345A6">
        <w:rPr>
          <w:sz w:val="24"/>
          <w:szCs w:val="24"/>
        </w:rPr>
        <w:fldChar w:fldCharType="end"/>
      </w:r>
    </w:p>
    <w:p w:rsidR="00EA2EEE" w:rsidRDefault="00EA2EEE" w:rsidP="00101774">
      <w:pPr>
        <w:spacing w:line="360" w:lineRule="auto"/>
        <w:rPr>
          <w:sz w:val="24"/>
          <w:szCs w:val="24"/>
        </w:rPr>
        <w:sectPr w:rsidR="00EA2EEE"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t>Ms Natasha Faulconer – Alton for  Applicant</w:t>
      </w:r>
    </w:p>
    <w:p w:rsidR="00EA2EEE" w:rsidRDefault="00EA2EEE" w:rsidP="00101774">
      <w:pPr>
        <w:spacing w:line="360" w:lineRule="auto"/>
        <w:rPr>
          <w:sz w:val="24"/>
          <w:szCs w:val="24"/>
        </w:rPr>
        <w:sectPr w:rsidR="00EA2EEE"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D0DDE">
        <w:rPr>
          <w:sz w:val="24"/>
          <w:szCs w:val="24"/>
        </w:rPr>
        <w:t xml:space="preserve">Mr Basil Hoareau for </w:t>
      </w:r>
      <w:r>
        <w:rPr>
          <w:sz w:val="24"/>
          <w:szCs w:val="24"/>
        </w:rPr>
        <w:t>Respondents</w:t>
      </w:r>
    </w:p>
    <w:p w:rsidR="00EA2EEE" w:rsidRPr="00E6492F" w:rsidRDefault="00EA2EEE" w:rsidP="00101774">
      <w:pPr>
        <w:spacing w:before="120" w:after="240" w:line="360" w:lineRule="auto"/>
        <w:rPr>
          <w:b/>
          <w:sz w:val="16"/>
          <w:szCs w:val="16"/>
        </w:rPr>
      </w:pPr>
      <w:r>
        <w:rPr>
          <w:sz w:val="24"/>
          <w:szCs w:val="24"/>
        </w:rPr>
        <w:lastRenderedPageBreak/>
        <w:t>Delivered</w:t>
      </w:r>
      <w:r w:rsidRPr="00E0467F">
        <w:rPr>
          <w:sz w:val="24"/>
          <w:szCs w:val="24"/>
        </w:rPr>
        <w:t>:</w:t>
      </w:r>
      <w:r>
        <w:rPr>
          <w:sz w:val="24"/>
          <w:szCs w:val="24"/>
        </w:rPr>
        <w:tab/>
      </w:r>
      <w:r>
        <w:rPr>
          <w:sz w:val="24"/>
          <w:szCs w:val="24"/>
        </w:rPr>
        <w:tab/>
      </w:r>
      <w:r w:rsidR="001D0DDE">
        <w:rPr>
          <w:sz w:val="24"/>
          <w:szCs w:val="24"/>
        </w:rPr>
        <w:t>12</w:t>
      </w:r>
      <w:r w:rsidR="001D0DDE" w:rsidRPr="001D0DDE">
        <w:rPr>
          <w:sz w:val="24"/>
          <w:szCs w:val="24"/>
          <w:vertAlign w:val="superscript"/>
        </w:rPr>
        <w:t>th</w:t>
      </w:r>
      <w:r w:rsidR="001D0DDE">
        <w:rPr>
          <w:sz w:val="24"/>
          <w:szCs w:val="24"/>
        </w:rPr>
        <w:t xml:space="preserve"> June 2015.</w:t>
      </w:r>
    </w:p>
    <w:p w:rsidR="00EA2EEE" w:rsidRPr="00C87FCA" w:rsidRDefault="00EA2EEE" w:rsidP="00101774">
      <w:pPr>
        <w:pBdr>
          <w:top w:val="dotted" w:sz="4" w:space="1" w:color="auto"/>
          <w:bottom w:val="dotted" w:sz="4" w:space="1" w:color="auto"/>
        </w:pBdr>
        <w:spacing w:line="360" w:lineRule="auto"/>
        <w:jc w:val="center"/>
        <w:rPr>
          <w:sz w:val="24"/>
          <w:szCs w:val="24"/>
          <w:highlight w:val="lightGray"/>
        </w:rPr>
      </w:pPr>
      <w:bookmarkStart w:id="1" w:name="Dropdown2"/>
    </w:p>
    <w:bookmarkEnd w:id="1"/>
    <w:p w:rsidR="00EA2EEE" w:rsidRDefault="001D0DDE" w:rsidP="00101774">
      <w:pPr>
        <w:pBdr>
          <w:top w:val="dotted" w:sz="4" w:space="1" w:color="auto"/>
          <w:bottom w:val="dotted" w:sz="4" w:space="1" w:color="auto"/>
        </w:pBdr>
        <w:spacing w:line="360" w:lineRule="auto"/>
        <w:jc w:val="center"/>
        <w:rPr>
          <w:b/>
          <w:sz w:val="24"/>
          <w:szCs w:val="24"/>
        </w:rPr>
      </w:pPr>
      <w:r>
        <w:rPr>
          <w:b/>
          <w:sz w:val="24"/>
          <w:szCs w:val="24"/>
        </w:rPr>
        <w:t>RULING</w:t>
      </w:r>
    </w:p>
    <w:p w:rsidR="00EA2EEE" w:rsidRDefault="00EA2EEE" w:rsidP="00101774">
      <w:pPr>
        <w:pBdr>
          <w:top w:val="dotted" w:sz="4" w:space="1" w:color="auto"/>
          <w:bottom w:val="dotted" w:sz="4" w:space="1" w:color="auto"/>
        </w:pBdr>
        <w:spacing w:line="360" w:lineRule="auto"/>
        <w:jc w:val="center"/>
        <w:rPr>
          <w:b/>
          <w:sz w:val="24"/>
          <w:szCs w:val="24"/>
        </w:rPr>
      </w:pPr>
    </w:p>
    <w:p w:rsidR="00EA2EEE" w:rsidRPr="001008BC" w:rsidRDefault="00EA2EEE" w:rsidP="00101774">
      <w:pPr>
        <w:pStyle w:val="ListParagraph"/>
        <w:widowControl/>
        <w:autoSpaceDE/>
        <w:autoSpaceDN/>
        <w:adjustRightInd/>
        <w:spacing w:line="360" w:lineRule="auto"/>
        <w:ind w:left="0"/>
        <w:contextualSpacing w:val="0"/>
        <w:jc w:val="both"/>
        <w:rPr>
          <w:b/>
          <w:sz w:val="16"/>
          <w:szCs w:val="16"/>
        </w:rPr>
      </w:pPr>
    </w:p>
    <w:p w:rsidR="001D0DDE" w:rsidRDefault="001D0DDE" w:rsidP="00101774">
      <w:pPr>
        <w:pStyle w:val="ListParagraph"/>
        <w:widowControl/>
        <w:autoSpaceDE/>
        <w:autoSpaceDN/>
        <w:adjustRightInd/>
        <w:spacing w:after="240" w:line="360" w:lineRule="auto"/>
        <w:ind w:left="0"/>
        <w:contextualSpacing w:val="0"/>
        <w:jc w:val="both"/>
        <w:rPr>
          <w:b/>
          <w:sz w:val="24"/>
          <w:szCs w:val="24"/>
        </w:rPr>
        <w:sectPr w:rsidR="001D0DDE" w:rsidSect="00EF2051">
          <w:type w:val="continuous"/>
          <w:pgSz w:w="12240" w:h="15840"/>
          <w:pgMar w:top="1440" w:right="1440" w:bottom="1440" w:left="1440" w:header="720" w:footer="720" w:gutter="0"/>
          <w:cols w:space="720"/>
          <w:docGrid w:linePitch="360"/>
        </w:sectPr>
      </w:pPr>
      <w:r>
        <w:rPr>
          <w:b/>
          <w:sz w:val="24"/>
          <w:szCs w:val="24"/>
        </w:rPr>
        <w:t xml:space="preserve">McKee </w:t>
      </w:r>
    </w:p>
    <w:p w:rsidR="00EA2EEE" w:rsidRDefault="00EA2EEE" w:rsidP="00101774">
      <w:pPr>
        <w:pStyle w:val="ListParagraph"/>
        <w:widowControl/>
        <w:autoSpaceDE/>
        <w:autoSpaceDN/>
        <w:adjustRightInd/>
        <w:spacing w:after="240" w:line="360" w:lineRule="auto"/>
        <w:ind w:left="0"/>
        <w:contextualSpacing w:val="0"/>
        <w:jc w:val="both"/>
        <w:rPr>
          <w:b/>
          <w:sz w:val="24"/>
          <w:szCs w:val="24"/>
        </w:rPr>
        <w:sectPr w:rsidR="00EA2EEE" w:rsidSect="00EF2051">
          <w:type w:val="continuous"/>
          <w:pgSz w:w="12240" w:h="15840"/>
          <w:pgMar w:top="1440" w:right="1440" w:bottom="1440" w:left="1440" w:header="720" w:footer="720" w:gutter="0"/>
          <w:cols w:space="720"/>
          <w:docGrid w:linePitch="360"/>
        </w:sectPr>
      </w:pPr>
    </w:p>
    <w:p w:rsidR="001D0DDE" w:rsidRPr="006574DA" w:rsidRDefault="001D0DDE" w:rsidP="00101774">
      <w:pPr>
        <w:pStyle w:val="ListParagraph"/>
        <w:numPr>
          <w:ilvl w:val="0"/>
          <w:numId w:val="8"/>
        </w:numPr>
        <w:spacing w:line="360" w:lineRule="auto"/>
        <w:jc w:val="both"/>
        <w:rPr>
          <w:sz w:val="24"/>
          <w:szCs w:val="24"/>
        </w:rPr>
      </w:pPr>
      <w:r w:rsidRPr="006574DA">
        <w:rPr>
          <w:sz w:val="24"/>
          <w:szCs w:val="24"/>
        </w:rPr>
        <w:lastRenderedPageBreak/>
        <w:t>This Ruling relates to an urgent application dated 4</w:t>
      </w:r>
      <w:r w:rsidRPr="006574DA">
        <w:rPr>
          <w:sz w:val="24"/>
          <w:szCs w:val="24"/>
          <w:vertAlign w:val="superscript"/>
        </w:rPr>
        <w:t>th</w:t>
      </w:r>
      <w:r w:rsidRPr="006574DA">
        <w:rPr>
          <w:sz w:val="24"/>
          <w:szCs w:val="24"/>
        </w:rPr>
        <w:t xml:space="preserve"> March 2015 filed by the Plaintiff in the principal matter.</w:t>
      </w:r>
    </w:p>
    <w:p w:rsidR="001D0DDE" w:rsidRPr="006574DA" w:rsidRDefault="001D0DDE" w:rsidP="00101774">
      <w:pPr>
        <w:spacing w:line="360" w:lineRule="auto"/>
        <w:jc w:val="both"/>
        <w:rPr>
          <w:sz w:val="24"/>
          <w:szCs w:val="24"/>
        </w:rPr>
      </w:pPr>
    </w:p>
    <w:p w:rsidR="001D0DDE" w:rsidRPr="006574DA" w:rsidRDefault="001D0DDE" w:rsidP="00101774">
      <w:pPr>
        <w:pStyle w:val="ListParagraph"/>
        <w:numPr>
          <w:ilvl w:val="0"/>
          <w:numId w:val="8"/>
        </w:numPr>
        <w:spacing w:line="360" w:lineRule="auto"/>
        <w:jc w:val="both"/>
        <w:rPr>
          <w:sz w:val="24"/>
          <w:szCs w:val="24"/>
        </w:rPr>
      </w:pPr>
      <w:r w:rsidRPr="006574DA">
        <w:rPr>
          <w:sz w:val="24"/>
          <w:szCs w:val="24"/>
        </w:rPr>
        <w:t>It transpires from the pleadings that by a Lease Agreement dated 22</w:t>
      </w:r>
      <w:r w:rsidRPr="006574DA">
        <w:rPr>
          <w:sz w:val="24"/>
          <w:szCs w:val="24"/>
          <w:vertAlign w:val="superscript"/>
        </w:rPr>
        <w:t>nd</w:t>
      </w:r>
      <w:r w:rsidRPr="006574DA">
        <w:rPr>
          <w:sz w:val="24"/>
          <w:szCs w:val="24"/>
        </w:rPr>
        <w:t xml:space="preserve"> December 2009 entered into between  the Applicant and the Respondents the Respondents leased to the Applicant  part of parcel C50 and the buildings thereon [ hereinafter referred to as “the premises”] for the Applicant to carry on a restaurant business. It was inter alia agreed that the lease was to subsist for a period of ten years from 1st January 2010 until 1</w:t>
      </w:r>
      <w:r w:rsidRPr="006574DA">
        <w:rPr>
          <w:sz w:val="24"/>
          <w:szCs w:val="24"/>
          <w:vertAlign w:val="superscript"/>
        </w:rPr>
        <w:t>st</w:t>
      </w:r>
      <w:r w:rsidRPr="006574DA">
        <w:rPr>
          <w:sz w:val="24"/>
          <w:szCs w:val="24"/>
        </w:rPr>
        <w:t xml:space="preserve"> January 2019. It would seem that the lease proceeded in a normal way between January 2010 and the middle of 2014. During the month of August 2014 and during the term of the lease the Respondents broke and replaced the locks of and took possession of the premises. As a result the Applicant and his employees are unable to regain access to and repossess the premises. </w:t>
      </w:r>
    </w:p>
    <w:p w:rsidR="001D0DDE" w:rsidRPr="006574DA" w:rsidRDefault="001D0DDE" w:rsidP="00101774">
      <w:pPr>
        <w:spacing w:line="360" w:lineRule="auto"/>
        <w:jc w:val="both"/>
        <w:rPr>
          <w:sz w:val="24"/>
          <w:szCs w:val="24"/>
        </w:rPr>
      </w:pPr>
    </w:p>
    <w:p w:rsidR="001D0DDE" w:rsidRPr="006574DA" w:rsidRDefault="001D0DDE" w:rsidP="00101774">
      <w:pPr>
        <w:pStyle w:val="ListParagraph"/>
        <w:numPr>
          <w:ilvl w:val="0"/>
          <w:numId w:val="8"/>
        </w:numPr>
        <w:spacing w:line="360" w:lineRule="auto"/>
        <w:jc w:val="both"/>
        <w:rPr>
          <w:sz w:val="24"/>
          <w:szCs w:val="24"/>
        </w:rPr>
      </w:pPr>
      <w:r w:rsidRPr="006574DA">
        <w:rPr>
          <w:sz w:val="24"/>
          <w:szCs w:val="24"/>
        </w:rPr>
        <w:t xml:space="preserve">Following commencement of the suit, the Applicant has now by way of motion applied to this Court for an interlocutory injunction ordering the Respondents 1] to return the premises to him 2] to allow him immediate access to his office located on the premises in which he has personal items and/or information and 3] to return to him all personal items </w:t>
      </w:r>
      <w:r w:rsidRPr="006574DA">
        <w:rPr>
          <w:sz w:val="24"/>
          <w:szCs w:val="24"/>
        </w:rPr>
        <w:lastRenderedPageBreak/>
        <w:t>and all other items belonging to him, all with immediate effect. Therefore, the Applicant seeks in his motion a writ of injunction against the Respondents.</w:t>
      </w:r>
    </w:p>
    <w:p w:rsidR="001D0DDE" w:rsidRPr="006574DA" w:rsidRDefault="001D0DDE" w:rsidP="00101774">
      <w:pPr>
        <w:spacing w:line="360" w:lineRule="auto"/>
        <w:jc w:val="both"/>
        <w:rPr>
          <w:sz w:val="24"/>
          <w:szCs w:val="24"/>
        </w:rPr>
      </w:pPr>
    </w:p>
    <w:p w:rsidR="001D0DDE" w:rsidRPr="006574DA" w:rsidRDefault="001D0DDE" w:rsidP="00101774">
      <w:pPr>
        <w:pStyle w:val="ListParagraph"/>
        <w:numPr>
          <w:ilvl w:val="0"/>
          <w:numId w:val="8"/>
        </w:numPr>
        <w:spacing w:line="360" w:lineRule="auto"/>
        <w:jc w:val="both"/>
        <w:rPr>
          <w:sz w:val="24"/>
          <w:szCs w:val="24"/>
        </w:rPr>
      </w:pPr>
      <w:r w:rsidRPr="006574DA">
        <w:rPr>
          <w:sz w:val="24"/>
          <w:szCs w:val="24"/>
        </w:rPr>
        <w:t>The Respondents on the other side resist the motion, on the grounds that the rent had not been paid timeously for the month of July 2014, there is damage to a ceiling where an unauthorized fan had been installed and the premises are generally in an untidy state or poor state of repair. They submit that they were entitled under the proviso to paragraph 12 of the lease to treat the lease at an end and to re-enter and re-possess the premises.</w:t>
      </w:r>
    </w:p>
    <w:p w:rsidR="001D0DDE" w:rsidRPr="006574DA" w:rsidRDefault="001D0DDE" w:rsidP="00101774">
      <w:pPr>
        <w:spacing w:line="360" w:lineRule="auto"/>
        <w:jc w:val="both"/>
        <w:rPr>
          <w:sz w:val="24"/>
          <w:szCs w:val="24"/>
        </w:rPr>
      </w:pPr>
    </w:p>
    <w:p w:rsidR="001D0DDE" w:rsidRPr="006574DA" w:rsidRDefault="001D0DDE" w:rsidP="00101774">
      <w:pPr>
        <w:pStyle w:val="ListParagraph"/>
        <w:numPr>
          <w:ilvl w:val="0"/>
          <w:numId w:val="8"/>
        </w:numPr>
        <w:spacing w:line="360" w:lineRule="auto"/>
        <w:jc w:val="both"/>
        <w:rPr>
          <w:sz w:val="24"/>
          <w:szCs w:val="24"/>
        </w:rPr>
      </w:pPr>
      <w:r w:rsidRPr="006574DA">
        <w:rPr>
          <w:sz w:val="24"/>
          <w:szCs w:val="24"/>
        </w:rPr>
        <w:t>I have given careful thought to the arguments advanced by counsel on both sides. I have considered the authorities submitted by both counsel. The interlocutory injunction is discretionary in terms of section 6 of the Courts Act. A court may exercise this equitable jurisdiction where no sufficient legal remedy is provided in order to prevent irreparable injury which may not be able to be remedied by an award of damages. There must be a substantive and arguable principal case on the merits.  The Court in considering whether to grant or refuse the injunction should consider the balance of convenience and any hardship of the parties. It is for the Applicant to show that the inconvenience he will suffer by a refusal is greater than that which the Respondents would suffer by the grant of the injunction. In my view the exercise of this equitable jurisdiction is subject to equity, fairness and justice in the particular circumstances of this case. This would lead to a flexible rather than narrow interpretation of the issues.</w:t>
      </w:r>
    </w:p>
    <w:p w:rsidR="001D0DDE" w:rsidRPr="006574DA" w:rsidRDefault="001D0DDE" w:rsidP="00101774">
      <w:pPr>
        <w:spacing w:line="360" w:lineRule="auto"/>
        <w:jc w:val="both"/>
        <w:rPr>
          <w:sz w:val="24"/>
          <w:szCs w:val="24"/>
        </w:rPr>
      </w:pPr>
    </w:p>
    <w:p w:rsidR="001D0DDE" w:rsidRPr="006574DA" w:rsidRDefault="001D0DDE" w:rsidP="00101774">
      <w:pPr>
        <w:pStyle w:val="ListParagraph"/>
        <w:numPr>
          <w:ilvl w:val="0"/>
          <w:numId w:val="8"/>
        </w:numPr>
        <w:spacing w:line="360" w:lineRule="auto"/>
        <w:jc w:val="both"/>
        <w:rPr>
          <w:sz w:val="24"/>
          <w:szCs w:val="24"/>
        </w:rPr>
      </w:pPr>
      <w:r w:rsidRPr="006574DA">
        <w:rPr>
          <w:sz w:val="24"/>
          <w:szCs w:val="24"/>
        </w:rPr>
        <w:t>I find that the substantive case is an arguable case on the merits. The main relief sought by the Applicant in the pending suit is for re-possession of the premises and the continuation of the Lease until 1</w:t>
      </w:r>
      <w:r w:rsidRPr="006574DA">
        <w:rPr>
          <w:sz w:val="24"/>
          <w:szCs w:val="24"/>
          <w:vertAlign w:val="superscript"/>
        </w:rPr>
        <w:t>st</w:t>
      </w:r>
      <w:r w:rsidRPr="006574DA">
        <w:rPr>
          <w:sz w:val="24"/>
          <w:szCs w:val="24"/>
        </w:rPr>
        <w:t xml:space="preserve"> January 2019. The situation now facing the Applicant is that the Respondents may have deprived him of possession of the premises unlawfully, by a wrongful act or contrary to the provisions of the Control of Rent and Tenancy Agreements Act, and so, during the inevitable interval between now and the determination of the suit, prevent him from </w:t>
      </w:r>
      <w:r w:rsidR="00101774" w:rsidRPr="006574DA">
        <w:rPr>
          <w:sz w:val="24"/>
          <w:szCs w:val="24"/>
        </w:rPr>
        <w:t>benefiting</w:t>
      </w:r>
      <w:r w:rsidRPr="006574DA">
        <w:rPr>
          <w:sz w:val="24"/>
          <w:szCs w:val="24"/>
        </w:rPr>
        <w:t xml:space="preserve"> from the conduct of his business on the premises. In that event if this position is maintained at present the Applicant will be put to irreparable loss, hardship and inconvenience if a Court later gives judgment in </w:t>
      </w:r>
      <w:r w:rsidRPr="006574DA">
        <w:rPr>
          <w:sz w:val="24"/>
          <w:szCs w:val="24"/>
        </w:rPr>
        <w:lastRenderedPageBreak/>
        <w:t xml:space="preserve">his favour. Therefore refusal of the injunction in this matter would, in my view, cause more injustice to the Applicant than the one caused to the Respondents by the granting of it. </w:t>
      </w:r>
    </w:p>
    <w:p w:rsidR="001D0DDE" w:rsidRPr="006574DA" w:rsidRDefault="001D0DDE" w:rsidP="00101774">
      <w:pPr>
        <w:spacing w:line="360" w:lineRule="auto"/>
        <w:jc w:val="both"/>
        <w:rPr>
          <w:sz w:val="24"/>
          <w:szCs w:val="24"/>
        </w:rPr>
      </w:pPr>
    </w:p>
    <w:p w:rsidR="001D0DDE" w:rsidRPr="006574DA" w:rsidRDefault="001D0DDE" w:rsidP="00101774">
      <w:pPr>
        <w:spacing w:line="360" w:lineRule="auto"/>
        <w:jc w:val="both"/>
        <w:rPr>
          <w:sz w:val="24"/>
          <w:szCs w:val="24"/>
        </w:rPr>
      </w:pPr>
    </w:p>
    <w:p w:rsidR="001D0DDE" w:rsidRPr="006574DA" w:rsidRDefault="001D0DDE" w:rsidP="00101774">
      <w:pPr>
        <w:pStyle w:val="ListParagraph"/>
        <w:numPr>
          <w:ilvl w:val="0"/>
          <w:numId w:val="8"/>
        </w:numPr>
        <w:spacing w:line="360" w:lineRule="auto"/>
        <w:jc w:val="both"/>
        <w:rPr>
          <w:sz w:val="24"/>
          <w:szCs w:val="24"/>
        </w:rPr>
      </w:pPr>
      <w:r w:rsidRPr="006574DA">
        <w:rPr>
          <w:sz w:val="24"/>
          <w:szCs w:val="24"/>
        </w:rPr>
        <w:t>Hence I allow the motion and grant the writ of injunction ordering the Respondents:</w:t>
      </w:r>
    </w:p>
    <w:p w:rsidR="001D0DDE" w:rsidRPr="006574DA" w:rsidRDefault="001D0DDE" w:rsidP="00101774">
      <w:pPr>
        <w:pStyle w:val="ListParagraph"/>
        <w:spacing w:line="360" w:lineRule="auto"/>
        <w:jc w:val="both"/>
        <w:rPr>
          <w:sz w:val="24"/>
          <w:szCs w:val="24"/>
        </w:rPr>
      </w:pPr>
      <w:r w:rsidRPr="006574DA">
        <w:rPr>
          <w:sz w:val="24"/>
          <w:szCs w:val="24"/>
        </w:rPr>
        <w:t>1]  to return  the whole premises, including the office premises, into the full  custody, possession and control of the Applicant or his servants and agents with immediate effect; and</w:t>
      </w:r>
    </w:p>
    <w:p w:rsidR="001D0DDE" w:rsidRPr="006574DA" w:rsidRDefault="001D0DDE" w:rsidP="00101774">
      <w:pPr>
        <w:pStyle w:val="ListParagraph"/>
        <w:spacing w:line="360" w:lineRule="auto"/>
        <w:jc w:val="both"/>
        <w:rPr>
          <w:sz w:val="24"/>
          <w:szCs w:val="24"/>
        </w:rPr>
      </w:pPr>
      <w:r w:rsidRPr="006574DA">
        <w:rPr>
          <w:sz w:val="24"/>
          <w:szCs w:val="24"/>
        </w:rPr>
        <w:t>2]  to return into the custody, possession and control of the Applicant all his personal items and/or information with immediate effect, and</w:t>
      </w:r>
    </w:p>
    <w:p w:rsidR="001D0DDE" w:rsidRPr="006574DA" w:rsidRDefault="001D0DDE" w:rsidP="00101774">
      <w:pPr>
        <w:pStyle w:val="ListParagraph"/>
        <w:spacing w:line="360" w:lineRule="auto"/>
        <w:jc w:val="both"/>
        <w:rPr>
          <w:sz w:val="24"/>
          <w:szCs w:val="24"/>
        </w:rPr>
      </w:pPr>
      <w:r w:rsidRPr="006574DA">
        <w:rPr>
          <w:sz w:val="24"/>
          <w:szCs w:val="24"/>
        </w:rPr>
        <w:t xml:space="preserve">3]  to return into the custody, possession and control of the Applicant or his servants and agents all other items on the premises belonging to the Applicant, with immediate effect.      </w:t>
      </w:r>
    </w:p>
    <w:p w:rsidR="001D0DDE" w:rsidRPr="006574DA" w:rsidRDefault="001D0DDE" w:rsidP="00101774">
      <w:pPr>
        <w:spacing w:line="360" w:lineRule="auto"/>
        <w:ind w:left="360"/>
        <w:jc w:val="both"/>
        <w:rPr>
          <w:sz w:val="24"/>
          <w:szCs w:val="24"/>
        </w:rPr>
      </w:pPr>
    </w:p>
    <w:p w:rsidR="001D0DDE" w:rsidRPr="006574DA" w:rsidRDefault="001D0DDE" w:rsidP="00101774">
      <w:pPr>
        <w:pStyle w:val="ListParagraph"/>
        <w:numPr>
          <w:ilvl w:val="0"/>
          <w:numId w:val="8"/>
        </w:numPr>
        <w:spacing w:line="360" w:lineRule="auto"/>
        <w:jc w:val="both"/>
        <w:rPr>
          <w:sz w:val="24"/>
          <w:szCs w:val="24"/>
        </w:rPr>
      </w:pPr>
      <w:r w:rsidRPr="006574DA">
        <w:rPr>
          <w:sz w:val="24"/>
          <w:szCs w:val="24"/>
        </w:rPr>
        <w:t>The Writ of Injunction shall subsist until the determination of the suit in Civil Side Number 06 of 2015 in this matter</w:t>
      </w:r>
      <w:r w:rsidR="00A90035" w:rsidRPr="006574DA">
        <w:rPr>
          <w:sz w:val="24"/>
          <w:szCs w:val="24"/>
        </w:rPr>
        <w:t>.</w:t>
      </w:r>
    </w:p>
    <w:p w:rsidR="001D0DDE" w:rsidRDefault="001D0DDE" w:rsidP="00101774">
      <w:pPr>
        <w:spacing w:line="360" w:lineRule="auto"/>
        <w:ind w:left="360"/>
        <w:jc w:val="both"/>
      </w:pPr>
    </w:p>
    <w:p w:rsidR="001D0DDE" w:rsidRDefault="001D0DDE" w:rsidP="00101774">
      <w:pPr>
        <w:spacing w:line="360" w:lineRule="auto"/>
        <w:ind w:left="360"/>
        <w:jc w:val="both"/>
      </w:pPr>
    </w:p>
    <w:p w:rsidR="001D0DDE" w:rsidRDefault="001D0DDE" w:rsidP="00101774">
      <w:pPr>
        <w:pStyle w:val="ListParagraph"/>
        <w:widowControl/>
        <w:autoSpaceDE/>
        <w:autoSpaceDN/>
        <w:adjustRightInd/>
        <w:spacing w:after="240" w:line="360" w:lineRule="auto"/>
        <w:ind w:left="0"/>
        <w:contextualSpacing w:val="0"/>
        <w:jc w:val="both"/>
        <w:rPr>
          <w:sz w:val="24"/>
          <w:szCs w:val="24"/>
        </w:rPr>
      </w:pPr>
      <w:r>
        <w:rPr>
          <w:sz w:val="24"/>
          <w:szCs w:val="24"/>
        </w:rPr>
        <w:t>Signed, dated and delivered at Ile du Port on 12</w:t>
      </w:r>
      <w:r w:rsidR="00DA44D0">
        <w:rPr>
          <w:sz w:val="24"/>
          <w:szCs w:val="24"/>
          <w:vertAlign w:val="superscript"/>
        </w:rPr>
        <w:t>th</w:t>
      </w:r>
      <w:r>
        <w:rPr>
          <w:sz w:val="24"/>
          <w:szCs w:val="24"/>
        </w:rPr>
        <w:t xml:space="preserve"> June 2015.</w:t>
      </w:r>
    </w:p>
    <w:p w:rsidR="001D0DDE" w:rsidRDefault="001D0DDE" w:rsidP="00101774">
      <w:pPr>
        <w:pStyle w:val="ListParagraph"/>
        <w:widowControl/>
        <w:autoSpaceDE/>
        <w:autoSpaceDN/>
        <w:adjustRightInd/>
        <w:spacing w:line="360" w:lineRule="auto"/>
        <w:ind w:left="0"/>
        <w:contextualSpacing w:val="0"/>
        <w:jc w:val="both"/>
        <w:rPr>
          <w:sz w:val="24"/>
          <w:szCs w:val="24"/>
        </w:rPr>
        <w:sectPr w:rsidR="001D0DDE" w:rsidSect="00EF2051">
          <w:type w:val="continuous"/>
          <w:pgSz w:w="12240" w:h="15840"/>
          <w:pgMar w:top="1440" w:right="1440" w:bottom="1440" w:left="1440" w:header="720" w:footer="720" w:gutter="0"/>
          <w:cols w:space="720"/>
          <w:docGrid w:linePitch="360"/>
        </w:sectPr>
      </w:pPr>
    </w:p>
    <w:p w:rsidR="001D0DDE" w:rsidRDefault="001D0DDE" w:rsidP="00101774">
      <w:pPr>
        <w:pStyle w:val="ListParagraph"/>
        <w:widowControl/>
        <w:autoSpaceDE/>
        <w:autoSpaceDN/>
        <w:adjustRightInd/>
        <w:spacing w:line="360" w:lineRule="auto"/>
        <w:ind w:left="0"/>
        <w:contextualSpacing w:val="0"/>
        <w:jc w:val="both"/>
        <w:rPr>
          <w:sz w:val="24"/>
          <w:szCs w:val="24"/>
        </w:rPr>
      </w:pPr>
    </w:p>
    <w:p w:rsidR="001D0DDE" w:rsidRDefault="001D0DDE" w:rsidP="00101774">
      <w:pPr>
        <w:pStyle w:val="ListParagraph"/>
        <w:widowControl/>
        <w:autoSpaceDE/>
        <w:autoSpaceDN/>
        <w:adjustRightInd/>
        <w:spacing w:after="120" w:line="360" w:lineRule="auto"/>
        <w:ind w:left="0"/>
        <w:contextualSpacing w:val="0"/>
        <w:jc w:val="both"/>
        <w:rPr>
          <w:sz w:val="24"/>
          <w:szCs w:val="24"/>
        </w:rPr>
        <w:sectPr w:rsidR="001D0DDE" w:rsidSect="00EF2051">
          <w:type w:val="continuous"/>
          <w:pgSz w:w="12240" w:h="15840"/>
          <w:pgMar w:top="1440" w:right="1440" w:bottom="1440" w:left="1440" w:header="720" w:footer="720" w:gutter="0"/>
          <w:cols w:space="720"/>
          <w:formProt w:val="0"/>
          <w:docGrid w:linePitch="360"/>
        </w:sectPr>
      </w:pPr>
    </w:p>
    <w:p w:rsidR="001D0DDE" w:rsidRDefault="001D0DDE" w:rsidP="00101774">
      <w:pPr>
        <w:pStyle w:val="ListParagraph"/>
        <w:widowControl/>
        <w:autoSpaceDE/>
        <w:autoSpaceDN/>
        <w:adjustRightInd/>
        <w:spacing w:line="360" w:lineRule="auto"/>
        <w:ind w:left="0"/>
        <w:contextualSpacing w:val="0"/>
        <w:jc w:val="both"/>
        <w:rPr>
          <w:sz w:val="24"/>
          <w:szCs w:val="24"/>
        </w:rPr>
      </w:pPr>
    </w:p>
    <w:p w:rsidR="001D0DDE" w:rsidRDefault="001D0DDE" w:rsidP="00101774">
      <w:pPr>
        <w:pStyle w:val="ListParagraph"/>
        <w:widowControl/>
        <w:autoSpaceDE/>
        <w:autoSpaceDN/>
        <w:adjustRightInd/>
        <w:spacing w:line="360" w:lineRule="auto"/>
        <w:ind w:left="0"/>
        <w:contextualSpacing w:val="0"/>
        <w:jc w:val="both"/>
        <w:rPr>
          <w:sz w:val="24"/>
          <w:szCs w:val="24"/>
        </w:rPr>
      </w:pPr>
    </w:p>
    <w:p w:rsidR="001D0DDE" w:rsidRDefault="001D0DDE" w:rsidP="00101774">
      <w:pPr>
        <w:pStyle w:val="ListParagraph"/>
        <w:widowControl/>
        <w:autoSpaceDE/>
        <w:autoSpaceDN/>
        <w:adjustRightInd/>
        <w:spacing w:line="360" w:lineRule="auto"/>
        <w:ind w:left="0"/>
        <w:contextualSpacing w:val="0"/>
        <w:jc w:val="both"/>
        <w:rPr>
          <w:sz w:val="24"/>
          <w:szCs w:val="24"/>
        </w:rPr>
      </w:pPr>
    </w:p>
    <w:p w:rsidR="001D0DDE" w:rsidRDefault="001D0DDE" w:rsidP="00101774">
      <w:pPr>
        <w:pStyle w:val="ListParagraph"/>
        <w:widowControl/>
        <w:autoSpaceDE/>
        <w:autoSpaceDN/>
        <w:adjustRightInd/>
        <w:spacing w:line="360" w:lineRule="auto"/>
        <w:ind w:left="0"/>
        <w:contextualSpacing w:val="0"/>
        <w:jc w:val="both"/>
        <w:rPr>
          <w:sz w:val="24"/>
          <w:szCs w:val="24"/>
        </w:rPr>
      </w:pPr>
    </w:p>
    <w:p w:rsidR="001D0DDE" w:rsidRPr="002A7376" w:rsidRDefault="001D0DDE" w:rsidP="00101774">
      <w:pPr>
        <w:pStyle w:val="ListParagraph"/>
        <w:widowControl/>
        <w:autoSpaceDE/>
        <w:autoSpaceDN/>
        <w:adjustRightInd/>
        <w:spacing w:line="360" w:lineRule="auto"/>
        <w:ind w:left="0"/>
        <w:contextualSpacing w:val="0"/>
        <w:jc w:val="both"/>
        <w:rPr>
          <w:sz w:val="24"/>
          <w:szCs w:val="24"/>
        </w:rPr>
      </w:pPr>
      <w:r>
        <w:rPr>
          <w:sz w:val="24"/>
          <w:szCs w:val="24"/>
        </w:rPr>
        <w:t>C McKee</w:t>
      </w:r>
    </w:p>
    <w:p w:rsidR="001D0DDE" w:rsidRPr="00E33F35" w:rsidRDefault="001D0DDE" w:rsidP="00101774">
      <w:pPr>
        <w:pStyle w:val="ListParagraph"/>
        <w:widowControl/>
        <w:autoSpaceDE/>
        <w:autoSpaceDN/>
        <w:adjustRightInd/>
        <w:spacing w:line="360" w:lineRule="auto"/>
        <w:ind w:left="0"/>
        <w:contextualSpacing w:val="0"/>
        <w:jc w:val="both"/>
        <w:rPr>
          <w:b/>
          <w:sz w:val="24"/>
          <w:szCs w:val="24"/>
        </w:rPr>
      </w:pPr>
      <w:r>
        <w:rPr>
          <w:b/>
          <w:sz w:val="24"/>
          <w:szCs w:val="24"/>
        </w:rPr>
        <w:t>Judge of the Supreme Court</w:t>
      </w:r>
      <w:r w:rsidR="006345A6" w:rsidRPr="00E33F35">
        <w:rPr>
          <w:b/>
          <w:sz w:val="24"/>
          <w:szCs w:val="24"/>
        </w:rPr>
        <w:fldChar w:fldCharType="begin"/>
      </w:r>
      <w:r w:rsidRPr="00E33F35">
        <w:rPr>
          <w:b/>
          <w:sz w:val="24"/>
          <w:szCs w:val="24"/>
        </w:rPr>
        <w:instrText xml:space="preserve">  </w:instrText>
      </w:r>
      <w:r w:rsidR="006345A6" w:rsidRPr="00E33F35">
        <w:rPr>
          <w:b/>
          <w:sz w:val="24"/>
          <w:szCs w:val="24"/>
        </w:rPr>
        <w:fldChar w:fldCharType="end"/>
      </w:r>
    </w:p>
    <w:p w:rsidR="001D0DDE" w:rsidRPr="00E33F35" w:rsidRDefault="001D0DDE" w:rsidP="00101774">
      <w:pPr>
        <w:pStyle w:val="ListParagraph"/>
        <w:widowControl/>
        <w:autoSpaceDE/>
        <w:autoSpaceDN/>
        <w:adjustRightInd/>
        <w:spacing w:after="120" w:line="360" w:lineRule="auto"/>
        <w:ind w:left="0"/>
        <w:contextualSpacing w:val="0"/>
        <w:jc w:val="both"/>
        <w:rPr>
          <w:b/>
          <w:sz w:val="24"/>
          <w:szCs w:val="24"/>
        </w:rPr>
      </w:pPr>
    </w:p>
    <w:p w:rsidR="00ED1555" w:rsidRDefault="004203A2" w:rsidP="00101774">
      <w:pPr>
        <w:pStyle w:val="ListParagraph"/>
        <w:widowControl/>
        <w:autoSpaceDE/>
        <w:autoSpaceDN/>
        <w:adjustRightInd/>
        <w:spacing w:after="240" w:line="360" w:lineRule="auto"/>
        <w:ind w:left="0"/>
        <w:contextualSpacing w:val="0"/>
        <w:jc w:val="both"/>
      </w:pPr>
    </w:p>
    <w:sectPr w:rsidR="00ED1555" w:rsidSect="001D0DD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3A2" w:rsidRDefault="004203A2" w:rsidP="009C0277">
      <w:r>
        <w:separator/>
      </w:r>
    </w:p>
  </w:endnote>
  <w:endnote w:type="continuationSeparator" w:id="1">
    <w:p w:rsidR="004203A2" w:rsidRDefault="004203A2" w:rsidP="009C0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345A6">
    <w:pPr>
      <w:pStyle w:val="Footer"/>
      <w:jc w:val="center"/>
    </w:pPr>
    <w:r>
      <w:fldChar w:fldCharType="begin"/>
    </w:r>
    <w:r w:rsidR="00DA44D0">
      <w:instrText xml:space="preserve"> PAGE   \* MERGEFORMAT </w:instrText>
    </w:r>
    <w:r>
      <w:fldChar w:fldCharType="separate"/>
    </w:r>
    <w:r w:rsidR="0010177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3A2" w:rsidRDefault="004203A2" w:rsidP="009C0277">
      <w:r>
        <w:separator/>
      </w:r>
    </w:p>
  </w:footnote>
  <w:footnote w:type="continuationSeparator" w:id="1">
    <w:p w:rsidR="004203A2" w:rsidRDefault="004203A2" w:rsidP="009C0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C2455"/>
    <w:multiLevelType w:val="hybridMultilevel"/>
    <w:tmpl w:val="FB326C96"/>
    <w:lvl w:ilvl="0" w:tplc="3B384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737C9"/>
    <w:multiLevelType w:val="hybridMultilevel"/>
    <w:tmpl w:val="7680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174C9"/>
    <w:multiLevelType w:val="hybridMultilevel"/>
    <w:tmpl w:val="7680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57C79"/>
    <w:multiLevelType w:val="hybridMultilevel"/>
    <w:tmpl w:val="589E2782"/>
    <w:lvl w:ilvl="0" w:tplc="86ACE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3C080B"/>
    <w:multiLevelType w:val="hybridMultilevel"/>
    <w:tmpl w:val="7520B462"/>
    <w:lvl w:ilvl="0" w:tplc="3B384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A2EEE"/>
    <w:rsid w:val="0000773D"/>
    <w:rsid w:val="00011DB5"/>
    <w:rsid w:val="00014DCA"/>
    <w:rsid w:val="000455B1"/>
    <w:rsid w:val="00083566"/>
    <w:rsid w:val="000D7491"/>
    <w:rsid w:val="00101774"/>
    <w:rsid w:val="0012384C"/>
    <w:rsid w:val="00131B48"/>
    <w:rsid w:val="00174620"/>
    <w:rsid w:val="001A7E7C"/>
    <w:rsid w:val="001C405F"/>
    <w:rsid w:val="001D0DDE"/>
    <w:rsid w:val="002B074C"/>
    <w:rsid w:val="002D01F5"/>
    <w:rsid w:val="004203A2"/>
    <w:rsid w:val="004A61C1"/>
    <w:rsid w:val="006345A6"/>
    <w:rsid w:val="006574DA"/>
    <w:rsid w:val="006B638D"/>
    <w:rsid w:val="006C2514"/>
    <w:rsid w:val="006F1468"/>
    <w:rsid w:val="006F7E41"/>
    <w:rsid w:val="00720740"/>
    <w:rsid w:val="0075164F"/>
    <w:rsid w:val="0075563A"/>
    <w:rsid w:val="00765B6F"/>
    <w:rsid w:val="008B24BD"/>
    <w:rsid w:val="00942F5C"/>
    <w:rsid w:val="009476E8"/>
    <w:rsid w:val="00971E44"/>
    <w:rsid w:val="00993C2C"/>
    <w:rsid w:val="009C0277"/>
    <w:rsid w:val="009F6123"/>
    <w:rsid w:val="00A06067"/>
    <w:rsid w:val="00A90035"/>
    <w:rsid w:val="00AC0A87"/>
    <w:rsid w:val="00B31F12"/>
    <w:rsid w:val="00B369C5"/>
    <w:rsid w:val="00B71073"/>
    <w:rsid w:val="00B81785"/>
    <w:rsid w:val="00C10A62"/>
    <w:rsid w:val="00C7602D"/>
    <w:rsid w:val="00D21130"/>
    <w:rsid w:val="00DA44D0"/>
    <w:rsid w:val="00E02EFD"/>
    <w:rsid w:val="00EA2EEE"/>
    <w:rsid w:val="00EB41FC"/>
    <w:rsid w:val="00EF1845"/>
    <w:rsid w:val="00F44AE1"/>
    <w:rsid w:val="00F53E06"/>
    <w:rsid w:val="00FA2F7D"/>
    <w:rsid w:val="00FA5943"/>
    <w:rsid w:val="00FA6A2A"/>
    <w:rsid w:val="00FC5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EA2EEE"/>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EA2EEE"/>
    <w:pPr>
      <w:ind w:left="720"/>
      <w:contextualSpacing/>
    </w:pPr>
    <w:rPr>
      <w:rFonts w:eastAsia="Times New Roman"/>
    </w:rPr>
  </w:style>
  <w:style w:type="paragraph" w:styleId="Footer">
    <w:name w:val="footer"/>
    <w:basedOn w:val="Normal"/>
    <w:link w:val="FooterChar"/>
    <w:uiPriority w:val="99"/>
    <w:unhideWhenUsed/>
    <w:rsid w:val="00EA2EEE"/>
    <w:pPr>
      <w:tabs>
        <w:tab w:val="center" w:pos="4680"/>
        <w:tab w:val="right" w:pos="9360"/>
      </w:tabs>
    </w:pPr>
  </w:style>
  <w:style w:type="character" w:customStyle="1" w:styleId="FooterChar">
    <w:name w:val="Footer Char"/>
    <w:basedOn w:val="DefaultParagraphFont"/>
    <w:link w:val="Footer"/>
    <w:uiPriority w:val="99"/>
    <w:rsid w:val="00EA2EEE"/>
    <w:rPr>
      <w:rFonts w:ascii="Times New Roman" w:eastAsia="Calibri" w:hAnsi="Times New Roman" w:cs="Times New Roman"/>
      <w:sz w:val="20"/>
      <w:szCs w:val="20"/>
      <w:lang w:val="en-GB"/>
    </w:rPr>
  </w:style>
  <w:style w:type="numbering" w:customStyle="1" w:styleId="Judgments">
    <w:name w:val="Judgments"/>
    <w:uiPriority w:val="99"/>
    <w:rsid w:val="00EA2EEE"/>
    <w:pPr>
      <w:numPr>
        <w:numId w:val="1"/>
      </w:numPr>
    </w:pPr>
  </w:style>
  <w:style w:type="paragraph" w:customStyle="1" w:styleId="JudgmentText">
    <w:name w:val="Judgment Text"/>
    <w:basedOn w:val="ListParagraph"/>
    <w:qFormat/>
    <w:rsid w:val="00EA2EEE"/>
    <w:pPr>
      <w:widowControl/>
      <w:numPr>
        <w:numId w:val="2"/>
      </w:numPr>
      <w:autoSpaceDE/>
      <w:autoSpaceDN/>
      <w:adjustRightInd/>
      <w:spacing w:after="240" w:line="360" w:lineRule="auto"/>
      <w:contextualSpacing w:val="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li.samson</dc:creator>
  <cp:lastModifiedBy>Joelle Barnes</cp:lastModifiedBy>
  <cp:revision>2</cp:revision>
  <dcterms:created xsi:type="dcterms:W3CDTF">2015-07-13T06:23:00Z</dcterms:created>
  <dcterms:modified xsi:type="dcterms:W3CDTF">2015-07-13T06:23:00Z</dcterms:modified>
</cp:coreProperties>
</file>