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254633">
        <w:rPr>
          <w:b/>
          <w:sz w:val="28"/>
          <w:szCs w:val="28"/>
        </w:rPr>
        <w:t>31</w:t>
      </w:r>
      <w:r w:rsidRPr="00B75AE2">
        <w:rPr>
          <w:b/>
          <w:sz w:val="28"/>
          <w:szCs w:val="28"/>
        </w:rPr>
        <w:t>/</w:t>
      </w:r>
      <w:r w:rsidR="00C87FCA" w:rsidRPr="00B75AE2">
        <w:rPr>
          <w:b/>
          <w:sz w:val="28"/>
          <w:szCs w:val="28"/>
        </w:rPr>
        <w:t>20</w:t>
      </w:r>
      <w:r w:rsidR="00254633">
        <w:rPr>
          <w:b/>
          <w:sz w:val="28"/>
          <w:szCs w:val="28"/>
        </w:rPr>
        <w:t>14</w:t>
      </w:r>
      <w:r w:rsidR="00EC640B"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EC640B" w:rsidRPr="00B75AE2">
        <w:rPr>
          <w:b/>
          <w:sz w:val="28"/>
          <w:szCs w:val="28"/>
        </w:rPr>
      </w:r>
      <w:r w:rsidR="00EC640B"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EC640B" w:rsidRPr="00B75AE2">
        <w:rPr>
          <w:b/>
          <w:sz w:val="28"/>
          <w:szCs w:val="28"/>
        </w:rPr>
        <w:fldChar w:fldCharType="end"/>
      </w:r>
      <w:bookmarkEnd w:id="0"/>
    </w:p>
    <w:p w:rsidR="00A53837" w:rsidRPr="00606EEA" w:rsidRDefault="00A53837" w:rsidP="00A53837">
      <w:pPr>
        <w:spacing w:before="120"/>
        <w:jc w:val="center"/>
        <w:rPr>
          <w:b/>
          <w:sz w:val="24"/>
          <w:szCs w:val="24"/>
        </w:rPr>
      </w:pPr>
      <w:r w:rsidRPr="0006489F">
        <w:rPr>
          <w:b/>
          <w:sz w:val="24"/>
          <w:szCs w:val="24"/>
        </w:rPr>
        <w:t>Appeal from</w:t>
      </w:r>
      <w:bookmarkStart w:id="1" w:name="Dropdown4"/>
      <w:r w:rsidR="00254633">
        <w:rPr>
          <w:b/>
          <w:sz w:val="24"/>
          <w:szCs w:val="24"/>
        </w:rPr>
        <w:t xml:space="preserve"> </w:t>
      </w:r>
      <w:r w:rsidR="00EC640B"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EC640B" w:rsidRPr="00B75AE2">
        <w:rPr>
          <w:b/>
          <w:sz w:val="24"/>
          <w:szCs w:val="24"/>
        </w:rPr>
      </w:r>
      <w:r w:rsidR="00EC640B" w:rsidRPr="00B75AE2">
        <w:rPr>
          <w:b/>
          <w:sz w:val="24"/>
          <w:szCs w:val="24"/>
        </w:rPr>
        <w:fldChar w:fldCharType="end"/>
      </w:r>
      <w:bookmarkEnd w:id="1"/>
      <w:r w:rsidR="00254633">
        <w:rPr>
          <w:b/>
          <w:sz w:val="24"/>
          <w:szCs w:val="24"/>
        </w:rPr>
        <w:t xml:space="preserve"> </w:t>
      </w:r>
      <w:r w:rsidR="006578C2" w:rsidRPr="00B75AE2">
        <w:rPr>
          <w:b/>
          <w:sz w:val="24"/>
          <w:szCs w:val="24"/>
        </w:rPr>
        <w:t>D</w:t>
      </w:r>
      <w:r w:rsidR="00304E76" w:rsidRPr="00B75AE2">
        <w:rPr>
          <w:b/>
          <w:sz w:val="24"/>
          <w:szCs w:val="24"/>
        </w:rPr>
        <w:t>ecision</w:t>
      </w:r>
      <w:r w:rsidR="00254633">
        <w:rPr>
          <w:b/>
          <w:sz w:val="24"/>
          <w:szCs w:val="24"/>
        </w:rPr>
        <w:t xml:space="preserve"> 209</w:t>
      </w:r>
      <w:r w:rsidR="00EC640B" w:rsidRPr="00B75AE2">
        <w:rPr>
          <w:b/>
          <w:sz w:val="24"/>
          <w:szCs w:val="24"/>
        </w:rPr>
        <w:fldChar w:fldCharType="begin"/>
      </w:r>
      <w:r w:rsidR="00EC640B" w:rsidRPr="00B75AE2">
        <w:rPr>
          <w:b/>
          <w:sz w:val="24"/>
          <w:szCs w:val="24"/>
        </w:rPr>
        <w:fldChar w:fldCharType="end"/>
      </w:r>
      <w:r w:rsidR="00304E76" w:rsidRPr="00B75AE2">
        <w:rPr>
          <w:b/>
          <w:sz w:val="24"/>
          <w:szCs w:val="24"/>
        </w:rPr>
        <w:t>/</w:t>
      </w:r>
      <w:r w:rsidR="00C87FCA" w:rsidRPr="00B75AE2">
        <w:rPr>
          <w:b/>
          <w:sz w:val="24"/>
          <w:szCs w:val="24"/>
        </w:rPr>
        <w:t>20</w:t>
      </w:r>
      <w:r w:rsidR="00254633">
        <w:rPr>
          <w:b/>
          <w:sz w:val="24"/>
          <w:szCs w:val="24"/>
        </w:rPr>
        <w:t>13</w:t>
      </w:r>
      <w:r w:rsidR="00EC640B">
        <w:rPr>
          <w:b/>
          <w:sz w:val="24"/>
          <w:szCs w:val="24"/>
        </w:rPr>
        <w:fldChar w:fldCharType="begin">
          <w:ffData>
            <w:name w:val="Text32"/>
            <w:enabled/>
            <w:calcOnExit w:val="0"/>
            <w:textInput/>
          </w:ffData>
        </w:fldChar>
      </w:r>
      <w:bookmarkStart w:id="2" w:name="Text32"/>
      <w:r w:rsidR="00C87FCA">
        <w:rPr>
          <w:b/>
          <w:sz w:val="24"/>
          <w:szCs w:val="24"/>
        </w:rPr>
        <w:instrText xml:space="preserve"> FORMTEXT </w:instrText>
      </w:r>
      <w:r w:rsidR="00EC640B">
        <w:rPr>
          <w:b/>
          <w:sz w:val="24"/>
          <w:szCs w:val="24"/>
        </w:rPr>
      </w:r>
      <w:r w:rsidR="00EC640B">
        <w:rPr>
          <w:b/>
          <w:sz w:val="24"/>
          <w:szCs w:val="24"/>
        </w:rPr>
        <w:fldChar w:fldCharType="separate"/>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C87FCA">
        <w:rPr>
          <w:b/>
          <w:noProof/>
          <w:sz w:val="24"/>
          <w:szCs w:val="24"/>
        </w:rPr>
        <w:t> </w:t>
      </w:r>
      <w:r w:rsidR="00EC640B">
        <w:rPr>
          <w:b/>
          <w:sz w:val="24"/>
          <w:szCs w:val="24"/>
        </w:rPr>
        <w:fldChar w:fldCharType="end"/>
      </w:r>
      <w:bookmarkEnd w:id="2"/>
      <w:r w:rsidR="00EC640B">
        <w:rPr>
          <w:b/>
          <w:sz w:val="24"/>
          <w:szCs w:val="24"/>
          <w:highlight w:val="lightGray"/>
        </w:rPr>
        <w:fldChar w:fldCharType="begin"/>
      </w:r>
      <w:r w:rsidR="00EC640B">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3A4285">
        <w:rPr>
          <w:b/>
          <w:sz w:val="24"/>
          <w:szCs w:val="24"/>
        </w:rPr>
        <w:t>5</w:t>
      </w:r>
      <w:r w:rsidR="00EC640B">
        <w:rPr>
          <w:b/>
          <w:sz w:val="24"/>
          <w:szCs w:val="24"/>
        </w:rPr>
        <w:fldChar w:fldCharType="begin"/>
      </w:r>
      <w:r w:rsidR="00EC640B">
        <w:rPr>
          <w:b/>
          <w:sz w:val="24"/>
          <w:szCs w:val="24"/>
        </w:rPr>
        <w:fldChar w:fldCharType="end"/>
      </w:r>
      <w:r w:rsidRPr="00606EEA">
        <w:rPr>
          <w:b/>
          <w:sz w:val="24"/>
          <w:szCs w:val="24"/>
        </w:rPr>
        <w:t>] SCSC</w:t>
      </w:r>
      <w:r w:rsidR="00742096">
        <w:rPr>
          <w:b/>
          <w:sz w:val="24"/>
          <w:szCs w:val="24"/>
        </w:rPr>
        <w:t>483</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EC640B"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647815" w:rsidRDefault="00647815" w:rsidP="00647815">
      <w:pPr>
        <w:spacing w:after="240"/>
        <w:rPr>
          <w:sz w:val="24"/>
          <w:szCs w:val="24"/>
        </w:rPr>
      </w:pPr>
      <w:bookmarkStart w:id="4" w:name="Dropdown10"/>
      <w:r>
        <w:rPr>
          <w:sz w:val="24"/>
          <w:szCs w:val="24"/>
        </w:rPr>
        <w:t xml:space="preserve">                                             1. Eddy Laporte</w:t>
      </w:r>
    </w:p>
    <w:p w:rsidR="004B22D0" w:rsidRDefault="00647815" w:rsidP="004B22D0">
      <w:pPr>
        <w:spacing w:after="240"/>
        <w:jc w:val="center"/>
        <w:rPr>
          <w:sz w:val="24"/>
          <w:szCs w:val="24"/>
        </w:rPr>
      </w:pPr>
      <w:r>
        <w:rPr>
          <w:sz w:val="24"/>
          <w:szCs w:val="24"/>
        </w:rPr>
        <w:t xml:space="preserve">                 2. Geraldine </w:t>
      </w:r>
      <w:proofErr w:type="spellStart"/>
      <w:r>
        <w:rPr>
          <w:sz w:val="24"/>
          <w:szCs w:val="24"/>
        </w:rPr>
        <w:t>Laporte</w:t>
      </w:r>
      <w:proofErr w:type="spellEnd"/>
      <w:r>
        <w:rPr>
          <w:sz w:val="24"/>
          <w:szCs w:val="24"/>
        </w:rPr>
        <w:tab/>
      </w:r>
      <w:r>
        <w:rPr>
          <w:sz w:val="24"/>
          <w:szCs w:val="24"/>
        </w:rPr>
        <w:tab/>
      </w:r>
      <w:r>
        <w:rPr>
          <w:sz w:val="24"/>
          <w:szCs w:val="24"/>
        </w:rPr>
        <w:tab/>
      </w:r>
      <w:r w:rsidR="00EC640B">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EC640B">
        <w:rPr>
          <w:sz w:val="24"/>
          <w:szCs w:val="24"/>
        </w:rPr>
      </w:r>
      <w:r w:rsidR="00EC640B">
        <w:rPr>
          <w:sz w:val="24"/>
          <w:szCs w:val="24"/>
        </w:rPr>
        <w:fldChar w:fldCharType="end"/>
      </w:r>
      <w:bookmarkEnd w:id="4"/>
      <w:r>
        <w:rPr>
          <w:sz w:val="24"/>
          <w:szCs w:val="24"/>
        </w:rPr>
        <w:t>s</w:t>
      </w:r>
    </w:p>
    <w:p w:rsidR="00647815" w:rsidRDefault="00647815" w:rsidP="004B22D0">
      <w:pPr>
        <w:spacing w:after="240"/>
        <w:jc w:val="center"/>
        <w:rPr>
          <w:sz w:val="24"/>
          <w:szCs w:val="24"/>
        </w:rPr>
        <w:sectPr w:rsidR="00647815" w:rsidSect="00EF2051">
          <w:footerReference w:type="default" r:id="rId8"/>
          <w:type w:val="continuous"/>
          <w:pgSz w:w="12240" w:h="15840"/>
          <w:pgMar w:top="1440" w:right="1440" w:bottom="1440" w:left="1440" w:header="720" w:footer="720" w:gutter="0"/>
          <w:cols w:space="720"/>
          <w:docGrid w:linePitch="360"/>
        </w:sectPr>
      </w:pPr>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5" w:name="Text22"/>
    <w:p w:rsidR="00FB2453" w:rsidRPr="00B119B1" w:rsidRDefault="00EC640B"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4B22D0" w:rsidRDefault="00254633" w:rsidP="00254633">
      <w:pPr>
        <w:spacing w:after="240"/>
        <w:ind w:firstLine="720"/>
        <w:jc w:val="center"/>
        <w:rPr>
          <w:sz w:val="24"/>
          <w:szCs w:val="24"/>
        </w:rPr>
        <w:sectPr w:rsidR="004B22D0" w:rsidSect="00EF2051">
          <w:type w:val="continuous"/>
          <w:pgSz w:w="12240" w:h="15840"/>
          <w:pgMar w:top="1440" w:right="1440" w:bottom="1440" w:left="1440" w:header="720" w:footer="720" w:gutter="0"/>
          <w:cols w:space="720"/>
          <w:docGrid w:linePitch="360"/>
        </w:sectPr>
      </w:pPr>
      <w:bookmarkStart w:id="6" w:name="Dropdown11"/>
      <w:r>
        <w:rPr>
          <w:sz w:val="24"/>
          <w:szCs w:val="24"/>
        </w:rPr>
        <w:t xml:space="preserve">    </w:t>
      </w:r>
      <w:r w:rsidR="00EA057A">
        <w:rPr>
          <w:sz w:val="24"/>
          <w:szCs w:val="24"/>
        </w:rPr>
        <w:t xml:space="preserve">       </w:t>
      </w:r>
      <w:r>
        <w:rPr>
          <w:sz w:val="24"/>
          <w:szCs w:val="24"/>
        </w:rPr>
        <w:t xml:space="preserve">  </w:t>
      </w:r>
      <w:r w:rsidR="00647815">
        <w:rPr>
          <w:sz w:val="24"/>
          <w:szCs w:val="24"/>
        </w:rPr>
        <w:t xml:space="preserve">Chandler </w:t>
      </w:r>
      <w:proofErr w:type="spellStart"/>
      <w:r w:rsidR="00647815">
        <w:rPr>
          <w:sz w:val="24"/>
          <w:szCs w:val="24"/>
        </w:rPr>
        <w:t>Prakash</w:t>
      </w:r>
      <w:proofErr w:type="spellEnd"/>
      <w:r w:rsidR="00647815">
        <w:rPr>
          <w:sz w:val="24"/>
          <w:szCs w:val="24"/>
        </w:rPr>
        <w:t xml:space="preserve"> </w:t>
      </w:r>
      <w:r w:rsidR="00647815">
        <w:rPr>
          <w:sz w:val="24"/>
          <w:szCs w:val="24"/>
        </w:rPr>
        <w:tab/>
      </w:r>
      <w:r w:rsidR="00647815">
        <w:rPr>
          <w:sz w:val="24"/>
          <w:szCs w:val="24"/>
        </w:rPr>
        <w:tab/>
      </w:r>
      <w:r>
        <w:rPr>
          <w:sz w:val="24"/>
          <w:szCs w:val="24"/>
        </w:rPr>
        <w:t xml:space="preserve"> </w:t>
      </w:r>
      <w:r>
        <w:rPr>
          <w:sz w:val="24"/>
          <w:szCs w:val="24"/>
        </w:rPr>
        <w:tab/>
      </w:r>
      <w:r>
        <w:rPr>
          <w:sz w:val="24"/>
          <w:szCs w:val="24"/>
        </w:rPr>
        <w:tab/>
        <w:t xml:space="preserve">  </w:t>
      </w:r>
      <w:r w:rsidR="00EC640B">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EC640B">
        <w:rPr>
          <w:sz w:val="24"/>
          <w:szCs w:val="24"/>
        </w:rPr>
      </w:r>
      <w:r w:rsidR="00EC640B">
        <w:rPr>
          <w:sz w:val="24"/>
          <w:szCs w:val="24"/>
        </w:rPr>
        <w:fldChar w:fldCharType="end"/>
      </w:r>
      <w:bookmarkEnd w:id="6"/>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3A4285">
        <w:rPr>
          <w:sz w:val="24"/>
          <w:szCs w:val="24"/>
        </w:rPr>
        <w:tab/>
      </w:r>
      <w:r w:rsidR="00647815">
        <w:rPr>
          <w:sz w:val="24"/>
          <w:szCs w:val="24"/>
        </w:rPr>
        <w:t>15</w:t>
      </w:r>
      <w:r w:rsidR="00647815" w:rsidRPr="00647815">
        <w:rPr>
          <w:sz w:val="24"/>
          <w:szCs w:val="24"/>
          <w:vertAlign w:val="superscript"/>
        </w:rPr>
        <w:t>th</w:t>
      </w:r>
      <w:r w:rsidR="00647815">
        <w:rPr>
          <w:sz w:val="24"/>
          <w:szCs w:val="24"/>
        </w:rPr>
        <w:t xml:space="preserve"> October 2015 </w:t>
      </w:r>
      <w:r w:rsidRPr="00E0467F">
        <w:rPr>
          <w:sz w:val="24"/>
          <w:szCs w:val="24"/>
        </w:rPr>
        <w:tab/>
      </w:r>
      <w:r w:rsidRPr="00E0467F">
        <w:rPr>
          <w:sz w:val="24"/>
          <w:szCs w:val="24"/>
        </w:rPr>
        <w:tab/>
      </w:r>
      <w:bookmarkStart w:id="7" w:name="Text34"/>
      <w:r w:rsidR="00EC640B">
        <w:rPr>
          <w:sz w:val="24"/>
          <w:szCs w:val="24"/>
        </w:rPr>
        <w:fldChar w:fldCharType="begin">
          <w:ffData>
            <w:name w:val="Text34"/>
            <w:enabled/>
            <w:calcOnExit w:val="0"/>
            <w:textInput/>
          </w:ffData>
        </w:fldChar>
      </w:r>
      <w:r w:rsidR="002A7376">
        <w:rPr>
          <w:sz w:val="24"/>
          <w:szCs w:val="24"/>
        </w:rPr>
        <w:instrText xml:space="preserve"> FORMTEXT </w:instrText>
      </w:r>
      <w:r w:rsidR="00EC640B">
        <w:rPr>
          <w:sz w:val="24"/>
          <w:szCs w:val="24"/>
        </w:rPr>
      </w:r>
      <w:r w:rsidR="00EC640B">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EC640B">
        <w:rPr>
          <w:sz w:val="24"/>
          <w:szCs w:val="24"/>
        </w:rPr>
        <w:fldChar w:fldCharType="end"/>
      </w:r>
      <w:bookmarkEnd w:id="7"/>
      <w:r w:rsidR="00EC640B">
        <w:rPr>
          <w:sz w:val="24"/>
          <w:szCs w:val="24"/>
        </w:rPr>
        <w:fldChar w:fldCharType="begin"/>
      </w:r>
      <w:r w:rsidR="00EC640B">
        <w:rPr>
          <w:sz w:val="24"/>
          <w:szCs w:val="24"/>
        </w:rPr>
        <w:fldChar w:fldCharType="end"/>
      </w:r>
    </w:p>
    <w:p w:rsidR="004B22D0" w:rsidRDefault="00E0467F" w:rsidP="009E05E5">
      <w:pPr>
        <w:rPr>
          <w:sz w:val="24"/>
          <w:szCs w:val="24"/>
        </w:rPr>
      </w:pPr>
      <w:r>
        <w:rPr>
          <w:sz w:val="24"/>
          <w:szCs w:val="24"/>
        </w:rPr>
        <w:t>Counsel</w:t>
      </w:r>
      <w:r w:rsidRPr="00E0467F">
        <w:rPr>
          <w:sz w:val="24"/>
          <w:szCs w:val="24"/>
        </w:rPr>
        <w:t>:</w:t>
      </w:r>
      <w:r w:rsidR="00647815">
        <w:rPr>
          <w:sz w:val="24"/>
          <w:szCs w:val="24"/>
        </w:rPr>
        <w:t xml:space="preserve"> </w:t>
      </w:r>
      <w:r w:rsidR="003A4285">
        <w:rPr>
          <w:sz w:val="24"/>
          <w:szCs w:val="24"/>
        </w:rPr>
        <w:tab/>
      </w:r>
      <w:proofErr w:type="spellStart"/>
      <w:r w:rsidR="00647815">
        <w:rPr>
          <w:sz w:val="24"/>
          <w:szCs w:val="24"/>
        </w:rPr>
        <w:t>Melchior</w:t>
      </w:r>
      <w:proofErr w:type="spellEnd"/>
      <w:r w:rsidR="00647815">
        <w:rPr>
          <w:sz w:val="24"/>
          <w:szCs w:val="24"/>
        </w:rPr>
        <w:t xml:space="preserve"> </w:t>
      </w:r>
      <w:proofErr w:type="spellStart"/>
      <w:r w:rsidR="00647815">
        <w:rPr>
          <w:sz w:val="24"/>
          <w:szCs w:val="24"/>
        </w:rPr>
        <w:t>Vidot</w:t>
      </w:r>
      <w:proofErr w:type="spellEnd"/>
      <w:r w:rsidR="00EA057A">
        <w:rPr>
          <w:sz w:val="24"/>
          <w:szCs w:val="24"/>
        </w:rPr>
        <w:t xml:space="preserve"> </w:t>
      </w:r>
      <w:r w:rsidR="00EC640B">
        <w:rPr>
          <w:sz w:val="24"/>
          <w:szCs w:val="24"/>
        </w:rPr>
        <w:fldChar w:fldCharType="begin"/>
      </w:r>
      <w:r w:rsidR="00F804CC">
        <w:rPr>
          <w:sz w:val="24"/>
          <w:szCs w:val="24"/>
        </w:rPr>
        <w:instrText xml:space="preserve"> ASK  "Enter Appellant Lawyer full name"  \* MERGEFORMAT </w:instrText>
      </w:r>
      <w:r w:rsidR="00EC640B">
        <w:rPr>
          <w:sz w:val="24"/>
          <w:szCs w:val="24"/>
        </w:rPr>
        <w:fldChar w:fldCharType="end"/>
      </w:r>
      <w:r w:rsidR="00EC640B">
        <w:rPr>
          <w:sz w:val="24"/>
          <w:szCs w:val="24"/>
        </w:rPr>
        <w:fldChar w:fldCharType="begin"/>
      </w:r>
      <w:r w:rsidR="00EC640B">
        <w:rPr>
          <w:sz w:val="24"/>
          <w:szCs w:val="24"/>
        </w:rPr>
        <w:fldChar w:fldCharType="end"/>
      </w:r>
      <w:r w:rsidR="009E05E5">
        <w:rPr>
          <w:sz w:val="24"/>
          <w:szCs w:val="24"/>
        </w:rPr>
        <w:t>for</w:t>
      </w:r>
      <w:bookmarkStart w:id="8" w:name="Dropdown12"/>
      <w:r w:rsidR="00EA057A">
        <w:rPr>
          <w:sz w:val="24"/>
          <w:szCs w:val="24"/>
        </w:rPr>
        <w:t xml:space="preserve"> </w:t>
      </w:r>
      <w:r w:rsidR="00747E55">
        <w:rPr>
          <w:sz w:val="24"/>
          <w:szCs w:val="24"/>
        </w:rPr>
        <w:t xml:space="preserve"> </w:t>
      </w:r>
      <w:r w:rsidR="00EC640B">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EC640B">
        <w:rPr>
          <w:sz w:val="24"/>
          <w:szCs w:val="24"/>
        </w:rPr>
      </w:r>
      <w:r w:rsidR="00EC640B">
        <w:rPr>
          <w:sz w:val="24"/>
          <w:szCs w:val="24"/>
        </w:rPr>
        <w:fldChar w:fldCharType="end"/>
      </w:r>
      <w:bookmarkEnd w:id="8"/>
    </w:p>
    <w:p w:rsidR="003A4285" w:rsidRDefault="003A4285" w:rsidP="009E05E5">
      <w:pPr>
        <w:rPr>
          <w:sz w:val="24"/>
          <w:szCs w:val="24"/>
        </w:rPr>
      </w:pPr>
    </w:p>
    <w:p w:rsidR="003A4285" w:rsidRDefault="003A4285" w:rsidP="009E05E5">
      <w:pPr>
        <w:rPr>
          <w:sz w:val="24"/>
          <w:szCs w:val="24"/>
        </w:rPr>
        <w:sectPr w:rsidR="003A4285" w:rsidSect="00EF2051">
          <w:type w:val="continuous"/>
          <w:pgSz w:w="12240" w:h="15840"/>
          <w:pgMar w:top="1440" w:right="1440" w:bottom="1440" w:left="1440" w:header="720" w:footer="720" w:gutter="0"/>
          <w:cols w:space="720"/>
          <w:docGrid w:linePitch="360"/>
        </w:sectPr>
      </w:pPr>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sidR="00647815">
        <w:rPr>
          <w:sz w:val="24"/>
          <w:szCs w:val="24"/>
        </w:rPr>
        <w:t xml:space="preserve">    </w:t>
      </w:r>
      <w:r w:rsidR="003A4285">
        <w:rPr>
          <w:sz w:val="24"/>
          <w:szCs w:val="24"/>
        </w:rPr>
        <w:tab/>
      </w:r>
      <w:r w:rsidR="00647815">
        <w:rPr>
          <w:sz w:val="24"/>
          <w:szCs w:val="24"/>
        </w:rPr>
        <w:t xml:space="preserve">Karen </w:t>
      </w:r>
      <w:proofErr w:type="spellStart"/>
      <w:r w:rsidR="00647815">
        <w:rPr>
          <w:sz w:val="24"/>
          <w:szCs w:val="24"/>
        </w:rPr>
        <w:t>Domingue</w:t>
      </w:r>
      <w:proofErr w:type="spellEnd"/>
      <w:r w:rsidR="00647815">
        <w:rPr>
          <w:sz w:val="24"/>
          <w:szCs w:val="24"/>
        </w:rPr>
        <w:t xml:space="preserve"> </w:t>
      </w:r>
      <w:r w:rsidR="00EC640B">
        <w:rPr>
          <w:sz w:val="24"/>
          <w:szCs w:val="24"/>
        </w:rPr>
        <w:fldChar w:fldCharType="begin"/>
      </w:r>
      <w:r w:rsidR="00F804CC">
        <w:rPr>
          <w:sz w:val="24"/>
          <w:szCs w:val="24"/>
        </w:rPr>
        <w:instrText xml:space="preserve"> ASK  "Enter Respondent Lawyer Full Name"  \* MERGEFORMAT </w:instrText>
      </w:r>
      <w:r w:rsidR="00EC640B">
        <w:rPr>
          <w:sz w:val="24"/>
          <w:szCs w:val="24"/>
        </w:rPr>
        <w:fldChar w:fldCharType="end"/>
      </w:r>
      <w:r w:rsidR="00EC640B">
        <w:rPr>
          <w:sz w:val="24"/>
          <w:szCs w:val="24"/>
        </w:rPr>
        <w:fldChar w:fldCharType="begin"/>
      </w:r>
      <w:r w:rsidR="00EC640B">
        <w:rPr>
          <w:sz w:val="24"/>
          <w:szCs w:val="24"/>
        </w:rPr>
        <w:fldChar w:fldCharType="end"/>
      </w:r>
      <w:r w:rsidR="009E05E5">
        <w:rPr>
          <w:sz w:val="24"/>
          <w:szCs w:val="24"/>
        </w:rPr>
        <w:t>for</w:t>
      </w:r>
      <w:r w:rsidR="00EA057A">
        <w:rPr>
          <w:sz w:val="24"/>
          <w:szCs w:val="24"/>
        </w:rPr>
        <w:t xml:space="preserve"> </w:t>
      </w:r>
      <w:r w:rsidR="009E05E5">
        <w:rPr>
          <w:sz w:val="24"/>
          <w:szCs w:val="24"/>
        </w:rPr>
        <w:t xml:space="preserve"> </w:t>
      </w:r>
      <w:bookmarkStart w:id="9" w:name="Dropdown13"/>
      <w:r w:rsidR="00EC640B">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EC640B">
        <w:rPr>
          <w:sz w:val="24"/>
          <w:szCs w:val="24"/>
        </w:rPr>
      </w:r>
      <w:r w:rsidR="00EC640B">
        <w:rPr>
          <w:sz w:val="24"/>
          <w:szCs w:val="24"/>
        </w:rPr>
        <w:fldChar w:fldCharType="end"/>
      </w:r>
      <w:bookmarkEnd w:id="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C640B">
        <w:rPr>
          <w:sz w:val="24"/>
          <w:szCs w:val="24"/>
        </w:rPr>
        <w:fldChar w:fldCharType="begin">
          <w:ffData>
            <w:name w:val="Text36"/>
            <w:enabled/>
            <w:calcOnExit w:val="0"/>
            <w:textInput/>
          </w:ffData>
        </w:fldChar>
      </w:r>
      <w:bookmarkStart w:id="10" w:name="Text36"/>
      <w:r>
        <w:rPr>
          <w:sz w:val="24"/>
          <w:szCs w:val="24"/>
        </w:rPr>
        <w:instrText xml:space="preserve"> FORMTEXT </w:instrText>
      </w:r>
      <w:r w:rsidR="00EC640B">
        <w:rPr>
          <w:sz w:val="24"/>
          <w:szCs w:val="24"/>
        </w:rPr>
      </w:r>
      <w:r w:rsidR="00EC640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C640B">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647815">
        <w:rPr>
          <w:sz w:val="24"/>
          <w:szCs w:val="24"/>
        </w:rPr>
        <w:t xml:space="preserve"> </w:t>
      </w:r>
      <w:r w:rsidR="003A4285">
        <w:rPr>
          <w:sz w:val="24"/>
          <w:szCs w:val="24"/>
        </w:rPr>
        <w:tab/>
      </w:r>
      <w:r w:rsidR="00647815">
        <w:rPr>
          <w:sz w:val="24"/>
          <w:szCs w:val="24"/>
        </w:rPr>
        <w:t>26</w:t>
      </w:r>
      <w:r w:rsidR="00647815" w:rsidRPr="00647815">
        <w:rPr>
          <w:sz w:val="24"/>
          <w:szCs w:val="24"/>
          <w:vertAlign w:val="superscript"/>
        </w:rPr>
        <w:t>th</w:t>
      </w:r>
      <w:r w:rsidR="00647815">
        <w:rPr>
          <w:sz w:val="24"/>
          <w:szCs w:val="24"/>
        </w:rPr>
        <w:t xml:space="preserve"> October 2015</w:t>
      </w:r>
      <w:r w:rsidR="00E0467F">
        <w:rPr>
          <w:sz w:val="24"/>
          <w:szCs w:val="24"/>
        </w:rPr>
        <w:tab/>
      </w:r>
      <w:r w:rsidR="00E0467F">
        <w:rPr>
          <w:sz w:val="24"/>
          <w:szCs w:val="24"/>
        </w:rPr>
        <w:tab/>
      </w:r>
      <w:bookmarkStart w:id="11" w:name="Text26"/>
      <w:r w:rsidR="00EC640B">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C640B">
        <w:rPr>
          <w:sz w:val="24"/>
          <w:szCs w:val="24"/>
        </w:rPr>
      </w:r>
      <w:r w:rsidR="00EC640B">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C640B">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EC640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27554" w:rsidP="00C87FCA">
      <w:pPr>
        <w:pStyle w:val="ListParagraph"/>
        <w:widowControl/>
        <w:autoSpaceDE/>
        <w:autoSpaceDN/>
        <w:adjustRightInd/>
        <w:spacing w:after="240" w:line="360" w:lineRule="auto"/>
        <w:ind w:left="0"/>
        <w:contextualSpacing w:val="0"/>
        <w:jc w:val="both"/>
        <w:rPr>
          <w:b/>
          <w:sz w:val="24"/>
          <w:szCs w:val="24"/>
        </w:rPr>
      </w:pPr>
      <w:r>
        <w:rPr>
          <w:b/>
          <w:sz w:val="24"/>
          <w:szCs w:val="24"/>
        </w:rPr>
        <w:t>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16A05" w:rsidP="00464531">
      <w:pPr>
        <w:pStyle w:val="JudgmentText"/>
      </w:pPr>
      <w:r>
        <w:lastRenderedPageBreak/>
        <w:t>The Appellants entered into an agreement with the Respondent</w:t>
      </w:r>
      <w:r w:rsidR="00EA057A">
        <w:t xml:space="preserve"> on</w:t>
      </w:r>
      <w:r>
        <w:t xml:space="preserve"> 12 July 2010 in wh</w:t>
      </w:r>
      <w:r w:rsidR="00437FE9">
        <w:t>ich</w:t>
      </w:r>
      <w:r w:rsidR="00EA057A">
        <w:t xml:space="preserve"> </w:t>
      </w:r>
      <w:r w:rsidR="00765A18">
        <w:t>t</w:t>
      </w:r>
      <w:r>
        <w:t>he</w:t>
      </w:r>
      <w:r w:rsidR="00765A18">
        <w:t>y</w:t>
      </w:r>
      <w:r>
        <w:t xml:space="preserve"> agreed that the Respondent would construct and complete a building on their land within a period of fifty-two weeks. It was further agreed that the Appellants would provide labour and the Respondents the materials for the construction of the building.</w:t>
      </w:r>
    </w:p>
    <w:p w:rsidR="00A16A05" w:rsidRDefault="00A16A05" w:rsidP="00A16A05">
      <w:pPr>
        <w:pStyle w:val="JudgmentText"/>
      </w:pPr>
      <w:r>
        <w:t xml:space="preserve">It was a condition of the contract that the Respondent would be paid SR1, 150,000,000 in eight instalments for his labour and that the Appellants would retain a sum amounting to </w:t>
      </w:r>
      <w:r>
        <w:lastRenderedPageBreak/>
        <w:t>10</w:t>
      </w:r>
      <w:r w:rsidR="00B21E39">
        <w:t>% from</w:t>
      </w:r>
      <w:r>
        <w:t xml:space="preserve"> each of the instalments which was to be released, one </w:t>
      </w:r>
      <w:r w:rsidR="00B21E39">
        <w:t>half upon</w:t>
      </w:r>
      <w:r>
        <w:t xml:space="preserve"> the practical completion of all the building works </w:t>
      </w:r>
      <w:r w:rsidR="00B21E39">
        <w:t xml:space="preserve">and half upon the end of the </w:t>
      </w:r>
      <w:r w:rsidR="00437FE9">
        <w:t>d</w:t>
      </w:r>
      <w:r w:rsidR="00B21E39">
        <w:t>efects liability period. In other words SR 115,000 would be retained until the building was completed and no defects were apparent.</w:t>
      </w:r>
    </w:p>
    <w:p w:rsidR="00A3437E" w:rsidRDefault="00B21E39" w:rsidP="00A16A05">
      <w:pPr>
        <w:pStyle w:val="JudgmentText"/>
      </w:pPr>
      <w:r>
        <w:t>The Respondent in a Plaint entered against the Respondents on 11</w:t>
      </w:r>
      <w:r w:rsidRPr="00B21E39">
        <w:rPr>
          <w:vertAlign w:val="superscript"/>
        </w:rPr>
        <w:t>th</w:t>
      </w:r>
      <w:r>
        <w:t xml:space="preserve"> September 2013 claimed that a total of SR78, 750 was retained</w:t>
      </w:r>
      <w:r w:rsidR="00EA057A">
        <w:t xml:space="preserve"> </w:t>
      </w:r>
      <w:r w:rsidR="00765A18">
        <w:t>as a breach of the agreement between the parties</w:t>
      </w:r>
      <w:r>
        <w:t xml:space="preserve">, of which SR28,750 was retention monies </w:t>
      </w:r>
      <w:r w:rsidR="00765A18">
        <w:t xml:space="preserve">for latent defects </w:t>
      </w:r>
      <w:r>
        <w:t xml:space="preserve">and SR 50,000 for the </w:t>
      </w:r>
      <w:r w:rsidR="00A3437E">
        <w:t>cost of premixed concrete</w:t>
      </w:r>
      <w:r w:rsidR="00EA057A">
        <w:t>.</w:t>
      </w:r>
      <w:r w:rsidR="00A3437E">
        <w:t xml:space="preserve"> </w:t>
      </w:r>
    </w:p>
    <w:p w:rsidR="00540D0F" w:rsidRDefault="00765A18" w:rsidP="00765A18">
      <w:pPr>
        <w:pStyle w:val="JudgmentText"/>
        <w:numPr>
          <w:ilvl w:val="0"/>
          <w:numId w:val="0"/>
        </w:numPr>
        <w:ind w:left="720" w:hanging="720"/>
      </w:pPr>
      <w:r>
        <w:t>[4]</w:t>
      </w:r>
      <w:r>
        <w:tab/>
      </w:r>
      <w:r w:rsidR="00B21E39">
        <w:t xml:space="preserve">The Appellants in their defence claimed that </w:t>
      </w:r>
      <w:r w:rsidR="00437FE9">
        <w:t>the Respondent</w:t>
      </w:r>
      <w:r w:rsidR="00B21E39">
        <w:t xml:space="preserve"> had not completed the works within the time frame agreed </w:t>
      </w:r>
      <w:r w:rsidR="00A3437E">
        <w:t xml:space="preserve">and that the SR 28, 750 had been retained </w:t>
      </w:r>
      <w:r w:rsidR="0021237F">
        <w:t xml:space="preserve">as </w:t>
      </w:r>
      <w:r w:rsidR="00A3437E">
        <w:t>defects had manifested themselves</w:t>
      </w:r>
      <w:r w:rsidR="00EA057A">
        <w:t xml:space="preserve"> after construction </w:t>
      </w:r>
      <w:r w:rsidR="00A3437E">
        <w:t>whilst SR50</w:t>
      </w:r>
      <w:r w:rsidR="00EA057A">
        <w:t>, 000</w:t>
      </w:r>
      <w:r w:rsidR="00A3437E">
        <w:t xml:space="preserve"> was for the </w:t>
      </w:r>
      <w:r w:rsidR="00437FE9">
        <w:t>purchase and</w:t>
      </w:r>
      <w:r w:rsidR="00A3437E">
        <w:t xml:space="preserve"> </w:t>
      </w:r>
      <w:r w:rsidR="00EA057A">
        <w:t>transport</w:t>
      </w:r>
      <w:r w:rsidR="00A3437E">
        <w:t xml:space="preserve"> of premixed concrete as the Respondent had been unable to carry out the mixing on site</w:t>
      </w:r>
      <w:r w:rsidR="0021237F">
        <w:t xml:space="preserve"> as agreed</w:t>
      </w:r>
      <w:r w:rsidR="00A3437E">
        <w:t xml:space="preserve">. </w:t>
      </w:r>
      <w:r w:rsidR="0021237F">
        <w:t xml:space="preserve">The issue of defects was not explored in any great detail and the nature and cost of the defects alleged not explicated. </w:t>
      </w:r>
    </w:p>
    <w:p w:rsidR="00415932" w:rsidRDefault="007A1AA2" w:rsidP="007A1AA2">
      <w:pPr>
        <w:pStyle w:val="JudgmentText"/>
        <w:numPr>
          <w:ilvl w:val="0"/>
          <w:numId w:val="0"/>
        </w:numPr>
        <w:ind w:left="720" w:hanging="720"/>
      </w:pPr>
      <w:r>
        <w:t>[</w:t>
      </w:r>
      <w:r w:rsidR="00765A18">
        <w:t>5</w:t>
      </w:r>
      <w:r>
        <w:t>]</w:t>
      </w:r>
      <w:r>
        <w:tab/>
      </w:r>
      <w:r w:rsidR="00437FE9">
        <w:t>In a judgment given on 1</w:t>
      </w:r>
      <w:r w:rsidR="00437FE9" w:rsidRPr="00540D0F">
        <w:rPr>
          <w:vertAlign w:val="superscript"/>
        </w:rPr>
        <w:t>st</w:t>
      </w:r>
      <w:r w:rsidR="00437FE9">
        <w:t xml:space="preserve"> July 2014 the learned Magistrate Ng’hwani found that the practical completion of the building was done on 2</w:t>
      </w:r>
      <w:r w:rsidR="00437FE9" w:rsidRPr="00540D0F">
        <w:rPr>
          <w:vertAlign w:val="superscript"/>
        </w:rPr>
        <w:t>nd</w:t>
      </w:r>
      <w:r w:rsidR="00437FE9">
        <w:t xml:space="preserve"> December 2011, some six months outside the time frame agreed in the contract. She also found that the total cost of the concrete provided was SR 106,482, that there was no room on site to</w:t>
      </w:r>
      <w:r w:rsidR="00EA057A">
        <w:t xml:space="preserve"> </w:t>
      </w:r>
      <w:r w:rsidR="00437FE9">
        <w:t xml:space="preserve">mix the concrete and that </w:t>
      </w:r>
      <w:r w:rsidR="00A740BE">
        <w:t>i</w:t>
      </w:r>
      <w:r w:rsidR="00437FE9">
        <w:t xml:space="preserve">n </w:t>
      </w:r>
      <w:r w:rsidR="00A740BE">
        <w:t>any</w:t>
      </w:r>
      <w:r w:rsidR="00437FE9">
        <w:t xml:space="preserve"> ca</w:t>
      </w:r>
      <w:r w:rsidR="00A740BE">
        <w:t>s</w:t>
      </w:r>
      <w:r w:rsidR="00437FE9">
        <w:t xml:space="preserve">e even if the concrete had been mixed on site the </w:t>
      </w:r>
      <w:r w:rsidR="00A740BE">
        <w:t>A</w:t>
      </w:r>
      <w:r w:rsidR="00437FE9">
        <w:t>ppe</w:t>
      </w:r>
      <w:r w:rsidR="00A740BE">
        <w:t>llants</w:t>
      </w:r>
      <w:r w:rsidR="00437FE9">
        <w:t xml:space="preserve"> were u</w:t>
      </w:r>
      <w:r w:rsidR="00A740BE">
        <w:t>nder</w:t>
      </w:r>
      <w:r w:rsidR="00437FE9">
        <w:t xml:space="preserve"> an obliga</w:t>
      </w:r>
      <w:r w:rsidR="00A740BE">
        <w:t>tion</w:t>
      </w:r>
      <w:r w:rsidR="00EA057A">
        <w:t xml:space="preserve"> </w:t>
      </w:r>
      <w:r w:rsidR="00437FE9">
        <w:t xml:space="preserve">to provide the </w:t>
      </w:r>
      <w:r w:rsidR="00A740BE">
        <w:t>composites</w:t>
      </w:r>
      <w:r w:rsidR="00437FE9">
        <w:t xml:space="preserve"> for the concrete.</w:t>
      </w:r>
      <w:r w:rsidR="00A740BE">
        <w:t xml:space="preserve"> Further as no</w:t>
      </w:r>
      <w:r w:rsidR="00437FE9">
        <w:t xml:space="preserve"> evidence was provided by the Defendant as to </w:t>
      </w:r>
      <w:r w:rsidR="0021237F">
        <w:t xml:space="preserve">how the figure </w:t>
      </w:r>
      <w:r w:rsidR="002B23F3">
        <w:t>of</w:t>
      </w:r>
      <w:r w:rsidR="00437FE9">
        <w:t xml:space="preserve"> SR50</w:t>
      </w:r>
      <w:r w:rsidR="006C75DB">
        <w:t>, 000</w:t>
      </w:r>
      <w:r w:rsidR="00EA057A">
        <w:t xml:space="preserve"> </w:t>
      </w:r>
      <w:r w:rsidR="0021237F">
        <w:t xml:space="preserve">was arrived at for deduction, </w:t>
      </w:r>
      <w:r w:rsidR="00415932">
        <w:t>that amount remained owing.</w:t>
      </w:r>
    </w:p>
    <w:p w:rsidR="00EF2051" w:rsidRDefault="007A1AA2" w:rsidP="007A1AA2">
      <w:pPr>
        <w:pStyle w:val="JudgmentText"/>
        <w:numPr>
          <w:ilvl w:val="0"/>
          <w:numId w:val="0"/>
        </w:numPr>
        <w:ind w:left="720" w:hanging="720"/>
      </w:pPr>
      <w:r>
        <w:t>[</w:t>
      </w:r>
      <w:r w:rsidR="005962C1">
        <w:t>6</w:t>
      </w:r>
      <w:r>
        <w:t>]</w:t>
      </w:r>
      <w:r>
        <w:tab/>
      </w:r>
      <w:r w:rsidR="006C75DB">
        <w:t xml:space="preserve">As the </w:t>
      </w:r>
      <w:r w:rsidR="0068520A">
        <w:t>Appellants</w:t>
      </w:r>
      <w:r w:rsidR="00EA057A">
        <w:t xml:space="preserve"> </w:t>
      </w:r>
      <w:r w:rsidR="0068520A">
        <w:t xml:space="preserve">had already </w:t>
      </w:r>
      <w:r w:rsidR="006C75DB">
        <w:t>paid the R</w:t>
      </w:r>
      <w:r w:rsidR="0068520A">
        <w:t>e</w:t>
      </w:r>
      <w:r w:rsidR="006C75DB">
        <w:t>s</w:t>
      </w:r>
      <w:r w:rsidR="0068520A">
        <w:t xml:space="preserve">pondents </w:t>
      </w:r>
      <w:r w:rsidR="00747E55">
        <w:t>some</w:t>
      </w:r>
      <w:r w:rsidR="0068520A">
        <w:t xml:space="preserve"> of the retention monies</w:t>
      </w:r>
      <w:r w:rsidR="003049B7">
        <w:t xml:space="preserve"> the learned Magistrate awarded the balance from the sum kept back, that </w:t>
      </w:r>
      <w:r w:rsidR="00415932">
        <w:t>is the</w:t>
      </w:r>
      <w:r w:rsidR="003049B7">
        <w:t xml:space="preserve"> sum of SR</w:t>
      </w:r>
      <w:r w:rsidR="00747E55">
        <w:t xml:space="preserve"> </w:t>
      </w:r>
      <w:r w:rsidR="003049B7">
        <w:t>63</w:t>
      </w:r>
      <w:r w:rsidR="00415932">
        <w:t>, 750</w:t>
      </w:r>
      <w:r w:rsidR="003049B7">
        <w:t>.</w:t>
      </w:r>
    </w:p>
    <w:p w:rsidR="00415932" w:rsidRDefault="007A1AA2" w:rsidP="007A1AA2">
      <w:pPr>
        <w:pStyle w:val="JudgmentText"/>
        <w:numPr>
          <w:ilvl w:val="0"/>
          <w:numId w:val="0"/>
        </w:numPr>
        <w:ind w:left="720" w:hanging="720"/>
      </w:pPr>
      <w:r>
        <w:t xml:space="preserve">[6]    </w:t>
      </w:r>
      <w:r w:rsidR="00415932">
        <w:t>The Appellants have appealed the decision on one ground only, namely that the learned Magistrate erred in finding that pre-mixed concrete should be considered as construction material.</w:t>
      </w:r>
    </w:p>
    <w:p w:rsidR="00415932" w:rsidRDefault="007A1AA2" w:rsidP="007A1AA2">
      <w:pPr>
        <w:pStyle w:val="JudgmentText"/>
        <w:numPr>
          <w:ilvl w:val="0"/>
          <w:numId w:val="0"/>
        </w:numPr>
        <w:ind w:left="720" w:hanging="720"/>
      </w:pPr>
      <w:r>
        <w:lastRenderedPageBreak/>
        <w:t>[7]</w:t>
      </w:r>
      <w:r>
        <w:tab/>
      </w:r>
      <w:r w:rsidR="00415932">
        <w:t>In their written submissions the Appellants have supported this ground by stating that  although the cont</w:t>
      </w:r>
      <w:r w:rsidR="00C001DC">
        <w:t>r</w:t>
      </w:r>
      <w:r w:rsidR="00415932">
        <w:t xml:space="preserve">act clearly provided that the Respondent would be responsible for labour and the Appellants for materials, it was clear from evidence adduced that the intention of the parties was that the </w:t>
      </w:r>
      <w:r w:rsidR="00540D0F">
        <w:t>Respondent</w:t>
      </w:r>
      <w:r w:rsidR="00415932">
        <w:t xml:space="preserve"> was to do the mixing</w:t>
      </w:r>
      <w:r>
        <w:t xml:space="preserve"> of the concrete on site</w:t>
      </w:r>
      <w:r w:rsidR="00415932">
        <w:t xml:space="preserve">. </w:t>
      </w:r>
    </w:p>
    <w:p w:rsidR="007A1AA2" w:rsidRDefault="007A1AA2" w:rsidP="007A1AA2">
      <w:pPr>
        <w:pStyle w:val="JudgmentText"/>
        <w:numPr>
          <w:ilvl w:val="0"/>
          <w:numId w:val="0"/>
        </w:numPr>
        <w:ind w:left="720" w:hanging="720"/>
      </w:pPr>
      <w:r>
        <w:t>[8]</w:t>
      </w:r>
      <w:r>
        <w:tab/>
      </w:r>
      <w:r w:rsidR="00415932">
        <w:t>I have no doubt th</w:t>
      </w:r>
      <w:r w:rsidR="00540D0F">
        <w:t>at</w:t>
      </w:r>
      <w:r w:rsidR="00415932">
        <w:t xml:space="preserve"> this may have well been the inten</w:t>
      </w:r>
      <w:r w:rsidR="00540D0F">
        <w:t>t</w:t>
      </w:r>
      <w:r w:rsidR="00415932">
        <w:t>ion of the</w:t>
      </w:r>
      <w:r w:rsidR="00747E55">
        <w:t xml:space="preserve"> </w:t>
      </w:r>
      <w:r>
        <w:t>parties</w:t>
      </w:r>
      <w:r w:rsidR="00415932">
        <w:t xml:space="preserve"> but as </w:t>
      </w:r>
      <w:r>
        <w:t>submitted</w:t>
      </w:r>
      <w:r w:rsidR="00415932">
        <w:t xml:space="preserve"> by the </w:t>
      </w:r>
      <w:r>
        <w:t>Respondent</w:t>
      </w:r>
      <w:r w:rsidR="00415932">
        <w:t>,</w:t>
      </w:r>
      <w:r>
        <w:t xml:space="preserve"> it became obvious that space was limited and the mixing could not be done on site. Premixed concrete was ordered and delivered. C</w:t>
      </w:r>
      <w:r w:rsidR="00415932">
        <w:t>oncrete is made up of a mix</w:t>
      </w:r>
      <w:r>
        <w:t>ture</w:t>
      </w:r>
      <w:r w:rsidR="00415932">
        <w:t xml:space="preserve"> of composite </w:t>
      </w:r>
      <w:r>
        <w:t>materials</w:t>
      </w:r>
      <w:r w:rsidR="00415932">
        <w:t xml:space="preserve">. It is logical to </w:t>
      </w:r>
      <w:r>
        <w:t>infer</w:t>
      </w:r>
      <w:r w:rsidR="00415932">
        <w:t xml:space="preserve"> that the </w:t>
      </w:r>
      <w:r>
        <w:t>aggregates</w:t>
      </w:r>
      <w:r w:rsidR="00415932">
        <w:t xml:space="preserve"> for the mix, </w:t>
      </w:r>
      <w:r>
        <w:t>that</w:t>
      </w:r>
      <w:r w:rsidR="00415932">
        <w:t xml:space="preserve"> is </w:t>
      </w:r>
      <w:r>
        <w:t>sand</w:t>
      </w:r>
      <w:r w:rsidR="00415932">
        <w:t>, c</w:t>
      </w:r>
      <w:r>
        <w:t>e</w:t>
      </w:r>
      <w:r w:rsidR="00415932">
        <w:t xml:space="preserve">ment and rock aggregate would have had to be </w:t>
      </w:r>
      <w:r>
        <w:t>purchased b</w:t>
      </w:r>
      <w:r w:rsidR="00415932">
        <w:t xml:space="preserve">y the </w:t>
      </w:r>
      <w:r>
        <w:t>Appellants</w:t>
      </w:r>
      <w:r w:rsidR="00415932">
        <w:t xml:space="preserve">. </w:t>
      </w:r>
      <w:r w:rsidR="004B5EE0">
        <w:t>The labour for mixing the aggregates would have been borne by the Respondent.</w:t>
      </w:r>
    </w:p>
    <w:p w:rsidR="00415932" w:rsidRDefault="007A1AA2" w:rsidP="007A1AA2">
      <w:pPr>
        <w:pStyle w:val="JudgmentText"/>
        <w:numPr>
          <w:ilvl w:val="0"/>
          <w:numId w:val="0"/>
        </w:numPr>
        <w:ind w:left="720" w:hanging="720"/>
      </w:pPr>
      <w:r>
        <w:t>[9]</w:t>
      </w:r>
      <w:r>
        <w:tab/>
      </w:r>
      <w:r w:rsidR="00415932">
        <w:t xml:space="preserve">No evidence has been adduced </w:t>
      </w:r>
      <w:r>
        <w:t>to</w:t>
      </w:r>
      <w:r w:rsidR="00415932">
        <w:t xml:space="preserve"> indicate the propo</w:t>
      </w:r>
      <w:r>
        <w:t>r</w:t>
      </w:r>
      <w:r w:rsidR="00415932">
        <w:t>tion</w:t>
      </w:r>
      <w:r>
        <w:t xml:space="preserve"> of the retained </w:t>
      </w:r>
      <w:r>
        <w:br/>
        <w:t xml:space="preserve">SR50, 000 </w:t>
      </w:r>
      <w:r w:rsidR="00540D0F">
        <w:t>to be attributed to the labou</w:t>
      </w:r>
      <w:r>
        <w:t>r</w:t>
      </w:r>
      <w:r w:rsidR="004B5EE0">
        <w:t xml:space="preserve"> </w:t>
      </w:r>
      <w:r>
        <w:t>for</w:t>
      </w:r>
      <w:r w:rsidR="00540D0F">
        <w:t xml:space="preserve"> mi</w:t>
      </w:r>
      <w:r>
        <w:t>x</w:t>
      </w:r>
      <w:r w:rsidR="00540D0F">
        <w:t>ing the concrete</w:t>
      </w:r>
      <w:r>
        <w:t xml:space="preserve"> and the transportation cost of the premixed concrete.</w:t>
      </w:r>
      <w:r w:rsidR="00540D0F">
        <w:t xml:space="preserve"> In t</w:t>
      </w:r>
      <w:r>
        <w:t>h</w:t>
      </w:r>
      <w:r w:rsidR="00540D0F">
        <w:t>e absence of such ev</w:t>
      </w:r>
      <w:r>
        <w:t xml:space="preserve">idence </w:t>
      </w:r>
      <w:r w:rsidR="00540D0F">
        <w:t xml:space="preserve">the </w:t>
      </w:r>
      <w:r>
        <w:t>court</w:t>
      </w:r>
      <w:r w:rsidR="00540D0F">
        <w:t xml:space="preserve"> is unable to </w:t>
      </w:r>
      <w:r>
        <w:t>conjure</w:t>
      </w:r>
      <w:r w:rsidR="00540D0F">
        <w:t xml:space="preserve"> u</w:t>
      </w:r>
      <w:r>
        <w:t>p</w:t>
      </w:r>
      <w:r w:rsidR="00540D0F">
        <w:t xml:space="preserve"> a fig</w:t>
      </w:r>
      <w:r>
        <w:t>ure</w:t>
      </w:r>
      <w:r w:rsidR="00540D0F">
        <w:t xml:space="preserve"> for </w:t>
      </w:r>
      <w:r>
        <w:t>the Appellants. Indeed there is no counterclaim or set off claimed by the Appellants</w:t>
      </w:r>
      <w:r w:rsidR="00540D0F">
        <w:t>.</w:t>
      </w:r>
    </w:p>
    <w:p w:rsidR="002B23F3" w:rsidRDefault="007A1AA2" w:rsidP="007A1AA2">
      <w:pPr>
        <w:pStyle w:val="JudgmentText"/>
        <w:numPr>
          <w:ilvl w:val="0"/>
          <w:numId w:val="0"/>
        </w:numPr>
        <w:ind w:left="720" w:hanging="720"/>
      </w:pPr>
      <w:r>
        <w:t>[10]</w:t>
      </w:r>
      <w:r>
        <w:tab/>
        <w:t>This court has reiterated on a number of occ</w:t>
      </w:r>
      <w:r w:rsidR="00765A18">
        <w:t>a</w:t>
      </w:r>
      <w:r>
        <w:t>sions the m</w:t>
      </w:r>
      <w:r w:rsidR="00765A18">
        <w:t>axim</w:t>
      </w:r>
      <w:r>
        <w:t xml:space="preserve"> that he who avers must prove</w:t>
      </w:r>
      <w:r w:rsidR="004B5EE0">
        <w:t xml:space="preserve"> </w:t>
      </w:r>
      <w:r w:rsidR="00772D20">
        <w:t xml:space="preserve">see </w:t>
      </w:r>
      <w:proofErr w:type="spellStart"/>
      <w:r w:rsidR="00772D20" w:rsidRPr="00772D20">
        <w:rPr>
          <w:i/>
        </w:rPr>
        <w:t>Suleman</w:t>
      </w:r>
      <w:proofErr w:type="spellEnd"/>
      <w:r w:rsidR="00772D20" w:rsidRPr="00772D20">
        <w:rPr>
          <w:i/>
        </w:rPr>
        <w:t xml:space="preserve"> v </w:t>
      </w:r>
      <w:proofErr w:type="spellStart"/>
      <w:r w:rsidR="00772D20" w:rsidRPr="00772D20">
        <w:rPr>
          <w:i/>
        </w:rPr>
        <w:t>Joubert</w:t>
      </w:r>
      <w:proofErr w:type="spellEnd"/>
      <w:r w:rsidR="002B23F3">
        <w:rPr>
          <w:i/>
        </w:rPr>
        <w:t xml:space="preserve"> </w:t>
      </w:r>
      <w:r w:rsidR="004B5EE0" w:rsidRPr="004B5EE0">
        <w:rPr>
          <w:color w:val="000000"/>
        </w:rPr>
        <w:t>SCA 27/2010</w:t>
      </w:r>
      <w:r w:rsidR="004B5EE0">
        <w:rPr>
          <w:rStyle w:val="apple-converted-space"/>
          <w:rFonts w:ascii="Verdana" w:hAnsi="Verdana"/>
          <w:sz w:val="21"/>
          <w:szCs w:val="21"/>
        </w:rPr>
        <w:t> </w:t>
      </w:r>
      <w:r w:rsidR="002B23F3">
        <w:rPr>
          <w:i/>
        </w:rPr>
        <w:t xml:space="preserve">, </w:t>
      </w:r>
      <w:proofErr w:type="spellStart"/>
      <w:r w:rsidR="002B23F3" w:rsidRPr="002B23F3">
        <w:rPr>
          <w:i/>
        </w:rPr>
        <w:t>Gopal</w:t>
      </w:r>
      <w:proofErr w:type="spellEnd"/>
      <w:r w:rsidR="002B23F3" w:rsidRPr="002B23F3">
        <w:rPr>
          <w:i/>
        </w:rPr>
        <w:t xml:space="preserve"> &amp; </w:t>
      </w:r>
      <w:proofErr w:type="spellStart"/>
      <w:r w:rsidR="002B23F3" w:rsidRPr="002B23F3">
        <w:rPr>
          <w:i/>
        </w:rPr>
        <w:t>Anor</w:t>
      </w:r>
      <w:proofErr w:type="spellEnd"/>
      <w:r w:rsidR="002B23F3" w:rsidRPr="002B23F3">
        <w:rPr>
          <w:i/>
        </w:rPr>
        <w:t xml:space="preserve"> v Barclays Bank (</w:t>
      </w:r>
      <w:r w:rsidR="002B23F3" w:rsidRPr="002B23F3">
        <w:t xml:space="preserve">2013) </w:t>
      </w:r>
      <w:proofErr w:type="spellStart"/>
      <w:r w:rsidR="002B23F3" w:rsidRPr="002B23F3">
        <w:t>Vol</w:t>
      </w:r>
      <w:proofErr w:type="spellEnd"/>
      <w:r w:rsidR="002B23F3" w:rsidRPr="002B23F3">
        <w:t xml:space="preserve"> </w:t>
      </w:r>
      <w:r w:rsidR="004B5EE0">
        <w:t xml:space="preserve">II </w:t>
      </w:r>
      <w:r w:rsidR="002B23F3" w:rsidRPr="002B23F3">
        <w:t>SLR</w:t>
      </w:r>
      <w:r w:rsidR="004B5EE0">
        <w:t>553,</w:t>
      </w:r>
      <w:r w:rsidR="002B23F3" w:rsidRPr="002B23F3">
        <w:t xml:space="preserve"> </w:t>
      </w:r>
      <w:r w:rsidR="002B23F3" w:rsidRPr="005962C1">
        <w:rPr>
          <w:i/>
        </w:rPr>
        <w:t>SBC</w:t>
      </w:r>
      <w:r w:rsidR="002B23F3">
        <w:rPr>
          <w:i/>
        </w:rPr>
        <w:t xml:space="preserve"> v </w:t>
      </w:r>
      <w:proofErr w:type="spellStart"/>
      <w:r w:rsidR="002B23F3">
        <w:rPr>
          <w:i/>
        </w:rPr>
        <w:t>Beaufond</w:t>
      </w:r>
      <w:proofErr w:type="spellEnd"/>
      <w:r w:rsidR="002B23F3">
        <w:t xml:space="preserve"> (unreported) </w:t>
      </w:r>
      <w:r w:rsidR="002B23F3" w:rsidRPr="002B23F3">
        <w:t>SCA 29/2013</w:t>
      </w:r>
      <w:r w:rsidR="002B23F3">
        <w:t>. Article 1315 if the Civil Code also states that:</w:t>
      </w:r>
    </w:p>
    <w:p w:rsidR="007A1AA2" w:rsidRDefault="002B23F3" w:rsidP="002B23F3">
      <w:pPr>
        <w:pStyle w:val="JudgmentText"/>
        <w:numPr>
          <w:ilvl w:val="0"/>
          <w:numId w:val="0"/>
        </w:numPr>
        <w:ind w:left="720" w:firstLine="720"/>
      </w:pPr>
      <w:r>
        <w:t>“He who demands the performance of an obligation shall be bound to prove it</w:t>
      </w:r>
      <w:r w:rsidR="00305514">
        <w:t>…</w:t>
      </w:r>
      <w:r>
        <w:t>”</w:t>
      </w:r>
    </w:p>
    <w:p w:rsidR="002B23F3" w:rsidRDefault="002B23F3" w:rsidP="002B23F3">
      <w:pPr>
        <w:pStyle w:val="JudgmentText"/>
        <w:numPr>
          <w:ilvl w:val="0"/>
          <w:numId w:val="0"/>
        </w:numPr>
        <w:ind w:left="720" w:hanging="720"/>
      </w:pPr>
      <w:r>
        <w:t>[11]</w:t>
      </w:r>
      <w:r>
        <w:tab/>
        <w:t xml:space="preserve">I agree with the learned Magistrate that the Respondent was able to prove on a balance of probability that he was owed the money under the agreement and while </w:t>
      </w:r>
      <w:r w:rsidR="005962C1">
        <w:t>I</w:t>
      </w:r>
      <w:r>
        <w:t xml:space="preserve"> agree with the Appellants that a percentage of the premixed concrete must include a figure for </w:t>
      </w:r>
      <w:r w:rsidR="00305514">
        <w:t>the mixing</w:t>
      </w:r>
      <w:r>
        <w:t xml:space="preserve"> and transport costs, these figures have not been provided nor proven to this Court. I am in the circumstances unable to make a deduction from the sum of SR 63, 750 still owing and therefore dismiss this appeal with costs.</w:t>
      </w:r>
    </w:p>
    <w:p w:rsidR="00415932" w:rsidRDefault="00415932" w:rsidP="00464531">
      <w:pPr>
        <w:rPr>
          <w:sz w:val="24"/>
          <w:szCs w:val="24"/>
        </w:rPr>
      </w:pPr>
    </w:p>
    <w:p w:rsidR="00415932" w:rsidRDefault="00415932" w:rsidP="00464531">
      <w:pPr>
        <w:rPr>
          <w:sz w:val="24"/>
          <w:szCs w:val="24"/>
        </w:rPr>
      </w:pPr>
    </w:p>
    <w:p w:rsidR="00415932" w:rsidRPr="00437FE9" w:rsidRDefault="00415932" w:rsidP="00464531">
      <w:pPr>
        <w:rPr>
          <w:sz w:val="24"/>
          <w:szCs w:val="24"/>
        </w:rPr>
        <w:sectPr w:rsidR="00415932" w:rsidRPr="00437FE9"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14" w:name="Text19"/>
      <w:r w:rsidR="002B23F3">
        <w:rPr>
          <w:sz w:val="24"/>
          <w:szCs w:val="24"/>
        </w:rPr>
        <w:t>26</w:t>
      </w:r>
      <w:r w:rsidR="002B23F3" w:rsidRPr="002B23F3">
        <w:rPr>
          <w:sz w:val="24"/>
          <w:szCs w:val="24"/>
          <w:vertAlign w:val="superscript"/>
        </w:rPr>
        <w:t>th</w:t>
      </w:r>
      <w:r w:rsidR="002B23F3">
        <w:rPr>
          <w:sz w:val="24"/>
          <w:szCs w:val="24"/>
        </w:rPr>
        <w:t xml:space="preserve"> October 2015</w:t>
      </w:r>
      <w:r w:rsidR="00EC640B">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C640B">
        <w:rPr>
          <w:sz w:val="24"/>
          <w:szCs w:val="24"/>
        </w:rPr>
      </w:r>
      <w:r w:rsidR="00EC640B">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EC640B">
        <w:rPr>
          <w:sz w:val="24"/>
          <w:szCs w:val="24"/>
        </w:rPr>
        <w:fldChar w:fldCharType="end"/>
      </w:r>
      <w:bookmarkEnd w:id="14"/>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27554" w:rsidP="0006489F">
      <w:pPr>
        <w:pStyle w:val="ListParagraph"/>
        <w:widowControl/>
        <w:autoSpaceDE/>
        <w:autoSpaceDN/>
        <w:adjustRightInd/>
        <w:ind w:left="0"/>
        <w:contextualSpacing w:val="0"/>
        <w:jc w:val="both"/>
        <w:rPr>
          <w:sz w:val="24"/>
          <w:szCs w:val="24"/>
        </w:rPr>
      </w:pPr>
      <w:r>
        <w:rPr>
          <w:sz w:val="24"/>
          <w:szCs w:val="24"/>
        </w:rPr>
        <w:t>M Twomey</w:t>
      </w:r>
    </w:p>
    <w:bookmarkStart w:id="15" w:name="Dropdown7"/>
    <w:p w:rsidR="009E05E5" w:rsidRPr="00E33F35" w:rsidRDefault="00EC640B"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5"/>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548" w:rsidRDefault="006F2548" w:rsidP="00DB6D34">
      <w:r>
        <w:separator/>
      </w:r>
    </w:p>
  </w:endnote>
  <w:endnote w:type="continuationSeparator" w:id="1">
    <w:p w:rsidR="006F2548" w:rsidRDefault="006F254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C640B">
    <w:pPr>
      <w:pStyle w:val="Footer"/>
      <w:jc w:val="center"/>
    </w:pPr>
    <w:r>
      <w:fldChar w:fldCharType="begin"/>
    </w:r>
    <w:r w:rsidR="000C269D">
      <w:instrText xml:space="preserve"> PAGE   \* MERGEFORMAT </w:instrText>
    </w:r>
    <w:r>
      <w:fldChar w:fldCharType="separate"/>
    </w:r>
    <w:r w:rsidR="00C001DC">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548" w:rsidRDefault="006F2548" w:rsidP="00DB6D34">
      <w:r>
        <w:separator/>
      </w:r>
    </w:p>
  </w:footnote>
  <w:footnote w:type="continuationSeparator" w:id="1">
    <w:p w:rsidR="006F2548" w:rsidRDefault="006F254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F773C1"/>
    <w:multiLevelType w:val="hybridMultilevel"/>
    <w:tmpl w:val="968CEA4A"/>
    <w:lvl w:ilvl="0" w:tplc="BE5C8116">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oNotShadeFormData/>
  <w:characterSpacingControl w:val="doNotCompress"/>
  <w:footnotePr>
    <w:footnote w:id="0"/>
    <w:footnote w:id="1"/>
  </w:footnotePr>
  <w:endnotePr>
    <w:endnote w:id="0"/>
    <w:endnote w:id="1"/>
  </w:endnotePr>
  <w:compat/>
  <w:rsids>
    <w:rsidRoot w:val="00E40E74"/>
    <w:rsid w:val="00000407"/>
    <w:rsid w:val="00005BEF"/>
    <w:rsid w:val="00030C81"/>
    <w:rsid w:val="00062255"/>
    <w:rsid w:val="0006489F"/>
    <w:rsid w:val="00075573"/>
    <w:rsid w:val="00091036"/>
    <w:rsid w:val="000911E9"/>
    <w:rsid w:val="000A10B8"/>
    <w:rsid w:val="000B7E37"/>
    <w:rsid w:val="000C269D"/>
    <w:rsid w:val="000D1DD3"/>
    <w:rsid w:val="000E39A5"/>
    <w:rsid w:val="000E7400"/>
    <w:rsid w:val="001008BC"/>
    <w:rsid w:val="00101D12"/>
    <w:rsid w:val="0010732D"/>
    <w:rsid w:val="00117CBF"/>
    <w:rsid w:val="00126A10"/>
    <w:rsid w:val="001376AB"/>
    <w:rsid w:val="00144612"/>
    <w:rsid w:val="0014598E"/>
    <w:rsid w:val="0016510C"/>
    <w:rsid w:val="00180158"/>
    <w:rsid w:val="001911C9"/>
    <w:rsid w:val="001E4ED8"/>
    <w:rsid w:val="001F255E"/>
    <w:rsid w:val="0020244B"/>
    <w:rsid w:val="00207889"/>
    <w:rsid w:val="0021237F"/>
    <w:rsid w:val="00225016"/>
    <w:rsid w:val="00227554"/>
    <w:rsid w:val="00231C17"/>
    <w:rsid w:val="00236AAC"/>
    <w:rsid w:val="0024353F"/>
    <w:rsid w:val="00254633"/>
    <w:rsid w:val="00290E14"/>
    <w:rsid w:val="002A7376"/>
    <w:rsid w:val="002B2255"/>
    <w:rsid w:val="002B23F3"/>
    <w:rsid w:val="002C7560"/>
    <w:rsid w:val="002D06AA"/>
    <w:rsid w:val="002D67FC"/>
    <w:rsid w:val="002E6963"/>
    <w:rsid w:val="002F40A1"/>
    <w:rsid w:val="00301D88"/>
    <w:rsid w:val="003049B7"/>
    <w:rsid w:val="00304E76"/>
    <w:rsid w:val="00305514"/>
    <w:rsid w:val="00307099"/>
    <w:rsid w:val="003124CA"/>
    <w:rsid w:val="003647E7"/>
    <w:rsid w:val="00377341"/>
    <w:rsid w:val="003838CC"/>
    <w:rsid w:val="003862CB"/>
    <w:rsid w:val="0038700C"/>
    <w:rsid w:val="003A4285"/>
    <w:rsid w:val="003B461C"/>
    <w:rsid w:val="003B4C19"/>
    <w:rsid w:val="003C17AC"/>
    <w:rsid w:val="003D58AA"/>
    <w:rsid w:val="003D7B97"/>
    <w:rsid w:val="003E2ABC"/>
    <w:rsid w:val="003E404C"/>
    <w:rsid w:val="003F0F8D"/>
    <w:rsid w:val="004156B9"/>
    <w:rsid w:val="00415932"/>
    <w:rsid w:val="00417980"/>
    <w:rsid w:val="0043660F"/>
    <w:rsid w:val="00437FE9"/>
    <w:rsid w:val="00445BFA"/>
    <w:rsid w:val="00452BB6"/>
    <w:rsid w:val="0046133B"/>
    <w:rsid w:val="00464531"/>
    <w:rsid w:val="004B22D0"/>
    <w:rsid w:val="004B5EE0"/>
    <w:rsid w:val="004C3D80"/>
    <w:rsid w:val="004D1A60"/>
    <w:rsid w:val="004F3823"/>
    <w:rsid w:val="005207C8"/>
    <w:rsid w:val="00530663"/>
    <w:rsid w:val="00540D0F"/>
    <w:rsid w:val="0054568C"/>
    <w:rsid w:val="0055036F"/>
    <w:rsid w:val="005514D6"/>
    <w:rsid w:val="00552704"/>
    <w:rsid w:val="00572AB3"/>
    <w:rsid w:val="005762CF"/>
    <w:rsid w:val="005836AC"/>
    <w:rsid w:val="00584583"/>
    <w:rsid w:val="00594FAC"/>
    <w:rsid w:val="005962C1"/>
    <w:rsid w:val="005D389B"/>
    <w:rsid w:val="005E6584"/>
    <w:rsid w:val="00606587"/>
    <w:rsid w:val="00606EEA"/>
    <w:rsid w:val="0061371B"/>
    <w:rsid w:val="006174DB"/>
    <w:rsid w:val="00637194"/>
    <w:rsid w:val="0064023C"/>
    <w:rsid w:val="00647815"/>
    <w:rsid w:val="006578C2"/>
    <w:rsid w:val="00666D33"/>
    <w:rsid w:val="0068520A"/>
    <w:rsid w:val="006A58E4"/>
    <w:rsid w:val="006C75DB"/>
    <w:rsid w:val="006D36C9"/>
    <w:rsid w:val="006D79FB"/>
    <w:rsid w:val="006F2548"/>
    <w:rsid w:val="007175A6"/>
    <w:rsid w:val="00741231"/>
    <w:rsid w:val="00742096"/>
    <w:rsid w:val="00744508"/>
    <w:rsid w:val="00747E55"/>
    <w:rsid w:val="00765A18"/>
    <w:rsid w:val="0077082A"/>
    <w:rsid w:val="00772D20"/>
    <w:rsid w:val="007A1AA2"/>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B22B9"/>
    <w:rsid w:val="008C0FD6"/>
    <w:rsid w:val="008C1315"/>
    <w:rsid w:val="008D02E4"/>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0A8F"/>
    <w:rsid w:val="00A11166"/>
    <w:rsid w:val="00A14038"/>
    <w:rsid w:val="00A153B1"/>
    <w:rsid w:val="00A16A05"/>
    <w:rsid w:val="00A3437E"/>
    <w:rsid w:val="00A42850"/>
    <w:rsid w:val="00A53837"/>
    <w:rsid w:val="00A6275A"/>
    <w:rsid w:val="00A65340"/>
    <w:rsid w:val="00A740BE"/>
    <w:rsid w:val="00A80E4E"/>
    <w:rsid w:val="00AC3885"/>
    <w:rsid w:val="00AD75CD"/>
    <w:rsid w:val="00B05D6E"/>
    <w:rsid w:val="00B119B1"/>
    <w:rsid w:val="00B14612"/>
    <w:rsid w:val="00B21E39"/>
    <w:rsid w:val="00B23E73"/>
    <w:rsid w:val="00B4124C"/>
    <w:rsid w:val="00B45AFC"/>
    <w:rsid w:val="00B4625E"/>
    <w:rsid w:val="00B75AE2"/>
    <w:rsid w:val="00B839EE"/>
    <w:rsid w:val="00B9148E"/>
    <w:rsid w:val="00B94805"/>
    <w:rsid w:val="00BA6027"/>
    <w:rsid w:val="00BC1D95"/>
    <w:rsid w:val="00BC349F"/>
    <w:rsid w:val="00BC73D2"/>
    <w:rsid w:val="00BD4287"/>
    <w:rsid w:val="00BD60D5"/>
    <w:rsid w:val="00BE1D00"/>
    <w:rsid w:val="00BE3628"/>
    <w:rsid w:val="00BE424C"/>
    <w:rsid w:val="00BE65AB"/>
    <w:rsid w:val="00BF5CC9"/>
    <w:rsid w:val="00C001DC"/>
    <w:rsid w:val="00C036A5"/>
    <w:rsid w:val="00C065A3"/>
    <w:rsid w:val="00C14327"/>
    <w:rsid w:val="00C210A6"/>
    <w:rsid w:val="00C22967"/>
    <w:rsid w:val="00C35333"/>
    <w:rsid w:val="00C55FDF"/>
    <w:rsid w:val="00C5739F"/>
    <w:rsid w:val="00C87FCA"/>
    <w:rsid w:val="00CA1B0C"/>
    <w:rsid w:val="00CA7795"/>
    <w:rsid w:val="00CA7F40"/>
    <w:rsid w:val="00CB3C7E"/>
    <w:rsid w:val="00CE63DA"/>
    <w:rsid w:val="00D03314"/>
    <w:rsid w:val="00D06A0F"/>
    <w:rsid w:val="00D07BC0"/>
    <w:rsid w:val="00D24C89"/>
    <w:rsid w:val="00D375BB"/>
    <w:rsid w:val="00D82047"/>
    <w:rsid w:val="00DB6D34"/>
    <w:rsid w:val="00DD4E02"/>
    <w:rsid w:val="00DE08C1"/>
    <w:rsid w:val="00DF2970"/>
    <w:rsid w:val="00DF303A"/>
    <w:rsid w:val="00E0467F"/>
    <w:rsid w:val="00E0505F"/>
    <w:rsid w:val="00E30B60"/>
    <w:rsid w:val="00E33F35"/>
    <w:rsid w:val="00E35862"/>
    <w:rsid w:val="00E40E74"/>
    <w:rsid w:val="00E41E94"/>
    <w:rsid w:val="00E55C69"/>
    <w:rsid w:val="00E57D4D"/>
    <w:rsid w:val="00E6492F"/>
    <w:rsid w:val="00E65691"/>
    <w:rsid w:val="00E671E4"/>
    <w:rsid w:val="00E71EC8"/>
    <w:rsid w:val="00E91FA1"/>
    <w:rsid w:val="00E944E2"/>
    <w:rsid w:val="00EA057A"/>
    <w:rsid w:val="00EA6F17"/>
    <w:rsid w:val="00EC12D0"/>
    <w:rsid w:val="00EC2355"/>
    <w:rsid w:val="00EC6290"/>
    <w:rsid w:val="00EC640B"/>
    <w:rsid w:val="00EF2051"/>
    <w:rsid w:val="00F00A19"/>
    <w:rsid w:val="00F0209D"/>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character" w:customStyle="1" w:styleId="apple-converted-space">
    <w:name w:val="apple-converted-space"/>
    <w:basedOn w:val="DefaultParagraphFont"/>
    <w:rsid w:val="004B5E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s\AppData\Local\Microsoft\Windows\Temporary%20Internet%20Files\Content.MSO\636DBD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24B1-6131-48E1-BC5C-F2F331DD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636DBD46</Template>
  <TotalTime>4</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Barnes</dc:creator>
  <cp:lastModifiedBy>Joelle Barnes</cp:lastModifiedBy>
  <cp:revision>5</cp:revision>
  <cp:lastPrinted>2015-10-26T10:12:00Z</cp:lastPrinted>
  <dcterms:created xsi:type="dcterms:W3CDTF">2015-10-26T10:11:00Z</dcterms:created>
  <dcterms:modified xsi:type="dcterms:W3CDTF">2015-11-10T05:27:00Z</dcterms:modified>
</cp:coreProperties>
</file>