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9A2" w:rsidRDefault="007779A2"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bookmarkStart w:id="0" w:name="Dropdown15"/>
      <w:r w:rsidR="007D3E03">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7D3E03">
        <w:rPr>
          <w:b/>
          <w:sz w:val="28"/>
          <w:szCs w:val="28"/>
        </w:rPr>
      </w:r>
      <w:r w:rsidR="007D3E03">
        <w:rPr>
          <w:b/>
          <w:sz w:val="28"/>
          <w:szCs w:val="28"/>
        </w:rPr>
        <w:fldChar w:fldCharType="end"/>
      </w:r>
      <w:bookmarkEnd w:id="0"/>
      <w:r w:rsidR="0096251D">
        <w:rPr>
          <w:b/>
          <w:sz w:val="28"/>
          <w:szCs w:val="28"/>
        </w:rPr>
        <w:t xml:space="preserve"> </w:t>
      </w:r>
      <w:r w:rsidR="00B9003A">
        <w:rPr>
          <w:b/>
          <w:sz w:val="28"/>
          <w:szCs w:val="28"/>
        </w:rPr>
        <w:t>79</w:t>
      </w:r>
      <w:r w:rsidRPr="00B75AE2">
        <w:rPr>
          <w:b/>
          <w:sz w:val="28"/>
          <w:szCs w:val="28"/>
        </w:rPr>
        <w:t>/</w:t>
      </w:r>
      <w:r w:rsidR="00C87FCA" w:rsidRPr="00B75AE2">
        <w:rPr>
          <w:b/>
          <w:sz w:val="28"/>
          <w:szCs w:val="28"/>
        </w:rPr>
        <w:t>20</w:t>
      </w:r>
      <w:r w:rsidR="00B9003A">
        <w:rPr>
          <w:b/>
          <w:sz w:val="28"/>
          <w:szCs w:val="28"/>
        </w:rPr>
        <w:t>14</w:t>
      </w:r>
      <w:r w:rsidR="007D3E03" w:rsidRPr="00B75AE2">
        <w:rPr>
          <w:b/>
          <w:sz w:val="28"/>
          <w:szCs w:val="28"/>
        </w:rPr>
        <w:fldChar w:fldCharType="begin">
          <w:ffData>
            <w:name w:val="Text33"/>
            <w:enabled/>
            <w:calcOnExit w:val="0"/>
            <w:textInput/>
          </w:ffData>
        </w:fldChar>
      </w:r>
      <w:bookmarkStart w:id="1" w:name="Text33"/>
      <w:r w:rsidR="00C87FCA" w:rsidRPr="00B75AE2">
        <w:rPr>
          <w:b/>
          <w:sz w:val="28"/>
          <w:szCs w:val="28"/>
        </w:rPr>
        <w:instrText xml:space="preserve"> FORMTEXT </w:instrText>
      </w:r>
      <w:r w:rsidR="007D3E03" w:rsidRPr="00B75AE2">
        <w:rPr>
          <w:b/>
          <w:sz w:val="28"/>
          <w:szCs w:val="28"/>
        </w:rPr>
      </w:r>
      <w:r w:rsidR="007D3E03" w:rsidRPr="00B75AE2">
        <w:rPr>
          <w:b/>
          <w:sz w:val="28"/>
          <w:szCs w:val="28"/>
        </w:rPr>
        <w:fldChar w:fldCharType="separate"/>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7D3E03" w:rsidRPr="00B75AE2">
        <w:rPr>
          <w:b/>
          <w:sz w:val="28"/>
          <w:szCs w:val="28"/>
        </w:rPr>
        <w:fldChar w:fldCharType="end"/>
      </w:r>
      <w:bookmarkEnd w:id="1"/>
    </w:p>
    <w:p w:rsidR="00A53837" w:rsidRPr="00606EEA" w:rsidRDefault="007D3E03"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64EF1" w:rsidP="00A64EF1">
      <w:pPr>
        <w:spacing w:before="240" w:after="160"/>
        <w:ind w:left="6480"/>
        <w:rPr>
          <w:b/>
          <w:sz w:val="24"/>
          <w:szCs w:val="24"/>
        </w:rPr>
      </w:pPr>
      <w:r>
        <w:rPr>
          <w:b/>
          <w:sz w:val="24"/>
          <w:szCs w:val="24"/>
        </w:rPr>
        <w:t xml:space="preserve">       </w:t>
      </w:r>
      <w:r w:rsidR="00DB6D34" w:rsidRPr="00606EEA">
        <w:rPr>
          <w:b/>
          <w:sz w:val="24"/>
          <w:szCs w:val="24"/>
        </w:rPr>
        <w:t>[201</w:t>
      </w:r>
      <w:r w:rsidR="00BA559C">
        <w:rPr>
          <w:b/>
          <w:sz w:val="24"/>
          <w:szCs w:val="24"/>
        </w:rPr>
        <w:t>5</w:t>
      </w:r>
      <w:r w:rsidR="007D3E03">
        <w:rPr>
          <w:b/>
          <w:sz w:val="24"/>
          <w:szCs w:val="24"/>
        </w:rPr>
        <w:fldChar w:fldCharType="begin"/>
      </w:r>
      <w:r w:rsidR="003F0F8D">
        <w:rPr>
          <w:b/>
          <w:sz w:val="24"/>
          <w:szCs w:val="24"/>
        </w:rPr>
        <w:instrText xml:space="preserve">  </w:instrText>
      </w:r>
      <w:r w:rsidR="007D3E03">
        <w:rPr>
          <w:b/>
          <w:sz w:val="24"/>
          <w:szCs w:val="24"/>
        </w:rPr>
        <w:fldChar w:fldCharType="end"/>
      </w:r>
      <w:r w:rsidR="00DB6D34" w:rsidRPr="00606EEA">
        <w:rPr>
          <w:b/>
          <w:sz w:val="24"/>
          <w:szCs w:val="24"/>
        </w:rPr>
        <w:t>] SCSC</w:t>
      </w:r>
      <w:r>
        <w:rPr>
          <w:b/>
          <w:sz w:val="24"/>
          <w:szCs w:val="24"/>
        </w:rPr>
        <w:t xml:space="preserve"> </w:t>
      </w:r>
      <w:r w:rsidR="0068224B">
        <w:rPr>
          <w:b/>
          <w:sz w:val="24"/>
          <w:szCs w:val="24"/>
        </w:rPr>
        <w:t>567</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2" w:name="Text40"/>
      <w:bookmarkStart w:id="3" w:name="Text22"/>
      <w:r w:rsidRPr="0096251D">
        <w:rPr>
          <w:b/>
          <w:sz w:val="24"/>
          <w:szCs w:val="24"/>
        </w:rPr>
        <w:t>THE REPUBLIC</w:t>
      </w:r>
      <w:bookmarkEnd w:id="2"/>
      <w:bookmarkEnd w:id="3"/>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r>
        <w:rPr>
          <w:sz w:val="24"/>
          <w:szCs w:val="24"/>
        </w:rPr>
        <w:t>versus</w:t>
      </w:r>
    </w:p>
    <w:p w:rsidR="00FB2453" w:rsidRDefault="00FB2453" w:rsidP="003862CB">
      <w:pPr>
        <w:jc w:val="center"/>
        <w:rPr>
          <w:sz w:val="24"/>
          <w:szCs w:val="24"/>
        </w:rPr>
      </w:pPr>
    </w:p>
    <w:p w:rsidR="00B119B1" w:rsidRPr="00EF6574" w:rsidRDefault="00EF6574" w:rsidP="00951EC0">
      <w:pPr>
        <w:jc w:val="center"/>
        <w:rPr>
          <w:b/>
          <w:sz w:val="24"/>
          <w:szCs w:val="24"/>
        </w:rPr>
      </w:pPr>
      <w:r w:rsidRPr="00EF6574">
        <w:rPr>
          <w:b/>
          <w:sz w:val="24"/>
          <w:szCs w:val="24"/>
        </w:rPr>
        <w:t>GERARD HOAREAU</w:t>
      </w:r>
    </w:p>
    <w:bookmarkStart w:id="4" w:name="Text46"/>
    <w:p w:rsidR="007779A2" w:rsidRPr="000827FA" w:rsidRDefault="007D3E03"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0827FA">
        <w:rPr>
          <w:b/>
          <w:noProof/>
          <w:sz w:val="24"/>
          <w:szCs w:val="24"/>
        </w:rPr>
        <w:t> </w:t>
      </w:r>
      <w:r w:rsidR="000827FA">
        <w:rPr>
          <w:b/>
          <w:noProof/>
          <w:sz w:val="24"/>
          <w:szCs w:val="24"/>
        </w:rPr>
        <w:t> </w:t>
      </w:r>
      <w:r w:rsidR="000827FA">
        <w:rPr>
          <w:b/>
          <w:noProof/>
          <w:sz w:val="24"/>
          <w:szCs w:val="24"/>
        </w:rPr>
        <w:t> </w:t>
      </w:r>
      <w:r w:rsidR="000827FA">
        <w:rPr>
          <w:b/>
          <w:noProof/>
          <w:sz w:val="24"/>
          <w:szCs w:val="24"/>
        </w:rPr>
        <w:t> </w:t>
      </w:r>
      <w:r w:rsidR="000827FA">
        <w:rPr>
          <w:b/>
          <w:noProof/>
          <w:sz w:val="24"/>
          <w:szCs w:val="24"/>
        </w:rPr>
        <w:t> </w:t>
      </w:r>
      <w:r>
        <w:rPr>
          <w:b/>
          <w:sz w:val="24"/>
          <w:szCs w:val="24"/>
        </w:rPr>
        <w:fldChar w:fldCharType="end"/>
      </w:r>
      <w:bookmarkEnd w:id="4"/>
    </w:p>
    <w:bookmarkStart w:id="5" w:name="Dropdown16"/>
    <w:p w:rsidR="007779A2" w:rsidRDefault="007D3E03"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Pr>
          <w:sz w:val="24"/>
          <w:szCs w:val="24"/>
        </w:rPr>
      </w:r>
      <w:r>
        <w:rPr>
          <w:sz w:val="24"/>
          <w:szCs w:val="24"/>
        </w:rPr>
        <w:fldChar w:fldCharType="end"/>
      </w:r>
      <w:bookmarkEnd w:id="5"/>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00B9003A">
        <w:rPr>
          <w:noProof/>
          <w:sz w:val="24"/>
          <w:szCs w:val="24"/>
        </w:rPr>
        <w:t>18</w:t>
      </w:r>
      <w:r w:rsidR="00B9003A" w:rsidRPr="002B38B4">
        <w:rPr>
          <w:noProof/>
          <w:sz w:val="24"/>
          <w:szCs w:val="24"/>
          <w:vertAlign w:val="superscript"/>
        </w:rPr>
        <w:t>th</w:t>
      </w:r>
      <w:r w:rsidR="00B9003A">
        <w:rPr>
          <w:noProof/>
          <w:sz w:val="24"/>
          <w:szCs w:val="24"/>
        </w:rPr>
        <w:t xml:space="preserve"> November 2015</w:t>
      </w:r>
      <w:r w:rsidRPr="00E0467F">
        <w:rPr>
          <w:sz w:val="24"/>
          <w:szCs w:val="24"/>
        </w:rPr>
        <w:tab/>
      </w:r>
      <w:bookmarkStart w:id="6" w:name="Text34"/>
      <w:r w:rsidR="007D3E03">
        <w:rPr>
          <w:sz w:val="24"/>
          <w:szCs w:val="24"/>
        </w:rPr>
        <w:fldChar w:fldCharType="begin">
          <w:ffData>
            <w:name w:val="Text34"/>
            <w:enabled/>
            <w:calcOnExit w:val="0"/>
            <w:textInput/>
          </w:ffData>
        </w:fldChar>
      </w:r>
      <w:r w:rsidR="000827FA">
        <w:rPr>
          <w:sz w:val="24"/>
          <w:szCs w:val="24"/>
        </w:rPr>
        <w:instrText xml:space="preserve"> FORMTEXT </w:instrText>
      </w:r>
      <w:r w:rsidR="007D3E03">
        <w:rPr>
          <w:sz w:val="24"/>
          <w:szCs w:val="24"/>
        </w:rPr>
      </w:r>
      <w:r w:rsidR="007D3E03">
        <w:rPr>
          <w:sz w:val="24"/>
          <w:szCs w:val="24"/>
        </w:rPr>
        <w:fldChar w:fldCharType="separate"/>
      </w:r>
      <w:r w:rsidR="000827FA">
        <w:rPr>
          <w:noProof/>
          <w:sz w:val="24"/>
          <w:szCs w:val="24"/>
        </w:rPr>
        <w:t> </w:t>
      </w:r>
      <w:r w:rsidR="000827FA">
        <w:rPr>
          <w:noProof/>
          <w:sz w:val="24"/>
          <w:szCs w:val="24"/>
        </w:rPr>
        <w:t> </w:t>
      </w:r>
      <w:r w:rsidR="000827FA">
        <w:rPr>
          <w:noProof/>
          <w:sz w:val="24"/>
          <w:szCs w:val="24"/>
        </w:rPr>
        <w:t> </w:t>
      </w:r>
      <w:r w:rsidR="000827FA">
        <w:rPr>
          <w:noProof/>
          <w:sz w:val="24"/>
          <w:szCs w:val="24"/>
        </w:rPr>
        <w:t> </w:t>
      </w:r>
      <w:r w:rsidR="000827FA">
        <w:rPr>
          <w:noProof/>
          <w:sz w:val="24"/>
          <w:szCs w:val="24"/>
        </w:rPr>
        <w:t> </w:t>
      </w:r>
      <w:r w:rsidR="007D3E03">
        <w:rPr>
          <w:sz w:val="24"/>
          <w:szCs w:val="24"/>
        </w:rPr>
        <w:fldChar w:fldCharType="end"/>
      </w:r>
      <w:bookmarkEnd w:id="6"/>
      <w:r w:rsidR="007D3E03">
        <w:rPr>
          <w:sz w:val="24"/>
          <w:szCs w:val="24"/>
        </w:rPr>
        <w:fldChar w:fldCharType="begin"/>
      </w:r>
      <w:r w:rsidR="003F0F8D">
        <w:rPr>
          <w:sz w:val="24"/>
          <w:szCs w:val="24"/>
        </w:rPr>
        <w:instrText xml:space="preserve">  </w:instrText>
      </w:r>
      <w:r w:rsidR="007D3E03">
        <w:rPr>
          <w:sz w:val="24"/>
          <w:szCs w:val="24"/>
        </w:rPr>
        <w:fldChar w:fldCharType="end"/>
      </w:r>
    </w:p>
    <w:p w:rsidR="005F5FB0" w:rsidRDefault="00E0467F" w:rsidP="00B9003A">
      <w:pPr>
        <w:ind w:left="1440" w:hanging="1440"/>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sidR="00B9003A">
        <w:rPr>
          <w:noProof/>
          <w:sz w:val="24"/>
          <w:szCs w:val="24"/>
        </w:rPr>
        <w:t>David Esparon Principal State Counsel, V</w:t>
      </w:r>
      <w:r w:rsidR="00B9003A">
        <w:rPr>
          <w:sz w:val="24"/>
          <w:szCs w:val="24"/>
        </w:rPr>
        <w:t>ipin Bernjamin and Lansinglu Rongmei, State Counsel</w:t>
      </w:r>
      <w:r w:rsidR="007779A2">
        <w:rPr>
          <w:sz w:val="24"/>
          <w:szCs w:val="24"/>
        </w:rPr>
        <w:t xml:space="preserve"> </w:t>
      </w:r>
      <w:r w:rsidR="007D3E03">
        <w:rPr>
          <w:sz w:val="24"/>
          <w:szCs w:val="24"/>
        </w:rPr>
        <w:fldChar w:fldCharType="begin"/>
      </w:r>
      <w:r w:rsidR="007779A2">
        <w:rPr>
          <w:sz w:val="24"/>
          <w:szCs w:val="24"/>
        </w:rPr>
        <w:instrText xml:space="preserve"> ASK  "Enter Respondent Lawyer Full Name"  \* MERGEFORMAT </w:instrText>
      </w:r>
      <w:r w:rsidR="007D3E03">
        <w:rPr>
          <w:sz w:val="24"/>
          <w:szCs w:val="24"/>
        </w:rPr>
        <w:fldChar w:fldCharType="end"/>
      </w:r>
      <w:r w:rsidR="007D3E03">
        <w:rPr>
          <w:sz w:val="24"/>
          <w:szCs w:val="24"/>
        </w:rPr>
        <w:fldChar w:fldCharType="begin"/>
      </w:r>
      <w:r w:rsidR="007779A2">
        <w:rPr>
          <w:sz w:val="24"/>
          <w:szCs w:val="24"/>
        </w:rPr>
        <w:instrText xml:space="preserve">  </w:instrText>
      </w:r>
      <w:r w:rsidR="007D3E03">
        <w:rPr>
          <w:sz w:val="24"/>
          <w:szCs w:val="24"/>
        </w:rPr>
        <w:fldChar w:fldCharType="end"/>
      </w:r>
      <w:r w:rsidR="007779A2">
        <w:rPr>
          <w:sz w:val="24"/>
          <w:szCs w:val="24"/>
        </w:rPr>
        <w:t xml:space="preserve"> for the Republic</w:t>
      </w:r>
      <w:r w:rsidR="007D3E03">
        <w:rPr>
          <w:sz w:val="24"/>
          <w:szCs w:val="24"/>
        </w:rPr>
        <w:fldChar w:fldCharType="begin"/>
      </w:r>
      <w:r w:rsidR="00F804CC">
        <w:rPr>
          <w:sz w:val="24"/>
          <w:szCs w:val="24"/>
        </w:rPr>
        <w:instrText xml:space="preserve"> ASK  "Enter Appellant Lawyer full name"  \* MERGEFORMAT </w:instrText>
      </w:r>
      <w:r w:rsidR="007D3E03">
        <w:rPr>
          <w:sz w:val="24"/>
          <w:szCs w:val="24"/>
        </w:rPr>
        <w:fldChar w:fldCharType="end"/>
      </w:r>
      <w:r w:rsidR="007D3E03">
        <w:rPr>
          <w:sz w:val="24"/>
          <w:szCs w:val="24"/>
        </w:rPr>
        <w:fldChar w:fldCharType="begin"/>
      </w:r>
      <w:r w:rsidR="003F0F8D">
        <w:rPr>
          <w:sz w:val="24"/>
          <w:szCs w:val="24"/>
        </w:rPr>
        <w:instrText xml:space="preserve">  </w:instrText>
      </w:r>
      <w:r w:rsidR="007D3E03">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sidR="00B9003A">
        <w:rPr>
          <w:sz w:val="24"/>
          <w:szCs w:val="24"/>
        </w:rPr>
        <w:t>Anthony Juliette and Nichol Gabriel</w:t>
      </w:r>
      <w:r w:rsidR="007D3E03">
        <w:rPr>
          <w:sz w:val="24"/>
          <w:szCs w:val="24"/>
        </w:rPr>
        <w:fldChar w:fldCharType="begin"/>
      </w:r>
      <w:r w:rsidR="00F804CC">
        <w:rPr>
          <w:sz w:val="24"/>
          <w:szCs w:val="24"/>
        </w:rPr>
        <w:instrText xml:space="preserve"> ASK  "Enter Respondent Lawyer Full Name"  \* MERGEFORMAT </w:instrText>
      </w:r>
      <w:r w:rsidR="007D3E03">
        <w:rPr>
          <w:sz w:val="24"/>
          <w:szCs w:val="24"/>
        </w:rPr>
        <w:fldChar w:fldCharType="end"/>
      </w:r>
      <w:r w:rsidR="007D3E03">
        <w:rPr>
          <w:sz w:val="24"/>
          <w:szCs w:val="24"/>
        </w:rPr>
        <w:fldChar w:fldCharType="begin"/>
      </w:r>
      <w:r w:rsidR="003F0F8D">
        <w:rPr>
          <w:sz w:val="24"/>
          <w:szCs w:val="24"/>
        </w:rPr>
        <w:instrText xml:space="preserve">  </w:instrText>
      </w:r>
      <w:r w:rsidR="007D3E03">
        <w:rPr>
          <w:sz w:val="24"/>
          <w:szCs w:val="24"/>
        </w:rPr>
        <w:fldChar w:fldCharType="end"/>
      </w:r>
      <w:r w:rsidR="003F0F8D">
        <w:rPr>
          <w:sz w:val="24"/>
          <w:szCs w:val="24"/>
        </w:rPr>
        <w:t xml:space="preserve"> </w:t>
      </w:r>
      <w:r>
        <w:rPr>
          <w:sz w:val="24"/>
          <w:szCs w:val="24"/>
        </w:rPr>
        <w:t xml:space="preserve">for </w:t>
      </w:r>
      <w:bookmarkStart w:id="7" w:name="Dropdown12"/>
      <w:r w:rsidR="0096251D">
        <w:rPr>
          <w:sz w:val="24"/>
          <w:szCs w:val="24"/>
        </w:rPr>
        <w:t xml:space="preserve">the </w:t>
      </w:r>
      <w:bookmarkStart w:id="8" w:name="Dropdown17"/>
      <w:bookmarkEnd w:id="7"/>
      <w:r w:rsidR="007D3E03">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7D3E03">
        <w:rPr>
          <w:sz w:val="24"/>
          <w:szCs w:val="24"/>
        </w:rPr>
      </w:r>
      <w:r w:rsidR="007D3E03">
        <w:rPr>
          <w:sz w:val="24"/>
          <w:szCs w:val="24"/>
        </w:rPr>
        <w:fldChar w:fldCharType="end"/>
      </w:r>
      <w:bookmarkEnd w:id="8"/>
    </w:p>
    <w:p w:rsidR="007779A2" w:rsidRDefault="007779A2" w:rsidP="00A53837">
      <w:pPr>
        <w:rPr>
          <w:sz w:val="24"/>
          <w:szCs w:val="24"/>
        </w:rPr>
      </w:pPr>
      <w:r>
        <w:rPr>
          <w:sz w:val="24"/>
          <w:szCs w:val="24"/>
        </w:rPr>
        <w:lastRenderedPageBreak/>
        <w:tab/>
      </w:r>
      <w:r>
        <w:rPr>
          <w:sz w:val="24"/>
          <w:szCs w:val="24"/>
        </w:rPr>
        <w:tab/>
      </w:r>
      <w:r>
        <w:rPr>
          <w:sz w:val="24"/>
          <w:szCs w:val="24"/>
        </w:rPr>
        <w:tab/>
      </w:r>
      <w:r w:rsidR="007D3E03">
        <w:rPr>
          <w:sz w:val="24"/>
          <w:szCs w:val="24"/>
        </w:rPr>
        <w:fldChar w:fldCharType="begin">
          <w:ffData>
            <w:name w:val="Text45"/>
            <w:enabled/>
            <w:calcOnExit w:val="0"/>
            <w:textInput/>
          </w:ffData>
        </w:fldChar>
      </w:r>
      <w:bookmarkStart w:id="9" w:name="Text45"/>
      <w:r>
        <w:rPr>
          <w:sz w:val="24"/>
          <w:szCs w:val="24"/>
        </w:rPr>
        <w:instrText xml:space="preserve"> FORMTEXT </w:instrText>
      </w:r>
      <w:r w:rsidR="007D3E03">
        <w:rPr>
          <w:sz w:val="24"/>
          <w:szCs w:val="24"/>
        </w:rPr>
      </w:r>
      <w:r w:rsidR="007D3E03">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7D3E03">
        <w:rPr>
          <w:sz w:val="24"/>
          <w:szCs w:val="24"/>
        </w:rPr>
        <w:fldChar w:fldCharType="end"/>
      </w:r>
      <w:bookmarkEnd w:id="9"/>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B9003A">
        <w:rPr>
          <w:noProof/>
          <w:sz w:val="24"/>
          <w:szCs w:val="24"/>
        </w:rPr>
        <w:t>18</w:t>
      </w:r>
      <w:r w:rsidR="00B9003A" w:rsidRPr="002B38B4">
        <w:rPr>
          <w:noProof/>
          <w:sz w:val="24"/>
          <w:szCs w:val="24"/>
          <w:vertAlign w:val="superscript"/>
        </w:rPr>
        <w:t>th</w:t>
      </w:r>
      <w:r w:rsidR="00B9003A">
        <w:rPr>
          <w:noProof/>
          <w:sz w:val="24"/>
          <w:szCs w:val="24"/>
        </w:rPr>
        <w:t xml:space="preserve"> November 2015</w:t>
      </w:r>
      <w:r w:rsidR="00E0467F">
        <w:rPr>
          <w:sz w:val="24"/>
          <w:szCs w:val="24"/>
        </w:rPr>
        <w:tab/>
      </w:r>
      <w:bookmarkStart w:id="10" w:name="Text26"/>
      <w:r w:rsidR="007D3E03">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7D3E03">
        <w:rPr>
          <w:sz w:val="24"/>
          <w:szCs w:val="24"/>
        </w:rPr>
      </w:r>
      <w:r w:rsidR="007D3E03">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7D3E03">
        <w:rPr>
          <w:sz w:val="24"/>
          <w:szCs w:val="24"/>
        </w:rPr>
        <w:fldChar w:fldCharType="end"/>
      </w:r>
      <w:bookmarkEnd w:id="10"/>
    </w:p>
    <w:p w:rsidR="00D06A0F" w:rsidRPr="00C87FCA" w:rsidRDefault="00D06A0F" w:rsidP="00E57D4D">
      <w:pPr>
        <w:pBdr>
          <w:top w:val="dotted" w:sz="4" w:space="1" w:color="auto"/>
          <w:bottom w:val="dotted" w:sz="4" w:space="1" w:color="auto"/>
        </w:pBdr>
        <w:jc w:val="center"/>
        <w:rPr>
          <w:sz w:val="24"/>
          <w:szCs w:val="24"/>
          <w:highlight w:val="lightGray"/>
        </w:rPr>
      </w:pPr>
      <w:bookmarkStart w:id="11" w:name="Dropdown2"/>
    </w:p>
    <w:bookmarkEnd w:id="11"/>
    <w:p w:rsidR="00C87FCA" w:rsidRDefault="00AE7969" w:rsidP="00C87FCA">
      <w:pPr>
        <w:pBdr>
          <w:top w:val="dotted" w:sz="4" w:space="1" w:color="auto"/>
          <w:bottom w:val="dotted" w:sz="4" w:space="1" w:color="auto"/>
        </w:pBdr>
        <w:jc w:val="center"/>
        <w:rPr>
          <w:b/>
          <w:sz w:val="24"/>
          <w:szCs w:val="24"/>
        </w:rPr>
      </w:pPr>
      <w:r>
        <w:rPr>
          <w:b/>
          <w:sz w:val="24"/>
          <w:szCs w:val="24"/>
        </w:rPr>
        <w:t>RULING</w:t>
      </w:r>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ED46AD"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B9003A" w:rsidRDefault="00B9003A" w:rsidP="00B9003A">
      <w:pPr>
        <w:ind w:left="720" w:hanging="720"/>
        <w:jc w:val="both"/>
        <w:rPr>
          <w:sz w:val="24"/>
          <w:szCs w:val="24"/>
        </w:rPr>
      </w:pPr>
      <w:r w:rsidRPr="002B38B4">
        <w:rPr>
          <w:sz w:val="24"/>
          <w:szCs w:val="24"/>
        </w:rPr>
        <w:lastRenderedPageBreak/>
        <w:t>[1]</w:t>
      </w:r>
      <w:r>
        <w:tab/>
      </w:r>
      <w:r w:rsidRPr="002B38B4">
        <w:rPr>
          <w:sz w:val="24"/>
          <w:szCs w:val="24"/>
        </w:rPr>
        <w:t xml:space="preserve">Mr. Juliette, Counsel for the </w:t>
      </w:r>
      <w:r>
        <w:rPr>
          <w:sz w:val="24"/>
          <w:szCs w:val="24"/>
        </w:rPr>
        <w:t>accused person</w:t>
      </w:r>
      <w:r w:rsidRPr="002B38B4">
        <w:rPr>
          <w:sz w:val="24"/>
          <w:szCs w:val="24"/>
        </w:rPr>
        <w:t>, Gerard Hoareau</w:t>
      </w:r>
      <w:r>
        <w:rPr>
          <w:sz w:val="24"/>
          <w:szCs w:val="24"/>
        </w:rPr>
        <w:t>,</w:t>
      </w:r>
      <w:r w:rsidRPr="002B38B4">
        <w:rPr>
          <w:sz w:val="24"/>
          <w:szCs w:val="24"/>
        </w:rPr>
        <w:t xml:space="preserve"> has made a submission of “no case to answer” at the conclusion of the prosecution case </w:t>
      </w:r>
      <w:r>
        <w:rPr>
          <w:sz w:val="24"/>
          <w:szCs w:val="24"/>
        </w:rPr>
        <w:t>in which the accused person had been charged with</w:t>
      </w:r>
      <w:r w:rsidRPr="002B38B4">
        <w:rPr>
          <w:sz w:val="24"/>
          <w:szCs w:val="24"/>
        </w:rPr>
        <w:t xml:space="preserve"> murdering Damienne Hoareau and causing grievous harm to Thara Hoareau on 25</w:t>
      </w:r>
      <w:r w:rsidRPr="002B38B4">
        <w:rPr>
          <w:sz w:val="24"/>
          <w:szCs w:val="24"/>
          <w:vertAlign w:val="superscript"/>
        </w:rPr>
        <w:t>th</w:t>
      </w:r>
      <w:r w:rsidRPr="002B38B4">
        <w:rPr>
          <w:sz w:val="24"/>
          <w:szCs w:val="24"/>
        </w:rPr>
        <w:t xml:space="preserve"> November at La Retraite Mahe.</w:t>
      </w:r>
    </w:p>
    <w:p w:rsidR="00B9003A" w:rsidRPr="002B38B4" w:rsidRDefault="00B9003A" w:rsidP="00B9003A">
      <w:pPr>
        <w:ind w:left="720" w:hanging="720"/>
        <w:jc w:val="both"/>
        <w:rPr>
          <w:sz w:val="24"/>
          <w:szCs w:val="24"/>
        </w:rPr>
      </w:pPr>
    </w:p>
    <w:p w:rsidR="00B9003A" w:rsidRDefault="00B9003A" w:rsidP="00B9003A">
      <w:pPr>
        <w:ind w:left="720" w:hanging="720"/>
        <w:jc w:val="both"/>
        <w:rPr>
          <w:sz w:val="24"/>
          <w:szCs w:val="24"/>
        </w:rPr>
      </w:pPr>
      <w:r w:rsidRPr="002B38B4">
        <w:rPr>
          <w:sz w:val="24"/>
          <w:szCs w:val="24"/>
        </w:rPr>
        <w:t>[2]</w:t>
      </w:r>
      <w:r w:rsidRPr="002B38B4">
        <w:rPr>
          <w:sz w:val="24"/>
          <w:szCs w:val="24"/>
        </w:rPr>
        <w:tab/>
        <w:t>The relevant statutory provisions in relation to such a submission are contained in the Criminal Procedure Code, namely Section 265 (1)</w:t>
      </w:r>
      <w:r>
        <w:rPr>
          <w:sz w:val="24"/>
          <w:szCs w:val="24"/>
        </w:rPr>
        <w:t xml:space="preserve"> </w:t>
      </w:r>
      <w:r w:rsidRPr="002B38B4">
        <w:rPr>
          <w:sz w:val="24"/>
          <w:szCs w:val="24"/>
        </w:rPr>
        <w:t xml:space="preserve">(c) which provides that </w:t>
      </w:r>
      <w:r w:rsidR="00AC7444">
        <w:rPr>
          <w:sz w:val="24"/>
          <w:szCs w:val="24"/>
        </w:rPr>
        <w:t>“</w:t>
      </w:r>
      <w:r w:rsidRPr="002B38B4">
        <w:rPr>
          <w:sz w:val="24"/>
          <w:szCs w:val="24"/>
        </w:rPr>
        <w:t>the judge shall decide all matters of fact necessary to be proved in order to enable evidence of particular matters to be given</w:t>
      </w:r>
      <w:r w:rsidR="00AC7444">
        <w:rPr>
          <w:sz w:val="24"/>
          <w:szCs w:val="24"/>
        </w:rPr>
        <w:t>”</w:t>
      </w:r>
      <w:r w:rsidRPr="002B38B4">
        <w:rPr>
          <w:sz w:val="24"/>
          <w:szCs w:val="24"/>
        </w:rPr>
        <w:t xml:space="preserve"> and </w:t>
      </w:r>
      <w:r w:rsidR="00AC7444">
        <w:rPr>
          <w:sz w:val="24"/>
          <w:szCs w:val="24"/>
        </w:rPr>
        <w:t>“</w:t>
      </w:r>
      <w:r w:rsidRPr="002B38B4">
        <w:rPr>
          <w:sz w:val="24"/>
          <w:szCs w:val="24"/>
        </w:rPr>
        <w:t>(d) whether any question which arises is for himself o</w:t>
      </w:r>
      <w:r w:rsidR="00AC7444">
        <w:rPr>
          <w:sz w:val="24"/>
          <w:szCs w:val="24"/>
        </w:rPr>
        <w:t>r for</w:t>
      </w:r>
      <w:r w:rsidRPr="002B38B4">
        <w:rPr>
          <w:sz w:val="24"/>
          <w:szCs w:val="24"/>
        </w:rPr>
        <w:t xml:space="preserve"> the jury</w:t>
      </w:r>
      <w:r w:rsidR="00AC7444">
        <w:rPr>
          <w:sz w:val="24"/>
          <w:szCs w:val="24"/>
        </w:rPr>
        <w:t>”</w:t>
      </w:r>
      <w:r w:rsidRPr="002B38B4">
        <w:rPr>
          <w:sz w:val="24"/>
          <w:szCs w:val="24"/>
        </w:rPr>
        <w:t>, and Section 249</w:t>
      </w:r>
      <w:r w:rsidR="00AC7444">
        <w:rPr>
          <w:sz w:val="24"/>
          <w:szCs w:val="24"/>
        </w:rPr>
        <w:t xml:space="preserve"> </w:t>
      </w:r>
      <w:r w:rsidRPr="002B38B4">
        <w:rPr>
          <w:sz w:val="24"/>
          <w:szCs w:val="24"/>
        </w:rPr>
        <w:t xml:space="preserve">(1) of the Criminal Procedure Code which provides that: </w:t>
      </w:r>
    </w:p>
    <w:p w:rsidR="00B9003A" w:rsidRPr="002B38B4" w:rsidRDefault="00B9003A" w:rsidP="00B9003A">
      <w:pPr>
        <w:ind w:left="720" w:hanging="720"/>
        <w:jc w:val="both"/>
        <w:rPr>
          <w:sz w:val="24"/>
          <w:szCs w:val="24"/>
        </w:rPr>
      </w:pPr>
    </w:p>
    <w:p w:rsidR="00B9003A" w:rsidRDefault="00B9003A" w:rsidP="00B9003A">
      <w:pPr>
        <w:ind w:left="1440"/>
        <w:jc w:val="both"/>
        <w:rPr>
          <w:sz w:val="24"/>
          <w:szCs w:val="24"/>
        </w:rPr>
      </w:pPr>
      <w:r w:rsidRPr="002B38B4">
        <w:rPr>
          <w:sz w:val="24"/>
          <w:szCs w:val="24"/>
        </w:rPr>
        <w:lastRenderedPageBreak/>
        <w:t>“If, when the case for the prosecution has been concluded, the Judge rules, as a matter of law, that there is no evidence on which the accused could be convicted, the jury shall, under the direction of the Judge, return a verdict of not guilty.”</w:t>
      </w:r>
    </w:p>
    <w:p w:rsidR="00B9003A" w:rsidRPr="002B38B4" w:rsidRDefault="00B9003A" w:rsidP="00B9003A">
      <w:pPr>
        <w:ind w:left="1440"/>
        <w:jc w:val="both"/>
        <w:rPr>
          <w:sz w:val="24"/>
          <w:szCs w:val="24"/>
        </w:rPr>
      </w:pPr>
    </w:p>
    <w:p w:rsidR="00B9003A" w:rsidRDefault="00B9003A" w:rsidP="00B9003A">
      <w:pPr>
        <w:ind w:left="720" w:hanging="720"/>
        <w:jc w:val="both"/>
        <w:rPr>
          <w:sz w:val="24"/>
          <w:szCs w:val="24"/>
        </w:rPr>
      </w:pPr>
      <w:r>
        <w:rPr>
          <w:sz w:val="24"/>
          <w:szCs w:val="24"/>
        </w:rPr>
        <w:t>[3]</w:t>
      </w:r>
      <w:r>
        <w:rPr>
          <w:sz w:val="24"/>
          <w:szCs w:val="24"/>
        </w:rPr>
        <w:tab/>
      </w:r>
      <w:r w:rsidRPr="002B38B4">
        <w:rPr>
          <w:sz w:val="24"/>
          <w:szCs w:val="24"/>
        </w:rPr>
        <w:t>The interpretation of what constitutes “no evidence” as formulated in section 294</w:t>
      </w:r>
      <w:r w:rsidR="00AC7444">
        <w:rPr>
          <w:sz w:val="24"/>
          <w:szCs w:val="24"/>
        </w:rPr>
        <w:t xml:space="preserve"> </w:t>
      </w:r>
      <w:r w:rsidRPr="002B38B4">
        <w:rPr>
          <w:sz w:val="24"/>
          <w:szCs w:val="24"/>
        </w:rPr>
        <w:t>(1) supra has been interpreted in case law both in the UK and Seychelles.</w:t>
      </w:r>
      <w:r>
        <w:rPr>
          <w:sz w:val="24"/>
          <w:szCs w:val="24"/>
        </w:rPr>
        <w:t xml:space="preserve"> </w:t>
      </w:r>
      <w:r w:rsidRPr="002B38B4">
        <w:rPr>
          <w:sz w:val="24"/>
          <w:szCs w:val="24"/>
        </w:rPr>
        <w:t xml:space="preserve">In </w:t>
      </w:r>
      <w:r w:rsidRPr="002B38B4">
        <w:rPr>
          <w:i/>
          <w:sz w:val="24"/>
          <w:szCs w:val="24"/>
        </w:rPr>
        <w:t>Green v R</w:t>
      </w:r>
      <w:r w:rsidRPr="002B38B4">
        <w:rPr>
          <w:sz w:val="24"/>
          <w:szCs w:val="24"/>
        </w:rPr>
        <w:t xml:space="preserve"> (1972) S.L.R 55 Sauzier J stated in reference to a submission of no case to answer that:</w:t>
      </w:r>
    </w:p>
    <w:p w:rsidR="00B9003A" w:rsidRPr="002B38B4" w:rsidRDefault="00B9003A" w:rsidP="00B9003A">
      <w:pPr>
        <w:ind w:left="720" w:hanging="720"/>
        <w:jc w:val="both"/>
        <w:rPr>
          <w:sz w:val="24"/>
          <w:szCs w:val="24"/>
        </w:rPr>
      </w:pPr>
    </w:p>
    <w:p w:rsidR="00B9003A" w:rsidRDefault="00B9003A" w:rsidP="00B9003A">
      <w:pPr>
        <w:ind w:left="1440"/>
        <w:jc w:val="both"/>
        <w:rPr>
          <w:sz w:val="24"/>
          <w:szCs w:val="24"/>
        </w:rPr>
      </w:pPr>
      <w:r w:rsidRPr="002B38B4">
        <w:rPr>
          <w:sz w:val="24"/>
          <w:szCs w:val="24"/>
        </w:rPr>
        <w:t>"The considerations which apply at that stage are purely objective and the trial Court is not asked to weigh the evidence. At that stage it is only necessary for it to find that a reasonable tribunal might convict."</w:t>
      </w:r>
    </w:p>
    <w:p w:rsidR="00B9003A" w:rsidRDefault="00B9003A" w:rsidP="00B9003A">
      <w:pPr>
        <w:ind w:left="1440"/>
        <w:jc w:val="both"/>
        <w:rPr>
          <w:sz w:val="24"/>
          <w:szCs w:val="24"/>
        </w:rPr>
      </w:pPr>
    </w:p>
    <w:p w:rsidR="00B9003A" w:rsidRDefault="00B9003A" w:rsidP="00B9003A">
      <w:pPr>
        <w:ind w:left="1440"/>
        <w:jc w:val="both"/>
        <w:rPr>
          <w:sz w:val="24"/>
          <w:szCs w:val="24"/>
        </w:rPr>
      </w:pPr>
    </w:p>
    <w:p w:rsidR="00B9003A" w:rsidRDefault="00B9003A" w:rsidP="00B9003A">
      <w:pPr>
        <w:ind w:left="720" w:hanging="720"/>
        <w:jc w:val="both"/>
        <w:rPr>
          <w:sz w:val="24"/>
          <w:szCs w:val="24"/>
        </w:rPr>
      </w:pPr>
      <w:r>
        <w:rPr>
          <w:sz w:val="24"/>
          <w:szCs w:val="24"/>
        </w:rPr>
        <w:t>[4]</w:t>
      </w:r>
      <w:r>
        <w:rPr>
          <w:sz w:val="24"/>
          <w:szCs w:val="24"/>
        </w:rPr>
        <w:tab/>
      </w:r>
      <w:r w:rsidRPr="002B38B4">
        <w:rPr>
          <w:sz w:val="24"/>
          <w:szCs w:val="24"/>
        </w:rPr>
        <w:t>In jury trials there is an evidential burden on the prosecution to adduce sufficient evidence on the facts in issue to satisfy the judge that such issues should be left before the tribunal of fact, in other words the jury.  Th</w:t>
      </w:r>
      <w:r>
        <w:rPr>
          <w:sz w:val="24"/>
          <w:szCs w:val="24"/>
        </w:rPr>
        <w:t>at</w:t>
      </w:r>
      <w:r w:rsidRPr="002B38B4">
        <w:rPr>
          <w:sz w:val="24"/>
          <w:szCs w:val="24"/>
        </w:rPr>
        <w:t xml:space="preserve"> duty is described colloquially as “the duty of passing the judge.” </w:t>
      </w:r>
      <w:r w:rsidR="00AA529B">
        <w:rPr>
          <w:sz w:val="24"/>
          <w:szCs w:val="24"/>
        </w:rPr>
        <w:t xml:space="preserve">[See Adrian Keane and Paul </w:t>
      </w:r>
      <w:r w:rsidR="00376A04">
        <w:rPr>
          <w:sz w:val="24"/>
          <w:szCs w:val="24"/>
        </w:rPr>
        <w:t>M</w:t>
      </w:r>
      <w:r w:rsidR="00AA529B">
        <w:rPr>
          <w:sz w:val="24"/>
          <w:szCs w:val="24"/>
        </w:rPr>
        <w:t>cKeown‘The Modern Law of Evidence’ (9</w:t>
      </w:r>
      <w:r w:rsidR="00AA529B" w:rsidRPr="00AA529B">
        <w:rPr>
          <w:sz w:val="24"/>
          <w:szCs w:val="24"/>
          <w:vertAlign w:val="superscript"/>
        </w:rPr>
        <w:t>th</w:t>
      </w:r>
      <w:r w:rsidR="00AA529B">
        <w:rPr>
          <w:sz w:val="24"/>
          <w:szCs w:val="24"/>
        </w:rPr>
        <w:t xml:space="preserve"> edition, Oxford University Press) 82.</w:t>
      </w:r>
    </w:p>
    <w:p w:rsidR="00AA529B" w:rsidRDefault="00AA529B" w:rsidP="00B9003A">
      <w:pPr>
        <w:ind w:left="720" w:hanging="720"/>
        <w:jc w:val="both"/>
        <w:rPr>
          <w:sz w:val="24"/>
          <w:szCs w:val="24"/>
        </w:rPr>
      </w:pPr>
    </w:p>
    <w:p w:rsidR="00B9003A" w:rsidRDefault="00B9003A" w:rsidP="00B9003A">
      <w:pPr>
        <w:ind w:left="720" w:hanging="720"/>
        <w:jc w:val="both"/>
        <w:rPr>
          <w:sz w:val="24"/>
          <w:szCs w:val="24"/>
        </w:rPr>
      </w:pPr>
      <w:r>
        <w:rPr>
          <w:sz w:val="24"/>
          <w:szCs w:val="24"/>
        </w:rPr>
        <w:t>[5]</w:t>
      </w:r>
      <w:r>
        <w:rPr>
          <w:sz w:val="24"/>
          <w:szCs w:val="24"/>
        </w:rPr>
        <w:tab/>
      </w:r>
      <w:r w:rsidRPr="002B38B4">
        <w:rPr>
          <w:sz w:val="24"/>
          <w:szCs w:val="24"/>
        </w:rPr>
        <w:t xml:space="preserve">The questions of fact on which the judge must be satisfied before the opening of the defence case are the existence or non-existence of preliminary facts and the sufficiency of evidence in order to decide whether an issue should be withdrawn from the jury. The evaluation </w:t>
      </w:r>
      <w:r w:rsidR="00041364">
        <w:rPr>
          <w:sz w:val="24"/>
          <w:szCs w:val="24"/>
        </w:rPr>
        <w:t xml:space="preserve">of </w:t>
      </w:r>
      <w:r>
        <w:rPr>
          <w:sz w:val="24"/>
          <w:szCs w:val="24"/>
        </w:rPr>
        <w:t>all of the e</w:t>
      </w:r>
      <w:r w:rsidRPr="002B38B4">
        <w:rPr>
          <w:sz w:val="24"/>
          <w:szCs w:val="24"/>
        </w:rPr>
        <w:t>vidence adduced is only called for at the stage of summing up for the jury.</w:t>
      </w:r>
      <w:r>
        <w:rPr>
          <w:sz w:val="24"/>
          <w:szCs w:val="24"/>
        </w:rPr>
        <w:t xml:space="preserve"> However some minimal evaluation of evidence is also required to determine whether the prosecution has established a prima facie case at the close of its case.</w:t>
      </w:r>
    </w:p>
    <w:p w:rsidR="00B9003A" w:rsidRDefault="00B9003A" w:rsidP="00B9003A">
      <w:pPr>
        <w:ind w:left="720" w:hanging="720"/>
        <w:jc w:val="both"/>
        <w:rPr>
          <w:sz w:val="24"/>
          <w:szCs w:val="24"/>
        </w:rPr>
      </w:pPr>
    </w:p>
    <w:p w:rsidR="00B9003A" w:rsidRDefault="00B9003A" w:rsidP="00B9003A">
      <w:pPr>
        <w:ind w:left="720" w:hanging="720"/>
        <w:jc w:val="both"/>
        <w:rPr>
          <w:sz w:val="24"/>
          <w:szCs w:val="24"/>
        </w:rPr>
      </w:pPr>
      <w:r>
        <w:rPr>
          <w:sz w:val="24"/>
          <w:szCs w:val="24"/>
        </w:rPr>
        <w:t>[6]</w:t>
      </w:r>
      <w:r>
        <w:rPr>
          <w:sz w:val="24"/>
          <w:szCs w:val="24"/>
        </w:rPr>
        <w:tab/>
      </w:r>
      <w:r w:rsidRPr="002B38B4">
        <w:rPr>
          <w:sz w:val="24"/>
          <w:szCs w:val="24"/>
        </w:rPr>
        <w:t xml:space="preserve">The seminal case in the United Kingdom on the issue of ‘no case to answer’ is that of </w:t>
      </w:r>
      <w:r w:rsidRPr="002B38B4">
        <w:rPr>
          <w:i/>
          <w:sz w:val="24"/>
          <w:szCs w:val="24"/>
        </w:rPr>
        <w:t>R v Galbraith</w:t>
      </w:r>
      <w:r w:rsidRPr="002B38B4">
        <w:rPr>
          <w:sz w:val="24"/>
          <w:szCs w:val="24"/>
        </w:rPr>
        <w:t xml:space="preserve"> [1981] 73 Cr. App. R. 124 in which Lord Lane, Chief Justice held at P. 127:</w:t>
      </w:r>
    </w:p>
    <w:p w:rsidR="00B9003A" w:rsidRPr="002B38B4" w:rsidRDefault="00B9003A" w:rsidP="00B9003A">
      <w:pPr>
        <w:ind w:left="720" w:hanging="720"/>
        <w:jc w:val="both"/>
        <w:rPr>
          <w:sz w:val="24"/>
          <w:szCs w:val="24"/>
        </w:rPr>
      </w:pPr>
    </w:p>
    <w:p w:rsidR="00B9003A" w:rsidRDefault="00B9003A" w:rsidP="00B9003A">
      <w:pPr>
        <w:ind w:left="1440"/>
        <w:jc w:val="both"/>
        <w:rPr>
          <w:sz w:val="24"/>
          <w:szCs w:val="24"/>
        </w:rPr>
      </w:pPr>
      <w:r w:rsidRPr="002B38B4">
        <w:rPr>
          <w:sz w:val="24"/>
          <w:szCs w:val="24"/>
        </w:rPr>
        <w:t>“(1) If there is</w:t>
      </w:r>
      <w:r>
        <w:rPr>
          <w:sz w:val="24"/>
          <w:szCs w:val="24"/>
        </w:rPr>
        <w:t xml:space="preserve"> no</w:t>
      </w:r>
      <w:r w:rsidRPr="002B38B4">
        <w:rPr>
          <w:sz w:val="24"/>
          <w:szCs w:val="24"/>
        </w:rPr>
        <w:t xml:space="preserve"> evidence that the crime alleged has been committed by the </w:t>
      </w:r>
      <w:r w:rsidR="00AA529B">
        <w:rPr>
          <w:sz w:val="24"/>
          <w:szCs w:val="24"/>
        </w:rPr>
        <w:t>accused person</w:t>
      </w:r>
      <w:r w:rsidRPr="002B38B4">
        <w:rPr>
          <w:sz w:val="24"/>
          <w:szCs w:val="24"/>
        </w:rPr>
        <w:t xml:space="preserve"> there is no difficulty</w:t>
      </w:r>
      <w:r w:rsidR="00B47A4A">
        <w:rPr>
          <w:sz w:val="24"/>
          <w:szCs w:val="24"/>
        </w:rPr>
        <w:t>.</w:t>
      </w:r>
      <w:r w:rsidRPr="002B38B4">
        <w:rPr>
          <w:sz w:val="24"/>
          <w:szCs w:val="24"/>
        </w:rPr>
        <w:t xml:space="preserve"> </w:t>
      </w:r>
      <w:r w:rsidR="00B47A4A">
        <w:rPr>
          <w:sz w:val="24"/>
          <w:szCs w:val="24"/>
        </w:rPr>
        <w:t>T</w:t>
      </w:r>
      <w:r w:rsidRPr="002B38B4">
        <w:rPr>
          <w:sz w:val="24"/>
          <w:szCs w:val="24"/>
        </w:rPr>
        <w:t xml:space="preserve">he judge will </w:t>
      </w:r>
      <w:r w:rsidR="00B47A4A">
        <w:rPr>
          <w:sz w:val="24"/>
          <w:szCs w:val="24"/>
        </w:rPr>
        <w:t xml:space="preserve">of course </w:t>
      </w:r>
      <w:r w:rsidRPr="002B38B4">
        <w:rPr>
          <w:sz w:val="24"/>
          <w:szCs w:val="24"/>
        </w:rPr>
        <w:t>stop the case</w:t>
      </w:r>
      <w:r w:rsidR="00AC7444">
        <w:rPr>
          <w:sz w:val="24"/>
          <w:szCs w:val="24"/>
        </w:rPr>
        <w:t>.</w:t>
      </w:r>
    </w:p>
    <w:p w:rsidR="00B9003A" w:rsidRPr="002B38B4" w:rsidRDefault="00B9003A" w:rsidP="00B9003A">
      <w:pPr>
        <w:ind w:left="1440"/>
        <w:jc w:val="both"/>
        <w:rPr>
          <w:sz w:val="24"/>
          <w:szCs w:val="24"/>
        </w:rPr>
      </w:pPr>
    </w:p>
    <w:p w:rsidR="00B9003A" w:rsidRDefault="00B9003A" w:rsidP="00B9003A">
      <w:pPr>
        <w:ind w:left="1440"/>
        <w:jc w:val="both"/>
        <w:rPr>
          <w:sz w:val="24"/>
          <w:szCs w:val="24"/>
        </w:rPr>
      </w:pPr>
      <w:r w:rsidRPr="002B38B4">
        <w:rPr>
          <w:sz w:val="24"/>
          <w:szCs w:val="24"/>
        </w:rPr>
        <w:t>(2) The difficulty arises where there is some evidence but it is of</w:t>
      </w:r>
      <w:r w:rsidR="00B47A4A">
        <w:rPr>
          <w:sz w:val="24"/>
          <w:szCs w:val="24"/>
        </w:rPr>
        <w:t xml:space="preserve"> a</w:t>
      </w:r>
      <w:r w:rsidRPr="002B38B4">
        <w:rPr>
          <w:sz w:val="24"/>
          <w:szCs w:val="24"/>
        </w:rPr>
        <w:t xml:space="preserve"> tenuous character, for example, because of inherent weakness or vagueness or because it is inconsistent with other evidence</w:t>
      </w:r>
    </w:p>
    <w:p w:rsidR="00B9003A" w:rsidRPr="002B38B4" w:rsidRDefault="00B9003A" w:rsidP="00B9003A">
      <w:pPr>
        <w:ind w:left="1440"/>
        <w:jc w:val="both"/>
        <w:rPr>
          <w:sz w:val="24"/>
          <w:szCs w:val="24"/>
        </w:rPr>
      </w:pPr>
    </w:p>
    <w:p w:rsidR="00B9003A" w:rsidRPr="00721FA2" w:rsidRDefault="00B47A4A" w:rsidP="00B9003A">
      <w:pPr>
        <w:pStyle w:val="ListParagraph"/>
        <w:numPr>
          <w:ilvl w:val="0"/>
          <w:numId w:val="9"/>
        </w:numPr>
        <w:jc w:val="both"/>
        <w:rPr>
          <w:sz w:val="24"/>
          <w:szCs w:val="24"/>
        </w:rPr>
      </w:pPr>
      <w:r>
        <w:rPr>
          <w:sz w:val="24"/>
          <w:szCs w:val="24"/>
        </w:rPr>
        <w:t>W</w:t>
      </w:r>
      <w:r w:rsidR="00B9003A" w:rsidRPr="00721FA2">
        <w:rPr>
          <w:sz w:val="24"/>
          <w:szCs w:val="24"/>
        </w:rPr>
        <w:t xml:space="preserve">here the judge </w:t>
      </w:r>
      <w:r>
        <w:rPr>
          <w:sz w:val="24"/>
          <w:szCs w:val="24"/>
        </w:rPr>
        <w:t xml:space="preserve">comes to the conclusion </w:t>
      </w:r>
      <w:r w:rsidR="00B9003A" w:rsidRPr="00721FA2">
        <w:rPr>
          <w:sz w:val="24"/>
          <w:szCs w:val="24"/>
        </w:rPr>
        <w:t>that the prosecution evidence, taken at its highest, is such that a jury properly directed could not properly convict on it, it is his duty, on a submission being made</w:t>
      </w:r>
      <w:r>
        <w:rPr>
          <w:sz w:val="24"/>
          <w:szCs w:val="24"/>
        </w:rPr>
        <w:t>,</w:t>
      </w:r>
      <w:r w:rsidR="00B9003A" w:rsidRPr="00721FA2">
        <w:rPr>
          <w:sz w:val="24"/>
          <w:szCs w:val="24"/>
        </w:rPr>
        <w:t xml:space="preserve"> to stop the case.</w:t>
      </w:r>
    </w:p>
    <w:p w:rsidR="00B9003A" w:rsidRDefault="00B9003A" w:rsidP="00B9003A">
      <w:pPr>
        <w:ind w:left="1440"/>
        <w:jc w:val="both"/>
        <w:rPr>
          <w:sz w:val="24"/>
          <w:szCs w:val="24"/>
        </w:rPr>
      </w:pPr>
    </w:p>
    <w:p w:rsidR="00B9003A" w:rsidRDefault="00B9003A" w:rsidP="00B9003A">
      <w:pPr>
        <w:pStyle w:val="ListParagraph"/>
        <w:numPr>
          <w:ilvl w:val="0"/>
          <w:numId w:val="9"/>
        </w:numPr>
        <w:jc w:val="both"/>
        <w:rPr>
          <w:sz w:val="24"/>
          <w:szCs w:val="24"/>
        </w:rPr>
      </w:pPr>
      <w:r w:rsidRPr="00721FA2">
        <w:rPr>
          <w:sz w:val="24"/>
          <w:szCs w:val="24"/>
        </w:rPr>
        <w:t>Where however the prosecution evidence is such that its strength or weakness depends on the view to be taken of a witness’ reliability or</w:t>
      </w:r>
      <w:r w:rsidR="00B47A4A">
        <w:rPr>
          <w:sz w:val="24"/>
          <w:szCs w:val="24"/>
        </w:rPr>
        <w:t>,</w:t>
      </w:r>
      <w:r w:rsidRPr="00721FA2">
        <w:rPr>
          <w:sz w:val="24"/>
          <w:szCs w:val="24"/>
        </w:rPr>
        <w:t xml:space="preserve"> other matters which are generally speaking within the province of the jury and where on one possible view of the facts there is evidence upon which a jury could properly come to the conclusion that the </w:t>
      </w:r>
      <w:r w:rsidR="00AA529B">
        <w:rPr>
          <w:sz w:val="24"/>
          <w:szCs w:val="24"/>
        </w:rPr>
        <w:lastRenderedPageBreak/>
        <w:t>accused person</w:t>
      </w:r>
      <w:r w:rsidRPr="00721FA2">
        <w:rPr>
          <w:sz w:val="24"/>
          <w:szCs w:val="24"/>
        </w:rPr>
        <w:t xml:space="preserve"> is guilty, then the judge should allow the matter to be tried by the jury…. There will of course, as always in this branch of the law, be borderline cases. They can safely be left to the discretion of the judge.”</w:t>
      </w:r>
    </w:p>
    <w:p w:rsidR="00B9003A" w:rsidRPr="00721FA2" w:rsidRDefault="00B9003A" w:rsidP="00B9003A">
      <w:pPr>
        <w:pStyle w:val="ListParagraph"/>
        <w:rPr>
          <w:sz w:val="24"/>
          <w:szCs w:val="24"/>
        </w:rPr>
      </w:pPr>
    </w:p>
    <w:p w:rsidR="00B9003A" w:rsidRPr="00B35C7C" w:rsidRDefault="00B9003A" w:rsidP="00B9003A">
      <w:pPr>
        <w:ind w:left="720" w:hanging="720"/>
        <w:jc w:val="both"/>
        <w:rPr>
          <w:sz w:val="24"/>
          <w:szCs w:val="24"/>
        </w:rPr>
      </w:pPr>
      <w:r>
        <w:rPr>
          <w:sz w:val="24"/>
          <w:szCs w:val="24"/>
        </w:rPr>
        <w:t>[7]</w:t>
      </w:r>
      <w:r>
        <w:rPr>
          <w:sz w:val="24"/>
          <w:szCs w:val="24"/>
        </w:rPr>
        <w:tab/>
      </w:r>
      <w:r w:rsidRPr="002B38B4">
        <w:rPr>
          <w:i/>
          <w:sz w:val="24"/>
          <w:szCs w:val="24"/>
        </w:rPr>
        <w:t>Galbraith</w:t>
      </w:r>
      <w:r w:rsidRPr="002B38B4">
        <w:rPr>
          <w:sz w:val="24"/>
          <w:szCs w:val="24"/>
        </w:rPr>
        <w:t xml:space="preserve"> has been followed by the courts in Seychelles in </w:t>
      </w:r>
      <w:r w:rsidRPr="002B38B4">
        <w:rPr>
          <w:i/>
          <w:sz w:val="24"/>
          <w:szCs w:val="24"/>
        </w:rPr>
        <w:t>R v Marengo</w:t>
      </w:r>
      <w:r>
        <w:rPr>
          <w:sz w:val="24"/>
          <w:szCs w:val="24"/>
        </w:rPr>
        <w:t xml:space="preserve"> and </w:t>
      </w:r>
      <w:r w:rsidRPr="002B38B4">
        <w:rPr>
          <w:sz w:val="24"/>
          <w:szCs w:val="24"/>
        </w:rPr>
        <w:t xml:space="preserve">ors </w:t>
      </w:r>
      <w:r>
        <w:rPr>
          <w:sz w:val="24"/>
          <w:szCs w:val="24"/>
        </w:rPr>
        <w:t>(</w:t>
      </w:r>
      <w:r w:rsidRPr="002B38B4">
        <w:rPr>
          <w:sz w:val="24"/>
          <w:szCs w:val="24"/>
        </w:rPr>
        <w:t xml:space="preserve">2004) SLR 116 and in </w:t>
      </w:r>
      <w:r w:rsidRPr="002B38B4">
        <w:rPr>
          <w:i/>
          <w:sz w:val="24"/>
          <w:szCs w:val="24"/>
        </w:rPr>
        <w:t xml:space="preserve">R v </w:t>
      </w:r>
      <w:r w:rsidR="00041364" w:rsidRPr="002B38B4">
        <w:rPr>
          <w:i/>
          <w:sz w:val="24"/>
          <w:szCs w:val="24"/>
        </w:rPr>
        <w:t>Matombe</w:t>
      </w:r>
      <w:r w:rsidR="00041364" w:rsidRPr="002B38B4">
        <w:rPr>
          <w:sz w:val="24"/>
          <w:szCs w:val="24"/>
        </w:rPr>
        <w:t xml:space="preserve"> </w:t>
      </w:r>
      <w:r w:rsidR="00041364" w:rsidRPr="00041364">
        <w:rPr>
          <w:i/>
          <w:sz w:val="24"/>
          <w:szCs w:val="24"/>
        </w:rPr>
        <w:t>(</w:t>
      </w:r>
      <w:r w:rsidRPr="00041364">
        <w:rPr>
          <w:i/>
          <w:sz w:val="24"/>
          <w:szCs w:val="24"/>
        </w:rPr>
        <w:t>No. 1)</w:t>
      </w:r>
      <w:r w:rsidRPr="002B38B4">
        <w:rPr>
          <w:sz w:val="24"/>
          <w:szCs w:val="24"/>
        </w:rPr>
        <w:t xml:space="preserve"> (2006)</w:t>
      </w:r>
      <w:r w:rsidR="00041364">
        <w:rPr>
          <w:sz w:val="24"/>
          <w:szCs w:val="24"/>
        </w:rPr>
        <w:t xml:space="preserve"> </w:t>
      </w:r>
      <w:r w:rsidRPr="002B38B4">
        <w:rPr>
          <w:sz w:val="24"/>
          <w:szCs w:val="24"/>
        </w:rPr>
        <w:t>SLR 32.</w:t>
      </w:r>
      <w:r>
        <w:rPr>
          <w:sz w:val="24"/>
          <w:szCs w:val="24"/>
        </w:rPr>
        <w:t xml:space="preserve"> In fact </w:t>
      </w:r>
      <w:r w:rsidRPr="00B35C7C">
        <w:rPr>
          <w:i/>
          <w:sz w:val="24"/>
          <w:szCs w:val="24"/>
        </w:rPr>
        <w:t>Galbraith</w:t>
      </w:r>
      <w:r>
        <w:rPr>
          <w:sz w:val="24"/>
          <w:szCs w:val="24"/>
        </w:rPr>
        <w:t xml:space="preserve"> was itself an enunciation of common law principles long established and reiterated in a Practice Direction of the Divisional Court of England in 1962 and applied in Seychelles in the cases of </w:t>
      </w:r>
      <w:r w:rsidRPr="00B35C7C">
        <w:rPr>
          <w:i/>
          <w:sz w:val="24"/>
          <w:szCs w:val="24"/>
        </w:rPr>
        <w:t>R v Lepere</w:t>
      </w:r>
      <w:r>
        <w:rPr>
          <w:sz w:val="24"/>
          <w:szCs w:val="24"/>
        </w:rPr>
        <w:t xml:space="preserve"> (1971) SLR</w:t>
      </w:r>
      <w:r w:rsidR="00041364">
        <w:rPr>
          <w:sz w:val="24"/>
          <w:szCs w:val="24"/>
        </w:rPr>
        <w:t xml:space="preserve"> </w:t>
      </w:r>
      <w:r>
        <w:rPr>
          <w:sz w:val="24"/>
          <w:szCs w:val="24"/>
        </w:rPr>
        <w:t xml:space="preserve">112, </w:t>
      </w:r>
      <w:r w:rsidRPr="00B35C7C">
        <w:rPr>
          <w:i/>
          <w:sz w:val="24"/>
          <w:szCs w:val="24"/>
        </w:rPr>
        <w:t>R v Stiven</w:t>
      </w:r>
      <w:r>
        <w:rPr>
          <w:sz w:val="24"/>
          <w:szCs w:val="24"/>
        </w:rPr>
        <w:t xml:space="preserve"> (1971) SLR 137 and </w:t>
      </w:r>
      <w:r w:rsidRPr="00B35C7C">
        <w:rPr>
          <w:i/>
          <w:sz w:val="24"/>
          <w:szCs w:val="24"/>
        </w:rPr>
        <w:t>R v Olsen</w:t>
      </w:r>
      <w:r>
        <w:rPr>
          <w:sz w:val="24"/>
          <w:szCs w:val="24"/>
        </w:rPr>
        <w:t xml:space="preserve"> (1973) SLR 188, authorities provided to this</w:t>
      </w:r>
      <w:r w:rsidR="00AA529B">
        <w:rPr>
          <w:sz w:val="24"/>
          <w:szCs w:val="24"/>
        </w:rPr>
        <w:t xml:space="preserve"> </w:t>
      </w:r>
      <w:r>
        <w:rPr>
          <w:sz w:val="24"/>
          <w:szCs w:val="24"/>
        </w:rPr>
        <w:t xml:space="preserve">Court by Mr. Esparon, Prosecuting </w:t>
      </w:r>
      <w:r w:rsidR="00AA529B">
        <w:rPr>
          <w:sz w:val="24"/>
          <w:szCs w:val="24"/>
        </w:rPr>
        <w:t>Counsel.</w:t>
      </w:r>
      <w:r>
        <w:rPr>
          <w:sz w:val="24"/>
          <w:szCs w:val="24"/>
        </w:rPr>
        <w:t xml:space="preserve">   </w:t>
      </w:r>
    </w:p>
    <w:p w:rsidR="00B9003A" w:rsidRPr="00721FA2" w:rsidRDefault="00B9003A" w:rsidP="00B9003A">
      <w:pPr>
        <w:pStyle w:val="ListParagraph"/>
        <w:rPr>
          <w:sz w:val="24"/>
          <w:szCs w:val="24"/>
        </w:rPr>
      </w:pPr>
    </w:p>
    <w:p w:rsidR="00B9003A" w:rsidRPr="002B38B4" w:rsidRDefault="00B9003A" w:rsidP="00B9003A">
      <w:pPr>
        <w:ind w:left="720" w:hanging="720"/>
        <w:jc w:val="both"/>
        <w:rPr>
          <w:sz w:val="24"/>
          <w:szCs w:val="24"/>
        </w:rPr>
      </w:pPr>
    </w:p>
    <w:p w:rsidR="00B9003A" w:rsidRDefault="00B9003A" w:rsidP="00B9003A">
      <w:pPr>
        <w:ind w:left="720" w:hanging="720"/>
        <w:jc w:val="both"/>
        <w:rPr>
          <w:sz w:val="24"/>
          <w:szCs w:val="24"/>
        </w:rPr>
      </w:pPr>
      <w:r>
        <w:rPr>
          <w:sz w:val="24"/>
          <w:szCs w:val="24"/>
        </w:rPr>
        <w:t>[8]</w:t>
      </w:r>
      <w:r>
        <w:rPr>
          <w:sz w:val="24"/>
          <w:szCs w:val="24"/>
        </w:rPr>
        <w:tab/>
      </w:r>
      <w:r w:rsidRPr="002B38B4">
        <w:rPr>
          <w:sz w:val="24"/>
          <w:szCs w:val="24"/>
        </w:rPr>
        <w:t xml:space="preserve">The sum total of these provisions </w:t>
      </w:r>
      <w:r>
        <w:rPr>
          <w:sz w:val="24"/>
          <w:szCs w:val="24"/>
        </w:rPr>
        <w:t xml:space="preserve">and the established case law </w:t>
      </w:r>
      <w:r w:rsidRPr="002B38B4">
        <w:rPr>
          <w:sz w:val="24"/>
          <w:szCs w:val="24"/>
        </w:rPr>
        <w:t xml:space="preserve">together with the submission made by </w:t>
      </w:r>
      <w:r w:rsidR="00AA529B">
        <w:rPr>
          <w:sz w:val="24"/>
          <w:szCs w:val="24"/>
        </w:rPr>
        <w:t xml:space="preserve">Defence </w:t>
      </w:r>
      <w:r w:rsidRPr="002B38B4">
        <w:rPr>
          <w:sz w:val="24"/>
          <w:szCs w:val="24"/>
        </w:rPr>
        <w:t xml:space="preserve">Counsel makes it imperative that this Court examine </w:t>
      </w:r>
      <w:r>
        <w:rPr>
          <w:sz w:val="24"/>
          <w:szCs w:val="24"/>
        </w:rPr>
        <w:t xml:space="preserve">at this juncture </w:t>
      </w:r>
      <w:r w:rsidRPr="002B38B4">
        <w:rPr>
          <w:sz w:val="24"/>
          <w:szCs w:val="24"/>
        </w:rPr>
        <w:t xml:space="preserve">whether there is evidence </w:t>
      </w:r>
      <w:r>
        <w:rPr>
          <w:sz w:val="24"/>
          <w:szCs w:val="24"/>
        </w:rPr>
        <w:t xml:space="preserve">in this particular case </w:t>
      </w:r>
      <w:r w:rsidRPr="002B38B4">
        <w:rPr>
          <w:sz w:val="24"/>
          <w:szCs w:val="24"/>
        </w:rPr>
        <w:t xml:space="preserve">which can be relied on to hold that there is </w:t>
      </w:r>
      <w:r w:rsidR="00376A04" w:rsidRPr="002B38B4">
        <w:rPr>
          <w:sz w:val="24"/>
          <w:szCs w:val="24"/>
        </w:rPr>
        <w:t>sufficient</w:t>
      </w:r>
      <w:r w:rsidR="00AC7444">
        <w:rPr>
          <w:sz w:val="24"/>
          <w:szCs w:val="24"/>
        </w:rPr>
        <w:t xml:space="preserve"> evidence that a reasonable tribunal might convict</w:t>
      </w:r>
      <w:r w:rsidRPr="002B38B4">
        <w:rPr>
          <w:sz w:val="24"/>
          <w:szCs w:val="24"/>
        </w:rPr>
        <w:t xml:space="preserve"> the </w:t>
      </w:r>
      <w:r w:rsidR="00AA529B">
        <w:rPr>
          <w:sz w:val="24"/>
          <w:szCs w:val="24"/>
        </w:rPr>
        <w:t>accused person</w:t>
      </w:r>
      <w:r w:rsidRPr="002B38B4">
        <w:rPr>
          <w:sz w:val="24"/>
          <w:szCs w:val="24"/>
        </w:rPr>
        <w:t xml:space="preserve">. </w:t>
      </w:r>
    </w:p>
    <w:p w:rsidR="00B9003A" w:rsidRDefault="00B9003A" w:rsidP="00B9003A">
      <w:pPr>
        <w:ind w:left="720" w:hanging="720"/>
        <w:jc w:val="both"/>
        <w:rPr>
          <w:sz w:val="24"/>
          <w:szCs w:val="24"/>
        </w:rPr>
      </w:pPr>
      <w:r>
        <w:rPr>
          <w:sz w:val="24"/>
          <w:szCs w:val="24"/>
        </w:rPr>
        <w:tab/>
      </w:r>
    </w:p>
    <w:p w:rsidR="00B9003A" w:rsidRPr="002B38B4" w:rsidRDefault="00B9003A" w:rsidP="00B9003A">
      <w:pPr>
        <w:ind w:left="1440"/>
        <w:jc w:val="both"/>
        <w:rPr>
          <w:sz w:val="24"/>
          <w:szCs w:val="24"/>
        </w:rPr>
      </w:pPr>
    </w:p>
    <w:p w:rsidR="00B9003A" w:rsidRDefault="00B9003A" w:rsidP="00B9003A">
      <w:pPr>
        <w:ind w:left="720" w:hanging="720"/>
        <w:jc w:val="both"/>
        <w:rPr>
          <w:sz w:val="24"/>
          <w:szCs w:val="24"/>
        </w:rPr>
      </w:pPr>
      <w:r>
        <w:rPr>
          <w:sz w:val="24"/>
          <w:szCs w:val="24"/>
        </w:rPr>
        <w:t>[9]</w:t>
      </w:r>
      <w:r>
        <w:rPr>
          <w:sz w:val="24"/>
          <w:szCs w:val="24"/>
        </w:rPr>
        <w:tab/>
      </w:r>
      <w:r w:rsidRPr="002B38B4">
        <w:rPr>
          <w:sz w:val="24"/>
          <w:szCs w:val="24"/>
        </w:rPr>
        <w:t xml:space="preserve">It is therefore essential to determine the evidence on record so far as adduced by the Prosecution and in the words of the Court of Appeal in the case of </w:t>
      </w:r>
      <w:r w:rsidRPr="002B38B4">
        <w:rPr>
          <w:i/>
          <w:sz w:val="24"/>
          <w:szCs w:val="24"/>
        </w:rPr>
        <w:t xml:space="preserve">Serret v R </w:t>
      </w:r>
      <w:r w:rsidRPr="002B38B4">
        <w:rPr>
          <w:sz w:val="24"/>
          <w:szCs w:val="24"/>
        </w:rPr>
        <w:t>SCA 14 of 1995 at the time the submission was made</w:t>
      </w:r>
    </w:p>
    <w:p w:rsidR="00B9003A" w:rsidRPr="002B38B4" w:rsidRDefault="00B9003A" w:rsidP="00B9003A">
      <w:pPr>
        <w:ind w:left="720" w:hanging="720"/>
        <w:jc w:val="both"/>
        <w:rPr>
          <w:sz w:val="24"/>
          <w:szCs w:val="24"/>
        </w:rPr>
      </w:pPr>
    </w:p>
    <w:p w:rsidR="00B9003A" w:rsidRPr="002B38B4" w:rsidRDefault="00B9003A" w:rsidP="00B9003A">
      <w:pPr>
        <w:ind w:left="1080"/>
        <w:jc w:val="both"/>
        <w:rPr>
          <w:sz w:val="24"/>
          <w:szCs w:val="24"/>
        </w:rPr>
      </w:pPr>
      <w:r w:rsidRPr="002B38B4">
        <w:rPr>
          <w:sz w:val="24"/>
          <w:szCs w:val="24"/>
        </w:rPr>
        <w:t>“(whether such evidence was credible or not) to establish the various matters which the prosecution had to prove namely -</w:t>
      </w:r>
    </w:p>
    <w:p w:rsidR="00B9003A" w:rsidRPr="002B38B4" w:rsidRDefault="00B9003A" w:rsidP="00B9003A">
      <w:pPr>
        <w:pStyle w:val="ListParagraph"/>
        <w:widowControl/>
        <w:numPr>
          <w:ilvl w:val="0"/>
          <w:numId w:val="7"/>
        </w:numPr>
        <w:autoSpaceDE/>
        <w:autoSpaceDN/>
        <w:adjustRightInd/>
        <w:spacing w:after="160" w:line="259" w:lineRule="auto"/>
        <w:jc w:val="both"/>
        <w:rPr>
          <w:sz w:val="24"/>
          <w:szCs w:val="24"/>
        </w:rPr>
      </w:pPr>
      <w:r w:rsidRPr="002B38B4">
        <w:rPr>
          <w:sz w:val="24"/>
          <w:szCs w:val="24"/>
        </w:rPr>
        <w:t>the fact of death - which was not in dispute;</w:t>
      </w:r>
    </w:p>
    <w:p w:rsidR="00B9003A" w:rsidRPr="002B38B4" w:rsidRDefault="00B9003A" w:rsidP="00B9003A">
      <w:pPr>
        <w:pStyle w:val="ListParagraph"/>
        <w:widowControl/>
        <w:numPr>
          <w:ilvl w:val="0"/>
          <w:numId w:val="7"/>
        </w:numPr>
        <w:autoSpaceDE/>
        <w:autoSpaceDN/>
        <w:adjustRightInd/>
        <w:spacing w:after="160" w:line="259" w:lineRule="auto"/>
        <w:jc w:val="both"/>
        <w:rPr>
          <w:sz w:val="24"/>
          <w:szCs w:val="24"/>
        </w:rPr>
      </w:pPr>
      <w:r w:rsidRPr="002B38B4">
        <w:rPr>
          <w:sz w:val="24"/>
          <w:szCs w:val="24"/>
        </w:rPr>
        <w:t>that the [</w:t>
      </w:r>
      <w:r w:rsidR="00AA529B">
        <w:rPr>
          <w:sz w:val="24"/>
          <w:szCs w:val="24"/>
        </w:rPr>
        <w:t>accused person</w:t>
      </w:r>
      <w:r w:rsidRPr="002B38B4">
        <w:rPr>
          <w:sz w:val="24"/>
          <w:szCs w:val="24"/>
        </w:rPr>
        <w:t>] committed the act which caused the death …</w:t>
      </w:r>
    </w:p>
    <w:p w:rsidR="00B9003A" w:rsidRPr="002B38B4" w:rsidRDefault="00B9003A" w:rsidP="00B9003A">
      <w:pPr>
        <w:pStyle w:val="ListParagraph"/>
        <w:widowControl/>
        <w:numPr>
          <w:ilvl w:val="0"/>
          <w:numId w:val="7"/>
        </w:numPr>
        <w:autoSpaceDE/>
        <w:autoSpaceDN/>
        <w:adjustRightInd/>
        <w:spacing w:after="160" w:line="259" w:lineRule="auto"/>
        <w:jc w:val="both"/>
        <w:rPr>
          <w:sz w:val="24"/>
          <w:szCs w:val="24"/>
        </w:rPr>
      </w:pPr>
      <w:r w:rsidRPr="002B38B4">
        <w:rPr>
          <w:sz w:val="24"/>
          <w:szCs w:val="24"/>
        </w:rPr>
        <w:t>that the [</w:t>
      </w:r>
      <w:r w:rsidR="00AA529B">
        <w:rPr>
          <w:sz w:val="24"/>
          <w:szCs w:val="24"/>
        </w:rPr>
        <w:t>accused person</w:t>
      </w:r>
      <w:r w:rsidRPr="002B38B4">
        <w:rPr>
          <w:sz w:val="24"/>
          <w:szCs w:val="24"/>
        </w:rPr>
        <w:t>] had the intention to cause death or that he had the knowledge that the act causing death would probably cause the death of or grievous harm to some person …”</w:t>
      </w:r>
      <w:r w:rsidRPr="002B38B4">
        <w:rPr>
          <w:sz w:val="24"/>
          <w:szCs w:val="24"/>
        </w:rPr>
        <w:cr/>
      </w:r>
    </w:p>
    <w:p w:rsidR="00B9003A" w:rsidRPr="002B38B4" w:rsidRDefault="00B9003A" w:rsidP="00B9003A">
      <w:pPr>
        <w:ind w:left="720"/>
        <w:jc w:val="both"/>
        <w:rPr>
          <w:sz w:val="24"/>
          <w:szCs w:val="24"/>
        </w:rPr>
      </w:pPr>
      <w:r>
        <w:rPr>
          <w:sz w:val="24"/>
          <w:szCs w:val="24"/>
        </w:rPr>
        <w:t>and i</w:t>
      </w:r>
      <w:r w:rsidRPr="002B38B4">
        <w:rPr>
          <w:sz w:val="24"/>
          <w:szCs w:val="24"/>
        </w:rPr>
        <w:t xml:space="preserve">n terms of the second charge against the </w:t>
      </w:r>
      <w:r w:rsidR="00AA529B">
        <w:rPr>
          <w:sz w:val="24"/>
          <w:szCs w:val="24"/>
        </w:rPr>
        <w:t>accused person</w:t>
      </w:r>
      <w:r w:rsidRPr="002B38B4">
        <w:rPr>
          <w:sz w:val="24"/>
          <w:szCs w:val="24"/>
        </w:rPr>
        <w:t xml:space="preserve">, </w:t>
      </w:r>
      <w:r>
        <w:rPr>
          <w:sz w:val="24"/>
          <w:szCs w:val="24"/>
        </w:rPr>
        <w:t xml:space="preserve">whether the prosecution has established </w:t>
      </w:r>
    </w:p>
    <w:p w:rsidR="00B9003A" w:rsidRPr="002B38B4" w:rsidRDefault="00B9003A" w:rsidP="00B9003A">
      <w:pPr>
        <w:pStyle w:val="ListParagraph"/>
        <w:widowControl/>
        <w:numPr>
          <w:ilvl w:val="0"/>
          <w:numId w:val="8"/>
        </w:numPr>
        <w:autoSpaceDE/>
        <w:autoSpaceDN/>
        <w:adjustRightInd/>
        <w:spacing w:after="160" w:line="259" w:lineRule="auto"/>
        <w:jc w:val="both"/>
        <w:rPr>
          <w:sz w:val="24"/>
          <w:szCs w:val="24"/>
        </w:rPr>
      </w:pPr>
      <w:r w:rsidRPr="002B38B4">
        <w:rPr>
          <w:sz w:val="24"/>
          <w:szCs w:val="24"/>
        </w:rPr>
        <w:t>that Thara Hoareau suffered wounding which caused her serious harm- a fact which is not in dispute</w:t>
      </w:r>
      <w:r w:rsidR="00AC7444">
        <w:rPr>
          <w:sz w:val="24"/>
          <w:szCs w:val="24"/>
        </w:rPr>
        <w:t>;</w:t>
      </w:r>
    </w:p>
    <w:p w:rsidR="00B9003A" w:rsidRPr="002B38B4" w:rsidRDefault="00B9003A" w:rsidP="00B9003A">
      <w:pPr>
        <w:pStyle w:val="ListParagraph"/>
        <w:widowControl/>
        <w:numPr>
          <w:ilvl w:val="0"/>
          <w:numId w:val="8"/>
        </w:numPr>
        <w:autoSpaceDE/>
        <w:autoSpaceDN/>
        <w:adjustRightInd/>
        <w:spacing w:after="160" w:line="259" w:lineRule="auto"/>
        <w:jc w:val="both"/>
        <w:rPr>
          <w:sz w:val="24"/>
          <w:szCs w:val="24"/>
        </w:rPr>
      </w:pPr>
      <w:r w:rsidRPr="002B38B4">
        <w:rPr>
          <w:sz w:val="24"/>
          <w:szCs w:val="24"/>
        </w:rPr>
        <w:t xml:space="preserve">that it was the </w:t>
      </w:r>
      <w:r w:rsidR="00AA529B">
        <w:rPr>
          <w:sz w:val="24"/>
          <w:szCs w:val="24"/>
        </w:rPr>
        <w:t>accused person</w:t>
      </w:r>
      <w:r w:rsidRPr="002B38B4">
        <w:rPr>
          <w:sz w:val="24"/>
          <w:szCs w:val="24"/>
        </w:rPr>
        <w:t xml:space="preserve"> who committed the act which caused her grievous harm</w:t>
      </w:r>
      <w:r w:rsidR="00AC7444">
        <w:rPr>
          <w:sz w:val="24"/>
          <w:szCs w:val="24"/>
        </w:rPr>
        <w:t>;</w:t>
      </w:r>
      <w:r w:rsidRPr="002B38B4">
        <w:rPr>
          <w:sz w:val="24"/>
          <w:szCs w:val="24"/>
        </w:rPr>
        <w:t xml:space="preserve"> </w:t>
      </w:r>
    </w:p>
    <w:p w:rsidR="00B9003A" w:rsidRPr="002B38B4" w:rsidRDefault="00B9003A" w:rsidP="00B9003A">
      <w:pPr>
        <w:pStyle w:val="ListParagraph"/>
        <w:widowControl/>
        <w:numPr>
          <w:ilvl w:val="0"/>
          <w:numId w:val="8"/>
        </w:numPr>
        <w:autoSpaceDE/>
        <w:autoSpaceDN/>
        <w:adjustRightInd/>
        <w:spacing w:after="160" w:line="259" w:lineRule="auto"/>
        <w:jc w:val="both"/>
        <w:rPr>
          <w:sz w:val="24"/>
          <w:szCs w:val="24"/>
        </w:rPr>
      </w:pPr>
      <w:r w:rsidRPr="002B38B4">
        <w:rPr>
          <w:sz w:val="24"/>
          <w:szCs w:val="24"/>
        </w:rPr>
        <w:t>that her wounding was unlawful</w:t>
      </w:r>
      <w:r w:rsidR="00AC7444">
        <w:rPr>
          <w:sz w:val="24"/>
          <w:szCs w:val="24"/>
        </w:rPr>
        <w:t>;</w:t>
      </w:r>
    </w:p>
    <w:p w:rsidR="00B9003A" w:rsidRPr="002B38B4" w:rsidRDefault="00B9003A" w:rsidP="00B9003A">
      <w:pPr>
        <w:pStyle w:val="ListParagraph"/>
        <w:widowControl/>
        <w:numPr>
          <w:ilvl w:val="0"/>
          <w:numId w:val="8"/>
        </w:numPr>
        <w:autoSpaceDE/>
        <w:autoSpaceDN/>
        <w:adjustRightInd/>
        <w:spacing w:after="160" w:line="259" w:lineRule="auto"/>
        <w:jc w:val="both"/>
        <w:rPr>
          <w:sz w:val="24"/>
          <w:szCs w:val="24"/>
        </w:rPr>
      </w:pPr>
      <w:r w:rsidRPr="002B38B4">
        <w:rPr>
          <w:sz w:val="24"/>
          <w:szCs w:val="24"/>
        </w:rPr>
        <w:t xml:space="preserve">that at the time of the wounding the </w:t>
      </w:r>
      <w:r w:rsidR="00AA529B">
        <w:rPr>
          <w:sz w:val="24"/>
          <w:szCs w:val="24"/>
        </w:rPr>
        <w:t>accused person</w:t>
      </w:r>
      <w:r w:rsidRPr="002B38B4">
        <w:rPr>
          <w:sz w:val="24"/>
          <w:szCs w:val="24"/>
        </w:rPr>
        <w:t xml:space="preserve"> intended to cause her grievous harm</w:t>
      </w:r>
      <w:r w:rsidR="00AC7444">
        <w:rPr>
          <w:sz w:val="24"/>
          <w:szCs w:val="24"/>
        </w:rPr>
        <w:t>.</w:t>
      </w:r>
    </w:p>
    <w:p w:rsidR="00B9003A" w:rsidRDefault="00B9003A" w:rsidP="00B9003A">
      <w:pPr>
        <w:ind w:left="720" w:hanging="720"/>
        <w:jc w:val="both"/>
        <w:rPr>
          <w:sz w:val="24"/>
          <w:szCs w:val="24"/>
        </w:rPr>
      </w:pPr>
      <w:r>
        <w:rPr>
          <w:sz w:val="24"/>
          <w:szCs w:val="24"/>
        </w:rPr>
        <w:t>[10]</w:t>
      </w:r>
      <w:r>
        <w:rPr>
          <w:sz w:val="24"/>
          <w:szCs w:val="24"/>
        </w:rPr>
        <w:tab/>
      </w:r>
      <w:r w:rsidRPr="002B38B4">
        <w:rPr>
          <w:sz w:val="24"/>
          <w:szCs w:val="24"/>
        </w:rPr>
        <w:t xml:space="preserve">The only material evidence adduced by the Prosecution at the end of its case which connects the </w:t>
      </w:r>
      <w:r w:rsidR="00AA529B">
        <w:rPr>
          <w:sz w:val="24"/>
          <w:szCs w:val="24"/>
        </w:rPr>
        <w:t>accused person</w:t>
      </w:r>
      <w:r w:rsidRPr="002B38B4">
        <w:rPr>
          <w:sz w:val="24"/>
          <w:szCs w:val="24"/>
        </w:rPr>
        <w:t xml:space="preserve"> with the death of Damienne Hoareau and the serious injury of Thara Hoareau was </w:t>
      </w:r>
      <w:r>
        <w:rPr>
          <w:sz w:val="24"/>
          <w:szCs w:val="24"/>
        </w:rPr>
        <w:t>the latter’s</w:t>
      </w:r>
      <w:r w:rsidRPr="002B38B4">
        <w:rPr>
          <w:sz w:val="24"/>
          <w:szCs w:val="24"/>
        </w:rPr>
        <w:t xml:space="preserve"> statement in court that she recognised her father as one </w:t>
      </w:r>
      <w:r w:rsidRPr="002B38B4">
        <w:rPr>
          <w:sz w:val="24"/>
          <w:szCs w:val="24"/>
        </w:rPr>
        <w:lastRenderedPageBreak/>
        <w:t xml:space="preserve">of the intruders at the house and the testimony of two shopkeepers of La Retraite in which they recall selling a bottle of Guinness to the </w:t>
      </w:r>
      <w:r w:rsidR="00AA529B">
        <w:rPr>
          <w:sz w:val="24"/>
          <w:szCs w:val="24"/>
        </w:rPr>
        <w:t>accused person</w:t>
      </w:r>
      <w:r w:rsidRPr="002B38B4">
        <w:rPr>
          <w:sz w:val="24"/>
          <w:szCs w:val="24"/>
        </w:rPr>
        <w:t xml:space="preserve"> at their shop some four hours before the incident.</w:t>
      </w:r>
    </w:p>
    <w:p w:rsidR="00B9003A" w:rsidRPr="002B38B4" w:rsidRDefault="00B9003A" w:rsidP="00B9003A">
      <w:pPr>
        <w:ind w:left="720" w:hanging="720"/>
        <w:jc w:val="both"/>
        <w:rPr>
          <w:sz w:val="24"/>
          <w:szCs w:val="24"/>
        </w:rPr>
      </w:pPr>
    </w:p>
    <w:p w:rsidR="00B9003A" w:rsidRDefault="00B9003A" w:rsidP="00B9003A">
      <w:pPr>
        <w:ind w:left="720" w:hanging="720"/>
        <w:jc w:val="both"/>
        <w:rPr>
          <w:sz w:val="24"/>
          <w:szCs w:val="24"/>
        </w:rPr>
      </w:pPr>
    </w:p>
    <w:p w:rsidR="00B9003A" w:rsidRDefault="00B9003A" w:rsidP="00B9003A">
      <w:pPr>
        <w:ind w:left="720" w:hanging="720"/>
        <w:jc w:val="both"/>
        <w:rPr>
          <w:sz w:val="24"/>
          <w:szCs w:val="24"/>
        </w:rPr>
      </w:pPr>
      <w:r>
        <w:rPr>
          <w:sz w:val="24"/>
          <w:szCs w:val="24"/>
        </w:rPr>
        <w:t>[1</w:t>
      </w:r>
      <w:r w:rsidR="00AC7444">
        <w:rPr>
          <w:sz w:val="24"/>
          <w:szCs w:val="24"/>
        </w:rPr>
        <w:t>1</w:t>
      </w:r>
      <w:r>
        <w:rPr>
          <w:sz w:val="24"/>
          <w:szCs w:val="24"/>
        </w:rPr>
        <w:t>]</w:t>
      </w:r>
      <w:r>
        <w:rPr>
          <w:sz w:val="24"/>
          <w:szCs w:val="24"/>
        </w:rPr>
        <w:tab/>
        <w:t>Mr. Juliette</w:t>
      </w:r>
      <w:r w:rsidR="00AA529B">
        <w:rPr>
          <w:sz w:val="24"/>
          <w:szCs w:val="24"/>
        </w:rPr>
        <w:t>, for the accused person,</w:t>
      </w:r>
      <w:r>
        <w:rPr>
          <w:sz w:val="24"/>
          <w:szCs w:val="24"/>
        </w:rPr>
        <w:t xml:space="preserve"> has submitted that as the only evidence tying </w:t>
      </w:r>
      <w:r w:rsidR="00AA529B">
        <w:rPr>
          <w:sz w:val="24"/>
          <w:szCs w:val="24"/>
        </w:rPr>
        <w:t>the accused person</w:t>
      </w:r>
      <w:r>
        <w:rPr>
          <w:sz w:val="24"/>
          <w:szCs w:val="24"/>
        </w:rPr>
        <w:t xml:space="preserve"> to the two offences is one of identification</w:t>
      </w:r>
      <w:r w:rsidR="00AA529B">
        <w:rPr>
          <w:sz w:val="24"/>
          <w:szCs w:val="24"/>
        </w:rPr>
        <w:t>,</w:t>
      </w:r>
      <w:r>
        <w:rPr>
          <w:sz w:val="24"/>
          <w:szCs w:val="24"/>
        </w:rPr>
        <w:t xml:space="preserve"> the case of </w:t>
      </w:r>
      <w:r w:rsidRPr="00ED5E28">
        <w:rPr>
          <w:i/>
          <w:sz w:val="24"/>
          <w:szCs w:val="24"/>
        </w:rPr>
        <w:t>R v Turnbull and others</w:t>
      </w:r>
      <w:r w:rsidRPr="002B38B4">
        <w:rPr>
          <w:sz w:val="24"/>
          <w:szCs w:val="24"/>
        </w:rPr>
        <w:t xml:space="preserve"> [1976] 3 All ER 549</w:t>
      </w:r>
      <w:r>
        <w:rPr>
          <w:sz w:val="24"/>
          <w:szCs w:val="24"/>
        </w:rPr>
        <w:t xml:space="preserve"> should apply. That case is authority that where the prosecution relies on identification evidence wholly or substantially a warning should be issued on the special the </w:t>
      </w:r>
      <w:r w:rsidRPr="00785A63">
        <w:rPr>
          <w:sz w:val="24"/>
          <w:szCs w:val="24"/>
        </w:rPr>
        <w:t>need for caution before convicting the accused in reliance on the correctness of the identification</w:t>
      </w:r>
      <w:r>
        <w:rPr>
          <w:sz w:val="24"/>
          <w:szCs w:val="24"/>
        </w:rPr>
        <w:t xml:space="preserve">. Mr. Esparon for the </w:t>
      </w:r>
      <w:r w:rsidR="007619AC">
        <w:rPr>
          <w:sz w:val="24"/>
          <w:szCs w:val="24"/>
        </w:rPr>
        <w:t>prosecution</w:t>
      </w:r>
      <w:r>
        <w:rPr>
          <w:sz w:val="24"/>
          <w:szCs w:val="24"/>
        </w:rPr>
        <w:t xml:space="preserve"> has </w:t>
      </w:r>
      <w:r w:rsidR="00376A04">
        <w:rPr>
          <w:sz w:val="24"/>
          <w:szCs w:val="24"/>
        </w:rPr>
        <w:t xml:space="preserve">relied on the case of </w:t>
      </w:r>
      <w:r w:rsidR="00376A04" w:rsidRPr="00EF0DBA">
        <w:rPr>
          <w:i/>
          <w:sz w:val="24"/>
          <w:szCs w:val="24"/>
        </w:rPr>
        <w:t>Allain Ah-Kong</w:t>
      </w:r>
      <w:r w:rsidR="00376A04">
        <w:rPr>
          <w:sz w:val="24"/>
          <w:szCs w:val="24"/>
        </w:rPr>
        <w:t xml:space="preserve"> v R SCA 9/2005 to submit </w:t>
      </w:r>
      <w:r>
        <w:rPr>
          <w:sz w:val="24"/>
          <w:szCs w:val="24"/>
        </w:rPr>
        <w:t>that there is a distinction between identification evidence and recognition evidence and that the latter is stronger and more reliable. The point is well made but the same warning is required in recognition cases</w:t>
      </w:r>
      <w:r w:rsidR="00376A04">
        <w:rPr>
          <w:sz w:val="24"/>
          <w:szCs w:val="24"/>
        </w:rPr>
        <w:t xml:space="preserve"> (see the discussion in</w:t>
      </w:r>
      <w:r w:rsidR="00376A04" w:rsidRPr="00376A04">
        <w:rPr>
          <w:sz w:val="24"/>
          <w:szCs w:val="24"/>
        </w:rPr>
        <w:t xml:space="preserve"> </w:t>
      </w:r>
      <w:r w:rsidR="00376A04">
        <w:rPr>
          <w:sz w:val="24"/>
          <w:szCs w:val="24"/>
        </w:rPr>
        <w:t>Adrian Keane and Paul McKeown ‘The Modern Law of Evidence’ (9</w:t>
      </w:r>
      <w:r w:rsidR="00376A04" w:rsidRPr="00AA529B">
        <w:rPr>
          <w:sz w:val="24"/>
          <w:szCs w:val="24"/>
          <w:vertAlign w:val="superscript"/>
        </w:rPr>
        <w:t>th</w:t>
      </w:r>
      <w:r w:rsidR="00376A04">
        <w:rPr>
          <w:sz w:val="24"/>
          <w:szCs w:val="24"/>
        </w:rPr>
        <w:t xml:space="preserve"> edition, Oxford University Press</w:t>
      </w:r>
      <w:r w:rsidR="007619AC">
        <w:rPr>
          <w:sz w:val="24"/>
          <w:szCs w:val="24"/>
        </w:rPr>
        <w:t>)</w:t>
      </w:r>
      <w:r w:rsidR="00376A04">
        <w:rPr>
          <w:sz w:val="24"/>
          <w:szCs w:val="24"/>
        </w:rPr>
        <w:t xml:space="preserve"> 244. </w:t>
      </w:r>
      <w:r>
        <w:rPr>
          <w:sz w:val="24"/>
          <w:szCs w:val="24"/>
        </w:rPr>
        <w:t xml:space="preserve">The case </w:t>
      </w:r>
      <w:r w:rsidR="00AA529B">
        <w:rPr>
          <w:sz w:val="24"/>
          <w:szCs w:val="24"/>
        </w:rPr>
        <w:t xml:space="preserve">of </w:t>
      </w:r>
      <w:r w:rsidRPr="00EF0DBA">
        <w:rPr>
          <w:i/>
          <w:sz w:val="24"/>
          <w:szCs w:val="24"/>
        </w:rPr>
        <w:t>Ah-Kong</w:t>
      </w:r>
      <w:r>
        <w:rPr>
          <w:sz w:val="24"/>
          <w:szCs w:val="24"/>
        </w:rPr>
        <w:t xml:space="preserve"> can be distinguished from the present case as in that case </w:t>
      </w:r>
      <w:r w:rsidR="00AA529B">
        <w:rPr>
          <w:sz w:val="24"/>
          <w:szCs w:val="24"/>
        </w:rPr>
        <w:t>the recognition</w:t>
      </w:r>
      <w:r>
        <w:rPr>
          <w:sz w:val="24"/>
          <w:szCs w:val="24"/>
        </w:rPr>
        <w:t xml:space="preserve"> was made by three witnesses who corroborated each other.</w:t>
      </w:r>
    </w:p>
    <w:p w:rsidR="00B9003A" w:rsidRDefault="00B9003A" w:rsidP="00B9003A">
      <w:pPr>
        <w:ind w:left="720" w:hanging="720"/>
        <w:jc w:val="both"/>
        <w:rPr>
          <w:sz w:val="24"/>
          <w:szCs w:val="24"/>
        </w:rPr>
      </w:pPr>
    </w:p>
    <w:p w:rsidR="00B9003A" w:rsidRDefault="00B9003A" w:rsidP="00B9003A">
      <w:pPr>
        <w:ind w:left="720" w:hanging="720"/>
        <w:jc w:val="both"/>
        <w:rPr>
          <w:sz w:val="24"/>
          <w:szCs w:val="24"/>
        </w:rPr>
      </w:pPr>
      <w:r>
        <w:rPr>
          <w:sz w:val="24"/>
          <w:szCs w:val="24"/>
        </w:rPr>
        <w:t>[1</w:t>
      </w:r>
      <w:r w:rsidR="00AC7444">
        <w:rPr>
          <w:sz w:val="24"/>
          <w:szCs w:val="24"/>
        </w:rPr>
        <w:t>2</w:t>
      </w:r>
      <w:r>
        <w:rPr>
          <w:sz w:val="24"/>
          <w:szCs w:val="24"/>
        </w:rPr>
        <w:t>]</w:t>
      </w:r>
      <w:r>
        <w:rPr>
          <w:sz w:val="24"/>
          <w:szCs w:val="24"/>
        </w:rPr>
        <w:tab/>
        <w:t xml:space="preserve">At this stage it befalls me to warn myself of the danger of finding the identification evidence adduced sufficient to lay before a jury. Without weighing the evidence to any great extent I warn myself that the identification of the accused person was made by a person who had been injured and had lost of blood, was lying on the floor in a corridor which was dimly </w:t>
      </w:r>
      <w:r w:rsidR="00AA529B">
        <w:rPr>
          <w:sz w:val="24"/>
          <w:szCs w:val="24"/>
        </w:rPr>
        <w:t xml:space="preserve">lit </w:t>
      </w:r>
      <w:r>
        <w:rPr>
          <w:sz w:val="24"/>
          <w:szCs w:val="24"/>
        </w:rPr>
        <w:t>by an exterior light on the outside of the kitchen wall not adjacent to the corridor in question and that although she was near sighted she was not wearing her glasses at the time</w:t>
      </w:r>
      <w:r w:rsidR="00AA529B">
        <w:rPr>
          <w:sz w:val="24"/>
          <w:szCs w:val="24"/>
        </w:rPr>
        <w:t xml:space="preserve"> of the identification</w:t>
      </w:r>
      <w:r>
        <w:rPr>
          <w:sz w:val="24"/>
          <w:szCs w:val="24"/>
        </w:rPr>
        <w:t>.</w:t>
      </w:r>
    </w:p>
    <w:p w:rsidR="00B9003A" w:rsidRDefault="00B9003A" w:rsidP="00B9003A">
      <w:pPr>
        <w:ind w:left="720" w:hanging="720"/>
        <w:jc w:val="both"/>
        <w:rPr>
          <w:sz w:val="24"/>
          <w:szCs w:val="24"/>
        </w:rPr>
      </w:pPr>
    </w:p>
    <w:p w:rsidR="00B9003A" w:rsidRDefault="00B9003A" w:rsidP="00B9003A">
      <w:pPr>
        <w:ind w:left="720" w:hanging="720"/>
        <w:jc w:val="both"/>
        <w:rPr>
          <w:sz w:val="24"/>
          <w:szCs w:val="24"/>
        </w:rPr>
      </w:pPr>
      <w:r>
        <w:rPr>
          <w:sz w:val="24"/>
          <w:szCs w:val="24"/>
        </w:rPr>
        <w:t>[1</w:t>
      </w:r>
      <w:r w:rsidR="00AC7444">
        <w:rPr>
          <w:sz w:val="24"/>
          <w:szCs w:val="24"/>
        </w:rPr>
        <w:t>3</w:t>
      </w:r>
      <w:r>
        <w:rPr>
          <w:sz w:val="24"/>
          <w:szCs w:val="24"/>
        </w:rPr>
        <w:t>]</w:t>
      </w:r>
      <w:r>
        <w:rPr>
          <w:sz w:val="24"/>
          <w:szCs w:val="24"/>
        </w:rPr>
        <w:tab/>
        <w:t xml:space="preserve">It must also be noted that two out of court statements </w:t>
      </w:r>
      <w:r w:rsidR="00AC7444">
        <w:rPr>
          <w:sz w:val="24"/>
          <w:szCs w:val="24"/>
        </w:rPr>
        <w:t xml:space="preserve">made by </w:t>
      </w:r>
      <w:r>
        <w:rPr>
          <w:sz w:val="24"/>
          <w:szCs w:val="24"/>
        </w:rPr>
        <w:t>the witness</w:t>
      </w:r>
      <w:r w:rsidR="00AC7444">
        <w:rPr>
          <w:sz w:val="24"/>
          <w:szCs w:val="24"/>
        </w:rPr>
        <w:t>,</w:t>
      </w:r>
      <w:r>
        <w:rPr>
          <w:sz w:val="24"/>
          <w:szCs w:val="24"/>
        </w:rPr>
        <w:t xml:space="preserve"> Thara Hoareau</w:t>
      </w:r>
      <w:r w:rsidR="00AC7444">
        <w:rPr>
          <w:sz w:val="24"/>
          <w:szCs w:val="24"/>
        </w:rPr>
        <w:t>,</w:t>
      </w:r>
      <w:r>
        <w:rPr>
          <w:sz w:val="24"/>
          <w:szCs w:val="24"/>
        </w:rPr>
        <w:t xml:space="preserve"> do</w:t>
      </w:r>
      <w:r w:rsidR="00AC7444">
        <w:rPr>
          <w:sz w:val="24"/>
          <w:szCs w:val="24"/>
        </w:rPr>
        <w:t xml:space="preserve"> not support the evidence given in court. She does </w:t>
      </w:r>
      <w:r>
        <w:rPr>
          <w:sz w:val="24"/>
          <w:szCs w:val="24"/>
        </w:rPr>
        <w:t xml:space="preserve"> not identify her father but states that one of the intruders had the build of her father  and walked in a way that was similar to her father and that the lower part of his body was black (whether that was his body or his trousers) and on another occasion that his foot was hairy. I note that the accused person is a white man. I also note that in the same statement the build of another intruder was described as that</w:t>
      </w:r>
      <w:r w:rsidR="00376A04">
        <w:rPr>
          <w:sz w:val="24"/>
          <w:szCs w:val="24"/>
        </w:rPr>
        <w:t xml:space="preserve"> </w:t>
      </w:r>
      <w:r w:rsidR="00FB76B2">
        <w:rPr>
          <w:sz w:val="24"/>
          <w:szCs w:val="24"/>
        </w:rPr>
        <w:t>of the</w:t>
      </w:r>
      <w:r>
        <w:rPr>
          <w:sz w:val="24"/>
          <w:szCs w:val="24"/>
        </w:rPr>
        <w:t xml:space="preserve"> murdered victim’s boyfriend, Justin.</w:t>
      </w:r>
    </w:p>
    <w:p w:rsidR="00B9003A" w:rsidRDefault="00B9003A" w:rsidP="00B9003A">
      <w:pPr>
        <w:ind w:left="720" w:hanging="720"/>
        <w:jc w:val="both"/>
        <w:rPr>
          <w:sz w:val="24"/>
          <w:szCs w:val="24"/>
        </w:rPr>
      </w:pPr>
    </w:p>
    <w:p w:rsidR="00B9003A" w:rsidRDefault="00B9003A" w:rsidP="00B9003A">
      <w:pPr>
        <w:ind w:left="720" w:hanging="720"/>
        <w:jc w:val="both"/>
        <w:rPr>
          <w:sz w:val="24"/>
          <w:szCs w:val="24"/>
        </w:rPr>
      </w:pPr>
      <w:r>
        <w:rPr>
          <w:sz w:val="24"/>
          <w:szCs w:val="24"/>
        </w:rPr>
        <w:t>[1</w:t>
      </w:r>
      <w:r w:rsidR="00376A04">
        <w:rPr>
          <w:sz w:val="24"/>
          <w:szCs w:val="24"/>
        </w:rPr>
        <w:t>4</w:t>
      </w:r>
      <w:r>
        <w:rPr>
          <w:sz w:val="24"/>
          <w:szCs w:val="24"/>
        </w:rPr>
        <w:t>]</w:t>
      </w:r>
      <w:r>
        <w:rPr>
          <w:sz w:val="24"/>
          <w:szCs w:val="24"/>
        </w:rPr>
        <w:tab/>
        <w:t xml:space="preserve">I also note that two shopkeepers at La Retraite place the accused person at their shop, some ten minutes </w:t>
      </w:r>
      <w:r w:rsidR="00AC7444">
        <w:rPr>
          <w:sz w:val="24"/>
          <w:szCs w:val="24"/>
        </w:rPr>
        <w:t xml:space="preserve">walk </w:t>
      </w:r>
      <w:r>
        <w:rPr>
          <w:sz w:val="24"/>
          <w:szCs w:val="24"/>
        </w:rPr>
        <w:t>from the victims’ house at about 9</w:t>
      </w:r>
      <w:r w:rsidR="00AC7444">
        <w:rPr>
          <w:sz w:val="24"/>
          <w:szCs w:val="24"/>
        </w:rPr>
        <w:t xml:space="preserve"> </w:t>
      </w:r>
      <w:r>
        <w:rPr>
          <w:sz w:val="24"/>
          <w:szCs w:val="24"/>
        </w:rPr>
        <w:t xml:space="preserve">pm, some four hours before the incident. </w:t>
      </w:r>
    </w:p>
    <w:p w:rsidR="00B9003A" w:rsidRDefault="00B9003A" w:rsidP="00B9003A">
      <w:pPr>
        <w:ind w:left="720" w:hanging="720"/>
        <w:jc w:val="both"/>
        <w:rPr>
          <w:sz w:val="24"/>
          <w:szCs w:val="24"/>
        </w:rPr>
      </w:pPr>
    </w:p>
    <w:p w:rsidR="00B9003A" w:rsidRDefault="00B9003A" w:rsidP="00B9003A">
      <w:pPr>
        <w:ind w:left="720" w:hanging="720"/>
        <w:jc w:val="both"/>
        <w:rPr>
          <w:sz w:val="24"/>
          <w:szCs w:val="24"/>
        </w:rPr>
      </w:pPr>
      <w:r>
        <w:rPr>
          <w:sz w:val="24"/>
          <w:szCs w:val="24"/>
        </w:rPr>
        <w:t>[1</w:t>
      </w:r>
      <w:r w:rsidR="00376A04">
        <w:rPr>
          <w:sz w:val="24"/>
          <w:szCs w:val="24"/>
        </w:rPr>
        <w:t>5</w:t>
      </w:r>
      <w:r>
        <w:rPr>
          <w:sz w:val="24"/>
          <w:szCs w:val="24"/>
        </w:rPr>
        <w:t>]</w:t>
      </w:r>
      <w:r>
        <w:rPr>
          <w:sz w:val="24"/>
          <w:szCs w:val="24"/>
        </w:rPr>
        <w:tab/>
        <w:t>Is this a case that a Court should</w:t>
      </w:r>
      <w:r w:rsidRPr="002B38B4">
        <w:rPr>
          <w:sz w:val="24"/>
          <w:szCs w:val="24"/>
        </w:rPr>
        <w:t xml:space="preserve"> withdraw from the jury</w:t>
      </w:r>
      <w:r>
        <w:rPr>
          <w:sz w:val="24"/>
          <w:szCs w:val="24"/>
        </w:rPr>
        <w:t xml:space="preserve">? In </w:t>
      </w:r>
      <w:r w:rsidRPr="008D5739">
        <w:rPr>
          <w:i/>
          <w:sz w:val="24"/>
          <w:szCs w:val="24"/>
        </w:rPr>
        <w:t>R v Shippey</w:t>
      </w:r>
      <w:r>
        <w:rPr>
          <w:sz w:val="24"/>
          <w:szCs w:val="24"/>
        </w:rPr>
        <w:t xml:space="preserve"> [1988] Crim. L. R. 39 CA Turner J stated that the requirement to take the prosecution evidence to “its highest” as contained in the second limb of </w:t>
      </w:r>
      <w:r w:rsidRPr="00EF0DBA">
        <w:rPr>
          <w:i/>
          <w:sz w:val="24"/>
          <w:szCs w:val="24"/>
        </w:rPr>
        <w:t xml:space="preserve">Galbraith </w:t>
      </w:r>
      <w:r>
        <w:rPr>
          <w:sz w:val="24"/>
          <w:szCs w:val="24"/>
        </w:rPr>
        <w:t>did not mean “picking out the plums and leaving the duff behind.”</w:t>
      </w:r>
      <w:r w:rsidRPr="002B38B4">
        <w:rPr>
          <w:sz w:val="24"/>
          <w:szCs w:val="24"/>
        </w:rPr>
        <w:t xml:space="preserve"> </w:t>
      </w:r>
      <w:r>
        <w:rPr>
          <w:sz w:val="24"/>
          <w:szCs w:val="24"/>
        </w:rPr>
        <w:t xml:space="preserve">It did not mean that if there are parts of the evidence which go to support the charge then that is enough to leave the matter to the jury no matter what the state of the rest of the evidence is.  It is the evidence as </w:t>
      </w:r>
      <w:r w:rsidR="007619AC">
        <w:rPr>
          <w:sz w:val="24"/>
          <w:szCs w:val="24"/>
        </w:rPr>
        <w:t xml:space="preserve">a </w:t>
      </w:r>
      <w:r>
        <w:rPr>
          <w:sz w:val="24"/>
          <w:szCs w:val="24"/>
        </w:rPr>
        <w:t xml:space="preserve">whole that should be assessed. [See </w:t>
      </w:r>
      <w:r w:rsidR="00AC7444">
        <w:rPr>
          <w:sz w:val="24"/>
          <w:szCs w:val="24"/>
        </w:rPr>
        <w:t>Archbold,</w:t>
      </w:r>
      <w:r>
        <w:rPr>
          <w:sz w:val="24"/>
          <w:szCs w:val="24"/>
        </w:rPr>
        <w:t xml:space="preserve"> Criminal Pleading, Evidence and Practice</w:t>
      </w:r>
      <w:r w:rsidR="00376A04">
        <w:rPr>
          <w:sz w:val="24"/>
          <w:szCs w:val="24"/>
        </w:rPr>
        <w:t>, 13th</w:t>
      </w:r>
      <w:r>
        <w:rPr>
          <w:sz w:val="24"/>
          <w:szCs w:val="24"/>
        </w:rPr>
        <w:t xml:space="preserve"> </w:t>
      </w:r>
      <w:r>
        <w:rPr>
          <w:sz w:val="24"/>
          <w:szCs w:val="24"/>
        </w:rPr>
        <w:lastRenderedPageBreak/>
        <w:t>edition</w:t>
      </w:r>
      <w:r w:rsidR="00376A04">
        <w:rPr>
          <w:sz w:val="24"/>
          <w:szCs w:val="24"/>
        </w:rPr>
        <w:t>, 4</w:t>
      </w:r>
      <w:r>
        <w:rPr>
          <w:sz w:val="24"/>
          <w:szCs w:val="24"/>
        </w:rPr>
        <w:t>-365].</w:t>
      </w:r>
    </w:p>
    <w:p w:rsidR="00B9003A" w:rsidRDefault="00B9003A" w:rsidP="00B9003A">
      <w:pPr>
        <w:ind w:left="720" w:hanging="720"/>
        <w:jc w:val="both"/>
        <w:rPr>
          <w:sz w:val="24"/>
          <w:szCs w:val="24"/>
        </w:rPr>
      </w:pPr>
    </w:p>
    <w:p w:rsidR="00B9003A" w:rsidRDefault="00B9003A" w:rsidP="00B9003A">
      <w:pPr>
        <w:ind w:left="720" w:hanging="720"/>
        <w:jc w:val="both"/>
        <w:rPr>
          <w:sz w:val="24"/>
          <w:szCs w:val="24"/>
        </w:rPr>
      </w:pPr>
      <w:r>
        <w:rPr>
          <w:sz w:val="24"/>
          <w:szCs w:val="24"/>
        </w:rPr>
        <w:t xml:space="preserve">[17] </w:t>
      </w:r>
      <w:r>
        <w:rPr>
          <w:sz w:val="24"/>
          <w:szCs w:val="24"/>
        </w:rPr>
        <w:tab/>
        <w:t xml:space="preserve">Lord Mustill in </w:t>
      </w:r>
      <w:r w:rsidRPr="0039471D">
        <w:rPr>
          <w:i/>
          <w:sz w:val="24"/>
          <w:szCs w:val="24"/>
        </w:rPr>
        <w:t>Daley v R</w:t>
      </w:r>
      <w:r>
        <w:rPr>
          <w:sz w:val="24"/>
          <w:szCs w:val="24"/>
        </w:rPr>
        <w:t xml:space="preserve"> [1994] AC 117 stated that while the honesty of a witness should properly remain to be decided by a jury, there were situations such as in cases of identification evidence in which the evidence even of an honest witness might be regarded as tenuous.  I have meticulously and carefully carried out an assessment of the evidence adduced by the prosecution. It is clear that the only evidence linking the accused person to the crimes is the identification evidence of Thara Hoareau which has not been independently or satisfactorily corroborated</w:t>
      </w:r>
      <w:r w:rsidR="00376A04">
        <w:rPr>
          <w:sz w:val="24"/>
          <w:szCs w:val="24"/>
        </w:rPr>
        <w:t>. In my view this is too tenuous as evidence</w:t>
      </w:r>
      <w:r>
        <w:rPr>
          <w:sz w:val="24"/>
          <w:szCs w:val="24"/>
        </w:rPr>
        <w:t xml:space="preserve"> given the circumstances in which it was made. </w:t>
      </w:r>
    </w:p>
    <w:p w:rsidR="00B9003A" w:rsidRDefault="00B9003A" w:rsidP="00B9003A">
      <w:pPr>
        <w:ind w:left="720" w:hanging="720"/>
        <w:jc w:val="both"/>
        <w:rPr>
          <w:sz w:val="24"/>
          <w:szCs w:val="24"/>
        </w:rPr>
      </w:pPr>
    </w:p>
    <w:p w:rsidR="00B9003A" w:rsidRDefault="00B9003A" w:rsidP="00B9003A">
      <w:pPr>
        <w:ind w:left="720" w:hanging="720"/>
        <w:jc w:val="both"/>
        <w:rPr>
          <w:sz w:val="24"/>
          <w:szCs w:val="24"/>
        </w:rPr>
      </w:pPr>
      <w:r>
        <w:rPr>
          <w:sz w:val="24"/>
          <w:szCs w:val="24"/>
        </w:rPr>
        <w:t>[18]</w:t>
      </w:r>
      <w:r>
        <w:rPr>
          <w:sz w:val="24"/>
          <w:szCs w:val="24"/>
        </w:rPr>
        <w:tab/>
      </w:r>
      <w:r w:rsidR="00AC7444">
        <w:rPr>
          <w:sz w:val="24"/>
          <w:szCs w:val="24"/>
        </w:rPr>
        <w:t>For the purposes of section 249</w:t>
      </w:r>
      <w:r w:rsidR="00376A04">
        <w:rPr>
          <w:sz w:val="24"/>
          <w:szCs w:val="24"/>
        </w:rPr>
        <w:t xml:space="preserve"> </w:t>
      </w:r>
      <w:r w:rsidR="00AC7444">
        <w:rPr>
          <w:sz w:val="24"/>
          <w:szCs w:val="24"/>
        </w:rPr>
        <w:t xml:space="preserve">(1) of the Criminal Procedure Code there is no evidence on which the accused can be convicted. </w:t>
      </w:r>
      <w:r>
        <w:rPr>
          <w:sz w:val="24"/>
          <w:szCs w:val="24"/>
        </w:rPr>
        <w:t>It is my belief that it would be a derogation of my duty as</w:t>
      </w:r>
      <w:r w:rsidR="00AC7444">
        <w:rPr>
          <w:sz w:val="24"/>
          <w:szCs w:val="24"/>
        </w:rPr>
        <w:t xml:space="preserve"> a</w:t>
      </w:r>
      <w:r>
        <w:rPr>
          <w:sz w:val="24"/>
          <w:szCs w:val="24"/>
        </w:rPr>
        <w:t xml:space="preserve"> judge to allow this </w:t>
      </w:r>
      <w:r w:rsidR="00041364">
        <w:rPr>
          <w:sz w:val="24"/>
          <w:szCs w:val="24"/>
        </w:rPr>
        <w:t xml:space="preserve">criminal </w:t>
      </w:r>
      <w:r>
        <w:rPr>
          <w:sz w:val="24"/>
          <w:szCs w:val="24"/>
        </w:rPr>
        <w:t xml:space="preserve">process to continue. It would not only be in contravention of the Criminal Procedure Code, the rules of evidence but also of the constitutional right of the accused to have a fair hearing. Accordingly, I uphold the submission of no case to answer made by the defence counsel. </w:t>
      </w:r>
    </w:p>
    <w:p w:rsidR="00B9003A" w:rsidRDefault="00B9003A" w:rsidP="00B9003A">
      <w:pPr>
        <w:ind w:left="720" w:hanging="720"/>
        <w:jc w:val="both"/>
        <w:rPr>
          <w:sz w:val="24"/>
          <w:szCs w:val="24"/>
        </w:rPr>
      </w:pPr>
    </w:p>
    <w:p w:rsidR="00E6492F" w:rsidRDefault="007D3E03"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EB0712" w:rsidRDefault="001E4ED8" w:rsidP="00AC7444">
      <w:pPr>
        <w:pStyle w:val="ListParagraph"/>
        <w:widowControl/>
        <w:autoSpaceDE/>
        <w:autoSpaceDN/>
        <w:adjustRightInd/>
        <w:spacing w:after="240"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r>
        <w:rPr>
          <w:sz w:val="24"/>
          <w:szCs w:val="24"/>
        </w:rPr>
        <w:lastRenderedPageBreak/>
        <w:t xml:space="preserve">Signed, </w:t>
      </w:r>
      <w:r w:rsidR="00E33F35">
        <w:rPr>
          <w:sz w:val="24"/>
          <w:szCs w:val="24"/>
        </w:rPr>
        <w:t xml:space="preserve">dated and delivered at Ile du Port </w:t>
      </w:r>
      <w:r>
        <w:rPr>
          <w:sz w:val="24"/>
          <w:szCs w:val="24"/>
        </w:rPr>
        <w:t xml:space="preserve">on </w:t>
      </w:r>
      <w:r w:rsidR="00AC7444">
        <w:rPr>
          <w:sz w:val="24"/>
          <w:szCs w:val="24"/>
        </w:rPr>
        <w:t>18</w:t>
      </w:r>
      <w:r w:rsidR="00AC7444" w:rsidRPr="00AC7444">
        <w:rPr>
          <w:sz w:val="24"/>
          <w:szCs w:val="24"/>
          <w:vertAlign w:val="superscript"/>
        </w:rPr>
        <w:t>th</w:t>
      </w:r>
      <w:r w:rsidR="00AC7444">
        <w:rPr>
          <w:sz w:val="24"/>
          <w:szCs w:val="24"/>
        </w:rPr>
        <w:t xml:space="preserve"> November 2015</w:t>
      </w: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AC7444" w:rsidRDefault="00AC7444"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D46AD" w:rsidRDefault="00ED46AD" w:rsidP="00E33F35">
      <w:pPr>
        <w:pStyle w:val="ListParagraph"/>
        <w:widowControl/>
        <w:autoSpaceDE/>
        <w:autoSpaceDN/>
        <w:adjustRightInd/>
        <w:ind w:left="0"/>
        <w:contextualSpacing w:val="0"/>
        <w:jc w:val="both"/>
        <w:rPr>
          <w:b/>
          <w:sz w:val="24"/>
          <w:szCs w:val="24"/>
        </w:rPr>
      </w:pPr>
      <w:r>
        <w:rPr>
          <w:b/>
          <w:sz w:val="24"/>
          <w:szCs w:val="24"/>
        </w:rPr>
        <w:t>M. TWOMEY</w:t>
      </w:r>
    </w:p>
    <w:p w:rsidR="009E05E5" w:rsidRPr="00E33F35" w:rsidRDefault="00ED46AD" w:rsidP="00E33F35">
      <w:pPr>
        <w:pStyle w:val="ListParagraph"/>
        <w:widowControl/>
        <w:autoSpaceDE/>
        <w:autoSpaceDN/>
        <w:adjustRightInd/>
        <w:ind w:left="0"/>
        <w:contextualSpacing w:val="0"/>
        <w:jc w:val="both"/>
        <w:rPr>
          <w:b/>
          <w:sz w:val="24"/>
          <w:szCs w:val="24"/>
        </w:rPr>
      </w:pPr>
      <w:r>
        <w:rPr>
          <w:b/>
          <w:sz w:val="24"/>
          <w:szCs w:val="24"/>
        </w:rPr>
        <w:t>CHIEF JUSTICE</w:t>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F57" w:rsidRDefault="00F62F57" w:rsidP="00DB6D34">
      <w:r>
        <w:separator/>
      </w:r>
    </w:p>
  </w:endnote>
  <w:endnote w:type="continuationSeparator" w:id="1">
    <w:p w:rsidR="00F62F57" w:rsidRDefault="00F62F57"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7D3E03">
    <w:pPr>
      <w:pStyle w:val="Footer"/>
      <w:jc w:val="center"/>
    </w:pPr>
    <w:fldSimple w:instr=" PAGE   \* MERGEFORMAT ">
      <w:r w:rsidR="0068224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F57" w:rsidRDefault="00F62F57" w:rsidP="00DB6D34">
      <w:r>
        <w:separator/>
      </w:r>
    </w:p>
  </w:footnote>
  <w:footnote w:type="continuationSeparator" w:id="1">
    <w:p w:rsidR="00F62F57" w:rsidRDefault="00F62F57"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2042350A"/>
    <w:multiLevelType w:val="hybridMultilevel"/>
    <w:tmpl w:val="DE420310"/>
    <w:lvl w:ilvl="0" w:tplc="3C5C189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C4D33DE"/>
    <w:multiLevelType w:val="hybridMultilevel"/>
    <w:tmpl w:val="BADE45B4"/>
    <w:lvl w:ilvl="0" w:tplc="FD60DF7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74820"/>
    <w:multiLevelType w:val="multilevel"/>
    <w:tmpl w:val="1CC89892"/>
    <w:numStyleLink w:val="Judgments"/>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3CD563D"/>
    <w:multiLevelType w:val="hybridMultilevel"/>
    <w:tmpl w:val="B9800DBA"/>
    <w:lvl w:ilvl="0" w:tplc="F46A086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7"/>
  </w:num>
  <w:num w:numId="3">
    <w:abstractNumId w:val="0"/>
  </w:num>
  <w:num w:numId="4">
    <w:abstractNumId w:val="4"/>
  </w:num>
  <w:num w:numId="5">
    <w:abstractNumId w:val="6"/>
  </w:num>
  <w:num w:numId="6">
    <w:abstractNumId w:val="3"/>
  </w:num>
  <w:num w:numId="7">
    <w:abstractNumId w:val="8"/>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20"/>
  <w:doNotShadeFormData/>
  <w:characterSpacingControl w:val="doNotCompress"/>
  <w:footnotePr>
    <w:footnote w:id="0"/>
    <w:footnote w:id="1"/>
  </w:footnotePr>
  <w:endnotePr>
    <w:endnote w:id="0"/>
    <w:endnote w:id="1"/>
  </w:endnotePr>
  <w:compat/>
  <w:rsids>
    <w:rsidRoot w:val="00ED46AD"/>
    <w:rsid w:val="00005BEF"/>
    <w:rsid w:val="00017D0F"/>
    <w:rsid w:val="00030C81"/>
    <w:rsid w:val="00036B28"/>
    <w:rsid w:val="00041364"/>
    <w:rsid w:val="0006489F"/>
    <w:rsid w:val="00070A36"/>
    <w:rsid w:val="00075573"/>
    <w:rsid w:val="000827FA"/>
    <w:rsid w:val="00091036"/>
    <w:rsid w:val="000A10B8"/>
    <w:rsid w:val="000B0E14"/>
    <w:rsid w:val="000D1DD3"/>
    <w:rsid w:val="000E39A5"/>
    <w:rsid w:val="000E7400"/>
    <w:rsid w:val="001008BC"/>
    <w:rsid w:val="00101D12"/>
    <w:rsid w:val="00117CBF"/>
    <w:rsid w:val="00126A10"/>
    <w:rsid w:val="001376AB"/>
    <w:rsid w:val="00144612"/>
    <w:rsid w:val="001529B0"/>
    <w:rsid w:val="0016510C"/>
    <w:rsid w:val="0016636B"/>
    <w:rsid w:val="00180158"/>
    <w:rsid w:val="001A2BE6"/>
    <w:rsid w:val="001D30F7"/>
    <w:rsid w:val="001E4ED8"/>
    <w:rsid w:val="0020244B"/>
    <w:rsid w:val="00231C17"/>
    <w:rsid w:val="00236AAC"/>
    <w:rsid w:val="0024353F"/>
    <w:rsid w:val="00255337"/>
    <w:rsid w:val="00290E14"/>
    <w:rsid w:val="002A7376"/>
    <w:rsid w:val="002B2255"/>
    <w:rsid w:val="002B4478"/>
    <w:rsid w:val="002C7560"/>
    <w:rsid w:val="002D06AA"/>
    <w:rsid w:val="002D67FC"/>
    <w:rsid w:val="002E6963"/>
    <w:rsid w:val="002F122B"/>
    <w:rsid w:val="002F40A1"/>
    <w:rsid w:val="00301D88"/>
    <w:rsid w:val="00304E76"/>
    <w:rsid w:val="00362044"/>
    <w:rsid w:val="003647E7"/>
    <w:rsid w:val="0037270D"/>
    <w:rsid w:val="00376A04"/>
    <w:rsid w:val="00377341"/>
    <w:rsid w:val="003838CC"/>
    <w:rsid w:val="003862CB"/>
    <w:rsid w:val="0038700C"/>
    <w:rsid w:val="003B461C"/>
    <w:rsid w:val="003B4C19"/>
    <w:rsid w:val="003D58AA"/>
    <w:rsid w:val="003D7B97"/>
    <w:rsid w:val="003E2ABC"/>
    <w:rsid w:val="003F0F8D"/>
    <w:rsid w:val="004156B9"/>
    <w:rsid w:val="00437C75"/>
    <w:rsid w:val="00445BFA"/>
    <w:rsid w:val="00452BB6"/>
    <w:rsid w:val="0046133B"/>
    <w:rsid w:val="004C3D80"/>
    <w:rsid w:val="004D30C6"/>
    <w:rsid w:val="004E275C"/>
    <w:rsid w:val="004F3823"/>
    <w:rsid w:val="005207C8"/>
    <w:rsid w:val="00530663"/>
    <w:rsid w:val="0055036F"/>
    <w:rsid w:val="005514D6"/>
    <w:rsid w:val="00552704"/>
    <w:rsid w:val="00572AB3"/>
    <w:rsid w:val="005836AC"/>
    <w:rsid w:val="00584583"/>
    <w:rsid w:val="00594FAC"/>
    <w:rsid w:val="005A5682"/>
    <w:rsid w:val="005B7F60"/>
    <w:rsid w:val="005F5FB0"/>
    <w:rsid w:val="00606587"/>
    <w:rsid w:val="00606EEA"/>
    <w:rsid w:val="006174DB"/>
    <w:rsid w:val="0064023C"/>
    <w:rsid w:val="006578C2"/>
    <w:rsid w:val="00666D33"/>
    <w:rsid w:val="0068224B"/>
    <w:rsid w:val="00695110"/>
    <w:rsid w:val="006A58E4"/>
    <w:rsid w:val="006D36C9"/>
    <w:rsid w:val="007175A6"/>
    <w:rsid w:val="00726C68"/>
    <w:rsid w:val="00744508"/>
    <w:rsid w:val="007619AC"/>
    <w:rsid w:val="007779A2"/>
    <w:rsid w:val="007A47DC"/>
    <w:rsid w:val="007B6178"/>
    <w:rsid w:val="007C2809"/>
    <w:rsid w:val="007D3E03"/>
    <w:rsid w:val="007D416E"/>
    <w:rsid w:val="00804251"/>
    <w:rsid w:val="00807411"/>
    <w:rsid w:val="00811847"/>
    <w:rsid w:val="00814CF5"/>
    <w:rsid w:val="00816425"/>
    <w:rsid w:val="00821758"/>
    <w:rsid w:val="00823079"/>
    <w:rsid w:val="0083298A"/>
    <w:rsid w:val="00841387"/>
    <w:rsid w:val="008472B3"/>
    <w:rsid w:val="008478D6"/>
    <w:rsid w:val="00861092"/>
    <w:rsid w:val="008653EC"/>
    <w:rsid w:val="0089256E"/>
    <w:rsid w:val="008A5208"/>
    <w:rsid w:val="008C0FD6"/>
    <w:rsid w:val="008E1DB1"/>
    <w:rsid w:val="008E512C"/>
    <w:rsid w:val="008E7749"/>
    <w:rsid w:val="008E7F92"/>
    <w:rsid w:val="008F0C10"/>
    <w:rsid w:val="008F38F7"/>
    <w:rsid w:val="00902D3C"/>
    <w:rsid w:val="00914679"/>
    <w:rsid w:val="00926D09"/>
    <w:rsid w:val="009336BA"/>
    <w:rsid w:val="00937FB4"/>
    <w:rsid w:val="0094087C"/>
    <w:rsid w:val="00951EC0"/>
    <w:rsid w:val="0096041D"/>
    <w:rsid w:val="0096251D"/>
    <w:rsid w:val="00981287"/>
    <w:rsid w:val="00983045"/>
    <w:rsid w:val="00997991"/>
    <w:rsid w:val="009A1259"/>
    <w:rsid w:val="009C02C9"/>
    <w:rsid w:val="009D16FF"/>
    <w:rsid w:val="009E05E5"/>
    <w:rsid w:val="009F1B68"/>
    <w:rsid w:val="009F4DC4"/>
    <w:rsid w:val="00A11166"/>
    <w:rsid w:val="00A14038"/>
    <w:rsid w:val="00A26E91"/>
    <w:rsid w:val="00A42850"/>
    <w:rsid w:val="00A53837"/>
    <w:rsid w:val="00A56D1A"/>
    <w:rsid w:val="00A57954"/>
    <w:rsid w:val="00A64EF1"/>
    <w:rsid w:val="00A80E4E"/>
    <w:rsid w:val="00AA529B"/>
    <w:rsid w:val="00AB4A4F"/>
    <w:rsid w:val="00AC3885"/>
    <w:rsid w:val="00AC7444"/>
    <w:rsid w:val="00AD0BF3"/>
    <w:rsid w:val="00AD75CD"/>
    <w:rsid w:val="00AE7969"/>
    <w:rsid w:val="00B05D6E"/>
    <w:rsid w:val="00B119B1"/>
    <w:rsid w:val="00B14612"/>
    <w:rsid w:val="00B23E73"/>
    <w:rsid w:val="00B260C7"/>
    <w:rsid w:val="00B40898"/>
    <w:rsid w:val="00B4124C"/>
    <w:rsid w:val="00B4625E"/>
    <w:rsid w:val="00B47A4A"/>
    <w:rsid w:val="00B75AE2"/>
    <w:rsid w:val="00B9003A"/>
    <w:rsid w:val="00B9148E"/>
    <w:rsid w:val="00B938BB"/>
    <w:rsid w:val="00B94805"/>
    <w:rsid w:val="00BA559C"/>
    <w:rsid w:val="00BA6027"/>
    <w:rsid w:val="00BA70E6"/>
    <w:rsid w:val="00BC1D95"/>
    <w:rsid w:val="00BD4287"/>
    <w:rsid w:val="00BD5265"/>
    <w:rsid w:val="00BD60D5"/>
    <w:rsid w:val="00BE1D00"/>
    <w:rsid w:val="00BE3628"/>
    <w:rsid w:val="00BE424C"/>
    <w:rsid w:val="00BE59F6"/>
    <w:rsid w:val="00BF5CC9"/>
    <w:rsid w:val="00C036A5"/>
    <w:rsid w:val="00C065A3"/>
    <w:rsid w:val="00C14327"/>
    <w:rsid w:val="00C22967"/>
    <w:rsid w:val="00C35333"/>
    <w:rsid w:val="00C411C9"/>
    <w:rsid w:val="00C55FDF"/>
    <w:rsid w:val="00C5739F"/>
    <w:rsid w:val="00C80F58"/>
    <w:rsid w:val="00C87FCA"/>
    <w:rsid w:val="00CA1B0C"/>
    <w:rsid w:val="00CA7795"/>
    <w:rsid w:val="00CA7F40"/>
    <w:rsid w:val="00CB3C7E"/>
    <w:rsid w:val="00D03314"/>
    <w:rsid w:val="00D06A0F"/>
    <w:rsid w:val="00D20894"/>
    <w:rsid w:val="00D8003D"/>
    <w:rsid w:val="00D82047"/>
    <w:rsid w:val="00DB3886"/>
    <w:rsid w:val="00DB6D34"/>
    <w:rsid w:val="00DD15B2"/>
    <w:rsid w:val="00DD4E02"/>
    <w:rsid w:val="00DE08C1"/>
    <w:rsid w:val="00DF2970"/>
    <w:rsid w:val="00DF303A"/>
    <w:rsid w:val="00E0467F"/>
    <w:rsid w:val="00E0505F"/>
    <w:rsid w:val="00E07F07"/>
    <w:rsid w:val="00E30B60"/>
    <w:rsid w:val="00E332C1"/>
    <w:rsid w:val="00E33F35"/>
    <w:rsid w:val="00E35862"/>
    <w:rsid w:val="00E41E94"/>
    <w:rsid w:val="00E55C69"/>
    <w:rsid w:val="00E57D4D"/>
    <w:rsid w:val="00E6492F"/>
    <w:rsid w:val="00E65691"/>
    <w:rsid w:val="00E91FA1"/>
    <w:rsid w:val="00E944E2"/>
    <w:rsid w:val="00E9512E"/>
    <w:rsid w:val="00EA6F17"/>
    <w:rsid w:val="00EB0712"/>
    <w:rsid w:val="00EC12D0"/>
    <w:rsid w:val="00EC2355"/>
    <w:rsid w:val="00EC6290"/>
    <w:rsid w:val="00ED1E51"/>
    <w:rsid w:val="00ED46AD"/>
    <w:rsid w:val="00ED76D9"/>
    <w:rsid w:val="00EF2051"/>
    <w:rsid w:val="00EF6574"/>
    <w:rsid w:val="00F00A19"/>
    <w:rsid w:val="00F444A5"/>
    <w:rsid w:val="00F62F57"/>
    <w:rsid w:val="00F65BE8"/>
    <w:rsid w:val="00F804CC"/>
    <w:rsid w:val="00F82A83"/>
    <w:rsid w:val="00F83B3D"/>
    <w:rsid w:val="00FB0AFB"/>
    <w:rsid w:val="00FB2453"/>
    <w:rsid w:val="00FB39BA"/>
    <w:rsid w:val="00FB76B2"/>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barbe\Local%20Settings\Temporary%20Internet%20Files\Content.MSO\358DEC7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B9E38-DDC2-4B66-9F37-4331014B9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358DEC7F</Template>
  <TotalTime>1</TotalTime>
  <Pages>5</Pages>
  <Words>1875</Words>
  <Characters>9357</Characters>
  <Application>Microsoft Office Word</Application>
  <DocSecurity>0</DocSecurity>
  <Lines>217</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r.barbe</dc:creator>
  <cp:lastModifiedBy>Joelle Barnes</cp:lastModifiedBy>
  <cp:revision>3</cp:revision>
  <cp:lastPrinted>2015-11-18T10:31:00Z</cp:lastPrinted>
  <dcterms:created xsi:type="dcterms:W3CDTF">2015-11-18T11:03:00Z</dcterms:created>
  <dcterms:modified xsi:type="dcterms:W3CDTF">2015-11-19T04:34:00Z</dcterms:modified>
</cp:coreProperties>
</file>