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A70B28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A70B28">
        <w:rPr>
          <w:b/>
          <w:sz w:val="28"/>
          <w:szCs w:val="28"/>
        </w:rPr>
      </w:r>
      <w:r w:rsidR="00A70B28">
        <w:rPr>
          <w:b/>
          <w:sz w:val="28"/>
          <w:szCs w:val="28"/>
        </w:rPr>
        <w:fldChar w:fldCharType="end"/>
      </w:r>
      <w:bookmarkEnd w:id="0"/>
      <w:r w:rsidR="0096251D">
        <w:rPr>
          <w:b/>
          <w:sz w:val="28"/>
          <w:szCs w:val="28"/>
        </w:rPr>
        <w:t xml:space="preserve"> </w:t>
      </w:r>
      <w:r w:rsidR="00114F7D">
        <w:rPr>
          <w:b/>
          <w:sz w:val="28"/>
          <w:szCs w:val="28"/>
        </w:rPr>
        <w:t>67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14F7D">
        <w:rPr>
          <w:b/>
          <w:sz w:val="28"/>
          <w:szCs w:val="28"/>
        </w:rPr>
        <w:t>14</w:t>
      </w:r>
      <w:r w:rsidR="00A70B28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A70B28" w:rsidRPr="00B75AE2">
        <w:rPr>
          <w:b/>
          <w:sz w:val="28"/>
          <w:szCs w:val="28"/>
        </w:rPr>
      </w:r>
      <w:r w:rsidR="00A70B28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A70B28" w:rsidRPr="00B75AE2">
        <w:rPr>
          <w:b/>
          <w:sz w:val="28"/>
          <w:szCs w:val="28"/>
        </w:rPr>
        <w:fldChar w:fldCharType="end"/>
      </w:r>
      <w:bookmarkEnd w:id="1"/>
    </w:p>
    <w:p w:rsidR="00A53837" w:rsidRPr="00606EEA" w:rsidRDefault="00A70B28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14F7D">
        <w:rPr>
          <w:b/>
          <w:sz w:val="24"/>
          <w:szCs w:val="24"/>
        </w:rPr>
        <w:t>5</w:t>
      </w:r>
      <w:r w:rsidR="00A70B28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A70B28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B6E2D">
        <w:rPr>
          <w:b/>
          <w:sz w:val="24"/>
          <w:szCs w:val="24"/>
        </w:rPr>
        <w:t>80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114F7D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Pr="000827FA" w:rsidRDefault="00114F7D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PATRICK EULENTINE</w:t>
      </w:r>
    </w:p>
    <w:bookmarkStart w:id="4" w:name="Dropdown16"/>
    <w:p w:rsidR="007779A2" w:rsidRDefault="00A70B28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114F7D">
        <w:rPr>
          <w:sz w:val="24"/>
          <w:szCs w:val="24"/>
        </w:rPr>
        <w:t>2 March 2015</w:t>
      </w:r>
      <w:r w:rsidR="00A70B2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70B28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F7D">
        <w:rPr>
          <w:sz w:val="24"/>
          <w:szCs w:val="24"/>
        </w:rPr>
        <w:t>Mr. Thachet</w:t>
      </w:r>
      <w:r w:rsidR="007779A2">
        <w:rPr>
          <w:sz w:val="24"/>
          <w:szCs w:val="24"/>
        </w:rPr>
        <w:t xml:space="preserve">, </w:t>
      </w:r>
      <w:bookmarkStart w:id="5" w:name="Dropdown14"/>
      <w:r w:rsidR="00A70B28">
        <w:rPr>
          <w:sz w:val="24"/>
          <w:szCs w:val="24"/>
        </w:rPr>
        <w:fldChar w:fldCharType="begin">
          <w:ffData>
            <w:name w:val="Dropdown14"/>
            <w:enabled w:val="0"/>
            <w:calcOnExit w:val="0"/>
            <w:ddList>
              <w:listEntry w:val="Assistant Principal State Counsel"/>
              <w:listEntry w:val="Attorney General"/>
              <w:listEntry w:val="Principal State Counsel"/>
              <w:listEntry w:val="State Counsel"/>
              <w:listEntry w:val="Assistant State Counsel"/>
            </w:ddList>
          </w:ffData>
        </w:fldChar>
      </w:r>
      <w:r w:rsidR="00114F7D">
        <w:rPr>
          <w:sz w:val="24"/>
          <w:szCs w:val="24"/>
        </w:rPr>
        <w:instrText xml:space="preserve"> FORMDROPDOWN </w:instrText>
      </w:r>
      <w:r w:rsidR="00A70B28">
        <w:rPr>
          <w:sz w:val="24"/>
          <w:szCs w:val="24"/>
        </w:rPr>
      </w:r>
      <w:r w:rsidR="00A70B28">
        <w:rPr>
          <w:sz w:val="24"/>
          <w:szCs w:val="24"/>
        </w:rPr>
        <w:fldChar w:fldCharType="end"/>
      </w:r>
      <w:bookmarkEnd w:id="5"/>
      <w:r w:rsidR="00A70B28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A70B28">
        <w:rPr>
          <w:sz w:val="24"/>
          <w:szCs w:val="24"/>
        </w:rPr>
        <w:fldChar w:fldCharType="end"/>
      </w:r>
      <w:r w:rsidR="00A70B28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A70B28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A70B2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A70B28">
        <w:rPr>
          <w:sz w:val="24"/>
          <w:szCs w:val="24"/>
        </w:rPr>
        <w:fldChar w:fldCharType="end"/>
      </w:r>
      <w:r w:rsidR="00A70B2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70B28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F7D">
        <w:rPr>
          <w:sz w:val="24"/>
          <w:szCs w:val="24"/>
        </w:rPr>
        <w:t>Mrs. Amesbury</w:t>
      </w:r>
      <w:r w:rsidR="00A70B2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A70B28">
        <w:rPr>
          <w:sz w:val="24"/>
          <w:szCs w:val="24"/>
        </w:rPr>
        <w:fldChar w:fldCharType="end"/>
      </w:r>
      <w:r w:rsidR="00A70B2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70B28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6" w:name="Dropdown12"/>
      <w:r w:rsidR="0096251D">
        <w:rPr>
          <w:sz w:val="24"/>
          <w:szCs w:val="24"/>
        </w:rPr>
        <w:t xml:space="preserve">the </w:t>
      </w:r>
      <w:bookmarkStart w:id="7" w:name="Dropdown17"/>
      <w:bookmarkEnd w:id="6"/>
      <w:r w:rsidR="00A70B28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A70B28">
        <w:rPr>
          <w:sz w:val="24"/>
          <w:szCs w:val="24"/>
        </w:rPr>
      </w:r>
      <w:r w:rsidR="00A70B28">
        <w:rPr>
          <w:sz w:val="24"/>
          <w:szCs w:val="24"/>
        </w:rPr>
        <w:fldChar w:fldCharType="end"/>
      </w:r>
      <w:bookmarkEnd w:id="7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B28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>
        <w:rPr>
          <w:sz w:val="24"/>
          <w:szCs w:val="24"/>
        </w:rPr>
        <w:instrText xml:space="preserve"> FORMTEXT </w:instrText>
      </w:r>
      <w:r w:rsidR="00A70B28">
        <w:rPr>
          <w:sz w:val="24"/>
          <w:szCs w:val="24"/>
        </w:rPr>
      </w:r>
      <w:r w:rsidR="00A70B2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70B28">
        <w:rPr>
          <w:sz w:val="24"/>
          <w:szCs w:val="24"/>
        </w:rPr>
        <w:fldChar w:fldCharType="end"/>
      </w:r>
      <w:bookmarkEnd w:id="8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114F7D">
      <w:pPr>
        <w:tabs>
          <w:tab w:val="left" w:pos="2145"/>
        </w:tabs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114F7D">
        <w:rPr>
          <w:sz w:val="24"/>
          <w:szCs w:val="24"/>
        </w:rPr>
        <w:tab/>
        <w:t>16 March 2015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9" w:name="Dropdown2"/>
    </w:p>
    <w:bookmarkStart w:id="10" w:name="Dropdown8"/>
    <w:bookmarkEnd w:id="9"/>
    <w:p w:rsidR="00C87FCA" w:rsidRDefault="00A70B28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 w:val="0"/>
            <w:calcOnExit w:val="0"/>
            <w:ddList>
              <w:listEntry w:val="RULING"/>
              <w:listEntry w:val="JUDGMENT"/>
              <w:listEntry w:val="SENTENCE"/>
              <w:listEntry w:val="JUDGMENT AND SENTENCE"/>
              <w:listEntry w:val="ORDER"/>
              <w:listEntry w:val="JUDGMENT BY CONSENT"/>
            </w:ddList>
          </w:ffData>
        </w:fldChar>
      </w:r>
      <w:r w:rsidR="0035506F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1" w:name="Dropdown9"/>
    <w:p w:rsidR="00C87FCA" w:rsidRDefault="00A70B28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kiiki-Kiiza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Govinden J"/>
            </w:ddList>
          </w:ffData>
        </w:fldChar>
      </w:r>
      <w:r w:rsidR="00114F7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Pr="00673397" w:rsidRDefault="00F35548" w:rsidP="00A64EF1">
      <w:pPr>
        <w:pStyle w:val="JudgmentText"/>
        <w:rPr>
          <w:i/>
        </w:rPr>
      </w:pPr>
      <w:r>
        <w:lastRenderedPageBreak/>
        <w:t xml:space="preserve">This is an application for bail filed by way </w:t>
      </w:r>
      <w:r w:rsidR="00C72740">
        <w:t>of a</w:t>
      </w:r>
      <w:r>
        <w:t xml:space="preserve"> Notice of motion supported by an affidavit sworn and deponed by the accused </w:t>
      </w:r>
      <w:r w:rsidR="0033094A">
        <w:t>person;</w:t>
      </w:r>
      <w:r>
        <w:t xml:space="preserve"> Patrick Eulentine dated the 13/11/14.The Notice of motion is taken out under the provisions of </w:t>
      </w:r>
      <w:r w:rsidRPr="00673397">
        <w:rPr>
          <w:i/>
        </w:rPr>
        <w:t>Article 18 (7</w:t>
      </w:r>
      <w:r w:rsidR="00C72740" w:rsidRPr="00673397">
        <w:rPr>
          <w:i/>
        </w:rPr>
        <w:t>) of</w:t>
      </w:r>
      <w:r w:rsidRPr="00673397">
        <w:rPr>
          <w:i/>
        </w:rPr>
        <w:t xml:space="preserve"> the Constitution.</w:t>
      </w:r>
    </w:p>
    <w:p w:rsidR="00965445" w:rsidRDefault="00F35548" w:rsidP="00A64EF1">
      <w:pPr>
        <w:pStyle w:val="JudgmentText"/>
      </w:pPr>
      <w:r>
        <w:t xml:space="preserve">The affidavit contains various </w:t>
      </w:r>
      <w:r w:rsidR="00C72740">
        <w:t>grounds and reasons</w:t>
      </w:r>
      <w:r>
        <w:t xml:space="preserve"> why the applicant should be released on bail. </w:t>
      </w:r>
      <w:r w:rsidR="00C72740">
        <w:t>The accused has been on remand since the 29</w:t>
      </w:r>
      <w:r w:rsidR="00C72740" w:rsidRPr="00C72740">
        <w:rPr>
          <w:vertAlign w:val="superscript"/>
        </w:rPr>
        <w:t>th</w:t>
      </w:r>
      <w:r w:rsidR="00C72740">
        <w:t xml:space="preserve"> October, 2014, pursuant to the Attorney General‘s application to remand him which also had</w:t>
      </w:r>
      <w:r w:rsidR="00965445">
        <w:t xml:space="preserve"> been</w:t>
      </w:r>
      <w:r w:rsidR="00C72740">
        <w:t xml:space="preserve"> taken out under the same provision of the Seychelles Constitution. </w:t>
      </w:r>
    </w:p>
    <w:p w:rsidR="00F35548" w:rsidRDefault="00C72740" w:rsidP="00A64EF1">
      <w:pPr>
        <w:pStyle w:val="JudgmentText"/>
      </w:pPr>
      <w:r>
        <w:lastRenderedPageBreak/>
        <w:t>The brief back ground of the case is that</w:t>
      </w:r>
      <w:r w:rsidR="00965445">
        <w:t>, the</w:t>
      </w:r>
      <w:r>
        <w:t xml:space="preserve"> applicant is charged with the offence of trafficking in a controlled drug, to </w:t>
      </w:r>
      <w:r w:rsidR="00965445">
        <w:t xml:space="preserve">wit, 6.9 grams of heroin (2.3 </w:t>
      </w:r>
      <w:proofErr w:type="spellStart"/>
      <w:proofErr w:type="gramStart"/>
      <w:r w:rsidR="00965445">
        <w:t>gms</w:t>
      </w:r>
      <w:proofErr w:type="spellEnd"/>
      <w:proofErr w:type="gramEnd"/>
      <w:r w:rsidR="00965445">
        <w:t xml:space="preserve"> purity</w:t>
      </w:r>
      <w:r>
        <w:t xml:space="preserve">) which </w:t>
      </w:r>
      <w:r w:rsidR="001333CF">
        <w:t>gives raise</w:t>
      </w:r>
      <w:r w:rsidR="00965445">
        <w:t xml:space="preserve"> </w:t>
      </w:r>
      <w:r>
        <w:t xml:space="preserve">to the rebuttable presumption of having possessed the </w:t>
      </w:r>
      <w:r w:rsidR="001333CF">
        <w:t xml:space="preserve">said </w:t>
      </w:r>
      <w:r>
        <w:t>controlled drug for the purposes of trafficking. The Applicant also included the following paragraph  in his application</w:t>
      </w:r>
      <w:r w:rsidR="0033094A">
        <w:t>:-</w:t>
      </w:r>
    </w:p>
    <w:p w:rsidR="009936A5" w:rsidRPr="00965445" w:rsidRDefault="0033094A" w:rsidP="009936A5">
      <w:pPr>
        <w:pStyle w:val="JudgmentText"/>
        <w:numPr>
          <w:ilvl w:val="0"/>
          <w:numId w:val="0"/>
        </w:numPr>
        <w:ind w:left="2880"/>
        <w:rPr>
          <w:b/>
        </w:rPr>
      </w:pPr>
      <w:r w:rsidRPr="00965445">
        <w:rPr>
          <w:b/>
        </w:rPr>
        <w:t xml:space="preserve">“7: That I am </w:t>
      </w:r>
      <w:r w:rsidR="00673397" w:rsidRPr="00965445">
        <w:rPr>
          <w:b/>
        </w:rPr>
        <w:t>advised</w:t>
      </w:r>
      <w:r w:rsidRPr="00965445">
        <w:rPr>
          <w:b/>
        </w:rPr>
        <w:t xml:space="preserve"> by my counsel and verily believe in Seychelles Court of Appeal decision </w:t>
      </w:r>
      <w:r w:rsidR="009936A5" w:rsidRPr="00965445">
        <w:rPr>
          <w:b/>
        </w:rPr>
        <w:t xml:space="preserve">of </w:t>
      </w:r>
      <w:r w:rsidR="009936A5" w:rsidRPr="00965445">
        <w:rPr>
          <w:b/>
          <w:u w:val="single"/>
        </w:rPr>
        <w:t>ESPARON VS THE REPUBLIC 2014,</w:t>
      </w:r>
      <w:r w:rsidR="009936A5" w:rsidRPr="00965445">
        <w:rPr>
          <w:b/>
        </w:rPr>
        <w:t xml:space="preserve"> it was held that a judge may for good reason, grant bail on being satisfied that the case </w:t>
      </w:r>
      <w:r w:rsidR="00673397" w:rsidRPr="00965445">
        <w:rPr>
          <w:b/>
        </w:rPr>
        <w:t>is</w:t>
      </w:r>
      <w:r w:rsidR="009936A5" w:rsidRPr="00965445">
        <w:rPr>
          <w:b/>
        </w:rPr>
        <w:t xml:space="preserve"> taking too long, the defendant is one that will not abscond, the facts are too tenuous </w:t>
      </w:r>
      <w:r w:rsidR="00673397" w:rsidRPr="00965445">
        <w:rPr>
          <w:b/>
        </w:rPr>
        <w:t>against</w:t>
      </w:r>
      <w:r w:rsidR="009936A5" w:rsidRPr="00965445">
        <w:rPr>
          <w:b/>
        </w:rPr>
        <w:t xml:space="preserve"> him and for any other reasons such as there have been change of circumstances since the decision to demy him bail”</w:t>
      </w:r>
      <w:r w:rsidR="00A70B28" w:rsidRPr="00965445">
        <w:rPr>
          <w:b/>
          <w:highlight w:val="lightGray"/>
        </w:rPr>
        <w:fldChar w:fldCharType="begin"/>
      </w:r>
      <w:r w:rsidR="007C2809" w:rsidRPr="00965445">
        <w:rPr>
          <w:b/>
          <w:highlight w:val="lightGray"/>
        </w:rPr>
        <w:instrText xml:space="preserve">  </w:instrText>
      </w:r>
      <w:r w:rsidR="00A70B28" w:rsidRPr="00965445">
        <w:rPr>
          <w:b/>
          <w:highlight w:val="lightGray"/>
        </w:rPr>
        <w:fldChar w:fldCharType="end"/>
      </w:r>
    </w:p>
    <w:p w:rsidR="009936A5" w:rsidRDefault="009936A5" w:rsidP="009936A5">
      <w:pPr>
        <w:pStyle w:val="JudgmentText"/>
        <w:numPr>
          <w:ilvl w:val="0"/>
          <w:numId w:val="0"/>
        </w:numPr>
        <w:jc w:val="left"/>
      </w:pPr>
      <w:r>
        <w:t>The applicant also denies his alleged intention to interfere with police investigations</w:t>
      </w:r>
      <w:r w:rsidR="00BB748E">
        <w:t xml:space="preserve"> team</w:t>
      </w:r>
      <w:r>
        <w:t>.</w:t>
      </w:r>
    </w:p>
    <w:p w:rsidR="009936A5" w:rsidRDefault="009936A5" w:rsidP="009936A5">
      <w:pPr>
        <w:pStyle w:val="JudgmentText"/>
        <w:numPr>
          <w:ilvl w:val="0"/>
          <w:numId w:val="0"/>
        </w:numPr>
        <w:jc w:val="left"/>
      </w:pPr>
    </w:p>
    <w:p w:rsidR="00BB748E" w:rsidRDefault="00965445" w:rsidP="004A69EA">
      <w:pPr>
        <w:pStyle w:val="JudgmentText"/>
        <w:numPr>
          <w:ilvl w:val="0"/>
          <w:numId w:val="0"/>
        </w:numPr>
        <w:ind w:left="720" w:hanging="720"/>
      </w:pPr>
      <w:r>
        <w:t>[4</w:t>
      </w:r>
      <w:r w:rsidR="009936A5">
        <w:t>]</w:t>
      </w:r>
      <w:r w:rsidR="009936A5">
        <w:tab/>
        <w:t>The respondent filed an affidavit in reply wherein he</w:t>
      </w:r>
      <w:r>
        <w:t>,</w:t>
      </w:r>
      <w:r w:rsidR="009936A5">
        <w:t xml:space="preserve"> </w:t>
      </w:r>
      <w:r w:rsidR="009936A5" w:rsidRPr="00673397">
        <w:rPr>
          <w:i/>
        </w:rPr>
        <w:t>inter</w:t>
      </w:r>
      <w:r>
        <w:rPr>
          <w:i/>
        </w:rPr>
        <w:t xml:space="preserve"> </w:t>
      </w:r>
      <w:proofErr w:type="spellStart"/>
      <w:r w:rsidR="009936A5" w:rsidRPr="00673397">
        <w:rPr>
          <w:i/>
        </w:rPr>
        <w:t>alia</w:t>
      </w:r>
      <w:proofErr w:type="spellEnd"/>
      <w:r w:rsidR="009936A5">
        <w:t xml:space="preserve">, in </w:t>
      </w:r>
      <w:r w:rsidR="009936A5" w:rsidRPr="00673397">
        <w:rPr>
          <w:i/>
        </w:rPr>
        <w:t>paragraph 5</w:t>
      </w:r>
      <w:r w:rsidR="009936A5">
        <w:t xml:space="preserve"> that </w:t>
      </w:r>
      <w:r w:rsidR="00BB748E">
        <w:t xml:space="preserve">there </w:t>
      </w:r>
      <w:r w:rsidR="00673397">
        <w:t>was a</w:t>
      </w:r>
      <w:r w:rsidR="009936A5">
        <w:t xml:space="preserve"> seizure of a digital scale and a large amount of money at the time of the arrest.</w:t>
      </w:r>
      <w:r w:rsidR="007902E5">
        <w:t xml:space="preserve"> </w:t>
      </w:r>
    </w:p>
    <w:p w:rsidR="00BB748E" w:rsidRDefault="00BB748E" w:rsidP="004A69EA">
      <w:pPr>
        <w:pStyle w:val="JudgmentText"/>
        <w:numPr>
          <w:ilvl w:val="0"/>
          <w:numId w:val="0"/>
        </w:numPr>
        <w:ind w:left="720" w:hanging="720"/>
      </w:pPr>
    </w:p>
    <w:p w:rsidR="007902E5" w:rsidRDefault="00965445" w:rsidP="004A69EA">
      <w:pPr>
        <w:pStyle w:val="JudgmentText"/>
        <w:numPr>
          <w:ilvl w:val="0"/>
          <w:numId w:val="0"/>
        </w:numPr>
        <w:ind w:left="720" w:hanging="720"/>
      </w:pPr>
      <w:r>
        <w:t>[5</w:t>
      </w:r>
      <w:r w:rsidR="00BB748E">
        <w:t>]</w:t>
      </w:r>
      <w:r w:rsidR="00BB748E">
        <w:tab/>
      </w:r>
      <w:r w:rsidR="007902E5">
        <w:t xml:space="preserve">In paragraph 6; the affidavit for the respondent </w:t>
      </w:r>
      <w:r w:rsidR="00BB748E">
        <w:t xml:space="preserve">reads </w:t>
      </w:r>
      <w:r w:rsidR="007902E5">
        <w:t xml:space="preserve">as follows: </w:t>
      </w:r>
    </w:p>
    <w:p w:rsidR="007902E5" w:rsidRPr="00965445" w:rsidRDefault="007902E5" w:rsidP="004A69EA">
      <w:pPr>
        <w:pStyle w:val="JudgmentText"/>
        <w:numPr>
          <w:ilvl w:val="0"/>
          <w:numId w:val="0"/>
        </w:numPr>
        <w:ind w:left="2880"/>
        <w:rPr>
          <w:b/>
        </w:rPr>
      </w:pPr>
      <w:r w:rsidRPr="00965445">
        <w:rPr>
          <w:b/>
        </w:rPr>
        <w:t xml:space="preserve">6: that after considering the notice of motion filed on the 20/10/14 ( for the applicant), including the averments that the accused had tried to interfere with the due process of the law by </w:t>
      </w:r>
      <w:r w:rsidR="00BB748E" w:rsidRPr="00965445">
        <w:rPr>
          <w:b/>
        </w:rPr>
        <w:t>offering</w:t>
      </w:r>
      <w:r w:rsidRPr="00965445">
        <w:rPr>
          <w:b/>
        </w:rPr>
        <w:t xml:space="preserve"> SR 300,000 to the NDEA agents to let him go”</w:t>
      </w:r>
    </w:p>
    <w:p w:rsidR="00965445" w:rsidRDefault="007902E5" w:rsidP="00965445">
      <w:pPr>
        <w:pStyle w:val="JudgmentText"/>
        <w:numPr>
          <w:ilvl w:val="0"/>
          <w:numId w:val="0"/>
        </w:numPr>
      </w:pPr>
      <w:r>
        <w:t xml:space="preserve">The respondents also stated that since the time </w:t>
      </w:r>
      <w:r w:rsidR="00BB748E">
        <w:t>of</w:t>
      </w:r>
      <w:r>
        <w:t xml:space="preserve"> his remand in October 2014, </w:t>
      </w:r>
      <w:r w:rsidR="00BB748E">
        <w:t>there</w:t>
      </w:r>
      <w:r>
        <w:t xml:space="preserve"> has not been any </w:t>
      </w:r>
      <w:r w:rsidR="00965445">
        <w:t xml:space="preserve">substantial </w:t>
      </w:r>
      <w:r>
        <w:t xml:space="preserve">change in the circumstances which made him to be </w:t>
      </w:r>
      <w:r w:rsidR="00965445">
        <w:t>remanded</w:t>
      </w:r>
      <w:r>
        <w:t>. He</w:t>
      </w:r>
      <w:r w:rsidR="00965445">
        <w:t xml:space="preserve"> prayed </w:t>
      </w:r>
      <w:r>
        <w:t xml:space="preserve">that the accused should remain on remand as earlier ordered. </w:t>
      </w:r>
    </w:p>
    <w:p w:rsidR="007902E5" w:rsidRDefault="00965445" w:rsidP="00965445">
      <w:pPr>
        <w:pStyle w:val="JudgmentText"/>
        <w:numPr>
          <w:ilvl w:val="0"/>
          <w:numId w:val="0"/>
        </w:numPr>
        <w:ind w:left="720" w:hanging="720"/>
      </w:pPr>
      <w:r>
        <w:lastRenderedPageBreak/>
        <w:t>[6</w:t>
      </w:r>
      <w:r w:rsidR="007902E5">
        <w:t>]</w:t>
      </w:r>
      <w:r w:rsidR="001A4C72">
        <w:tab/>
      </w:r>
      <w:r w:rsidR="007902E5">
        <w:t>I have carefully and critically peruse</w:t>
      </w:r>
      <w:r>
        <w:t>d both affidavits filed by the o</w:t>
      </w:r>
      <w:r w:rsidR="007902E5">
        <w:t xml:space="preserve">pposing parties, and </w:t>
      </w:r>
      <w:r w:rsidR="00BB748E">
        <w:t>I</w:t>
      </w:r>
      <w:r w:rsidR="007902E5">
        <w:t xml:space="preserve"> have also carefully reviewed the case law from this jurisdiction regarding the grant and/or refusal of bail, </w:t>
      </w:r>
      <w:r>
        <w:t>especially in drug related cases</w:t>
      </w:r>
      <w:r w:rsidR="007902E5">
        <w:t>.</w:t>
      </w:r>
      <w:r w:rsidR="00BE69F3">
        <w:t xml:space="preserve"> The </w:t>
      </w:r>
      <w:r w:rsidR="00BB748E">
        <w:t>emerging</w:t>
      </w:r>
      <w:r w:rsidR="00BE69F3">
        <w:t xml:space="preserve"> trend is that, bail is </w:t>
      </w:r>
      <w:r w:rsidR="00BB748E">
        <w:t>rarely</w:t>
      </w:r>
      <w:r w:rsidR="00BE69F3">
        <w:t xml:space="preserve"> granted in such cases, especially by the </w:t>
      </w:r>
      <w:r w:rsidR="00BB748E">
        <w:t>Supreme Court</w:t>
      </w:r>
      <w:r w:rsidR="00BE69F3">
        <w:t xml:space="preserve">. These include </w:t>
      </w:r>
      <w:r w:rsidR="00BE69F3" w:rsidRPr="00BB748E">
        <w:rPr>
          <w:b/>
          <w:u w:val="single"/>
        </w:rPr>
        <w:t>REPUBLIC VS MOUSTACHE [2011] SLR 126, REPUBLIC VS JUL</w:t>
      </w:r>
      <w:r>
        <w:rPr>
          <w:b/>
          <w:u w:val="single"/>
        </w:rPr>
        <w:t>I</w:t>
      </w:r>
      <w:r w:rsidR="00BE69F3" w:rsidRPr="00BB748E">
        <w:rPr>
          <w:b/>
          <w:u w:val="single"/>
        </w:rPr>
        <w:t>E [2006] SLR 27, THE REPUBLIC VS RICKY CHANG-TY-SU SCC 53/07, THE REPUBLIC VS AGATHINE</w:t>
      </w:r>
      <w:r w:rsidR="00DE7893" w:rsidRPr="00BB748E">
        <w:rPr>
          <w:b/>
          <w:u w:val="single"/>
        </w:rPr>
        <w:t xml:space="preserve"> [2005] SLC 8</w:t>
      </w:r>
      <w:r w:rsidR="00BB748E">
        <w:t>, to</w:t>
      </w:r>
      <w:r w:rsidR="00DE7893">
        <w:t xml:space="preserve"> name but a few. In all these case the court had emphasized that each case should be treated on its own particular facts or merits. In the </w:t>
      </w:r>
      <w:r w:rsidR="00DE7893" w:rsidRPr="00BB748E">
        <w:rPr>
          <w:b/>
          <w:u w:val="single"/>
        </w:rPr>
        <w:t>AGATHINE case</w:t>
      </w:r>
      <w:r w:rsidR="00DE7893">
        <w:t>, the court state</w:t>
      </w:r>
      <w:r>
        <w:t>d</w:t>
      </w:r>
      <w:r w:rsidR="00DE7893">
        <w:t xml:space="preserve"> further that though the quantity of the drug involved in the case plays an important part in deciding and determining the seriousness of the offence</w:t>
      </w:r>
      <w:r>
        <w:t>,</w:t>
      </w:r>
      <w:r w:rsidR="00DE7893">
        <w:t xml:space="preserve"> </w:t>
      </w:r>
      <w:r w:rsidR="001A4C72">
        <w:t xml:space="preserve">a </w:t>
      </w:r>
      <w:r w:rsidR="00BB748E">
        <w:t>smaller</w:t>
      </w:r>
      <w:r w:rsidR="001A4C72">
        <w:t xml:space="preserve"> or even a </w:t>
      </w:r>
      <w:r w:rsidR="00BB748E">
        <w:t>trivial</w:t>
      </w:r>
      <w:r w:rsidR="001A4C72">
        <w:t xml:space="preserve"> quantity of the drug involved in a case cannot</w:t>
      </w:r>
      <w:r>
        <w:t>,</w:t>
      </w:r>
      <w:r w:rsidR="001A4C72">
        <w:t xml:space="preserve"> </w:t>
      </w:r>
      <w:r w:rsidR="00BB748E">
        <w:t>as a single</w:t>
      </w:r>
      <w:r w:rsidR="001A4C72">
        <w:t xml:space="preserve"> factor</w:t>
      </w:r>
      <w:r>
        <w:t>,</w:t>
      </w:r>
      <w:r w:rsidR="001A4C72">
        <w:t xml:space="preserve"> reduce the degree of seriousness </w:t>
      </w:r>
      <w:r w:rsidR="00BB748E">
        <w:t>of</w:t>
      </w:r>
      <w:r w:rsidR="001A4C72">
        <w:t xml:space="preserve"> the offen</w:t>
      </w:r>
      <w:r>
        <w:t xml:space="preserve">ce to zero or negate its effect. </w:t>
      </w:r>
      <w:r w:rsidR="001A4C72">
        <w:t xml:space="preserve">In other words in addition to the small quantity of </w:t>
      </w:r>
      <w:r w:rsidR="00BB748E">
        <w:t>t</w:t>
      </w:r>
      <w:r w:rsidR="001A4C72">
        <w:t xml:space="preserve">he drug involved there must  be other supporting factors in </w:t>
      </w:r>
      <w:r w:rsidR="00BB748E">
        <w:t>favour</w:t>
      </w:r>
      <w:r w:rsidR="001A4C72">
        <w:t xml:space="preserve"> of the grant of bail, so that it is not outweighed the other factors contributing to the </w:t>
      </w:r>
      <w:r w:rsidR="00BB748E">
        <w:t>seriousness</w:t>
      </w:r>
      <w:r w:rsidR="001A4C72">
        <w:t xml:space="preserve"> of the offence warranting </w:t>
      </w:r>
      <w:r w:rsidR="00BB748E">
        <w:t>the</w:t>
      </w:r>
      <w:r w:rsidR="001A4C72">
        <w:t xml:space="preserve"> accused to be remanded in custody.</w:t>
      </w:r>
    </w:p>
    <w:p w:rsidR="001A4C72" w:rsidRDefault="001A4C72" w:rsidP="004A69EA">
      <w:pPr>
        <w:pStyle w:val="JudgmentText"/>
        <w:numPr>
          <w:ilvl w:val="0"/>
          <w:numId w:val="0"/>
        </w:numPr>
      </w:pPr>
    </w:p>
    <w:p w:rsidR="001A4C72" w:rsidRPr="00BB748E" w:rsidRDefault="00C07960" w:rsidP="004A69EA">
      <w:pPr>
        <w:pStyle w:val="JudgmentText"/>
        <w:numPr>
          <w:ilvl w:val="0"/>
          <w:numId w:val="0"/>
        </w:numPr>
        <w:ind w:left="720" w:hanging="720"/>
        <w:rPr>
          <w:b/>
          <w:u w:val="single"/>
        </w:rPr>
      </w:pPr>
      <w:r>
        <w:t>[7</w:t>
      </w:r>
      <w:r w:rsidR="001A4C72">
        <w:t>]</w:t>
      </w:r>
      <w:r w:rsidR="001A4C72">
        <w:tab/>
        <w:t xml:space="preserve">The court therefore, takes into </w:t>
      </w:r>
      <w:r w:rsidR="00BB748E">
        <w:t>account</w:t>
      </w:r>
      <w:r w:rsidR="001A4C72">
        <w:t xml:space="preserve"> such factors as the, minimum </w:t>
      </w:r>
      <w:r w:rsidR="002C6F16">
        <w:t>and maximum sentence upon conviction, the likelihood of the maximum sentence being imposed by the court in the case of a conviction resulting from that particular trial</w:t>
      </w:r>
      <w:r w:rsidR="00965445">
        <w:t>,</w:t>
      </w:r>
      <w:r w:rsidR="002C6F16">
        <w:t xml:space="preserve"> </w:t>
      </w:r>
      <w:r w:rsidR="0004379C">
        <w:t>whether</w:t>
      </w:r>
      <w:r w:rsidR="002C6F16">
        <w:t xml:space="preserve"> the sentence is </w:t>
      </w:r>
      <w:r w:rsidR="0004379C">
        <w:t>mandatory</w:t>
      </w:r>
      <w:r w:rsidR="002C6F16">
        <w:t xml:space="preserve"> or not, the manner of how the offence was </w:t>
      </w:r>
      <w:r w:rsidR="0004379C">
        <w:t>committed</w:t>
      </w:r>
      <w:r w:rsidR="002C6F16">
        <w:t xml:space="preserve">, the impact of the </w:t>
      </w:r>
      <w:r w:rsidR="0004379C">
        <w:t>commission</w:t>
      </w:r>
      <w:r w:rsidR="002C6F16">
        <w:t xml:space="preserve"> of </w:t>
      </w:r>
      <w:r w:rsidR="0004379C">
        <w:t>such</w:t>
      </w:r>
      <w:r w:rsidR="002C6F16">
        <w:t xml:space="preserve"> offences has on society and the economy, e t c. </w:t>
      </w:r>
      <w:r w:rsidR="0004379C">
        <w:t>(</w:t>
      </w:r>
      <w:r w:rsidR="0004379C" w:rsidRPr="00BB748E">
        <w:rPr>
          <w:b/>
          <w:u w:val="single"/>
        </w:rPr>
        <w:t>see</w:t>
      </w:r>
      <w:r w:rsidR="002C6F16" w:rsidRPr="00BB748E">
        <w:rPr>
          <w:b/>
          <w:u w:val="single"/>
        </w:rPr>
        <w:t xml:space="preserve"> STEVE HOAREAU VS REPUBLIC SCA 28/10)</w:t>
      </w:r>
    </w:p>
    <w:p w:rsidR="002C6F16" w:rsidRDefault="002C6F16" w:rsidP="004A69EA">
      <w:pPr>
        <w:pStyle w:val="JudgmentText"/>
        <w:numPr>
          <w:ilvl w:val="0"/>
          <w:numId w:val="0"/>
        </w:numPr>
      </w:pPr>
    </w:p>
    <w:p w:rsidR="002C6F16" w:rsidRDefault="00C07960" w:rsidP="004A69EA">
      <w:pPr>
        <w:pStyle w:val="JudgmentText"/>
        <w:numPr>
          <w:ilvl w:val="0"/>
          <w:numId w:val="0"/>
        </w:numPr>
        <w:ind w:left="720" w:hanging="720"/>
      </w:pPr>
      <w:r>
        <w:t>[8</w:t>
      </w:r>
      <w:r w:rsidR="002C6F16">
        <w:t>]</w:t>
      </w:r>
      <w:r w:rsidR="002C6F16">
        <w:tab/>
        <w:t xml:space="preserve">In the instant case, </w:t>
      </w:r>
      <w:r w:rsidR="00BB748E">
        <w:t>in</w:t>
      </w:r>
      <w:r w:rsidR="002C6F16">
        <w:t xml:space="preserve"> case of a conviction the mandatory </w:t>
      </w:r>
      <w:r w:rsidR="00BB748E">
        <w:t>minimum sentence</w:t>
      </w:r>
      <w:r w:rsidR="002C6F16">
        <w:t xml:space="preserve"> is 20 years and maximum is 60 years and a </w:t>
      </w:r>
      <w:r w:rsidR="0004379C">
        <w:t>fine</w:t>
      </w:r>
      <w:r w:rsidR="002C6F16">
        <w:t xml:space="preserve"> of SR 500,000/-/.  In case the prosecution proves its case </w:t>
      </w:r>
      <w:r w:rsidR="0004379C">
        <w:t>beyond</w:t>
      </w:r>
      <w:r w:rsidR="002C6F16">
        <w:t xml:space="preserve"> reasonable doubt the chances of a heavy sentence to be imposed </w:t>
      </w:r>
      <w:r w:rsidR="0004379C">
        <w:t>on</w:t>
      </w:r>
      <w:r w:rsidR="002C6F16">
        <w:t xml:space="preserve"> the </w:t>
      </w:r>
      <w:r w:rsidR="0004379C">
        <w:t>accused</w:t>
      </w:r>
      <w:r w:rsidR="002C6F16">
        <w:t xml:space="preserve"> is likely. </w:t>
      </w:r>
      <w:r w:rsidR="00BB748E">
        <w:t>It</w:t>
      </w:r>
      <w:r w:rsidR="002C6F16">
        <w:t xml:space="preserve"> also goes without saying that the effect of prohibited or controlled drugs on the fabric of society could be catastrophic </w:t>
      </w:r>
      <w:r w:rsidR="0004379C">
        <w:t xml:space="preserve">especially among the youths; who are </w:t>
      </w:r>
      <w:r w:rsidR="0004379C">
        <w:lastRenderedPageBreak/>
        <w:t>the future of the nation and if destroyed morally then such could affect the economi</w:t>
      </w:r>
      <w:r w:rsidR="00965445">
        <w:t>c development of the Seychelles.</w:t>
      </w:r>
    </w:p>
    <w:p w:rsidR="0004379C" w:rsidRDefault="0004379C" w:rsidP="004A69EA">
      <w:pPr>
        <w:pStyle w:val="JudgmentText"/>
        <w:numPr>
          <w:ilvl w:val="0"/>
          <w:numId w:val="0"/>
        </w:numPr>
      </w:pPr>
    </w:p>
    <w:p w:rsidR="0004379C" w:rsidRDefault="00C07960" w:rsidP="004A69EA">
      <w:pPr>
        <w:pStyle w:val="JudgmentText"/>
        <w:numPr>
          <w:ilvl w:val="0"/>
          <w:numId w:val="0"/>
        </w:numPr>
        <w:ind w:left="720" w:hanging="720"/>
      </w:pPr>
      <w:r>
        <w:t>[9</w:t>
      </w:r>
      <w:r w:rsidR="0004379C">
        <w:t xml:space="preserve">]  </w:t>
      </w:r>
      <w:r w:rsidR="0004379C">
        <w:tab/>
        <w:t>Another factor to consider is the alleged attempt of the applicant to offer</w:t>
      </w:r>
      <w:r w:rsidR="00965445">
        <w:t xml:space="preserve"> a</w:t>
      </w:r>
      <w:r w:rsidR="0004379C">
        <w:t xml:space="preserve"> </w:t>
      </w:r>
      <w:r w:rsidR="00BB748E">
        <w:t>sum</w:t>
      </w:r>
      <w:r w:rsidR="00965445">
        <w:t xml:space="preserve"> of</w:t>
      </w:r>
      <w:r w:rsidR="00BB748E">
        <w:t xml:space="preserve"> money to</w:t>
      </w:r>
      <w:r w:rsidR="0004379C">
        <w:t xml:space="preserve"> the NDEA agents so as to </w:t>
      </w:r>
      <w:r w:rsidR="00BB748E">
        <w:t xml:space="preserve">kill </w:t>
      </w:r>
      <w:r w:rsidR="0004379C">
        <w:t xml:space="preserve">this case. If this is true, it would amount to perversion of justice, by interfering with proper and fruitful investigation </w:t>
      </w:r>
      <w:r w:rsidR="00965445">
        <w:t>and completion of the case</w:t>
      </w:r>
      <w:r w:rsidR="0004379C">
        <w:t xml:space="preserve">. </w:t>
      </w:r>
    </w:p>
    <w:p w:rsidR="0004379C" w:rsidRDefault="0004379C" w:rsidP="004A69EA">
      <w:pPr>
        <w:pStyle w:val="JudgmentText"/>
        <w:numPr>
          <w:ilvl w:val="0"/>
          <w:numId w:val="0"/>
        </w:numPr>
      </w:pPr>
    </w:p>
    <w:p w:rsidR="0004379C" w:rsidRDefault="00986741" w:rsidP="004A69EA">
      <w:pPr>
        <w:pStyle w:val="JudgmentText"/>
        <w:numPr>
          <w:ilvl w:val="0"/>
          <w:numId w:val="0"/>
        </w:numPr>
        <w:ind w:left="720" w:hanging="720"/>
      </w:pPr>
      <w:r>
        <w:t>[10</w:t>
      </w:r>
      <w:r w:rsidR="0004379C">
        <w:t xml:space="preserve">] </w:t>
      </w:r>
      <w:r w:rsidR="0004379C">
        <w:tab/>
        <w:t xml:space="preserve">After putting everything to consideration I find that no significant circumstances have changed since the 29/10/14 when the accused was first remanded. This application for bail in the circumstances fails. The applicant will be produced </w:t>
      </w:r>
      <w:r w:rsidR="00965445">
        <w:t>fortnightly until further orders of the court</w:t>
      </w:r>
      <w:r w:rsidR="0004379C">
        <w:t>. However, he is advised to a</w:t>
      </w:r>
      <w:r w:rsidR="00965445">
        <w:t>ppeal</w:t>
      </w:r>
      <w:r w:rsidR="00BB748E">
        <w:t xml:space="preserve"> to the C</w:t>
      </w:r>
      <w:r w:rsidR="0004379C">
        <w:t>ourt of Appeal, if he so wishes.</w:t>
      </w:r>
    </w:p>
    <w:p w:rsidR="0004379C" w:rsidRDefault="0004379C" w:rsidP="007902E5">
      <w:pPr>
        <w:pStyle w:val="JudgmentText"/>
        <w:numPr>
          <w:ilvl w:val="0"/>
          <w:numId w:val="0"/>
        </w:numPr>
        <w:jc w:val="left"/>
      </w:pPr>
    </w:p>
    <w:p w:rsidR="0004379C" w:rsidRDefault="0004379C" w:rsidP="007902E5">
      <w:pPr>
        <w:pStyle w:val="JudgmentText"/>
        <w:numPr>
          <w:ilvl w:val="0"/>
          <w:numId w:val="0"/>
        </w:numPr>
        <w:jc w:val="left"/>
        <w:sectPr w:rsidR="0004379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F35548">
        <w:rPr>
          <w:sz w:val="24"/>
          <w:szCs w:val="24"/>
        </w:rPr>
        <w:t>16 March 2015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2" w:name="Dropdown6"/>
    <w:p w:rsidR="00E33F35" w:rsidRPr="002A7376" w:rsidRDefault="00A70B28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D Akiiki-Kiiza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S.Govinden J"/>
            </w:ddList>
          </w:ffData>
        </w:fldChar>
      </w:r>
      <w:r w:rsidR="00114F7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A70B28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A70B28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42" w:rsidRDefault="00282142" w:rsidP="00DB6D34">
      <w:r>
        <w:separator/>
      </w:r>
    </w:p>
  </w:endnote>
  <w:endnote w:type="continuationSeparator" w:id="1">
    <w:p w:rsidR="00282142" w:rsidRDefault="00282142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A70B28">
    <w:pPr>
      <w:pStyle w:val="Footer"/>
      <w:jc w:val="center"/>
    </w:pPr>
    <w:fldSimple w:instr=" PAGE   \* MERGEFORMAT ">
      <w:r w:rsidR="006B6E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42" w:rsidRDefault="00282142" w:rsidP="00DB6D34">
      <w:r>
        <w:separator/>
      </w:r>
    </w:p>
  </w:footnote>
  <w:footnote w:type="continuationSeparator" w:id="1">
    <w:p w:rsidR="00282142" w:rsidRDefault="00282142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9F6"/>
    <w:rsid w:val="00005BEF"/>
    <w:rsid w:val="00030C81"/>
    <w:rsid w:val="00036B28"/>
    <w:rsid w:val="0004379C"/>
    <w:rsid w:val="0006489F"/>
    <w:rsid w:val="00070A36"/>
    <w:rsid w:val="00075573"/>
    <w:rsid w:val="000827FA"/>
    <w:rsid w:val="00091036"/>
    <w:rsid w:val="000A10B8"/>
    <w:rsid w:val="000B0E14"/>
    <w:rsid w:val="000D1DD3"/>
    <w:rsid w:val="000D6F87"/>
    <w:rsid w:val="000E39A5"/>
    <w:rsid w:val="000E7400"/>
    <w:rsid w:val="001008BC"/>
    <w:rsid w:val="00101D12"/>
    <w:rsid w:val="00114F7D"/>
    <w:rsid w:val="00117CBF"/>
    <w:rsid w:val="00126A10"/>
    <w:rsid w:val="001333CF"/>
    <w:rsid w:val="001376AB"/>
    <w:rsid w:val="00144612"/>
    <w:rsid w:val="001529B0"/>
    <w:rsid w:val="0016510C"/>
    <w:rsid w:val="00180158"/>
    <w:rsid w:val="001A4C72"/>
    <w:rsid w:val="001D30F7"/>
    <w:rsid w:val="001E4ED8"/>
    <w:rsid w:val="0020244B"/>
    <w:rsid w:val="00231C17"/>
    <w:rsid w:val="00236AAC"/>
    <w:rsid w:val="0024353F"/>
    <w:rsid w:val="00255337"/>
    <w:rsid w:val="002609F6"/>
    <w:rsid w:val="002817BC"/>
    <w:rsid w:val="00282142"/>
    <w:rsid w:val="00290E14"/>
    <w:rsid w:val="00293C61"/>
    <w:rsid w:val="002A7376"/>
    <w:rsid w:val="002B2255"/>
    <w:rsid w:val="002B4478"/>
    <w:rsid w:val="002C6F16"/>
    <w:rsid w:val="002C7560"/>
    <w:rsid w:val="002D06AA"/>
    <w:rsid w:val="002D67FC"/>
    <w:rsid w:val="002E6963"/>
    <w:rsid w:val="002F122B"/>
    <w:rsid w:val="002F40A1"/>
    <w:rsid w:val="00301D88"/>
    <w:rsid w:val="00304E76"/>
    <w:rsid w:val="0033094A"/>
    <w:rsid w:val="0034111B"/>
    <w:rsid w:val="0035506F"/>
    <w:rsid w:val="003618D8"/>
    <w:rsid w:val="00362044"/>
    <w:rsid w:val="003647E7"/>
    <w:rsid w:val="0037270D"/>
    <w:rsid w:val="00377341"/>
    <w:rsid w:val="003838CC"/>
    <w:rsid w:val="003862CB"/>
    <w:rsid w:val="0038700C"/>
    <w:rsid w:val="003A21E7"/>
    <w:rsid w:val="003B461C"/>
    <w:rsid w:val="003B4C19"/>
    <w:rsid w:val="003D58AA"/>
    <w:rsid w:val="003D7B97"/>
    <w:rsid w:val="003E2ABC"/>
    <w:rsid w:val="003F0F8D"/>
    <w:rsid w:val="004156B9"/>
    <w:rsid w:val="00437C75"/>
    <w:rsid w:val="00445BFA"/>
    <w:rsid w:val="004516DC"/>
    <w:rsid w:val="00452BB6"/>
    <w:rsid w:val="0046133B"/>
    <w:rsid w:val="004A69EA"/>
    <w:rsid w:val="004C3D80"/>
    <w:rsid w:val="004D30C6"/>
    <w:rsid w:val="004E275C"/>
    <w:rsid w:val="004F3823"/>
    <w:rsid w:val="005207C8"/>
    <w:rsid w:val="00527081"/>
    <w:rsid w:val="005277B4"/>
    <w:rsid w:val="00530663"/>
    <w:rsid w:val="0055036F"/>
    <w:rsid w:val="005514D6"/>
    <w:rsid w:val="00552704"/>
    <w:rsid w:val="00572AB3"/>
    <w:rsid w:val="005836AC"/>
    <w:rsid w:val="00584583"/>
    <w:rsid w:val="00594FAC"/>
    <w:rsid w:val="005A5682"/>
    <w:rsid w:val="005B7F60"/>
    <w:rsid w:val="005E6A17"/>
    <w:rsid w:val="005F5FB0"/>
    <w:rsid w:val="00606587"/>
    <w:rsid w:val="00606EEA"/>
    <w:rsid w:val="006174DB"/>
    <w:rsid w:val="0064023C"/>
    <w:rsid w:val="006578C2"/>
    <w:rsid w:val="00666D33"/>
    <w:rsid w:val="00673397"/>
    <w:rsid w:val="00695110"/>
    <w:rsid w:val="006A58E4"/>
    <w:rsid w:val="006B6E2D"/>
    <w:rsid w:val="006D36C9"/>
    <w:rsid w:val="007175A6"/>
    <w:rsid w:val="00744508"/>
    <w:rsid w:val="007779A2"/>
    <w:rsid w:val="007902E5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2666B"/>
    <w:rsid w:val="0083298A"/>
    <w:rsid w:val="00841387"/>
    <w:rsid w:val="008472B3"/>
    <w:rsid w:val="008478D6"/>
    <w:rsid w:val="00861092"/>
    <w:rsid w:val="008653EC"/>
    <w:rsid w:val="008A5208"/>
    <w:rsid w:val="008B7655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65445"/>
    <w:rsid w:val="00981287"/>
    <w:rsid w:val="00983045"/>
    <w:rsid w:val="00986741"/>
    <w:rsid w:val="009936A5"/>
    <w:rsid w:val="00997991"/>
    <w:rsid w:val="009B3A66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6D1A"/>
    <w:rsid w:val="00A57954"/>
    <w:rsid w:val="00A64EF1"/>
    <w:rsid w:val="00A70B28"/>
    <w:rsid w:val="00A80E4E"/>
    <w:rsid w:val="00AB4A4F"/>
    <w:rsid w:val="00AC3885"/>
    <w:rsid w:val="00AD0BF3"/>
    <w:rsid w:val="00AD75CD"/>
    <w:rsid w:val="00B01EC6"/>
    <w:rsid w:val="00B05D6E"/>
    <w:rsid w:val="00B119B1"/>
    <w:rsid w:val="00B14612"/>
    <w:rsid w:val="00B23E73"/>
    <w:rsid w:val="00B260C7"/>
    <w:rsid w:val="00B40898"/>
    <w:rsid w:val="00B4124C"/>
    <w:rsid w:val="00B4625E"/>
    <w:rsid w:val="00B517BB"/>
    <w:rsid w:val="00B75AE2"/>
    <w:rsid w:val="00B9148E"/>
    <w:rsid w:val="00B938BB"/>
    <w:rsid w:val="00B94805"/>
    <w:rsid w:val="00BA6027"/>
    <w:rsid w:val="00BA70E6"/>
    <w:rsid w:val="00BB748E"/>
    <w:rsid w:val="00BC1D95"/>
    <w:rsid w:val="00BD4287"/>
    <w:rsid w:val="00BD60D5"/>
    <w:rsid w:val="00BE1D00"/>
    <w:rsid w:val="00BE3628"/>
    <w:rsid w:val="00BE424C"/>
    <w:rsid w:val="00BE69F3"/>
    <w:rsid w:val="00BF5CC9"/>
    <w:rsid w:val="00C036A5"/>
    <w:rsid w:val="00C065A3"/>
    <w:rsid w:val="00C07960"/>
    <w:rsid w:val="00C14327"/>
    <w:rsid w:val="00C22967"/>
    <w:rsid w:val="00C35333"/>
    <w:rsid w:val="00C411C9"/>
    <w:rsid w:val="00C55FDF"/>
    <w:rsid w:val="00C5739F"/>
    <w:rsid w:val="00C72740"/>
    <w:rsid w:val="00C80F58"/>
    <w:rsid w:val="00C87FCA"/>
    <w:rsid w:val="00CA1B0C"/>
    <w:rsid w:val="00CA7795"/>
    <w:rsid w:val="00CA7F40"/>
    <w:rsid w:val="00CB3C7E"/>
    <w:rsid w:val="00D03314"/>
    <w:rsid w:val="00D06A0F"/>
    <w:rsid w:val="00D8003D"/>
    <w:rsid w:val="00D82047"/>
    <w:rsid w:val="00DB3886"/>
    <w:rsid w:val="00DB6D34"/>
    <w:rsid w:val="00DD4E02"/>
    <w:rsid w:val="00DE08C1"/>
    <w:rsid w:val="00DE7893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97DC7"/>
    <w:rsid w:val="00EA6F17"/>
    <w:rsid w:val="00EB0712"/>
    <w:rsid w:val="00EC12D0"/>
    <w:rsid w:val="00EC2355"/>
    <w:rsid w:val="00EC6290"/>
    <w:rsid w:val="00ED1E51"/>
    <w:rsid w:val="00ED5883"/>
    <w:rsid w:val="00ED76D9"/>
    <w:rsid w:val="00EF2051"/>
    <w:rsid w:val="00F00A19"/>
    <w:rsid w:val="00F35548"/>
    <w:rsid w:val="00F444A5"/>
    <w:rsid w:val="00F44545"/>
    <w:rsid w:val="00F65BE8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payet\Local%20Settings\Temporary%20Internet%20Files\Content.MSO\CC5E4D5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C7B6-C9E5-4B4E-9857-B922264D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CC5E4D5B</Template>
  <TotalTime>260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s.payet</cp:lastModifiedBy>
  <cp:revision>13</cp:revision>
  <cp:lastPrinted>2015-03-20T06:59:00Z</cp:lastPrinted>
  <dcterms:created xsi:type="dcterms:W3CDTF">2015-03-16T09:39:00Z</dcterms:created>
  <dcterms:modified xsi:type="dcterms:W3CDTF">2015-03-23T05:42:00Z</dcterms:modified>
</cp:coreProperties>
</file>