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61364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573DD">
        <w:rPr>
          <w:b/>
          <w:sz w:val="24"/>
          <w:szCs w:val="24"/>
        </w:rPr>
        <w:t> </w:t>
      </w:r>
      <w:r w:rsidR="00A573DD">
        <w:rPr>
          <w:b/>
          <w:sz w:val="24"/>
          <w:szCs w:val="24"/>
        </w:rPr>
        <w:t> </w:t>
      </w:r>
      <w:r w:rsidR="00A573DD">
        <w:rPr>
          <w:b/>
          <w:sz w:val="24"/>
          <w:szCs w:val="24"/>
        </w:rPr>
        <w:t> </w:t>
      </w:r>
      <w:r w:rsidR="00A573DD">
        <w:rPr>
          <w:b/>
          <w:sz w:val="24"/>
          <w:szCs w:val="24"/>
        </w:rPr>
        <w:t> </w:t>
      </w:r>
      <w:r w:rsidR="00A573DD">
        <w:rPr>
          <w:b/>
          <w:sz w:val="24"/>
          <w:szCs w:val="24"/>
        </w:rPr>
        <w:t> </w:t>
      </w:r>
      <w:r w:rsidRPr="0096251D">
        <w:rPr>
          <w:b/>
          <w:sz w:val="24"/>
          <w:szCs w:val="24"/>
        </w:rPr>
        <w:fldChar w:fldCharType="end"/>
      </w:r>
      <w:bookmarkEnd w:id="0"/>
    </w:p>
    <w:bookmarkStart w:id="1" w:name="Text42"/>
    <w:p w:rsidR="00F34FB5" w:rsidRPr="00B938BB" w:rsidRDefault="0061364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573DD">
        <w:rPr>
          <w:i/>
          <w:sz w:val="24"/>
          <w:szCs w:val="24"/>
        </w:rPr>
        <w:t> </w:t>
      </w:r>
      <w:r w:rsidR="00A573DD">
        <w:rPr>
          <w:i/>
          <w:sz w:val="24"/>
          <w:szCs w:val="24"/>
        </w:rPr>
        <w:t> </w:t>
      </w:r>
      <w:r w:rsidR="00A573DD">
        <w:rPr>
          <w:i/>
          <w:sz w:val="24"/>
          <w:szCs w:val="24"/>
        </w:rPr>
        <w:t> </w:t>
      </w:r>
      <w:r w:rsidR="00A573DD">
        <w:rPr>
          <w:i/>
          <w:sz w:val="24"/>
          <w:szCs w:val="24"/>
        </w:rPr>
        <w:t> </w:t>
      </w:r>
      <w:r w:rsidR="00A573DD">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720EA9" w:rsidRDefault="00C55FDF" w:rsidP="00CA7795">
      <w:pPr>
        <w:jc w:val="center"/>
        <w:rPr>
          <w:rFonts w:ascii="Bookman Old Style" w:hAnsi="Bookman Old Style"/>
          <w:b/>
          <w:sz w:val="24"/>
          <w:szCs w:val="24"/>
        </w:rPr>
      </w:pPr>
      <w:r w:rsidRPr="00720EA9">
        <w:rPr>
          <w:rFonts w:ascii="Bookman Old Style" w:hAnsi="Bookman Old Style"/>
          <w:b/>
          <w:sz w:val="24"/>
          <w:szCs w:val="24"/>
        </w:rPr>
        <w:t>IN THE SUPREME COURT OF SEYCHELLES</w:t>
      </w:r>
    </w:p>
    <w:p w:rsidR="00C55FDF" w:rsidRPr="00720EA9" w:rsidRDefault="00C55FDF" w:rsidP="0006489F">
      <w:pPr>
        <w:spacing w:before="240"/>
        <w:jc w:val="center"/>
        <w:rPr>
          <w:rFonts w:ascii="Bookman Old Style" w:hAnsi="Bookman Old Style"/>
          <w:b/>
          <w:sz w:val="24"/>
          <w:szCs w:val="24"/>
        </w:rPr>
      </w:pPr>
      <w:r w:rsidRPr="00720EA9">
        <w:rPr>
          <w:rFonts w:ascii="Bookman Old Style" w:hAnsi="Bookman Old Style"/>
          <w:b/>
          <w:sz w:val="24"/>
          <w:szCs w:val="24"/>
        </w:rPr>
        <w:t>C</w:t>
      </w:r>
      <w:r w:rsidR="00B23E73" w:rsidRPr="00720EA9">
        <w:rPr>
          <w:rFonts w:ascii="Bookman Old Style" w:hAnsi="Bookman Old Style"/>
          <w:b/>
          <w:sz w:val="24"/>
          <w:szCs w:val="24"/>
        </w:rPr>
        <w:t xml:space="preserve">ivil </w:t>
      </w:r>
      <w:r w:rsidRPr="00720EA9">
        <w:rPr>
          <w:rFonts w:ascii="Bookman Old Style" w:hAnsi="Bookman Old Style"/>
          <w:b/>
          <w:sz w:val="24"/>
          <w:szCs w:val="24"/>
        </w:rPr>
        <w:t>S</w:t>
      </w:r>
      <w:r w:rsidR="00BF5CC9" w:rsidRPr="00720EA9">
        <w:rPr>
          <w:rFonts w:ascii="Bookman Old Style" w:hAnsi="Bookman Old Style"/>
          <w:b/>
          <w:sz w:val="24"/>
          <w:szCs w:val="24"/>
        </w:rPr>
        <w:t xml:space="preserve">ide: </w:t>
      </w:r>
      <w:bookmarkStart w:id="2" w:name="Dropdown10"/>
      <w:r w:rsidR="0061364F" w:rsidRPr="00720EA9">
        <w:rPr>
          <w:rFonts w:ascii="Bookman Old Style" w:hAnsi="Bookman Old Style"/>
          <w:b/>
          <w:sz w:val="24"/>
          <w:szCs w:val="24"/>
        </w:rPr>
        <w:fldChar w:fldCharType="begin">
          <w:ffData>
            <w:name w:val="Dropdown10"/>
            <w:enabled/>
            <w:calcOnExit w:val="0"/>
            <w:ddList>
              <w:listEntry w:val="CS"/>
              <w:listEntry w:val="CC"/>
              <w:listEntry w:val="CM"/>
            </w:ddList>
          </w:ffData>
        </w:fldChar>
      </w:r>
      <w:r w:rsidR="00B40898" w:rsidRPr="00720EA9">
        <w:rPr>
          <w:rFonts w:ascii="Bookman Old Style" w:hAnsi="Bookman Old Style"/>
          <w:b/>
          <w:sz w:val="24"/>
          <w:szCs w:val="24"/>
        </w:rPr>
        <w:instrText xml:space="preserve"> FORMDROPDOWN </w:instrText>
      </w:r>
      <w:r w:rsidR="0061364F" w:rsidRPr="00720EA9">
        <w:rPr>
          <w:rFonts w:ascii="Bookman Old Style" w:hAnsi="Bookman Old Style"/>
          <w:b/>
          <w:sz w:val="24"/>
          <w:szCs w:val="24"/>
        </w:rPr>
      </w:r>
      <w:r w:rsidR="0061364F" w:rsidRPr="00720EA9">
        <w:rPr>
          <w:rFonts w:ascii="Bookman Old Style" w:hAnsi="Bookman Old Style"/>
          <w:b/>
          <w:sz w:val="24"/>
          <w:szCs w:val="24"/>
        </w:rPr>
        <w:fldChar w:fldCharType="end"/>
      </w:r>
      <w:bookmarkEnd w:id="2"/>
      <w:r w:rsidR="00D26133">
        <w:rPr>
          <w:rFonts w:ascii="Bookman Old Style" w:hAnsi="Bookman Old Style"/>
          <w:b/>
          <w:sz w:val="24"/>
          <w:szCs w:val="24"/>
        </w:rPr>
        <w:t>154</w:t>
      </w:r>
      <w:r w:rsidRPr="00720EA9">
        <w:rPr>
          <w:rFonts w:ascii="Bookman Old Style" w:hAnsi="Bookman Old Style"/>
          <w:b/>
          <w:sz w:val="24"/>
          <w:szCs w:val="24"/>
        </w:rPr>
        <w:t>/</w:t>
      </w:r>
      <w:r w:rsidR="00C87FCA" w:rsidRPr="00720EA9">
        <w:rPr>
          <w:rFonts w:ascii="Bookman Old Style" w:hAnsi="Bookman Old Style"/>
          <w:b/>
          <w:sz w:val="24"/>
          <w:szCs w:val="24"/>
        </w:rPr>
        <w:t>20</w:t>
      </w:r>
      <w:r w:rsidR="00D26133">
        <w:rPr>
          <w:rFonts w:ascii="Bookman Old Style" w:hAnsi="Bookman Old Style"/>
          <w:b/>
          <w:sz w:val="24"/>
          <w:szCs w:val="24"/>
        </w:rPr>
        <w:t>12</w:t>
      </w:r>
    </w:p>
    <w:p w:rsidR="00DB6D34" w:rsidRPr="00720EA9" w:rsidRDefault="00DB6D34" w:rsidP="003651F4">
      <w:pPr>
        <w:spacing w:before="240" w:after="160"/>
        <w:ind w:left="6480"/>
        <w:rPr>
          <w:rFonts w:ascii="Bookman Old Style" w:hAnsi="Bookman Old Style"/>
          <w:b/>
          <w:sz w:val="24"/>
          <w:szCs w:val="24"/>
        </w:rPr>
      </w:pPr>
      <w:r w:rsidRPr="00720EA9">
        <w:rPr>
          <w:rFonts w:ascii="Bookman Old Style" w:hAnsi="Bookman Old Style"/>
          <w:b/>
          <w:sz w:val="24"/>
          <w:szCs w:val="24"/>
        </w:rPr>
        <w:t>[201</w:t>
      </w:r>
      <w:r w:rsidR="00D26133">
        <w:rPr>
          <w:rFonts w:ascii="Bookman Old Style" w:hAnsi="Bookman Old Style"/>
          <w:b/>
          <w:sz w:val="24"/>
          <w:szCs w:val="24"/>
        </w:rPr>
        <w:t>6</w:t>
      </w:r>
      <w:r w:rsidR="0061364F" w:rsidRPr="00720EA9">
        <w:rPr>
          <w:rFonts w:ascii="Bookman Old Style" w:hAnsi="Bookman Old Style"/>
          <w:b/>
          <w:sz w:val="24"/>
          <w:szCs w:val="24"/>
        </w:rPr>
        <w:fldChar w:fldCharType="begin"/>
      </w:r>
      <w:r w:rsidR="0061364F" w:rsidRPr="00720EA9">
        <w:rPr>
          <w:rFonts w:ascii="Bookman Old Style" w:hAnsi="Bookman Old Style"/>
          <w:b/>
          <w:sz w:val="24"/>
          <w:szCs w:val="24"/>
        </w:rPr>
        <w:fldChar w:fldCharType="end"/>
      </w:r>
      <w:r w:rsidRPr="00720EA9">
        <w:rPr>
          <w:rFonts w:ascii="Bookman Old Style" w:hAnsi="Bookman Old Style"/>
          <w:b/>
          <w:sz w:val="24"/>
          <w:szCs w:val="24"/>
        </w:rPr>
        <w:t>] SCSC</w:t>
      </w:r>
      <w:r w:rsidR="00BA6BDB">
        <w:rPr>
          <w:rFonts w:ascii="Bookman Old Style" w:hAnsi="Bookman Old Style"/>
          <w:b/>
          <w:sz w:val="24"/>
          <w:szCs w:val="24"/>
        </w:rPr>
        <w:t>166</w:t>
      </w:r>
    </w:p>
    <w:p w:rsidR="00C55FDF" w:rsidRPr="00720EA9" w:rsidRDefault="00C55FDF" w:rsidP="00E57D4D">
      <w:pPr>
        <w:pBdr>
          <w:bottom w:val="single" w:sz="4" w:space="5" w:color="auto"/>
        </w:pBdr>
        <w:jc w:val="center"/>
        <w:rPr>
          <w:rFonts w:ascii="Bookman Old Style" w:hAnsi="Bookman Old Style"/>
          <w:b/>
          <w:sz w:val="24"/>
          <w:szCs w:val="24"/>
        </w:rPr>
      </w:pPr>
    </w:p>
    <w:p w:rsidR="00612AD5" w:rsidRDefault="00612AD5" w:rsidP="0096428F">
      <w:pPr>
        <w:jc w:val="center"/>
        <w:rPr>
          <w:rFonts w:ascii="Bookman Old Style" w:hAnsi="Bookman Old Style"/>
          <w:sz w:val="24"/>
          <w:szCs w:val="24"/>
        </w:rPr>
      </w:pPr>
      <w:bookmarkStart w:id="3" w:name="Text20"/>
    </w:p>
    <w:p w:rsidR="0096428F" w:rsidRPr="00720EA9" w:rsidRDefault="00D26133" w:rsidP="00B40898">
      <w:pPr>
        <w:spacing w:after="240"/>
        <w:jc w:val="center"/>
        <w:rPr>
          <w:rFonts w:ascii="Bookman Old Style" w:hAnsi="Bookman Old Style"/>
          <w:b/>
          <w:sz w:val="24"/>
          <w:szCs w:val="24"/>
        </w:rPr>
      </w:pPr>
      <w:bookmarkStart w:id="4" w:name="Dropdown13"/>
      <w:bookmarkEnd w:id="3"/>
      <w:r>
        <w:rPr>
          <w:rFonts w:ascii="Bookman Old Style" w:hAnsi="Bookman Old Style"/>
          <w:b/>
          <w:sz w:val="24"/>
          <w:szCs w:val="24"/>
        </w:rPr>
        <w:t>EDEN ISLAND DEVELOPMENT COMPA</w:t>
      </w:r>
      <w:r w:rsidR="00AD5D64">
        <w:rPr>
          <w:rFonts w:ascii="Bookman Old Style" w:hAnsi="Bookman Old Style"/>
          <w:b/>
          <w:sz w:val="24"/>
          <w:szCs w:val="24"/>
        </w:rPr>
        <w:t>NY (SEYCHELLE</w:t>
      </w:r>
      <w:r>
        <w:rPr>
          <w:rFonts w:ascii="Bookman Old Style" w:hAnsi="Bookman Old Style"/>
          <w:b/>
          <w:sz w:val="24"/>
          <w:szCs w:val="24"/>
        </w:rPr>
        <w:t>S) LTD</w:t>
      </w:r>
      <w:r w:rsidR="00AD5D64">
        <w:rPr>
          <w:rFonts w:ascii="Bookman Old Style" w:hAnsi="Bookman Old Style"/>
          <w:b/>
          <w:sz w:val="24"/>
          <w:szCs w:val="24"/>
        </w:rPr>
        <w:t xml:space="preserve"> A COMPANY INCORPORATED IN SEYCHELLES, WITH REGISTERED OFFICE SITUATE AT HOUSE OF NSUYA, REVOLUTION AVENUE, VICTORIA, MAHE, SEYCHELLES</w:t>
      </w:r>
    </w:p>
    <w:p w:rsidR="00B40898" w:rsidRPr="00720EA9" w:rsidRDefault="0061364F" w:rsidP="00B40898">
      <w:pPr>
        <w:spacing w:after="240"/>
        <w:jc w:val="center"/>
        <w:rPr>
          <w:rFonts w:ascii="Bookman Old Style" w:hAnsi="Bookman Old Style"/>
          <w:sz w:val="24"/>
          <w:szCs w:val="24"/>
        </w:rPr>
        <w:sectPr w:rsidR="00B40898" w:rsidRPr="00720EA9" w:rsidSect="00F34FB5">
          <w:footerReference w:type="default" r:id="rId8"/>
          <w:type w:val="continuous"/>
          <w:pgSz w:w="12240" w:h="15840"/>
          <w:pgMar w:top="1080" w:right="1440" w:bottom="1440" w:left="1440" w:header="720" w:footer="720" w:gutter="0"/>
          <w:cols w:space="720"/>
          <w:docGrid w:linePitch="360"/>
        </w:sectPr>
      </w:pPr>
      <w:r w:rsidRPr="00720EA9">
        <w:rPr>
          <w:rFonts w:ascii="Bookman Old Style" w:hAnsi="Bookman Old Style"/>
          <w:sz w:val="24"/>
          <w:szCs w:val="24"/>
        </w:rPr>
        <w:fldChar w:fldCharType="begin">
          <w:ffData>
            <w:name w:val="Dropdown13"/>
            <w:enabled/>
            <w:calcOnExit w:val="0"/>
            <w:ddList>
              <w:listEntry w:val="Plaintiff"/>
              <w:listEntry w:val="First Plaintiff"/>
            </w:ddList>
          </w:ffData>
        </w:fldChar>
      </w:r>
      <w:r w:rsidR="00B40898"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4"/>
    </w:p>
    <w:p w:rsidR="00FB2453" w:rsidRPr="00720EA9" w:rsidRDefault="00FB2453" w:rsidP="00B40898">
      <w:pPr>
        <w:spacing w:before="120"/>
        <w:jc w:val="center"/>
        <w:rPr>
          <w:rFonts w:ascii="Bookman Old Style" w:hAnsi="Bookman Old Style"/>
          <w:sz w:val="24"/>
          <w:szCs w:val="24"/>
        </w:rPr>
      </w:pPr>
      <w:r w:rsidRPr="00720EA9">
        <w:rPr>
          <w:rFonts w:ascii="Bookman Old Style" w:hAnsi="Bookman Old Style"/>
          <w:sz w:val="24"/>
          <w:szCs w:val="24"/>
        </w:rPr>
        <w:lastRenderedPageBreak/>
        <w:t>versus</w:t>
      </w:r>
    </w:p>
    <w:p w:rsidR="00FB2453" w:rsidRDefault="00FB2453" w:rsidP="003862CB">
      <w:pPr>
        <w:jc w:val="center"/>
        <w:rPr>
          <w:rFonts w:ascii="Bookman Old Style" w:hAnsi="Bookman Old Style"/>
          <w:sz w:val="24"/>
          <w:szCs w:val="24"/>
        </w:rPr>
      </w:pPr>
    </w:p>
    <w:p w:rsidR="00B119B1" w:rsidRDefault="00AD5D64" w:rsidP="003862CB">
      <w:pPr>
        <w:jc w:val="center"/>
        <w:rPr>
          <w:rFonts w:ascii="Bookman Old Style" w:hAnsi="Bookman Old Style"/>
          <w:b/>
          <w:sz w:val="24"/>
          <w:szCs w:val="24"/>
        </w:rPr>
      </w:pPr>
      <w:r>
        <w:rPr>
          <w:rFonts w:ascii="Bookman Old Style" w:hAnsi="Bookman Old Style"/>
          <w:b/>
          <w:sz w:val="24"/>
          <w:szCs w:val="24"/>
        </w:rPr>
        <w:t>WSP CONSULTING ENGINEERS (PTY) LTD, A COMPANY INCORPORATED IN SOUTH AFRICA, HAVING A PLACE OF BUSINESS AT 3</w:t>
      </w:r>
      <w:r w:rsidRPr="00AD5D64">
        <w:rPr>
          <w:rFonts w:ascii="Bookman Old Style" w:hAnsi="Bookman Old Style"/>
          <w:b/>
          <w:sz w:val="24"/>
          <w:szCs w:val="24"/>
          <w:vertAlign w:val="superscript"/>
        </w:rPr>
        <w:t>RD</w:t>
      </w:r>
      <w:r>
        <w:rPr>
          <w:rFonts w:ascii="Bookman Old Style" w:hAnsi="Bookman Old Style"/>
          <w:b/>
          <w:sz w:val="24"/>
          <w:szCs w:val="24"/>
        </w:rPr>
        <w:t xml:space="preserve"> FLOOR, 35 WALE STREET, CAPE TOWN, 8001, SOUTH AFRICA</w:t>
      </w:r>
    </w:p>
    <w:p w:rsidR="00AD5D64" w:rsidRPr="00BB1800" w:rsidRDefault="00AD5D64" w:rsidP="003862CB">
      <w:pPr>
        <w:jc w:val="center"/>
        <w:rPr>
          <w:rFonts w:ascii="Bookman Old Style" w:hAnsi="Bookman Old Style"/>
          <w:sz w:val="24"/>
          <w:szCs w:val="24"/>
        </w:rPr>
      </w:pPr>
      <w:r w:rsidRPr="00BB1800">
        <w:rPr>
          <w:rFonts w:ascii="Bookman Old Style" w:hAnsi="Bookman Old Style"/>
          <w:sz w:val="24"/>
          <w:szCs w:val="24"/>
        </w:rPr>
        <w:t>1</w:t>
      </w:r>
      <w:r w:rsidR="0043118B">
        <w:rPr>
          <w:rFonts w:ascii="Bookman Old Style" w:hAnsi="Bookman Old Style"/>
          <w:sz w:val="24"/>
          <w:szCs w:val="24"/>
          <w:vertAlign w:val="superscript"/>
        </w:rPr>
        <w:t>st</w:t>
      </w:r>
      <w:r w:rsidRPr="00BB1800">
        <w:rPr>
          <w:rFonts w:ascii="Bookman Old Style" w:hAnsi="Bookman Old Style"/>
          <w:sz w:val="24"/>
          <w:szCs w:val="24"/>
        </w:rPr>
        <w:t xml:space="preserve"> D</w:t>
      </w:r>
      <w:r w:rsidR="00BB1800">
        <w:rPr>
          <w:rFonts w:ascii="Bookman Old Style" w:hAnsi="Bookman Old Style"/>
          <w:sz w:val="24"/>
          <w:szCs w:val="24"/>
        </w:rPr>
        <w:t>efendant</w:t>
      </w:r>
    </w:p>
    <w:p w:rsidR="00AD5D64" w:rsidRDefault="00AD5D64" w:rsidP="003862CB">
      <w:pPr>
        <w:jc w:val="center"/>
        <w:rPr>
          <w:rFonts w:ascii="Bookman Old Style" w:hAnsi="Bookman Old Style"/>
          <w:b/>
          <w:sz w:val="24"/>
          <w:szCs w:val="24"/>
        </w:rPr>
      </w:pPr>
    </w:p>
    <w:p w:rsidR="00AD5D64" w:rsidRDefault="00AD5D64" w:rsidP="003862CB">
      <w:pPr>
        <w:jc w:val="center"/>
        <w:rPr>
          <w:rFonts w:ascii="Bookman Old Style" w:hAnsi="Bookman Old Style"/>
          <w:b/>
          <w:sz w:val="24"/>
          <w:szCs w:val="24"/>
        </w:rPr>
      </w:pPr>
      <w:r>
        <w:rPr>
          <w:rFonts w:ascii="Bookman Old Style" w:hAnsi="Bookman Old Style"/>
          <w:b/>
          <w:sz w:val="24"/>
          <w:szCs w:val="24"/>
        </w:rPr>
        <w:t>AND</w:t>
      </w:r>
    </w:p>
    <w:p w:rsidR="00AD5D64" w:rsidRDefault="00AD5D64" w:rsidP="003862CB">
      <w:pPr>
        <w:jc w:val="center"/>
        <w:rPr>
          <w:rFonts w:ascii="Bookman Old Style" w:hAnsi="Bookman Old Style"/>
          <w:b/>
          <w:sz w:val="24"/>
          <w:szCs w:val="24"/>
        </w:rPr>
      </w:pPr>
    </w:p>
    <w:p w:rsidR="0096428F" w:rsidRPr="00720EA9" w:rsidRDefault="00AD5D64" w:rsidP="003862CB">
      <w:pPr>
        <w:jc w:val="center"/>
        <w:rPr>
          <w:rFonts w:ascii="Bookman Old Style" w:hAnsi="Bookman Old Style"/>
          <w:sz w:val="24"/>
          <w:szCs w:val="24"/>
        </w:rPr>
      </w:pPr>
      <w:r>
        <w:rPr>
          <w:rFonts w:ascii="Bookman Old Style" w:hAnsi="Bookman Old Style"/>
          <w:b/>
          <w:sz w:val="24"/>
          <w:szCs w:val="24"/>
        </w:rPr>
        <w:t xml:space="preserve">ELECTRICAL AND MECHANICAL </w:t>
      </w:r>
      <w:r w:rsidR="00BB1800">
        <w:rPr>
          <w:rFonts w:ascii="Bookman Old Style" w:hAnsi="Bookman Old Style"/>
          <w:b/>
          <w:sz w:val="24"/>
          <w:szCs w:val="24"/>
        </w:rPr>
        <w:t>ENGINEERING LTD (TRADING AS EME OVERSEAS LTD) A COMPANY INCORPORATED IN MAURITIUS WITH REGISTERED OFFICE SITUATE AT 95 AVENUE VICTORIA, QUATRE-BORNES, MAURITIUS</w:t>
      </w:r>
    </w:p>
    <w:p w:rsidR="00B40898" w:rsidRPr="00720EA9" w:rsidRDefault="00BB1800" w:rsidP="00B40898">
      <w:pPr>
        <w:spacing w:after="240"/>
        <w:jc w:val="center"/>
        <w:rPr>
          <w:rFonts w:ascii="Bookman Old Style" w:hAnsi="Bookman Old Style"/>
          <w:sz w:val="24"/>
          <w:szCs w:val="24"/>
        </w:rPr>
        <w:sectPr w:rsidR="00B40898" w:rsidRPr="00720EA9" w:rsidSect="00EF2051">
          <w:type w:val="continuous"/>
          <w:pgSz w:w="12240" w:h="15840"/>
          <w:pgMar w:top="1440" w:right="1440" w:bottom="1440" w:left="1440" w:header="720" w:footer="720" w:gutter="0"/>
          <w:cols w:space="720"/>
          <w:docGrid w:linePitch="360"/>
        </w:sectPr>
      </w:pPr>
      <w:bookmarkStart w:id="5" w:name="Dropdown14"/>
      <w:r>
        <w:rPr>
          <w:rFonts w:ascii="Bookman Old Style" w:hAnsi="Bookman Old Style"/>
          <w:sz w:val="24"/>
          <w:szCs w:val="24"/>
        </w:rPr>
        <w:t>2</w:t>
      </w:r>
      <w:r w:rsidR="0043118B">
        <w:rPr>
          <w:rFonts w:ascii="Bookman Old Style" w:hAnsi="Bookman Old Style"/>
          <w:sz w:val="24"/>
          <w:szCs w:val="24"/>
          <w:vertAlign w:val="superscript"/>
        </w:rPr>
        <w:t>nd</w:t>
      </w:r>
      <w:r w:rsidR="0061364F" w:rsidRPr="00720EA9">
        <w:rPr>
          <w:rFonts w:ascii="Bookman Old Style" w:hAnsi="Bookman Old Style"/>
          <w:sz w:val="24"/>
          <w:szCs w:val="24"/>
        </w:rPr>
        <w:fldChar w:fldCharType="begin">
          <w:ffData>
            <w:name w:val="Dropdown14"/>
            <w:enabled/>
            <w:calcOnExit w:val="0"/>
            <w:ddList>
              <w:listEntry w:val="Defendant"/>
              <w:listEntry w:val="First Defendant"/>
            </w:ddList>
          </w:ffData>
        </w:fldChar>
      </w:r>
      <w:r w:rsidR="00B40898" w:rsidRPr="00720EA9">
        <w:rPr>
          <w:rFonts w:ascii="Bookman Old Style" w:hAnsi="Bookman Old Style"/>
          <w:sz w:val="24"/>
          <w:szCs w:val="24"/>
        </w:rPr>
        <w:instrText xml:space="preserve"> FORMDROPDOWN </w:instrText>
      </w:r>
      <w:r w:rsidR="0061364F" w:rsidRPr="00720EA9">
        <w:rPr>
          <w:rFonts w:ascii="Bookman Old Style" w:hAnsi="Bookman Old Style"/>
          <w:sz w:val="24"/>
          <w:szCs w:val="24"/>
        </w:rPr>
      </w:r>
      <w:r w:rsidR="0061364F" w:rsidRPr="00720EA9">
        <w:rPr>
          <w:rFonts w:ascii="Bookman Old Style" w:hAnsi="Bookman Old Style"/>
          <w:sz w:val="24"/>
          <w:szCs w:val="24"/>
        </w:rPr>
        <w:fldChar w:fldCharType="end"/>
      </w:r>
      <w:bookmarkEnd w:id="5"/>
    </w:p>
    <w:p w:rsidR="00B119B1" w:rsidRPr="00720EA9" w:rsidRDefault="00B119B1" w:rsidP="00951EC0">
      <w:pPr>
        <w:jc w:val="center"/>
        <w:rPr>
          <w:rFonts w:ascii="Bookman Old Style" w:hAnsi="Bookman Old Style"/>
          <w:sz w:val="24"/>
          <w:szCs w:val="24"/>
        </w:rPr>
        <w:sectPr w:rsidR="00B119B1" w:rsidRPr="00720EA9" w:rsidSect="00EF2051">
          <w:type w:val="continuous"/>
          <w:pgSz w:w="12240" w:h="15840"/>
          <w:pgMar w:top="1440" w:right="1440" w:bottom="1440" w:left="1440" w:header="720" w:footer="720" w:gutter="0"/>
          <w:cols w:space="720"/>
          <w:formProt w:val="0"/>
          <w:docGrid w:linePitch="360"/>
        </w:sectPr>
      </w:pPr>
    </w:p>
    <w:p w:rsidR="00E0467F" w:rsidRPr="00720EA9" w:rsidRDefault="00E0467F" w:rsidP="00E57D4D">
      <w:pPr>
        <w:pBdr>
          <w:bottom w:val="single" w:sz="4" w:space="1" w:color="auto"/>
        </w:pBdr>
        <w:jc w:val="center"/>
        <w:rPr>
          <w:rFonts w:ascii="Bookman Old Style" w:hAnsi="Bookman Old Style"/>
          <w:sz w:val="24"/>
          <w:szCs w:val="24"/>
        </w:rPr>
      </w:pPr>
    </w:p>
    <w:p w:rsidR="00E0467F" w:rsidRPr="00720EA9" w:rsidRDefault="00E0467F" w:rsidP="00C22967">
      <w:pPr>
        <w:spacing w:before="240" w:after="120"/>
        <w:rPr>
          <w:rFonts w:ascii="Bookman Old Style" w:hAnsi="Bookman Old Style"/>
          <w:sz w:val="24"/>
          <w:szCs w:val="24"/>
        </w:rPr>
      </w:pPr>
      <w:r w:rsidRPr="00720EA9">
        <w:rPr>
          <w:rFonts w:ascii="Bookman Old Style" w:hAnsi="Bookman Old Style"/>
          <w:sz w:val="24"/>
          <w:szCs w:val="24"/>
        </w:rPr>
        <w:t>Hear</w:t>
      </w:r>
      <w:r w:rsidR="00E6492F" w:rsidRPr="00720EA9">
        <w:rPr>
          <w:rFonts w:ascii="Bookman Old Style" w:hAnsi="Bookman Old Style"/>
          <w:sz w:val="24"/>
          <w:szCs w:val="24"/>
        </w:rPr>
        <w:t>d</w:t>
      </w:r>
      <w:r w:rsidRPr="00720EA9">
        <w:rPr>
          <w:rFonts w:ascii="Bookman Old Style" w:hAnsi="Bookman Old Style"/>
          <w:sz w:val="24"/>
          <w:szCs w:val="24"/>
        </w:rPr>
        <w:t>:</w:t>
      </w:r>
      <w:r w:rsidR="00E6492F" w:rsidRPr="00720EA9">
        <w:rPr>
          <w:rFonts w:ascii="Bookman Old Style" w:hAnsi="Bookman Old Style"/>
          <w:sz w:val="24"/>
          <w:szCs w:val="24"/>
        </w:rPr>
        <w:tab/>
      </w:r>
      <w:r w:rsidRPr="00720EA9">
        <w:rPr>
          <w:rFonts w:ascii="Bookman Old Style" w:hAnsi="Bookman Old Style"/>
          <w:sz w:val="24"/>
          <w:szCs w:val="24"/>
        </w:rPr>
        <w:tab/>
      </w:r>
      <w:r w:rsidR="00BB1800">
        <w:rPr>
          <w:rFonts w:ascii="Bookman Old Style" w:hAnsi="Bookman Old Style"/>
          <w:sz w:val="24"/>
          <w:szCs w:val="24"/>
        </w:rPr>
        <w:t>27</w:t>
      </w:r>
      <w:r w:rsidR="00BB1800" w:rsidRPr="00BB1800">
        <w:rPr>
          <w:rFonts w:ascii="Bookman Old Style" w:hAnsi="Bookman Old Style"/>
          <w:sz w:val="24"/>
          <w:szCs w:val="24"/>
          <w:vertAlign w:val="superscript"/>
        </w:rPr>
        <w:t>th</w:t>
      </w:r>
      <w:r w:rsidR="00BB1800">
        <w:rPr>
          <w:rFonts w:ascii="Bookman Old Style" w:hAnsi="Bookman Old Style"/>
          <w:sz w:val="24"/>
          <w:szCs w:val="24"/>
        </w:rPr>
        <w:t xml:space="preserve"> January 2016</w:t>
      </w:r>
      <w:r w:rsidR="0061364F" w:rsidRPr="00720EA9">
        <w:rPr>
          <w:rFonts w:ascii="Bookman Old Style" w:hAnsi="Bookman Old Style"/>
          <w:sz w:val="24"/>
          <w:szCs w:val="24"/>
        </w:rPr>
        <w:fldChar w:fldCharType="begin"/>
      </w:r>
      <w:r w:rsidR="0061364F" w:rsidRPr="00720EA9">
        <w:rPr>
          <w:rFonts w:ascii="Bookman Old Style" w:hAnsi="Bookman Old Style"/>
          <w:sz w:val="24"/>
          <w:szCs w:val="24"/>
        </w:rPr>
        <w:fldChar w:fldCharType="end"/>
      </w:r>
    </w:p>
    <w:p w:rsidR="00BB1800" w:rsidRDefault="00E0467F" w:rsidP="009E05E5">
      <w:pPr>
        <w:rPr>
          <w:rFonts w:ascii="Bookman Old Style" w:hAnsi="Bookman Old Style"/>
          <w:sz w:val="24"/>
          <w:szCs w:val="24"/>
        </w:rPr>
      </w:pPr>
      <w:r w:rsidRPr="00720EA9">
        <w:rPr>
          <w:rFonts w:ascii="Bookman Old Style" w:hAnsi="Bookman Old Style"/>
          <w:sz w:val="24"/>
          <w:szCs w:val="24"/>
        </w:rPr>
        <w:t>Counsel:</w:t>
      </w:r>
      <w:r w:rsidRPr="00720EA9">
        <w:rPr>
          <w:rFonts w:ascii="Bookman Old Style" w:hAnsi="Bookman Old Style"/>
          <w:sz w:val="24"/>
          <w:szCs w:val="24"/>
        </w:rPr>
        <w:tab/>
      </w:r>
      <w:r w:rsidRPr="00720EA9">
        <w:rPr>
          <w:rFonts w:ascii="Bookman Old Style" w:hAnsi="Bookman Old Style"/>
          <w:sz w:val="24"/>
          <w:szCs w:val="24"/>
        </w:rPr>
        <w:tab/>
      </w:r>
      <w:r w:rsidR="00BB1800">
        <w:rPr>
          <w:rFonts w:ascii="Bookman Old Style" w:hAnsi="Bookman Old Style"/>
          <w:sz w:val="24"/>
          <w:szCs w:val="24"/>
        </w:rPr>
        <w:t>Mr. K</w:t>
      </w:r>
      <w:r w:rsidR="0096428F" w:rsidRPr="00720EA9">
        <w:rPr>
          <w:rFonts w:ascii="Bookman Old Style" w:hAnsi="Bookman Old Style"/>
          <w:sz w:val="24"/>
          <w:szCs w:val="24"/>
        </w:rPr>
        <w:t xml:space="preserve">. </w:t>
      </w:r>
      <w:r w:rsidR="00BB1800">
        <w:rPr>
          <w:rFonts w:ascii="Bookman Old Style" w:hAnsi="Bookman Old Style"/>
          <w:sz w:val="24"/>
          <w:szCs w:val="24"/>
        </w:rPr>
        <w:t>Shah</w:t>
      </w:r>
      <w:r w:rsidR="00BA6BDB">
        <w:rPr>
          <w:rFonts w:ascii="Bookman Old Style" w:hAnsi="Bookman Old Style"/>
          <w:sz w:val="24"/>
          <w:szCs w:val="24"/>
        </w:rPr>
        <w:t xml:space="preserve"> </w:t>
      </w:r>
      <w:r w:rsidR="0061364F"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Appellant Lawyer full name"  \* MERGEFORMAT </w:instrText>
      </w:r>
      <w:r w:rsidR="0061364F" w:rsidRPr="00720EA9">
        <w:rPr>
          <w:rFonts w:ascii="Bookman Old Style" w:hAnsi="Bookman Old Style"/>
          <w:sz w:val="24"/>
          <w:szCs w:val="24"/>
        </w:rPr>
        <w:fldChar w:fldCharType="end"/>
      </w:r>
      <w:r w:rsidR="0061364F" w:rsidRPr="00720EA9">
        <w:rPr>
          <w:rFonts w:ascii="Bookman Old Style" w:hAnsi="Bookman Old Style"/>
          <w:sz w:val="24"/>
          <w:szCs w:val="24"/>
        </w:rPr>
        <w:fldChar w:fldCharType="begin"/>
      </w:r>
      <w:r w:rsidR="0061364F" w:rsidRPr="00720EA9">
        <w:rPr>
          <w:rFonts w:ascii="Bookman Old Style" w:hAnsi="Bookman Old Style"/>
          <w:sz w:val="24"/>
          <w:szCs w:val="24"/>
        </w:rPr>
        <w:fldChar w:fldCharType="end"/>
      </w:r>
      <w:r w:rsidR="009E05E5" w:rsidRPr="00720EA9">
        <w:rPr>
          <w:rFonts w:ascii="Bookman Old Style" w:hAnsi="Bookman Old Style"/>
          <w:sz w:val="24"/>
          <w:szCs w:val="24"/>
        </w:rPr>
        <w:t xml:space="preserve">for </w:t>
      </w:r>
      <w:r w:rsidR="00BB1800">
        <w:rPr>
          <w:rFonts w:ascii="Bookman Old Style" w:hAnsi="Bookman Old Style"/>
          <w:sz w:val="24"/>
          <w:szCs w:val="24"/>
        </w:rPr>
        <w:t xml:space="preserve">Plaintiff </w:t>
      </w:r>
    </w:p>
    <w:p w:rsidR="005F5FB0" w:rsidRPr="00720EA9" w:rsidRDefault="005F5FB0" w:rsidP="009E05E5">
      <w:pPr>
        <w:rPr>
          <w:rFonts w:ascii="Bookman Old Style" w:hAnsi="Bookman Old Style"/>
          <w:sz w:val="24"/>
          <w:szCs w:val="24"/>
        </w:rPr>
        <w:sectPr w:rsidR="005F5FB0" w:rsidRPr="00720EA9" w:rsidSect="00EF2051">
          <w:type w:val="continuous"/>
          <w:pgSz w:w="12240" w:h="15840"/>
          <w:pgMar w:top="1440" w:right="1440" w:bottom="1440" w:left="1440" w:header="720" w:footer="720" w:gutter="0"/>
          <w:cols w:space="720"/>
          <w:docGrid w:linePitch="360"/>
        </w:sectPr>
      </w:pPr>
      <w:r w:rsidRPr="00720EA9">
        <w:rPr>
          <w:rFonts w:ascii="Bookman Old Style" w:hAnsi="Bookman Old Style"/>
          <w:sz w:val="24"/>
          <w:szCs w:val="24"/>
        </w:rPr>
        <w:tab/>
      </w:r>
      <w:r w:rsidRPr="00720EA9">
        <w:rPr>
          <w:rFonts w:ascii="Bookman Old Style" w:hAnsi="Bookman Old Style"/>
          <w:sz w:val="24"/>
          <w:szCs w:val="24"/>
        </w:rPr>
        <w:tab/>
      </w:r>
      <w:r w:rsidRPr="00720EA9">
        <w:rPr>
          <w:rFonts w:ascii="Bookman Old Style" w:hAnsi="Bookman Old Style"/>
          <w:sz w:val="24"/>
          <w:szCs w:val="24"/>
        </w:rPr>
        <w:tab/>
      </w:r>
      <w:r w:rsidR="0061364F" w:rsidRPr="00720EA9">
        <w:rPr>
          <w:rFonts w:ascii="Bookman Old Style" w:hAnsi="Bookman Old Style"/>
          <w:sz w:val="24"/>
          <w:szCs w:val="24"/>
        </w:rPr>
        <w:fldChar w:fldCharType="begin">
          <w:ffData>
            <w:name w:val="Text36"/>
            <w:enabled/>
            <w:calcOnExit w:val="0"/>
            <w:textInput/>
          </w:ffData>
        </w:fldChar>
      </w:r>
      <w:bookmarkStart w:id="6" w:name="Text36"/>
      <w:r w:rsidRPr="00720EA9">
        <w:rPr>
          <w:rFonts w:ascii="Bookman Old Style" w:hAnsi="Bookman Old Style"/>
          <w:sz w:val="24"/>
          <w:szCs w:val="24"/>
        </w:rPr>
        <w:instrText xml:space="preserve"> FORMTEXT </w:instrText>
      </w:r>
      <w:r w:rsidR="0061364F" w:rsidRPr="00720EA9">
        <w:rPr>
          <w:rFonts w:ascii="Bookman Old Style" w:hAnsi="Bookman Old Style"/>
          <w:sz w:val="24"/>
          <w:szCs w:val="24"/>
        </w:rPr>
      </w:r>
      <w:r w:rsidR="0061364F" w:rsidRPr="00720EA9">
        <w:rPr>
          <w:rFonts w:ascii="Bookman Old Style" w:hAnsi="Bookman Old Style"/>
          <w:sz w:val="24"/>
          <w:szCs w:val="24"/>
        </w:rPr>
        <w:fldChar w:fldCharType="separate"/>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Pr="00720EA9">
        <w:rPr>
          <w:rFonts w:ascii="Bookman Old Style" w:hAnsi="Bookman Old Style"/>
          <w:noProof/>
          <w:sz w:val="24"/>
          <w:szCs w:val="24"/>
        </w:rPr>
        <w:t> </w:t>
      </w:r>
      <w:r w:rsidR="0061364F" w:rsidRPr="00720EA9">
        <w:rPr>
          <w:rFonts w:ascii="Bookman Old Style" w:hAnsi="Bookman Old Style"/>
          <w:sz w:val="24"/>
          <w:szCs w:val="24"/>
        </w:rPr>
        <w:fldChar w:fldCharType="end"/>
      </w:r>
      <w:bookmarkEnd w:id="6"/>
    </w:p>
    <w:p w:rsidR="00BB1800" w:rsidRDefault="009E05E5" w:rsidP="00BB1800">
      <w:pPr>
        <w:rPr>
          <w:rFonts w:ascii="Bookman Old Style" w:hAnsi="Bookman Old Style"/>
          <w:sz w:val="24"/>
          <w:szCs w:val="24"/>
        </w:rPr>
      </w:pPr>
      <w:r w:rsidRPr="00720EA9">
        <w:rPr>
          <w:rFonts w:ascii="Bookman Old Style" w:hAnsi="Bookman Old Style"/>
          <w:sz w:val="24"/>
          <w:szCs w:val="24"/>
        </w:rPr>
        <w:lastRenderedPageBreak/>
        <w:tab/>
      </w:r>
      <w:r w:rsidRPr="00720EA9">
        <w:rPr>
          <w:rFonts w:ascii="Bookman Old Style" w:hAnsi="Bookman Old Style"/>
          <w:sz w:val="24"/>
          <w:szCs w:val="24"/>
        </w:rPr>
        <w:tab/>
      </w:r>
      <w:r w:rsidRPr="00720EA9">
        <w:rPr>
          <w:rFonts w:ascii="Bookman Old Style" w:hAnsi="Bookman Old Style"/>
          <w:sz w:val="24"/>
          <w:szCs w:val="24"/>
        </w:rPr>
        <w:tab/>
      </w:r>
      <w:r w:rsidR="0096428F" w:rsidRPr="00720EA9">
        <w:rPr>
          <w:rFonts w:ascii="Bookman Old Style" w:hAnsi="Bookman Old Style"/>
          <w:sz w:val="24"/>
          <w:szCs w:val="24"/>
        </w:rPr>
        <w:t xml:space="preserve">Mr. </w:t>
      </w:r>
      <w:r w:rsidR="00BB1800">
        <w:rPr>
          <w:rFonts w:ascii="Bookman Old Style" w:hAnsi="Bookman Old Style"/>
          <w:sz w:val="24"/>
          <w:szCs w:val="24"/>
        </w:rPr>
        <w:t xml:space="preserve">R. </w:t>
      </w:r>
      <w:proofErr w:type="spellStart"/>
      <w:r w:rsidR="00BB1800">
        <w:rPr>
          <w:rFonts w:ascii="Bookman Old Style" w:hAnsi="Bookman Old Style"/>
          <w:sz w:val="24"/>
          <w:szCs w:val="24"/>
        </w:rPr>
        <w:t>Durup</w:t>
      </w:r>
      <w:proofErr w:type="spellEnd"/>
      <w:r w:rsidR="00BB1800">
        <w:rPr>
          <w:rFonts w:ascii="Bookman Old Style" w:hAnsi="Bookman Old Style"/>
          <w:sz w:val="24"/>
          <w:szCs w:val="24"/>
        </w:rPr>
        <w:t xml:space="preserve"> for the 1</w:t>
      </w:r>
      <w:r w:rsidR="00BB1800" w:rsidRPr="00BB1800">
        <w:rPr>
          <w:rFonts w:ascii="Bookman Old Style" w:hAnsi="Bookman Old Style"/>
          <w:sz w:val="24"/>
          <w:szCs w:val="24"/>
          <w:vertAlign w:val="superscript"/>
        </w:rPr>
        <w:t>st</w:t>
      </w:r>
      <w:r w:rsidR="00BB1800">
        <w:rPr>
          <w:rFonts w:ascii="Bookman Old Style" w:hAnsi="Bookman Old Style"/>
          <w:sz w:val="24"/>
          <w:szCs w:val="24"/>
        </w:rPr>
        <w:t xml:space="preserve"> Defendant</w:t>
      </w:r>
    </w:p>
    <w:p w:rsidR="00BB1800" w:rsidRDefault="00BB1800" w:rsidP="00BB1800">
      <w:pPr>
        <w:rPr>
          <w:rFonts w:ascii="Bookman Old Style" w:hAnsi="Bookman Old Style"/>
          <w:sz w:val="24"/>
          <w:szCs w:val="24"/>
        </w:rPr>
      </w:pPr>
    </w:p>
    <w:p w:rsidR="005F5FB0" w:rsidRDefault="00BB1800" w:rsidP="00BB1800">
      <w:pPr>
        <w:ind w:left="1440" w:firstLine="720"/>
        <w:rPr>
          <w:rFonts w:ascii="Bookman Old Style" w:hAnsi="Bookman Old Style"/>
          <w:sz w:val="24"/>
          <w:szCs w:val="24"/>
        </w:rPr>
      </w:pPr>
      <w:r>
        <w:rPr>
          <w:rFonts w:ascii="Bookman Old Style" w:hAnsi="Bookman Old Style"/>
          <w:sz w:val="24"/>
          <w:szCs w:val="24"/>
        </w:rPr>
        <w:t xml:space="preserve">Mrs. A. </w:t>
      </w:r>
      <w:proofErr w:type="spellStart"/>
      <w:r>
        <w:rPr>
          <w:rFonts w:ascii="Bookman Old Style" w:hAnsi="Bookman Old Style"/>
          <w:sz w:val="24"/>
          <w:szCs w:val="24"/>
        </w:rPr>
        <w:t>Armesbury</w:t>
      </w:r>
      <w:proofErr w:type="spellEnd"/>
      <w:r>
        <w:rPr>
          <w:rFonts w:ascii="Bookman Old Style" w:hAnsi="Bookman Old Style"/>
          <w:sz w:val="24"/>
          <w:szCs w:val="24"/>
        </w:rPr>
        <w:t xml:space="preserve"> for the 2</w:t>
      </w:r>
      <w:r w:rsidRPr="00BB1800">
        <w:rPr>
          <w:rFonts w:ascii="Bookman Old Style" w:hAnsi="Bookman Old Style"/>
          <w:sz w:val="24"/>
          <w:szCs w:val="24"/>
          <w:vertAlign w:val="superscript"/>
        </w:rPr>
        <w:t>nd</w:t>
      </w:r>
      <w:r>
        <w:rPr>
          <w:rFonts w:ascii="Bookman Old Style" w:hAnsi="Bookman Old Style"/>
          <w:sz w:val="24"/>
          <w:szCs w:val="24"/>
        </w:rPr>
        <w:t xml:space="preserve"> Defendant </w:t>
      </w:r>
      <w:r w:rsidR="0061364F" w:rsidRPr="00720EA9">
        <w:rPr>
          <w:rFonts w:ascii="Bookman Old Style" w:hAnsi="Bookman Old Style"/>
          <w:sz w:val="24"/>
          <w:szCs w:val="24"/>
        </w:rPr>
        <w:fldChar w:fldCharType="begin"/>
      </w:r>
      <w:r w:rsidR="00F804CC" w:rsidRPr="00720EA9">
        <w:rPr>
          <w:rFonts w:ascii="Bookman Old Style" w:hAnsi="Bookman Old Style"/>
          <w:sz w:val="24"/>
          <w:szCs w:val="24"/>
        </w:rPr>
        <w:instrText xml:space="preserve"> ASK  "Enter Respondent Lawyer Full Name"  \* MERGEFORMAT </w:instrText>
      </w:r>
      <w:r w:rsidR="0061364F" w:rsidRPr="00720EA9">
        <w:rPr>
          <w:rFonts w:ascii="Bookman Old Style" w:hAnsi="Bookman Old Style"/>
          <w:sz w:val="24"/>
          <w:szCs w:val="24"/>
        </w:rPr>
        <w:fldChar w:fldCharType="end"/>
      </w:r>
      <w:r w:rsidR="0061364F" w:rsidRPr="00720EA9">
        <w:rPr>
          <w:rFonts w:ascii="Bookman Old Style" w:hAnsi="Bookman Old Style"/>
          <w:sz w:val="24"/>
          <w:szCs w:val="24"/>
        </w:rPr>
        <w:fldChar w:fldCharType="begin"/>
      </w:r>
      <w:r w:rsidR="0061364F" w:rsidRPr="00720EA9">
        <w:rPr>
          <w:rFonts w:ascii="Bookman Old Style" w:hAnsi="Bookman Old Style"/>
          <w:sz w:val="24"/>
          <w:szCs w:val="24"/>
        </w:rPr>
        <w:fldChar w:fldCharType="end"/>
      </w:r>
      <w:r w:rsidR="005F5FB0" w:rsidRPr="00720EA9">
        <w:rPr>
          <w:rFonts w:ascii="Bookman Old Style" w:hAnsi="Bookman Old Style"/>
          <w:sz w:val="24"/>
          <w:szCs w:val="24"/>
        </w:rPr>
        <w:tab/>
      </w:r>
      <w:r w:rsidR="0061364F" w:rsidRPr="00720EA9">
        <w:rPr>
          <w:rFonts w:ascii="Bookman Old Style" w:hAnsi="Bookman Old Style"/>
          <w:sz w:val="24"/>
          <w:szCs w:val="24"/>
        </w:rPr>
        <w:fldChar w:fldCharType="begin">
          <w:ffData>
            <w:name w:val="Text37"/>
            <w:enabled/>
            <w:calcOnExit w:val="0"/>
            <w:textInput/>
          </w:ffData>
        </w:fldChar>
      </w:r>
      <w:bookmarkStart w:id="7" w:name="Text37"/>
      <w:r w:rsidR="005F5FB0" w:rsidRPr="00720EA9">
        <w:rPr>
          <w:rFonts w:ascii="Bookman Old Style" w:hAnsi="Bookman Old Style"/>
          <w:sz w:val="24"/>
          <w:szCs w:val="24"/>
        </w:rPr>
        <w:instrText xml:space="preserve"> FORMTEXT </w:instrText>
      </w:r>
      <w:r w:rsidR="0061364F" w:rsidRPr="00720EA9">
        <w:rPr>
          <w:rFonts w:ascii="Bookman Old Style" w:hAnsi="Bookman Old Style"/>
          <w:sz w:val="24"/>
          <w:szCs w:val="24"/>
        </w:rPr>
      </w:r>
      <w:r w:rsidR="0061364F" w:rsidRPr="00720EA9">
        <w:rPr>
          <w:rFonts w:ascii="Bookman Old Style" w:hAnsi="Bookman Old Style"/>
          <w:sz w:val="24"/>
          <w:szCs w:val="24"/>
        </w:rPr>
        <w:fldChar w:fldCharType="separate"/>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5F5FB0" w:rsidRPr="00720EA9">
        <w:rPr>
          <w:rFonts w:ascii="Bookman Old Style" w:hAnsi="Bookman Old Style"/>
          <w:noProof/>
          <w:sz w:val="24"/>
          <w:szCs w:val="24"/>
        </w:rPr>
        <w:t> </w:t>
      </w:r>
      <w:r w:rsidR="0061364F" w:rsidRPr="00720EA9">
        <w:rPr>
          <w:rFonts w:ascii="Bookman Old Style" w:hAnsi="Bookman Old Style"/>
          <w:sz w:val="24"/>
          <w:szCs w:val="24"/>
        </w:rPr>
        <w:fldChar w:fldCharType="end"/>
      </w:r>
      <w:bookmarkEnd w:id="7"/>
    </w:p>
    <w:p w:rsidR="00E6492F" w:rsidRPr="00720EA9" w:rsidRDefault="00BB1800" w:rsidP="006578C2">
      <w:pPr>
        <w:spacing w:before="120" w:after="240"/>
        <w:rPr>
          <w:rFonts w:ascii="Bookman Old Style" w:hAnsi="Bookman Old Style"/>
          <w:b/>
          <w:sz w:val="24"/>
          <w:szCs w:val="24"/>
        </w:rPr>
      </w:pPr>
      <w:r>
        <w:rPr>
          <w:rFonts w:ascii="Bookman Old Style" w:hAnsi="Bookman Old Style"/>
          <w:sz w:val="24"/>
          <w:szCs w:val="24"/>
        </w:rPr>
        <w:t>De</w:t>
      </w:r>
      <w:r w:rsidR="00E6492F" w:rsidRPr="00720EA9">
        <w:rPr>
          <w:rFonts w:ascii="Bookman Old Style" w:hAnsi="Bookman Old Style"/>
          <w:sz w:val="24"/>
          <w:szCs w:val="24"/>
        </w:rPr>
        <w:t>livered</w:t>
      </w:r>
      <w:r w:rsidR="00E0467F" w:rsidRPr="00720EA9">
        <w:rPr>
          <w:rFonts w:ascii="Bookman Old Style" w:hAnsi="Bookman Old Style"/>
          <w:sz w:val="24"/>
          <w:szCs w:val="24"/>
        </w:rPr>
        <w:t>:</w:t>
      </w:r>
      <w:r w:rsidR="00E0467F" w:rsidRPr="00720EA9">
        <w:rPr>
          <w:rFonts w:ascii="Bookman Old Style" w:hAnsi="Bookman Old Style"/>
          <w:sz w:val="24"/>
          <w:szCs w:val="24"/>
        </w:rPr>
        <w:tab/>
      </w:r>
      <w:r w:rsidR="00E0467F" w:rsidRPr="00720EA9">
        <w:rPr>
          <w:rFonts w:ascii="Bookman Old Style" w:hAnsi="Bookman Old Style"/>
          <w:sz w:val="24"/>
          <w:szCs w:val="24"/>
        </w:rPr>
        <w:tab/>
      </w:r>
      <w:r>
        <w:rPr>
          <w:rFonts w:ascii="Bookman Old Style" w:hAnsi="Bookman Old Style"/>
          <w:sz w:val="24"/>
          <w:szCs w:val="24"/>
        </w:rPr>
        <w:t>11</w:t>
      </w:r>
      <w:r w:rsidRPr="00BB1800">
        <w:rPr>
          <w:rFonts w:ascii="Bookman Old Style" w:hAnsi="Bookman Old Style"/>
          <w:sz w:val="24"/>
          <w:szCs w:val="24"/>
          <w:vertAlign w:val="superscript"/>
        </w:rPr>
        <w:t>th</w:t>
      </w:r>
      <w:r w:rsidR="007E7771">
        <w:rPr>
          <w:rFonts w:ascii="Bookman Old Style" w:hAnsi="Bookman Old Style"/>
          <w:sz w:val="24"/>
          <w:szCs w:val="24"/>
          <w:vertAlign w:val="superscript"/>
        </w:rPr>
        <w:t xml:space="preserve"> </w:t>
      </w:r>
      <w:r w:rsidR="00BA6BDB">
        <w:rPr>
          <w:rFonts w:ascii="Bookman Old Style" w:hAnsi="Bookman Old Style"/>
          <w:sz w:val="24"/>
          <w:szCs w:val="24"/>
          <w:vertAlign w:val="superscript"/>
        </w:rPr>
        <w:t xml:space="preserve"> </w:t>
      </w:r>
      <w:r w:rsidR="00720EA9">
        <w:rPr>
          <w:rFonts w:ascii="Bookman Old Style" w:hAnsi="Bookman Old Style"/>
          <w:sz w:val="24"/>
          <w:szCs w:val="24"/>
        </w:rPr>
        <w:t xml:space="preserve">day of </w:t>
      </w:r>
      <w:r>
        <w:rPr>
          <w:rFonts w:ascii="Bookman Old Style" w:hAnsi="Bookman Old Style"/>
          <w:sz w:val="24"/>
          <w:szCs w:val="24"/>
        </w:rPr>
        <w:t>March 2016</w:t>
      </w:r>
    </w:p>
    <w:p w:rsidR="00D06A0F" w:rsidRPr="00720EA9" w:rsidRDefault="00D06A0F" w:rsidP="00E57D4D">
      <w:pPr>
        <w:pBdr>
          <w:top w:val="dotted" w:sz="4" w:space="1" w:color="auto"/>
          <w:bottom w:val="dotted" w:sz="4" w:space="1" w:color="auto"/>
        </w:pBdr>
        <w:jc w:val="center"/>
        <w:rPr>
          <w:rFonts w:ascii="Bookman Old Style" w:hAnsi="Bookman Old Style"/>
          <w:sz w:val="24"/>
          <w:szCs w:val="24"/>
          <w:highlight w:val="lightGray"/>
        </w:rPr>
      </w:pPr>
      <w:bookmarkStart w:id="8" w:name="Dropdown2"/>
    </w:p>
    <w:bookmarkStart w:id="9" w:name="Dropdown8"/>
    <w:bookmarkEnd w:id="8"/>
    <w:p w:rsidR="00C87FCA" w:rsidRDefault="0061364F" w:rsidP="00C87FCA">
      <w:pPr>
        <w:pBdr>
          <w:top w:val="dotted" w:sz="4" w:space="1" w:color="auto"/>
          <w:bottom w:val="dotted" w:sz="4" w:space="1" w:color="auto"/>
        </w:pBdr>
        <w:jc w:val="center"/>
        <w:rPr>
          <w:rFonts w:ascii="Bookman Old Style" w:hAnsi="Bookman Old Style"/>
          <w:b/>
          <w:sz w:val="24"/>
          <w:szCs w:val="24"/>
        </w:rPr>
      </w:pPr>
      <w:r w:rsidRPr="00720EA9">
        <w:rPr>
          <w:rFonts w:ascii="Bookman Old Style" w:hAnsi="Bookman Old Style"/>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9"/>
      <w:r w:rsidR="00BB1800">
        <w:rPr>
          <w:rFonts w:ascii="Bookman Old Style" w:hAnsi="Bookman Old Style"/>
          <w:b/>
          <w:sz w:val="24"/>
          <w:szCs w:val="24"/>
        </w:rPr>
        <w:t xml:space="preserve"> ON PLEA IN LIMINE LITIS</w:t>
      </w:r>
    </w:p>
    <w:p w:rsidR="001008BC" w:rsidRPr="00720EA9" w:rsidRDefault="001008BC" w:rsidP="001008BC">
      <w:pPr>
        <w:pStyle w:val="ListParagraph"/>
        <w:widowControl/>
        <w:autoSpaceDE/>
        <w:autoSpaceDN/>
        <w:adjustRightInd/>
        <w:spacing w:line="360" w:lineRule="auto"/>
        <w:ind w:left="0"/>
        <w:contextualSpacing w:val="0"/>
        <w:jc w:val="both"/>
        <w:rPr>
          <w:rFonts w:ascii="Bookman Old Style" w:hAnsi="Bookman Old Style"/>
          <w:b/>
          <w:sz w:val="24"/>
          <w:szCs w:val="24"/>
        </w:rPr>
      </w:pPr>
    </w:p>
    <w:p w:rsidR="00C87FCA" w:rsidRPr="00720EA9" w:rsidRDefault="0061364F"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pPr>
      <w:r w:rsidRPr="00720EA9">
        <w:rPr>
          <w:rFonts w:ascii="Bookman Old Style" w:hAnsi="Bookman Old Style"/>
          <w:b/>
          <w:sz w:val="24"/>
          <w:szCs w:val="24"/>
        </w:rPr>
        <w:lastRenderedPageBreak/>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0" w:name="Dropdown9"/>
      <w:r w:rsidR="001439BF"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0"/>
    </w:p>
    <w:p w:rsidR="001008BC" w:rsidRPr="00720EA9" w:rsidRDefault="001008BC" w:rsidP="00C87FCA">
      <w:pPr>
        <w:pStyle w:val="ListParagraph"/>
        <w:widowControl/>
        <w:autoSpaceDE/>
        <w:autoSpaceDN/>
        <w:adjustRightInd/>
        <w:spacing w:after="240" w:line="360" w:lineRule="auto"/>
        <w:ind w:left="0"/>
        <w:contextualSpacing w:val="0"/>
        <w:jc w:val="both"/>
        <w:rPr>
          <w:rFonts w:ascii="Bookman Old Style" w:hAnsi="Bookman Old Style"/>
          <w:b/>
          <w:sz w:val="24"/>
          <w:szCs w:val="24"/>
        </w:rPr>
        <w:sectPr w:rsidR="001008BC" w:rsidRPr="00720EA9" w:rsidSect="00EF2051">
          <w:type w:val="continuous"/>
          <w:pgSz w:w="12240" w:h="15840"/>
          <w:pgMar w:top="1440" w:right="1440" w:bottom="1440" w:left="1440" w:header="720" w:footer="720" w:gutter="0"/>
          <w:cols w:space="720"/>
          <w:docGrid w:linePitch="360"/>
        </w:sectPr>
      </w:pPr>
    </w:p>
    <w:p w:rsidR="005248A7" w:rsidRDefault="00BB1800" w:rsidP="00453A09">
      <w:pPr>
        <w:pStyle w:val="JudgmentText"/>
        <w:rPr>
          <w:rFonts w:ascii="Bookman Old Style" w:hAnsi="Bookman Old Style"/>
        </w:rPr>
      </w:pPr>
      <w:r>
        <w:rPr>
          <w:rFonts w:ascii="Bookman Old Style" w:hAnsi="Bookman Old Style"/>
        </w:rPr>
        <w:lastRenderedPageBreak/>
        <w:t xml:space="preserve">Both </w:t>
      </w:r>
      <w:r w:rsidR="005248A7" w:rsidRPr="00720EA9">
        <w:rPr>
          <w:rFonts w:ascii="Bookman Old Style" w:hAnsi="Bookman Old Style"/>
        </w:rPr>
        <w:t>Defendant</w:t>
      </w:r>
      <w:r w:rsidR="00CF4041" w:rsidRPr="00720EA9">
        <w:rPr>
          <w:rFonts w:ascii="Bookman Old Style" w:hAnsi="Bookman Old Style"/>
        </w:rPr>
        <w:t>s</w:t>
      </w:r>
      <w:r>
        <w:rPr>
          <w:rFonts w:ascii="Bookman Old Style" w:hAnsi="Bookman Old Style"/>
        </w:rPr>
        <w:t xml:space="preserve"> in this case have</w:t>
      </w:r>
      <w:r w:rsidR="00C75207">
        <w:rPr>
          <w:rFonts w:ascii="Bookman Old Style" w:hAnsi="Bookman Old Style"/>
        </w:rPr>
        <w:t xml:space="preserve"> raised</w:t>
      </w:r>
      <w:r w:rsidR="005248A7" w:rsidRPr="00720EA9">
        <w:rPr>
          <w:rFonts w:ascii="Bookman Old Style" w:hAnsi="Bookman Old Style"/>
        </w:rPr>
        <w:t xml:space="preserve"> “plea</w:t>
      </w:r>
      <w:r w:rsidR="00C75207">
        <w:rPr>
          <w:rFonts w:ascii="Bookman Old Style" w:hAnsi="Bookman Old Style"/>
        </w:rPr>
        <w:t>s</w:t>
      </w:r>
      <w:r w:rsidR="005248A7" w:rsidRPr="00720EA9">
        <w:rPr>
          <w:rFonts w:ascii="Bookman Old Style" w:hAnsi="Bookman Old Style"/>
        </w:rPr>
        <w:t xml:space="preserve"> in</w:t>
      </w:r>
      <w:r w:rsidR="005248A7" w:rsidRPr="00BA6BDB">
        <w:rPr>
          <w:rFonts w:ascii="Bookman Old Style" w:hAnsi="Bookman Old Style"/>
          <w:i/>
        </w:rPr>
        <w:t xml:space="preserve"> </w:t>
      </w:r>
      <w:proofErr w:type="spellStart"/>
      <w:r w:rsidR="005248A7" w:rsidRPr="00BA6BDB">
        <w:rPr>
          <w:rFonts w:ascii="Bookman Old Style" w:hAnsi="Bookman Old Style"/>
          <w:i/>
        </w:rPr>
        <w:t>limine</w:t>
      </w:r>
      <w:proofErr w:type="spellEnd"/>
      <w:r w:rsidR="005248A7" w:rsidRPr="00BA6BDB">
        <w:rPr>
          <w:rFonts w:ascii="Bookman Old Style" w:hAnsi="Bookman Old Style"/>
          <w:i/>
        </w:rPr>
        <w:t xml:space="preserve"> </w:t>
      </w:r>
      <w:proofErr w:type="spellStart"/>
      <w:r w:rsidR="005248A7" w:rsidRPr="00BA6BDB">
        <w:rPr>
          <w:rFonts w:ascii="Bookman Old Style" w:hAnsi="Bookman Old Style"/>
          <w:i/>
        </w:rPr>
        <w:t>litis</w:t>
      </w:r>
      <w:proofErr w:type="spellEnd"/>
      <w:r w:rsidR="005248A7" w:rsidRPr="00720EA9">
        <w:rPr>
          <w:rFonts w:ascii="Bookman Old Style" w:hAnsi="Bookman Old Style"/>
        </w:rPr>
        <w:t xml:space="preserve">” </w:t>
      </w:r>
      <w:r w:rsidR="00C75207">
        <w:rPr>
          <w:rFonts w:ascii="Bookman Old Style" w:hAnsi="Bookman Old Style"/>
        </w:rPr>
        <w:t>three in all</w:t>
      </w:r>
      <w:r w:rsidR="00527FDB">
        <w:rPr>
          <w:rFonts w:ascii="Bookman Old Style" w:hAnsi="Bookman Old Style"/>
        </w:rPr>
        <w:t>,</w:t>
      </w:r>
      <w:r w:rsidR="00BA6BDB">
        <w:rPr>
          <w:rFonts w:ascii="Bookman Old Style" w:hAnsi="Bookman Old Style"/>
        </w:rPr>
        <w:t xml:space="preserve"> </w:t>
      </w:r>
      <w:r w:rsidR="005248A7" w:rsidRPr="00720EA9">
        <w:rPr>
          <w:rFonts w:ascii="Bookman Old Style" w:hAnsi="Bookman Old Style"/>
        </w:rPr>
        <w:t>dated</w:t>
      </w:r>
      <w:r w:rsidR="00CF4041" w:rsidRPr="00720EA9">
        <w:rPr>
          <w:rFonts w:ascii="Bookman Old Style" w:hAnsi="Bookman Old Style"/>
        </w:rPr>
        <w:t xml:space="preserve"> the </w:t>
      </w:r>
      <w:r>
        <w:rPr>
          <w:rFonts w:ascii="Bookman Old Style" w:hAnsi="Bookman Old Style"/>
        </w:rPr>
        <w:t>14</w:t>
      </w:r>
      <w:r w:rsidRPr="00BB1800">
        <w:rPr>
          <w:rFonts w:ascii="Bookman Old Style" w:hAnsi="Bookman Old Style"/>
          <w:vertAlign w:val="superscript"/>
        </w:rPr>
        <w:t>th</w:t>
      </w:r>
      <w:r>
        <w:rPr>
          <w:rFonts w:ascii="Bookman Old Style" w:hAnsi="Bookman Old Style"/>
        </w:rPr>
        <w:t xml:space="preserve"> and 21</w:t>
      </w:r>
      <w:r w:rsidRPr="00BB1800">
        <w:rPr>
          <w:rFonts w:ascii="Bookman Old Style" w:hAnsi="Bookman Old Style"/>
          <w:vertAlign w:val="superscript"/>
        </w:rPr>
        <w:t>st</w:t>
      </w:r>
      <w:r w:rsidR="00476CAC">
        <w:rPr>
          <w:rFonts w:ascii="Bookman Old Style" w:hAnsi="Bookman Old Style"/>
        </w:rPr>
        <w:t xml:space="preserve">day </w:t>
      </w:r>
      <w:r>
        <w:rPr>
          <w:rFonts w:ascii="Bookman Old Style" w:hAnsi="Bookman Old Style"/>
        </w:rPr>
        <w:t xml:space="preserve">of October </w:t>
      </w:r>
      <w:r w:rsidR="00476CAC">
        <w:rPr>
          <w:rFonts w:ascii="Bookman Old Style" w:hAnsi="Bookman Old Style"/>
        </w:rPr>
        <w:t>and 4</w:t>
      </w:r>
      <w:r w:rsidR="00476CAC" w:rsidRPr="00476CAC">
        <w:rPr>
          <w:rFonts w:ascii="Bookman Old Style" w:hAnsi="Bookman Old Style"/>
          <w:vertAlign w:val="superscript"/>
        </w:rPr>
        <w:t>th</w:t>
      </w:r>
      <w:r w:rsidR="00476CAC">
        <w:rPr>
          <w:rFonts w:ascii="Bookman Old Style" w:hAnsi="Bookman Old Style"/>
        </w:rPr>
        <w:t xml:space="preserve"> day of December </w:t>
      </w:r>
      <w:r>
        <w:rPr>
          <w:rFonts w:ascii="Bookman Old Style" w:hAnsi="Bookman Old Style"/>
        </w:rPr>
        <w:t>2015 respectively</w:t>
      </w:r>
      <w:r w:rsidR="00BA6BDB">
        <w:rPr>
          <w:rFonts w:ascii="Bookman Old Style" w:hAnsi="Bookman Old Style"/>
        </w:rPr>
        <w:t xml:space="preserve"> </w:t>
      </w:r>
      <w:r>
        <w:rPr>
          <w:rFonts w:ascii="Bookman Old Style" w:hAnsi="Bookman Old Style"/>
        </w:rPr>
        <w:t>to the following effect.</w:t>
      </w:r>
    </w:p>
    <w:p w:rsidR="00476CAC" w:rsidRPr="00E529FE" w:rsidRDefault="00476CAC" w:rsidP="00476CAC">
      <w:pPr>
        <w:pStyle w:val="JudgmentText"/>
        <w:numPr>
          <w:ilvl w:val="0"/>
          <w:numId w:val="0"/>
        </w:numPr>
        <w:ind w:left="720" w:hanging="720"/>
        <w:rPr>
          <w:rFonts w:ascii="Bookman Old Style" w:hAnsi="Bookman Old Style"/>
          <w:i/>
        </w:rPr>
      </w:pPr>
      <w:r>
        <w:rPr>
          <w:rFonts w:ascii="Bookman Old Style" w:hAnsi="Bookman Old Style"/>
        </w:rPr>
        <w:t>[2]</w:t>
      </w:r>
      <w:r>
        <w:rPr>
          <w:rFonts w:ascii="Bookman Old Style" w:hAnsi="Bookman Old Style"/>
        </w:rPr>
        <w:tab/>
      </w:r>
      <w:r w:rsidR="00BB1800" w:rsidRPr="00476CAC">
        <w:rPr>
          <w:rFonts w:ascii="Bookman Old Style" w:hAnsi="Bookman Old Style"/>
        </w:rPr>
        <w:t>Both Def</w:t>
      </w:r>
      <w:r w:rsidR="00C75207" w:rsidRPr="00476CAC">
        <w:rPr>
          <w:rFonts w:ascii="Bookman Old Style" w:hAnsi="Bookman Old Style"/>
        </w:rPr>
        <w:t xml:space="preserve">endants raised their first </w:t>
      </w:r>
      <w:r w:rsidR="00BB1800" w:rsidRPr="00476CAC">
        <w:rPr>
          <w:rFonts w:ascii="Bookman Old Style" w:hAnsi="Bookman Old Style"/>
        </w:rPr>
        <w:t xml:space="preserve">plea in </w:t>
      </w:r>
      <w:proofErr w:type="spellStart"/>
      <w:r w:rsidR="00BB1800" w:rsidRPr="00BA6BDB">
        <w:rPr>
          <w:rFonts w:ascii="Bookman Old Style" w:hAnsi="Bookman Old Style"/>
          <w:i/>
        </w:rPr>
        <w:t>limine</w:t>
      </w:r>
      <w:proofErr w:type="spellEnd"/>
      <w:r w:rsidR="00BB1800" w:rsidRPr="00BA6BDB">
        <w:rPr>
          <w:rFonts w:ascii="Bookman Old Style" w:hAnsi="Bookman Old Style"/>
          <w:i/>
        </w:rPr>
        <w:t xml:space="preserve"> </w:t>
      </w:r>
      <w:proofErr w:type="spellStart"/>
      <w:r w:rsidR="00BB1800" w:rsidRPr="00BA6BDB">
        <w:rPr>
          <w:rFonts w:ascii="Bookman Old Style" w:hAnsi="Bookman Old Style"/>
          <w:i/>
        </w:rPr>
        <w:t>litis</w:t>
      </w:r>
      <w:proofErr w:type="spellEnd"/>
      <w:r w:rsidR="00BB1800" w:rsidRPr="00476CAC">
        <w:rPr>
          <w:rFonts w:ascii="Bookman Old Style" w:hAnsi="Bookman Old Style"/>
        </w:rPr>
        <w:t xml:space="preserve"> on the groun</w:t>
      </w:r>
      <w:r w:rsidR="00E529FE">
        <w:rPr>
          <w:rFonts w:ascii="Bookman Old Style" w:hAnsi="Bookman Old Style"/>
        </w:rPr>
        <w:t xml:space="preserve">d that </w:t>
      </w:r>
      <w:r w:rsidR="00BA6BDB">
        <w:rPr>
          <w:rFonts w:ascii="Bookman Old Style" w:hAnsi="Bookman Old Style"/>
          <w:i/>
        </w:rPr>
        <w:t>the P</w:t>
      </w:r>
      <w:r w:rsidR="00E529FE" w:rsidRPr="00E529FE">
        <w:rPr>
          <w:rFonts w:ascii="Bookman Old Style" w:hAnsi="Bookman Old Style"/>
          <w:i/>
        </w:rPr>
        <w:t xml:space="preserve">laint is time barred in </w:t>
      </w:r>
      <w:r w:rsidR="00BB1800" w:rsidRPr="00E529FE">
        <w:rPr>
          <w:rFonts w:ascii="Bookman Old Style" w:hAnsi="Bookman Old Style"/>
          <w:i/>
        </w:rPr>
        <w:t xml:space="preserve">that the Plaint was issued on </w:t>
      </w:r>
      <w:r w:rsidR="000A179E" w:rsidRPr="00E529FE">
        <w:rPr>
          <w:rFonts w:ascii="Bookman Old Style" w:hAnsi="Bookman Old Style"/>
          <w:i/>
        </w:rPr>
        <w:t xml:space="preserve">or about </w:t>
      </w:r>
      <w:r w:rsidR="00BB1800" w:rsidRPr="00E529FE">
        <w:rPr>
          <w:rFonts w:ascii="Bookman Old Style" w:hAnsi="Bookman Old Style"/>
          <w:i/>
        </w:rPr>
        <w:t>the 28</w:t>
      </w:r>
      <w:r w:rsidR="00BB1800" w:rsidRPr="00E529FE">
        <w:rPr>
          <w:rFonts w:ascii="Bookman Old Style" w:hAnsi="Bookman Old Style"/>
          <w:i/>
          <w:vertAlign w:val="superscript"/>
        </w:rPr>
        <w:t>th</w:t>
      </w:r>
      <w:r w:rsidR="00BB1800" w:rsidRPr="00E529FE">
        <w:rPr>
          <w:rFonts w:ascii="Bookman Old Style" w:hAnsi="Bookman Old Style"/>
          <w:i/>
        </w:rPr>
        <w:t xml:space="preserve"> day of November 2012, which is more than five years after the discovery of the alleged defec</w:t>
      </w:r>
      <w:r w:rsidR="00BA6BDB">
        <w:rPr>
          <w:rFonts w:ascii="Bookman Old Style" w:hAnsi="Bookman Old Style"/>
          <w:i/>
        </w:rPr>
        <w:t>ts that form the basis for the P</w:t>
      </w:r>
      <w:r w:rsidR="00BB1800" w:rsidRPr="00E529FE">
        <w:rPr>
          <w:rFonts w:ascii="Bookman Old Style" w:hAnsi="Bookman Old Style"/>
          <w:i/>
        </w:rPr>
        <w:t>laintiff’s</w:t>
      </w:r>
      <w:r w:rsidR="000A179E" w:rsidRPr="00E529FE">
        <w:rPr>
          <w:rFonts w:ascii="Bookman Old Style" w:hAnsi="Bookman Old Style"/>
          <w:i/>
        </w:rPr>
        <w:t xml:space="preserve"> claim against both Defendants. </w:t>
      </w:r>
    </w:p>
    <w:p w:rsidR="00C75207" w:rsidRPr="00E529FE" w:rsidRDefault="00476CAC" w:rsidP="00476CAC">
      <w:pPr>
        <w:pStyle w:val="JudgmentText"/>
        <w:numPr>
          <w:ilvl w:val="0"/>
          <w:numId w:val="0"/>
        </w:numPr>
        <w:ind w:left="720" w:hanging="720"/>
        <w:rPr>
          <w:rFonts w:ascii="Bookman Old Style" w:hAnsi="Bookman Old Style"/>
          <w:i/>
        </w:rPr>
      </w:pPr>
      <w:r>
        <w:rPr>
          <w:rFonts w:ascii="Bookman Old Style" w:hAnsi="Bookman Old Style"/>
        </w:rPr>
        <w:t>[3]</w:t>
      </w:r>
      <w:r>
        <w:rPr>
          <w:rFonts w:ascii="Bookman Old Style" w:hAnsi="Bookman Old Style"/>
        </w:rPr>
        <w:tab/>
      </w:r>
      <w:r w:rsidR="00C75207" w:rsidRPr="00476CAC">
        <w:rPr>
          <w:rFonts w:ascii="Bookman Old Style" w:hAnsi="Bookman Old Style"/>
        </w:rPr>
        <w:t xml:space="preserve">The first Defendant further raised a second plea in </w:t>
      </w:r>
      <w:proofErr w:type="spellStart"/>
      <w:r w:rsidR="00C75207" w:rsidRPr="00BA6BDB">
        <w:rPr>
          <w:rFonts w:ascii="Bookman Old Style" w:hAnsi="Bookman Old Style"/>
          <w:i/>
        </w:rPr>
        <w:t>limine</w:t>
      </w:r>
      <w:proofErr w:type="spellEnd"/>
      <w:r w:rsidR="00C75207" w:rsidRPr="00BA6BDB">
        <w:rPr>
          <w:rFonts w:ascii="Bookman Old Style" w:hAnsi="Bookman Old Style"/>
          <w:i/>
        </w:rPr>
        <w:t xml:space="preserve"> </w:t>
      </w:r>
      <w:proofErr w:type="spellStart"/>
      <w:r w:rsidR="00C75207" w:rsidRPr="00BA6BDB">
        <w:rPr>
          <w:rFonts w:ascii="Bookman Old Style" w:hAnsi="Bookman Old Style"/>
          <w:i/>
        </w:rPr>
        <w:t>litis</w:t>
      </w:r>
      <w:proofErr w:type="spellEnd"/>
      <w:r w:rsidR="00C75207" w:rsidRPr="00476CAC">
        <w:rPr>
          <w:rFonts w:ascii="Bookman Old Style" w:hAnsi="Bookman Old Style"/>
        </w:rPr>
        <w:t xml:space="preserve"> on the ground that </w:t>
      </w:r>
      <w:r w:rsidR="00BA6BDB">
        <w:rPr>
          <w:rFonts w:ascii="Bookman Old Style" w:hAnsi="Bookman Old Style"/>
          <w:i/>
        </w:rPr>
        <w:t>the P</w:t>
      </w:r>
      <w:r w:rsidR="00C75207" w:rsidRPr="00E529FE">
        <w:rPr>
          <w:rFonts w:ascii="Bookman Old Style" w:hAnsi="Bookman Old Style"/>
          <w:i/>
        </w:rPr>
        <w:t>laint discloses no reasonable cause of action against the 1</w:t>
      </w:r>
      <w:r w:rsidR="00C75207" w:rsidRPr="00E529FE">
        <w:rPr>
          <w:rFonts w:ascii="Bookman Old Style" w:hAnsi="Bookman Old Style"/>
          <w:i/>
          <w:vertAlign w:val="superscript"/>
        </w:rPr>
        <w:t>st</w:t>
      </w:r>
      <w:r w:rsidR="00C75207" w:rsidRPr="00E529FE">
        <w:rPr>
          <w:rFonts w:ascii="Bookman Old Style" w:hAnsi="Bookman Old Style"/>
          <w:i/>
        </w:rPr>
        <w:t xml:space="preserve"> Defendant. </w:t>
      </w:r>
    </w:p>
    <w:p w:rsidR="00476CAC" w:rsidRDefault="00476CAC" w:rsidP="00476CAC">
      <w:pPr>
        <w:pStyle w:val="JudgmentText"/>
        <w:numPr>
          <w:ilvl w:val="0"/>
          <w:numId w:val="0"/>
        </w:numPr>
        <w:ind w:left="720" w:hanging="720"/>
        <w:rPr>
          <w:rFonts w:ascii="Bookman Old Style" w:hAnsi="Bookman Old Style"/>
        </w:rPr>
      </w:pPr>
      <w:r>
        <w:rPr>
          <w:rFonts w:ascii="Bookman Old Style" w:hAnsi="Bookman Old Style"/>
        </w:rPr>
        <w:t>[4]</w:t>
      </w:r>
      <w:r>
        <w:rPr>
          <w:rFonts w:ascii="Bookman Old Style" w:hAnsi="Bookman Old Style"/>
        </w:rPr>
        <w:tab/>
      </w:r>
      <w:r w:rsidR="00C75207">
        <w:rPr>
          <w:rFonts w:ascii="Bookman Old Style" w:hAnsi="Bookman Old Style"/>
        </w:rPr>
        <w:t xml:space="preserve">The second Defendant further raised a second plea in </w:t>
      </w:r>
      <w:proofErr w:type="spellStart"/>
      <w:r w:rsidR="00C75207" w:rsidRPr="00BA6BDB">
        <w:rPr>
          <w:rFonts w:ascii="Bookman Old Style" w:hAnsi="Bookman Old Style"/>
          <w:i/>
        </w:rPr>
        <w:t>limine</w:t>
      </w:r>
      <w:proofErr w:type="spellEnd"/>
      <w:r w:rsidR="00C75207" w:rsidRPr="00BA6BDB">
        <w:rPr>
          <w:rFonts w:ascii="Bookman Old Style" w:hAnsi="Bookman Old Style"/>
          <w:i/>
        </w:rPr>
        <w:t xml:space="preserve"> </w:t>
      </w:r>
      <w:proofErr w:type="spellStart"/>
      <w:r w:rsidR="00C75207" w:rsidRPr="00BA6BDB">
        <w:rPr>
          <w:rFonts w:ascii="Bookman Old Style" w:hAnsi="Bookman Old Style"/>
          <w:i/>
        </w:rPr>
        <w:t>litis</w:t>
      </w:r>
      <w:proofErr w:type="spellEnd"/>
      <w:r w:rsidR="00C75207">
        <w:rPr>
          <w:rFonts w:ascii="Bookman Old Style" w:hAnsi="Bookman Old Style"/>
        </w:rPr>
        <w:t xml:space="preserve"> on the 21</w:t>
      </w:r>
      <w:r w:rsidR="00C75207" w:rsidRPr="00C75207">
        <w:rPr>
          <w:rFonts w:ascii="Bookman Old Style" w:hAnsi="Bookman Old Style"/>
          <w:vertAlign w:val="superscript"/>
        </w:rPr>
        <w:t>st</w:t>
      </w:r>
      <w:r w:rsidR="00C75207">
        <w:rPr>
          <w:rFonts w:ascii="Bookman Old Style" w:hAnsi="Bookman Old Style"/>
        </w:rPr>
        <w:t xml:space="preserve"> day of October 2015 more particularly that</w:t>
      </w:r>
      <w:r>
        <w:rPr>
          <w:rFonts w:ascii="Bookman Old Style" w:hAnsi="Bookman Old Style"/>
        </w:rPr>
        <w:t>:</w:t>
      </w:r>
    </w:p>
    <w:p w:rsidR="00C75207" w:rsidRPr="00E529FE" w:rsidRDefault="00476CAC" w:rsidP="00476CAC">
      <w:pPr>
        <w:pStyle w:val="JudgmentText"/>
        <w:numPr>
          <w:ilvl w:val="0"/>
          <w:numId w:val="0"/>
        </w:numPr>
        <w:ind w:left="720"/>
        <w:rPr>
          <w:rFonts w:ascii="Bookman Old Style" w:hAnsi="Bookman Old Style"/>
        </w:rPr>
      </w:pPr>
      <w:r w:rsidRPr="00E529FE">
        <w:rPr>
          <w:rFonts w:ascii="Bookman Old Style" w:hAnsi="Bookman Old Style"/>
          <w:i/>
        </w:rPr>
        <w:t>“</w:t>
      </w:r>
      <w:r w:rsidR="00C75207" w:rsidRPr="00E529FE">
        <w:rPr>
          <w:rFonts w:ascii="Bookman Old Style" w:hAnsi="Bookman Old Style"/>
          <w:i/>
        </w:rPr>
        <w:t xml:space="preserve">the </w:t>
      </w:r>
      <w:r w:rsidRPr="00E529FE">
        <w:rPr>
          <w:rFonts w:ascii="Bookman Old Style" w:hAnsi="Bookman Old Style"/>
          <w:i/>
        </w:rPr>
        <w:t>2nd</w:t>
      </w:r>
      <w:r w:rsidR="00BA6BDB">
        <w:rPr>
          <w:rFonts w:ascii="Bookman Old Style" w:hAnsi="Bookman Old Style"/>
          <w:i/>
        </w:rPr>
        <w:t xml:space="preserve"> D</w:t>
      </w:r>
      <w:r w:rsidR="00C75207" w:rsidRPr="00E529FE">
        <w:rPr>
          <w:rFonts w:ascii="Bookman Old Style" w:hAnsi="Bookman Old Style"/>
          <w:i/>
        </w:rPr>
        <w:t>efendant EME Engineering Ltd had no contract with Vijay Construction L</w:t>
      </w:r>
      <w:r w:rsidRPr="00E529FE">
        <w:rPr>
          <w:rFonts w:ascii="Bookman Old Style" w:hAnsi="Bookman Old Style"/>
          <w:i/>
        </w:rPr>
        <w:t>td, so it is wrongly suited; t</w:t>
      </w:r>
      <w:r w:rsidR="00C75207" w:rsidRPr="00E529FE">
        <w:rPr>
          <w:rFonts w:ascii="Bookman Old Style" w:hAnsi="Bookman Old Style"/>
          <w:i/>
        </w:rPr>
        <w:t>he 2</w:t>
      </w:r>
      <w:r w:rsidR="00C75207" w:rsidRPr="00E529FE">
        <w:rPr>
          <w:rFonts w:ascii="Bookman Old Style" w:hAnsi="Bookman Old Style"/>
          <w:i/>
          <w:vertAlign w:val="superscript"/>
        </w:rPr>
        <w:t>nd</w:t>
      </w:r>
      <w:r w:rsidR="00C75207" w:rsidRPr="00E529FE">
        <w:rPr>
          <w:rFonts w:ascii="Bookman Old Style" w:hAnsi="Bookman Old Style"/>
          <w:i/>
        </w:rPr>
        <w:t xml:space="preserve"> Defendant was not trading as EME Overseas Limited in the Seychelles and EME Overseas entity (BVI Registered Company) which has nothing in common with EME Engineering Ltd”. </w:t>
      </w:r>
      <w:r w:rsidR="00E529FE" w:rsidRPr="00E529FE">
        <w:rPr>
          <w:rFonts w:ascii="Bookman Old Style" w:hAnsi="Bookman Old Style"/>
        </w:rPr>
        <w:t>(Empha</w:t>
      </w:r>
      <w:r w:rsidR="00E529FE">
        <w:rPr>
          <w:rFonts w:ascii="Bookman Old Style" w:hAnsi="Bookman Old Style"/>
        </w:rPr>
        <w:t>sis</w:t>
      </w:r>
      <w:r w:rsidR="00E529FE" w:rsidRPr="00E529FE">
        <w:rPr>
          <w:rFonts w:ascii="Bookman Old Style" w:hAnsi="Bookman Old Style"/>
        </w:rPr>
        <w:t xml:space="preserve"> is mine).</w:t>
      </w:r>
    </w:p>
    <w:p w:rsidR="005248A7" w:rsidRDefault="00476CAC" w:rsidP="005248A7">
      <w:pPr>
        <w:pStyle w:val="JudgmentText"/>
        <w:numPr>
          <w:ilvl w:val="0"/>
          <w:numId w:val="0"/>
        </w:numPr>
        <w:ind w:left="720" w:hanging="720"/>
        <w:rPr>
          <w:rFonts w:ascii="Bookman Old Style" w:hAnsi="Bookman Old Style"/>
        </w:rPr>
      </w:pPr>
      <w:r>
        <w:rPr>
          <w:rFonts w:ascii="Bookman Old Style" w:hAnsi="Bookman Old Style"/>
        </w:rPr>
        <w:t>[5</w:t>
      </w:r>
      <w:r w:rsidR="005248A7" w:rsidRPr="00720EA9">
        <w:rPr>
          <w:rFonts w:ascii="Bookman Old Style" w:hAnsi="Bookman Old Style"/>
        </w:rPr>
        <w:t>]</w:t>
      </w:r>
      <w:r w:rsidR="005248A7" w:rsidRPr="00720EA9">
        <w:rPr>
          <w:rFonts w:ascii="Bookman Old Style" w:hAnsi="Bookman Old Style"/>
        </w:rPr>
        <w:tab/>
      </w:r>
      <w:r>
        <w:rPr>
          <w:rFonts w:ascii="Bookman Old Style" w:hAnsi="Bookman Old Style"/>
        </w:rPr>
        <w:t xml:space="preserve">All Learned Counsels as </w:t>
      </w:r>
      <w:r w:rsidR="00BA6BDB">
        <w:rPr>
          <w:rFonts w:ascii="Bookman Old Style" w:hAnsi="Bookman Old Style"/>
        </w:rPr>
        <w:t>above-referred</w:t>
      </w:r>
      <w:r>
        <w:rPr>
          <w:rFonts w:ascii="Bookman Old Style" w:hAnsi="Bookman Old Style"/>
        </w:rPr>
        <w:t xml:space="preserve">, filed written </w:t>
      </w:r>
      <w:r w:rsidR="00E529FE">
        <w:rPr>
          <w:rFonts w:ascii="Bookman Old Style" w:hAnsi="Bookman Old Style"/>
        </w:rPr>
        <w:t xml:space="preserve">submissions </w:t>
      </w:r>
      <w:r>
        <w:rPr>
          <w:rFonts w:ascii="Bookman Old Style" w:hAnsi="Bookman Old Style"/>
        </w:rPr>
        <w:t>in support and against</w:t>
      </w:r>
      <w:r w:rsidR="00FA1D82" w:rsidRPr="00720EA9">
        <w:rPr>
          <w:rFonts w:ascii="Bookman Old Style" w:hAnsi="Bookman Old Style"/>
        </w:rPr>
        <w:t xml:space="preserve"> their legal stance </w:t>
      </w:r>
      <w:proofErr w:type="spellStart"/>
      <w:r w:rsidR="00FA1D82" w:rsidRPr="00BA6BDB">
        <w:rPr>
          <w:rFonts w:ascii="Bookman Old Style" w:hAnsi="Bookman Old Style"/>
          <w:i/>
        </w:rPr>
        <w:t>vis</w:t>
      </w:r>
      <w:proofErr w:type="spellEnd"/>
      <w:r w:rsidR="00CB31FB" w:rsidRPr="00BA6BDB">
        <w:rPr>
          <w:rFonts w:ascii="Bookman Old Style" w:hAnsi="Bookman Old Style"/>
          <w:i/>
        </w:rPr>
        <w:t>-a-</w:t>
      </w:r>
      <w:proofErr w:type="spellStart"/>
      <w:r w:rsidR="00FA1D82" w:rsidRPr="00BA6BDB">
        <w:rPr>
          <w:rFonts w:ascii="Bookman Old Style" w:hAnsi="Bookman Old Style"/>
          <w:i/>
        </w:rPr>
        <w:t>vis</w:t>
      </w:r>
      <w:proofErr w:type="spellEnd"/>
      <w:r w:rsidR="005248A7" w:rsidRPr="00720EA9">
        <w:rPr>
          <w:rFonts w:ascii="Bookman Old Style" w:hAnsi="Bookman Old Style"/>
        </w:rPr>
        <w:t xml:space="preserve"> the </w:t>
      </w:r>
      <w:r w:rsidR="00CB31FB" w:rsidRPr="00720EA9">
        <w:rPr>
          <w:rFonts w:ascii="Bookman Old Style" w:hAnsi="Bookman Old Style"/>
        </w:rPr>
        <w:t>points of law</w:t>
      </w:r>
      <w:r w:rsidR="00FA1D82" w:rsidRPr="00720EA9">
        <w:rPr>
          <w:rFonts w:ascii="Bookman Old Style" w:hAnsi="Bookman Old Style"/>
        </w:rPr>
        <w:t xml:space="preserve"> as raised </w:t>
      </w:r>
      <w:r w:rsidR="00612AD5">
        <w:rPr>
          <w:rFonts w:ascii="Bookman Old Style" w:hAnsi="Bookman Old Style"/>
        </w:rPr>
        <w:t>of which con</w:t>
      </w:r>
      <w:r>
        <w:rPr>
          <w:rFonts w:ascii="Bookman Old Style" w:hAnsi="Bookman Old Style"/>
        </w:rPr>
        <w:t>tents have been duly considered for the purpose of this Ruling.</w:t>
      </w:r>
    </w:p>
    <w:p w:rsidR="00A54995" w:rsidRDefault="00476CAC" w:rsidP="005248A7">
      <w:pPr>
        <w:pStyle w:val="JudgmentText"/>
        <w:numPr>
          <w:ilvl w:val="0"/>
          <w:numId w:val="0"/>
        </w:numPr>
        <w:ind w:left="720" w:hanging="720"/>
        <w:rPr>
          <w:rFonts w:ascii="Bookman Old Style" w:hAnsi="Bookman Old Style"/>
        </w:rPr>
      </w:pPr>
      <w:r>
        <w:rPr>
          <w:rFonts w:ascii="Bookman Old Style" w:hAnsi="Bookman Old Style"/>
        </w:rPr>
        <w:t>[6</w:t>
      </w:r>
      <w:r w:rsidR="004B05AE">
        <w:rPr>
          <w:rFonts w:ascii="Bookman Old Style" w:hAnsi="Bookman Old Style"/>
        </w:rPr>
        <w:t>]</w:t>
      </w:r>
      <w:r w:rsidR="004B05AE">
        <w:rPr>
          <w:rFonts w:ascii="Bookman Old Style" w:hAnsi="Bookman Old Style"/>
        </w:rPr>
        <w:tab/>
      </w:r>
      <w:r>
        <w:rPr>
          <w:rFonts w:ascii="Bookman Old Style" w:hAnsi="Bookman Old Style"/>
        </w:rPr>
        <w:t>I do not deem it necessary at this stage of the proceedin</w:t>
      </w:r>
      <w:r w:rsidR="00BA6BDB">
        <w:rPr>
          <w:rFonts w:ascii="Bookman Old Style" w:hAnsi="Bookman Old Style"/>
        </w:rPr>
        <w:t>gs to go into a history of the P</w:t>
      </w:r>
      <w:r>
        <w:rPr>
          <w:rFonts w:ascii="Bookman Old Style" w:hAnsi="Bookman Old Style"/>
        </w:rPr>
        <w:t>laint for it would inevitably lead to the Court having to indulge into a consideration of the facts of the case proper which is not the subject matter of this Ruling. Suffice to state that, th</w:t>
      </w:r>
      <w:r w:rsidR="00A54995">
        <w:rPr>
          <w:rFonts w:ascii="Bookman Old Style" w:hAnsi="Bookman Old Style"/>
        </w:rPr>
        <w:t xml:space="preserve">is case arises </w:t>
      </w:r>
      <w:r w:rsidR="00A54995">
        <w:rPr>
          <w:rFonts w:ascii="Bookman Old Style" w:hAnsi="Bookman Old Style"/>
        </w:rPr>
        <w:lastRenderedPageBreak/>
        <w:t>out of “alleged breaches of a series of contracts” entered into on or about August 2007 between the parties.</w:t>
      </w:r>
    </w:p>
    <w:p w:rsidR="00A54995" w:rsidRDefault="00A54995" w:rsidP="005248A7">
      <w:pPr>
        <w:pStyle w:val="JudgmentText"/>
        <w:numPr>
          <w:ilvl w:val="0"/>
          <w:numId w:val="0"/>
        </w:numPr>
        <w:ind w:left="720" w:hanging="720"/>
        <w:rPr>
          <w:rFonts w:ascii="Bookman Old Style" w:hAnsi="Bookman Old Style"/>
        </w:rPr>
      </w:pPr>
      <w:r>
        <w:rPr>
          <w:rFonts w:ascii="Bookman Old Style" w:hAnsi="Bookman Old Style"/>
        </w:rPr>
        <w:t>[7]</w:t>
      </w:r>
      <w:r>
        <w:rPr>
          <w:rFonts w:ascii="Bookman Old Style" w:hAnsi="Bookman Old Style"/>
        </w:rPr>
        <w:tab/>
        <w:t xml:space="preserve">I will now treat the pleas </w:t>
      </w:r>
      <w:r w:rsidRPr="00BA6BDB">
        <w:rPr>
          <w:rFonts w:ascii="Bookman Old Style" w:hAnsi="Bookman Old Style"/>
          <w:i/>
        </w:rPr>
        <w:t xml:space="preserve">in </w:t>
      </w:r>
      <w:proofErr w:type="spellStart"/>
      <w:r w:rsidRPr="00BA6BDB">
        <w:rPr>
          <w:rFonts w:ascii="Bookman Old Style" w:hAnsi="Bookman Old Style"/>
          <w:i/>
        </w:rPr>
        <w:t>limine</w:t>
      </w:r>
      <w:proofErr w:type="spellEnd"/>
      <w:r>
        <w:rPr>
          <w:rFonts w:ascii="Bookman Old Style" w:hAnsi="Bookman Old Style"/>
        </w:rPr>
        <w:t xml:space="preserve"> as illustrated above for sake of clarity.</w:t>
      </w:r>
    </w:p>
    <w:p w:rsidR="00A54995" w:rsidRPr="00E529FE" w:rsidRDefault="005248A7" w:rsidP="00A54995">
      <w:pPr>
        <w:pStyle w:val="JudgmentText"/>
        <w:numPr>
          <w:ilvl w:val="0"/>
          <w:numId w:val="0"/>
        </w:numPr>
        <w:ind w:left="720" w:hanging="720"/>
        <w:rPr>
          <w:rFonts w:ascii="Bookman Old Style" w:hAnsi="Bookman Old Style"/>
          <w:i/>
        </w:rPr>
      </w:pPr>
      <w:r w:rsidRPr="00720EA9">
        <w:rPr>
          <w:rFonts w:ascii="Bookman Old Style" w:hAnsi="Bookman Old Style"/>
        </w:rPr>
        <w:t>[</w:t>
      </w:r>
      <w:r w:rsidR="00A54995">
        <w:rPr>
          <w:rFonts w:ascii="Bookman Old Style" w:hAnsi="Bookman Old Style"/>
        </w:rPr>
        <w:t>8</w:t>
      </w:r>
      <w:r w:rsidRPr="00720EA9">
        <w:rPr>
          <w:rFonts w:ascii="Bookman Old Style" w:hAnsi="Bookman Old Style"/>
        </w:rPr>
        <w:t>]</w:t>
      </w:r>
      <w:r w:rsidRPr="00720EA9">
        <w:rPr>
          <w:rFonts w:ascii="Bookman Old Style" w:hAnsi="Bookman Old Style"/>
        </w:rPr>
        <w:tab/>
      </w:r>
      <w:r w:rsidR="00A54995">
        <w:rPr>
          <w:rFonts w:ascii="Bookman Old Style" w:hAnsi="Bookman Old Style"/>
        </w:rPr>
        <w:t xml:space="preserve">Now as to the first </w:t>
      </w:r>
      <w:r w:rsidR="00A54995" w:rsidRPr="00476CAC">
        <w:rPr>
          <w:rFonts w:ascii="Bookman Old Style" w:hAnsi="Bookman Old Style"/>
        </w:rPr>
        <w:t xml:space="preserve">plea in </w:t>
      </w:r>
      <w:proofErr w:type="spellStart"/>
      <w:r w:rsidR="00A54995" w:rsidRPr="00BA6BDB">
        <w:rPr>
          <w:rFonts w:ascii="Bookman Old Style" w:hAnsi="Bookman Old Style"/>
          <w:i/>
        </w:rPr>
        <w:t>limine</w:t>
      </w:r>
      <w:proofErr w:type="spellEnd"/>
      <w:r w:rsidR="00A54995" w:rsidRPr="00BA6BDB">
        <w:rPr>
          <w:rFonts w:ascii="Bookman Old Style" w:hAnsi="Bookman Old Style"/>
          <w:i/>
        </w:rPr>
        <w:t xml:space="preserve"> </w:t>
      </w:r>
      <w:proofErr w:type="spellStart"/>
      <w:r w:rsidR="00A54995" w:rsidRPr="00BA6BDB">
        <w:rPr>
          <w:rFonts w:ascii="Bookman Old Style" w:hAnsi="Bookman Old Style"/>
          <w:i/>
        </w:rPr>
        <w:t>litis</w:t>
      </w:r>
      <w:proofErr w:type="spellEnd"/>
      <w:r w:rsidR="00A54995">
        <w:rPr>
          <w:rFonts w:ascii="Bookman Old Style" w:hAnsi="Bookman Old Style"/>
        </w:rPr>
        <w:t xml:space="preserve"> raised</w:t>
      </w:r>
      <w:r w:rsidR="00296843">
        <w:rPr>
          <w:rFonts w:ascii="Bookman Old Style" w:hAnsi="Bookman Old Style"/>
        </w:rPr>
        <w:t>,</w:t>
      </w:r>
      <w:r w:rsidR="00A54995">
        <w:rPr>
          <w:rFonts w:ascii="Bookman Old Style" w:hAnsi="Bookman Old Style"/>
        </w:rPr>
        <w:t xml:space="preserve"> namely on the </w:t>
      </w:r>
      <w:r w:rsidR="00A54995" w:rsidRPr="00476CAC">
        <w:rPr>
          <w:rFonts w:ascii="Bookman Old Style" w:hAnsi="Bookman Old Style"/>
        </w:rPr>
        <w:t xml:space="preserve">ground that </w:t>
      </w:r>
      <w:r w:rsidR="00BA6BDB">
        <w:rPr>
          <w:rFonts w:ascii="Bookman Old Style" w:hAnsi="Bookman Old Style"/>
          <w:i/>
        </w:rPr>
        <w:t>the P</w:t>
      </w:r>
      <w:r w:rsidR="00A54995" w:rsidRPr="00E529FE">
        <w:rPr>
          <w:rFonts w:ascii="Bookman Old Style" w:hAnsi="Bookman Old Style"/>
          <w:i/>
        </w:rPr>
        <w:t xml:space="preserve">laint is time barred </w:t>
      </w:r>
      <w:r w:rsidR="00223B5F" w:rsidRPr="00E529FE">
        <w:rPr>
          <w:rFonts w:ascii="Bookman Old Style" w:hAnsi="Bookman Old Style"/>
          <w:i/>
        </w:rPr>
        <w:t>as it was filed on or around 28</w:t>
      </w:r>
      <w:r w:rsidR="00223B5F" w:rsidRPr="00E529FE">
        <w:rPr>
          <w:rFonts w:ascii="Bookman Old Style" w:hAnsi="Bookman Old Style"/>
          <w:i/>
          <w:vertAlign w:val="superscript"/>
        </w:rPr>
        <w:t>th</w:t>
      </w:r>
      <w:r w:rsidR="00223B5F" w:rsidRPr="00E529FE">
        <w:rPr>
          <w:rFonts w:ascii="Bookman Old Style" w:hAnsi="Bookman Old Style"/>
          <w:i/>
        </w:rPr>
        <w:t xml:space="preserve"> November 2012 which is more than 5 years after the discovery of alleged defects that form the basis for the Plaint’s claim against the Defendants.</w:t>
      </w:r>
    </w:p>
    <w:p w:rsidR="00223B5F" w:rsidRDefault="00A54995" w:rsidP="00A54995">
      <w:pPr>
        <w:pStyle w:val="JudgmentText"/>
        <w:numPr>
          <w:ilvl w:val="0"/>
          <w:numId w:val="0"/>
        </w:numPr>
        <w:ind w:left="720" w:hanging="720"/>
        <w:rPr>
          <w:rFonts w:ascii="Bookman Old Style" w:hAnsi="Bookman Old Style"/>
        </w:rPr>
      </w:pPr>
      <w:r>
        <w:rPr>
          <w:rFonts w:ascii="Bookman Old Style" w:hAnsi="Bookman Old Style"/>
        </w:rPr>
        <w:t>[9]</w:t>
      </w:r>
      <w:r>
        <w:rPr>
          <w:rFonts w:ascii="Bookman Old Style" w:hAnsi="Bookman Old Style"/>
        </w:rPr>
        <w:tab/>
      </w:r>
      <w:r w:rsidR="00223B5F">
        <w:rPr>
          <w:rFonts w:ascii="Bookman Old Style" w:hAnsi="Bookman Old Style"/>
        </w:rPr>
        <w:t>It was submitted by the Defendants that the Plaintiff’s cause of action against the 1</w:t>
      </w:r>
      <w:r w:rsidR="00223B5F" w:rsidRPr="00223B5F">
        <w:rPr>
          <w:rFonts w:ascii="Bookman Old Style" w:hAnsi="Bookman Old Style"/>
          <w:vertAlign w:val="superscript"/>
        </w:rPr>
        <w:t>st</w:t>
      </w:r>
      <w:r w:rsidR="00223B5F">
        <w:rPr>
          <w:rFonts w:ascii="Bookman Old Style" w:hAnsi="Bookman Old Style"/>
        </w:rPr>
        <w:t xml:space="preserve"> and 2</w:t>
      </w:r>
      <w:r w:rsidR="00223B5F" w:rsidRPr="00223B5F">
        <w:rPr>
          <w:rFonts w:ascii="Bookman Old Style" w:hAnsi="Bookman Old Style"/>
          <w:vertAlign w:val="superscript"/>
        </w:rPr>
        <w:t>nd</w:t>
      </w:r>
      <w:r w:rsidR="00223B5F">
        <w:rPr>
          <w:rFonts w:ascii="Bookman Old Style" w:hAnsi="Bookman Old Style"/>
        </w:rPr>
        <w:t xml:space="preserve"> Defendant is subject to prescription of five years as per Article 22</w:t>
      </w:r>
      <w:r w:rsidR="00BA6BDB">
        <w:rPr>
          <w:rFonts w:ascii="Bookman Old Style" w:hAnsi="Bookman Old Style"/>
        </w:rPr>
        <w:t>71 of the Civil Code. That the P</w:t>
      </w:r>
      <w:r w:rsidR="00223B5F">
        <w:rPr>
          <w:rFonts w:ascii="Bookman Old Style" w:hAnsi="Bookman Old Style"/>
        </w:rPr>
        <w:t xml:space="preserve">laint goes on to say in paragraph 10 </w:t>
      </w:r>
      <w:r w:rsidR="00223B5F" w:rsidRPr="00E529FE">
        <w:rPr>
          <w:rFonts w:ascii="Bookman Old Style" w:hAnsi="Bookman Old Style"/>
          <w:i/>
        </w:rPr>
        <w:t>“in or around November 2007”</w:t>
      </w:r>
      <w:r w:rsidR="00223B5F">
        <w:rPr>
          <w:rFonts w:ascii="Bookman Old Style" w:hAnsi="Bookman Old Style"/>
        </w:rPr>
        <w:t xml:space="preserve"> and this vague reference is maintained despite a request for further and better particulars in which the specific date was requested. That the material date is not the date on which the defects were discussed in a meeting </w:t>
      </w:r>
      <w:proofErr w:type="spellStart"/>
      <w:r w:rsidR="00223B5F">
        <w:rPr>
          <w:rFonts w:ascii="Bookman Old Style" w:hAnsi="Bookman Old Style"/>
        </w:rPr>
        <w:t>ie</w:t>
      </w:r>
      <w:proofErr w:type="spellEnd"/>
      <w:r w:rsidR="00223B5F">
        <w:rPr>
          <w:rFonts w:ascii="Bookman Old Style" w:hAnsi="Bookman Old Style"/>
        </w:rPr>
        <w:t>: the 1</w:t>
      </w:r>
      <w:r w:rsidR="00223B5F" w:rsidRPr="00223B5F">
        <w:rPr>
          <w:rFonts w:ascii="Bookman Old Style" w:hAnsi="Bookman Old Style"/>
          <w:vertAlign w:val="superscript"/>
        </w:rPr>
        <w:t>st</w:t>
      </w:r>
      <w:r w:rsidR="00223B5F">
        <w:rPr>
          <w:rFonts w:ascii="Bookman Old Style" w:hAnsi="Bookman Old Style"/>
        </w:rPr>
        <w:t xml:space="preserve"> December 2007 but on the date that the alleged defects were discovered hence the vague use of the word immediately does not suffice to avoid a claim for prescription. </w:t>
      </w:r>
    </w:p>
    <w:p w:rsidR="00470F58" w:rsidRDefault="00470F58" w:rsidP="00470F58">
      <w:pPr>
        <w:pStyle w:val="JudgmentText"/>
        <w:numPr>
          <w:ilvl w:val="0"/>
          <w:numId w:val="0"/>
        </w:numPr>
        <w:ind w:left="720" w:hanging="720"/>
        <w:rPr>
          <w:rFonts w:ascii="Bookman Old Style" w:hAnsi="Bookman Old Style"/>
        </w:rPr>
      </w:pPr>
      <w:r>
        <w:rPr>
          <w:rFonts w:ascii="Bookman Old Style" w:hAnsi="Bookman Old Style"/>
        </w:rPr>
        <w:t>[10]</w:t>
      </w:r>
      <w:r>
        <w:rPr>
          <w:rFonts w:ascii="Bookman Old Style" w:hAnsi="Bookman Old Style"/>
        </w:rPr>
        <w:tab/>
        <w:t xml:space="preserve">Now, </w:t>
      </w:r>
      <w:r w:rsidRPr="00296843">
        <w:rPr>
          <w:rFonts w:ascii="Bookman Old Style" w:hAnsi="Bookman Old Style"/>
          <w:b/>
        </w:rPr>
        <w:t>Article 2271 of the Civil Code of Seychelles (Cap 32)</w:t>
      </w:r>
      <w:r>
        <w:rPr>
          <w:rFonts w:ascii="Bookman Old Style" w:hAnsi="Bookman Old Style"/>
        </w:rPr>
        <w:t xml:space="preserve"> provides that:</w:t>
      </w:r>
    </w:p>
    <w:p w:rsidR="00470F58" w:rsidRPr="00296843" w:rsidRDefault="00470F58" w:rsidP="00470F58">
      <w:pPr>
        <w:pStyle w:val="JudgmentText"/>
        <w:numPr>
          <w:ilvl w:val="0"/>
          <w:numId w:val="0"/>
        </w:numPr>
        <w:ind w:left="720" w:hanging="720"/>
        <w:rPr>
          <w:rFonts w:ascii="Bookman Old Style" w:hAnsi="Bookman Old Style"/>
        </w:rPr>
      </w:pPr>
      <w:r>
        <w:rPr>
          <w:rFonts w:ascii="Bookman Old Style" w:hAnsi="Bookman Old Style"/>
        </w:rPr>
        <w:tab/>
      </w:r>
      <w:r w:rsidRPr="00296843">
        <w:rPr>
          <w:rFonts w:ascii="Bookman Old Style" w:hAnsi="Bookman Old Style"/>
          <w:b/>
          <w:i/>
        </w:rPr>
        <w:t>“All rights of action shall be subject to prescription after a period of five years except as provided in articles 2262 and 2265 of this Code”.</w:t>
      </w:r>
      <w:r w:rsidR="00296843" w:rsidRPr="00296843">
        <w:rPr>
          <w:rFonts w:ascii="Bookman Old Style" w:hAnsi="Bookman Old Style"/>
        </w:rPr>
        <w:t>(Empha</w:t>
      </w:r>
      <w:r w:rsidR="00296843">
        <w:rPr>
          <w:rFonts w:ascii="Bookman Old Style" w:hAnsi="Bookman Old Style"/>
        </w:rPr>
        <w:t>s</w:t>
      </w:r>
      <w:r w:rsidR="00296843" w:rsidRPr="00296843">
        <w:rPr>
          <w:rFonts w:ascii="Bookman Old Style" w:hAnsi="Bookman Old Style"/>
        </w:rPr>
        <w:t xml:space="preserve">is </w:t>
      </w:r>
      <w:r w:rsidR="00296843">
        <w:rPr>
          <w:rFonts w:ascii="Bookman Old Style" w:hAnsi="Bookman Old Style"/>
        </w:rPr>
        <w:t xml:space="preserve">is </w:t>
      </w:r>
      <w:r w:rsidR="00296843" w:rsidRPr="00296843">
        <w:rPr>
          <w:rFonts w:ascii="Bookman Old Style" w:hAnsi="Bookman Old Style"/>
        </w:rPr>
        <w:t>mine)</w:t>
      </w:r>
      <w:r w:rsidR="00296843">
        <w:rPr>
          <w:rFonts w:ascii="Bookman Old Style" w:hAnsi="Bookman Old Style"/>
        </w:rPr>
        <w:t>.</w:t>
      </w:r>
    </w:p>
    <w:p w:rsidR="00470F58" w:rsidRDefault="00470F58" w:rsidP="00470F58">
      <w:pPr>
        <w:pStyle w:val="JudgmentText"/>
        <w:numPr>
          <w:ilvl w:val="0"/>
          <w:numId w:val="0"/>
        </w:numPr>
        <w:ind w:left="720" w:hanging="720"/>
        <w:rPr>
          <w:rFonts w:ascii="Bookman Old Style" w:hAnsi="Bookman Old Style"/>
        </w:rPr>
      </w:pPr>
      <w:r>
        <w:rPr>
          <w:rFonts w:ascii="Bookman Old Style" w:hAnsi="Bookman Old Style"/>
        </w:rPr>
        <w:t>[11]</w:t>
      </w:r>
      <w:r>
        <w:rPr>
          <w:rFonts w:ascii="Bookman Old Style" w:hAnsi="Bookman Old Style"/>
        </w:rPr>
        <w:tab/>
        <w:t>Articles 2262 and 2265 refers to special prescription periods of twenty and ten years in respect of all real rights of ownership of land or other interests therein subject to Title, value and good faith which is not subject matter of this case but mentioned for sake of clarification.</w:t>
      </w:r>
    </w:p>
    <w:p w:rsidR="00470F58" w:rsidRDefault="00470F58" w:rsidP="00A54995">
      <w:pPr>
        <w:pStyle w:val="JudgmentText"/>
        <w:numPr>
          <w:ilvl w:val="0"/>
          <w:numId w:val="0"/>
        </w:numPr>
        <w:ind w:left="720" w:hanging="720"/>
        <w:rPr>
          <w:rFonts w:ascii="Bookman Old Style" w:hAnsi="Bookman Old Style"/>
        </w:rPr>
      </w:pPr>
      <w:r>
        <w:rPr>
          <w:rFonts w:ascii="Bookman Old Style" w:hAnsi="Bookman Old Style"/>
        </w:rPr>
        <w:lastRenderedPageBreak/>
        <w:t>[12]</w:t>
      </w:r>
      <w:r>
        <w:rPr>
          <w:rFonts w:ascii="Bookman Old Style" w:hAnsi="Bookman Old Style"/>
        </w:rPr>
        <w:tab/>
        <w:t xml:space="preserve">A very careful perusal of the Plaint in the light of the defences and submissions of both </w:t>
      </w:r>
      <w:r w:rsidRPr="00470F58">
        <w:rPr>
          <w:rFonts w:ascii="Bookman Old Style" w:hAnsi="Bookman Old Style"/>
        </w:rPr>
        <w:t>Defendants</w:t>
      </w:r>
      <w:r>
        <w:rPr>
          <w:rFonts w:ascii="Bookman Old Style" w:hAnsi="Bookman Old Style"/>
        </w:rPr>
        <w:t xml:space="preserve">, </w:t>
      </w:r>
      <w:r w:rsidRPr="00470F58">
        <w:rPr>
          <w:rFonts w:ascii="Bookman Old Style" w:hAnsi="Bookman Old Style"/>
        </w:rPr>
        <w:t xml:space="preserve">it is </w:t>
      </w:r>
      <w:r>
        <w:rPr>
          <w:rFonts w:ascii="Bookman Old Style" w:hAnsi="Bookman Old Style"/>
        </w:rPr>
        <w:t xml:space="preserve">abundantly clear </w:t>
      </w:r>
      <w:r w:rsidRPr="00470F58">
        <w:rPr>
          <w:rFonts w:ascii="Bookman Old Style" w:hAnsi="Bookman Old Style"/>
        </w:rPr>
        <w:t xml:space="preserve">that there is no dispute by the </w:t>
      </w:r>
      <w:r>
        <w:rPr>
          <w:rFonts w:ascii="Bookman Old Style" w:hAnsi="Bookman Old Style"/>
        </w:rPr>
        <w:t>parties in this case the action accrued when the Plaintiff discovered that there were defects and the defects confirmed on site inspection.</w:t>
      </w:r>
    </w:p>
    <w:p w:rsidR="00470F58" w:rsidRPr="00E529FE" w:rsidRDefault="00470F58" w:rsidP="00A54995">
      <w:pPr>
        <w:pStyle w:val="JudgmentText"/>
        <w:numPr>
          <w:ilvl w:val="0"/>
          <w:numId w:val="0"/>
        </w:numPr>
        <w:ind w:left="720" w:hanging="720"/>
        <w:rPr>
          <w:rFonts w:ascii="Bookman Old Style" w:hAnsi="Bookman Old Style"/>
        </w:rPr>
      </w:pPr>
      <w:r>
        <w:rPr>
          <w:rFonts w:ascii="Bookman Old Style" w:hAnsi="Bookman Old Style"/>
        </w:rPr>
        <w:t>[13]</w:t>
      </w:r>
      <w:r>
        <w:rPr>
          <w:rFonts w:ascii="Bookman Old Style" w:hAnsi="Bookman Old Style"/>
        </w:rPr>
        <w:tab/>
      </w:r>
      <w:r w:rsidR="00CB2C98" w:rsidRPr="00E529FE">
        <w:rPr>
          <w:rFonts w:ascii="Bookman Old Style" w:hAnsi="Bookman Old Style"/>
        </w:rPr>
        <w:t>In paragraph 10 of the Plaint as referred by all parties it is averred that:</w:t>
      </w:r>
    </w:p>
    <w:p w:rsidR="00CB2C98" w:rsidRPr="00E529FE" w:rsidRDefault="00CB2C98" w:rsidP="00A54995">
      <w:pPr>
        <w:pStyle w:val="JudgmentText"/>
        <w:numPr>
          <w:ilvl w:val="0"/>
          <w:numId w:val="0"/>
        </w:numPr>
        <w:ind w:left="720" w:hanging="720"/>
        <w:rPr>
          <w:rFonts w:ascii="Bookman Old Style" w:hAnsi="Bookman Old Style"/>
          <w:i/>
        </w:rPr>
      </w:pPr>
      <w:r w:rsidRPr="00E529FE">
        <w:rPr>
          <w:rFonts w:ascii="Bookman Old Style" w:hAnsi="Bookman Old Style"/>
          <w:i/>
        </w:rPr>
        <w:tab/>
        <w:t>“In or around November 2007, and during a pre-commissioning site inspection by</w:t>
      </w:r>
      <w:r w:rsidR="00BA6BDB">
        <w:rPr>
          <w:rFonts w:ascii="Bookman Old Style" w:hAnsi="Bookman Old Style"/>
          <w:i/>
        </w:rPr>
        <w:t xml:space="preserve"> a contractor appointed by the P</w:t>
      </w:r>
      <w:r w:rsidRPr="00E529FE">
        <w:rPr>
          <w:rFonts w:ascii="Bookman Old Style" w:hAnsi="Bookman Old Style"/>
          <w:i/>
        </w:rPr>
        <w:t>laintiff, the following deficiencies in respect of the marine reticulation works rendered by the 2</w:t>
      </w:r>
      <w:r w:rsidRPr="00E529FE">
        <w:rPr>
          <w:rFonts w:ascii="Bookman Old Style" w:hAnsi="Bookman Old Style"/>
          <w:i/>
          <w:vertAlign w:val="superscript"/>
        </w:rPr>
        <w:t>nd</w:t>
      </w:r>
      <w:r w:rsidRPr="00E529FE">
        <w:rPr>
          <w:rFonts w:ascii="Bookman Old Style" w:hAnsi="Bookman Old Style"/>
          <w:i/>
        </w:rPr>
        <w:t xml:space="preserve"> Defendant in the Marina were discovered:</w:t>
      </w:r>
    </w:p>
    <w:p w:rsidR="00CB2C98" w:rsidRPr="00E529FE" w:rsidRDefault="00CB2C98" w:rsidP="00CB2C98">
      <w:pPr>
        <w:pStyle w:val="JudgmentText"/>
        <w:numPr>
          <w:ilvl w:val="0"/>
          <w:numId w:val="12"/>
        </w:numPr>
        <w:rPr>
          <w:rFonts w:ascii="Bookman Old Style" w:hAnsi="Bookman Old Style"/>
          <w:i/>
        </w:rPr>
      </w:pPr>
      <w:r w:rsidRPr="00E529FE">
        <w:rPr>
          <w:rFonts w:ascii="Bookman Old Style" w:hAnsi="Bookman Old Style"/>
          <w:i/>
        </w:rPr>
        <w:t>Deficiencies in the material used;</w:t>
      </w:r>
    </w:p>
    <w:p w:rsidR="00CB2C98" w:rsidRPr="00E529FE" w:rsidRDefault="00CB2C98" w:rsidP="00CB2C98">
      <w:pPr>
        <w:pStyle w:val="JudgmentText"/>
        <w:numPr>
          <w:ilvl w:val="0"/>
          <w:numId w:val="12"/>
        </w:numPr>
        <w:rPr>
          <w:rFonts w:ascii="Bookman Old Style" w:hAnsi="Bookman Old Style"/>
          <w:i/>
        </w:rPr>
      </w:pPr>
      <w:r w:rsidRPr="00E529FE">
        <w:rPr>
          <w:rFonts w:ascii="Bookman Old Style" w:hAnsi="Bookman Old Style"/>
          <w:i/>
        </w:rPr>
        <w:t xml:space="preserve">Unsafe installation of </w:t>
      </w:r>
      <w:proofErr w:type="spellStart"/>
      <w:r w:rsidRPr="00E529FE">
        <w:rPr>
          <w:rFonts w:ascii="Bookman Old Style" w:hAnsi="Bookman Old Style"/>
          <w:i/>
        </w:rPr>
        <w:t>earthing</w:t>
      </w:r>
      <w:proofErr w:type="spellEnd"/>
      <w:r w:rsidRPr="00E529FE">
        <w:rPr>
          <w:rFonts w:ascii="Bookman Old Style" w:hAnsi="Bookman Old Style"/>
          <w:i/>
        </w:rPr>
        <w:t>;</w:t>
      </w:r>
    </w:p>
    <w:p w:rsidR="00CB2C98" w:rsidRPr="00E529FE" w:rsidRDefault="00CB2C98" w:rsidP="00CB2C98">
      <w:pPr>
        <w:pStyle w:val="JudgmentText"/>
        <w:numPr>
          <w:ilvl w:val="0"/>
          <w:numId w:val="12"/>
        </w:numPr>
        <w:rPr>
          <w:rFonts w:ascii="Bookman Old Style" w:hAnsi="Bookman Old Style"/>
          <w:i/>
        </w:rPr>
      </w:pPr>
      <w:r w:rsidRPr="00E529FE">
        <w:rPr>
          <w:rFonts w:ascii="Bookman Old Style" w:hAnsi="Bookman Old Style"/>
          <w:i/>
        </w:rPr>
        <w:t>Materials used being of the wrong specification, especially with regard to the fact that the H07 cables, as specified in the blank Bills of Quantities, were not used in the reticulation of the Marina; and</w:t>
      </w:r>
    </w:p>
    <w:p w:rsidR="00CB2C98" w:rsidRPr="00E529FE" w:rsidRDefault="00CB2C98" w:rsidP="00CB2C98">
      <w:pPr>
        <w:pStyle w:val="JudgmentText"/>
        <w:numPr>
          <w:ilvl w:val="0"/>
          <w:numId w:val="12"/>
        </w:numPr>
        <w:rPr>
          <w:rFonts w:ascii="Bookman Old Style" w:hAnsi="Bookman Old Style"/>
          <w:i/>
        </w:rPr>
      </w:pPr>
      <w:r w:rsidRPr="00E529FE">
        <w:rPr>
          <w:rFonts w:ascii="Bookman Old Style" w:hAnsi="Bookman Old Style"/>
          <w:i/>
        </w:rPr>
        <w:t xml:space="preserve">Damage of data-cabling and the incorrect installation thereof.” </w:t>
      </w:r>
    </w:p>
    <w:p w:rsidR="00470F58" w:rsidRPr="00E529FE" w:rsidRDefault="00CB2C98" w:rsidP="00A54995">
      <w:pPr>
        <w:pStyle w:val="JudgmentText"/>
        <w:numPr>
          <w:ilvl w:val="0"/>
          <w:numId w:val="0"/>
        </w:numPr>
        <w:ind w:left="720" w:hanging="720"/>
        <w:rPr>
          <w:rFonts w:ascii="Bookman Old Style" w:hAnsi="Bookman Old Style"/>
          <w:i/>
        </w:rPr>
      </w:pPr>
      <w:r>
        <w:rPr>
          <w:rFonts w:ascii="Bookman Old Style" w:hAnsi="Bookman Old Style"/>
        </w:rPr>
        <w:t>[14]</w:t>
      </w:r>
      <w:r>
        <w:rPr>
          <w:rFonts w:ascii="Bookman Old Style" w:hAnsi="Bookman Old Style"/>
        </w:rPr>
        <w:tab/>
        <w:t>Further particulars were sought by the Defendants “</w:t>
      </w:r>
      <w:r w:rsidRPr="00E529FE">
        <w:rPr>
          <w:rFonts w:ascii="Bookman Old Style" w:hAnsi="Bookman Old Style"/>
          <w:i/>
        </w:rPr>
        <w:t>for the specific date in November 2007 and the specific dates of the discovery that the materials used were of the wrong specification, especially with regards to the fact that the H07 cables, as specified in the blank Bills of Quantities were not used in the reticulation of the marine.”</w:t>
      </w:r>
    </w:p>
    <w:p w:rsidR="00F23F09" w:rsidRDefault="00CB2C98" w:rsidP="00A54995">
      <w:pPr>
        <w:pStyle w:val="JudgmentText"/>
        <w:numPr>
          <w:ilvl w:val="0"/>
          <w:numId w:val="0"/>
        </w:numPr>
        <w:ind w:left="720" w:hanging="720"/>
        <w:rPr>
          <w:rFonts w:ascii="Bookman Old Style" w:hAnsi="Bookman Old Style"/>
        </w:rPr>
      </w:pPr>
      <w:r>
        <w:rPr>
          <w:rFonts w:ascii="Bookman Old Style" w:hAnsi="Bookman Old Style"/>
        </w:rPr>
        <w:t>[15]</w:t>
      </w:r>
      <w:r>
        <w:rPr>
          <w:rFonts w:ascii="Bookman Old Style" w:hAnsi="Bookman Old Style"/>
        </w:rPr>
        <w:tab/>
        <w:t xml:space="preserve">The Plaintiff answered that </w:t>
      </w:r>
      <w:r w:rsidRPr="00E529FE">
        <w:rPr>
          <w:rFonts w:ascii="Bookman Old Style" w:hAnsi="Bookman Old Style"/>
          <w:i/>
        </w:rPr>
        <w:t>the specific date was between the 30</w:t>
      </w:r>
      <w:r w:rsidRPr="00E529FE">
        <w:rPr>
          <w:rFonts w:ascii="Bookman Old Style" w:hAnsi="Bookman Old Style"/>
          <w:i/>
          <w:vertAlign w:val="superscript"/>
        </w:rPr>
        <w:t>th</w:t>
      </w:r>
      <w:r w:rsidR="00E529FE" w:rsidRPr="00E529FE">
        <w:rPr>
          <w:rFonts w:ascii="Bookman Old Style" w:hAnsi="Bookman Old Style"/>
          <w:i/>
        </w:rPr>
        <w:t xml:space="preserve"> Novembe</w:t>
      </w:r>
      <w:r w:rsidRPr="00E529FE">
        <w:rPr>
          <w:rFonts w:ascii="Bookman Old Style" w:hAnsi="Bookman Old Style"/>
          <w:i/>
        </w:rPr>
        <w:t>r 2007 to the 2</w:t>
      </w:r>
      <w:r w:rsidRPr="00E529FE">
        <w:rPr>
          <w:rFonts w:ascii="Bookman Old Style" w:hAnsi="Bookman Old Style"/>
          <w:i/>
          <w:vertAlign w:val="superscript"/>
        </w:rPr>
        <w:t>nd</w:t>
      </w:r>
      <w:r w:rsidRPr="00E529FE">
        <w:rPr>
          <w:rFonts w:ascii="Bookman Old Style" w:hAnsi="Bookman Old Style"/>
          <w:i/>
        </w:rPr>
        <w:t xml:space="preserve"> December 2007 with on</w:t>
      </w:r>
      <w:r w:rsidR="00A852ED">
        <w:rPr>
          <w:rFonts w:ascii="Bookman Old Style" w:hAnsi="Bookman Old Style"/>
          <w:i/>
        </w:rPr>
        <w:t>-</w:t>
      </w:r>
      <w:r w:rsidRPr="00E529FE">
        <w:rPr>
          <w:rFonts w:ascii="Bookman Old Style" w:hAnsi="Bookman Old Style"/>
          <w:i/>
        </w:rPr>
        <w:t>site inspection carried out on the 1</w:t>
      </w:r>
      <w:r w:rsidRPr="00E529FE">
        <w:rPr>
          <w:rFonts w:ascii="Bookman Old Style" w:hAnsi="Bookman Old Style"/>
          <w:i/>
          <w:vertAlign w:val="superscript"/>
        </w:rPr>
        <w:t>st</w:t>
      </w:r>
      <w:r w:rsidRPr="00E529FE">
        <w:rPr>
          <w:rFonts w:ascii="Bookman Old Style" w:hAnsi="Bookman Old Style"/>
          <w:i/>
        </w:rPr>
        <w:t xml:space="preserve"> December 2007 and the date of discovery for materials of the wrong specification was</w:t>
      </w:r>
      <w:r w:rsidR="00F23F09" w:rsidRPr="00E529FE">
        <w:rPr>
          <w:rFonts w:ascii="Bookman Old Style" w:hAnsi="Bookman Old Style"/>
          <w:i/>
        </w:rPr>
        <w:t xml:space="preserve"> as from the 1</w:t>
      </w:r>
      <w:r w:rsidR="00F23F09" w:rsidRPr="00E529FE">
        <w:rPr>
          <w:rFonts w:ascii="Bookman Old Style" w:hAnsi="Bookman Old Style"/>
          <w:i/>
          <w:vertAlign w:val="superscript"/>
        </w:rPr>
        <w:t>st</w:t>
      </w:r>
      <w:r w:rsidR="00F23F09" w:rsidRPr="00E529FE">
        <w:rPr>
          <w:rFonts w:ascii="Bookman Old Style" w:hAnsi="Bookman Old Style"/>
          <w:i/>
        </w:rPr>
        <w:t xml:space="preserve"> December 2007.</w:t>
      </w:r>
    </w:p>
    <w:p w:rsidR="00F23F09" w:rsidRDefault="00F23F09" w:rsidP="00A54995">
      <w:pPr>
        <w:pStyle w:val="JudgmentText"/>
        <w:numPr>
          <w:ilvl w:val="0"/>
          <w:numId w:val="0"/>
        </w:numPr>
        <w:ind w:left="720" w:hanging="720"/>
        <w:rPr>
          <w:rFonts w:ascii="Bookman Old Style" w:hAnsi="Bookman Old Style"/>
        </w:rPr>
      </w:pPr>
      <w:r>
        <w:rPr>
          <w:rFonts w:ascii="Bookman Old Style" w:hAnsi="Bookman Old Style"/>
        </w:rPr>
        <w:lastRenderedPageBreak/>
        <w:t>[16]</w:t>
      </w:r>
      <w:r>
        <w:rPr>
          <w:rFonts w:ascii="Bookman Old Style" w:hAnsi="Bookman Old Style"/>
        </w:rPr>
        <w:tab/>
        <w:t>The Plaint is dated the 28</w:t>
      </w:r>
      <w:r w:rsidRPr="00F23F09">
        <w:rPr>
          <w:rFonts w:ascii="Bookman Old Style" w:hAnsi="Bookman Old Style"/>
          <w:vertAlign w:val="superscript"/>
        </w:rPr>
        <w:t>th</w:t>
      </w:r>
      <w:r>
        <w:rPr>
          <w:rFonts w:ascii="Bookman Old Style" w:hAnsi="Bookman Old Style"/>
        </w:rPr>
        <w:t xml:space="preserve"> day of December 2012 and a receipt showing the date 29</w:t>
      </w:r>
      <w:r w:rsidRPr="00F23F09">
        <w:rPr>
          <w:rFonts w:ascii="Bookman Old Style" w:hAnsi="Bookman Old Style"/>
          <w:vertAlign w:val="superscript"/>
        </w:rPr>
        <w:t>th</w:t>
      </w:r>
      <w:r>
        <w:rPr>
          <w:rFonts w:ascii="Bookman Old Style" w:hAnsi="Bookman Old Style"/>
        </w:rPr>
        <w:t xml:space="preserve"> day of November 2012 is on file, confirming that the Plaint was filed on the </w:t>
      </w:r>
      <w:r w:rsidR="00E529FE">
        <w:rPr>
          <w:rFonts w:ascii="Bookman Old Style" w:hAnsi="Bookman Old Style"/>
        </w:rPr>
        <w:t>29</w:t>
      </w:r>
      <w:r w:rsidRPr="00F23F09">
        <w:rPr>
          <w:rFonts w:ascii="Bookman Old Style" w:hAnsi="Bookman Old Style"/>
          <w:vertAlign w:val="superscript"/>
        </w:rPr>
        <w:t>th</w:t>
      </w:r>
      <w:r>
        <w:rPr>
          <w:rFonts w:ascii="Bookman Old Style" w:hAnsi="Bookman Old Style"/>
        </w:rPr>
        <w:t xml:space="preserve"> day of November 2012 hence within the time limit of 5 years. </w:t>
      </w:r>
    </w:p>
    <w:p w:rsidR="00F23F09" w:rsidRDefault="00F23F09" w:rsidP="00A54995">
      <w:pPr>
        <w:pStyle w:val="JudgmentText"/>
        <w:numPr>
          <w:ilvl w:val="0"/>
          <w:numId w:val="0"/>
        </w:numPr>
        <w:ind w:left="720" w:hanging="720"/>
        <w:rPr>
          <w:rFonts w:ascii="Bookman Old Style" w:hAnsi="Bookman Old Style"/>
        </w:rPr>
      </w:pPr>
      <w:r>
        <w:rPr>
          <w:rFonts w:ascii="Bookman Old Style" w:hAnsi="Bookman Old Style"/>
        </w:rPr>
        <w:t>[17]</w:t>
      </w:r>
      <w:r>
        <w:rPr>
          <w:rFonts w:ascii="Bookman Old Style" w:hAnsi="Bookman Old Style"/>
        </w:rPr>
        <w:tab/>
        <w:t xml:space="preserve"> On that basis, with respect to both Learned Counsels for the Defendants, it cannot be “implied, that the discovery of the alleged defects by the Plaintiff occurred before the 30</w:t>
      </w:r>
      <w:r w:rsidRPr="00F23F09">
        <w:rPr>
          <w:rFonts w:ascii="Bookman Old Style" w:hAnsi="Bookman Old Style"/>
          <w:vertAlign w:val="superscript"/>
        </w:rPr>
        <w:t>th</w:t>
      </w:r>
      <w:r>
        <w:rPr>
          <w:rFonts w:ascii="Bookman Old Style" w:hAnsi="Bookman Old Style"/>
        </w:rPr>
        <w:t xml:space="preserve"> November 2007,thus causin</w:t>
      </w:r>
      <w:r w:rsidR="00BA6BDB">
        <w:rPr>
          <w:rFonts w:ascii="Bookman Old Style" w:hAnsi="Bookman Old Style"/>
        </w:rPr>
        <w:t>g rights of action against the D</w:t>
      </w:r>
      <w:r>
        <w:rPr>
          <w:rFonts w:ascii="Bookman Old Style" w:hAnsi="Bookman Old Style"/>
        </w:rPr>
        <w:t xml:space="preserve">efendants to be prescribed”. </w:t>
      </w:r>
    </w:p>
    <w:p w:rsidR="00F23F09" w:rsidRDefault="00F23F09" w:rsidP="00A54995">
      <w:pPr>
        <w:pStyle w:val="JudgmentText"/>
        <w:numPr>
          <w:ilvl w:val="0"/>
          <w:numId w:val="0"/>
        </w:numPr>
        <w:ind w:left="720" w:hanging="720"/>
        <w:rPr>
          <w:rFonts w:ascii="Bookman Old Style" w:hAnsi="Bookman Old Style"/>
        </w:rPr>
      </w:pPr>
      <w:r>
        <w:rPr>
          <w:rFonts w:ascii="Bookman Old Style" w:hAnsi="Bookman Old Style"/>
        </w:rPr>
        <w:t>[18]</w:t>
      </w:r>
      <w:r>
        <w:rPr>
          <w:rFonts w:ascii="Bookman Old Style" w:hAnsi="Bookman Old Style"/>
        </w:rPr>
        <w:tab/>
        <w:t xml:space="preserve">It follows, thus that the first plea </w:t>
      </w:r>
      <w:r w:rsidRPr="00BA6BDB">
        <w:rPr>
          <w:rFonts w:ascii="Bookman Old Style" w:hAnsi="Bookman Old Style"/>
          <w:i/>
        </w:rPr>
        <w:t xml:space="preserve">in </w:t>
      </w:r>
      <w:proofErr w:type="spellStart"/>
      <w:r w:rsidRPr="00BA6BDB">
        <w:rPr>
          <w:rFonts w:ascii="Bookman Old Style" w:hAnsi="Bookman Old Style"/>
          <w:i/>
        </w:rPr>
        <w:t>limine</w:t>
      </w:r>
      <w:proofErr w:type="spellEnd"/>
      <w:r>
        <w:rPr>
          <w:rFonts w:ascii="Bookman Old Style" w:hAnsi="Bookman Old Style"/>
        </w:rPr>
        <w:t xml:space="preserve"> as raised is overruled accordingly.</w:t>
      </w:r>
    </w:p>
    <w:p w:rsidR="00A54995" w:rsidRPr="00E529FE" w:rsidRDefault="00F23F09" w:rsidP="00A54995">
      <w:pPr>
        <w:pStyle w:val="JudgmentText"/>
        <w:numPr>
          <w:ilvl w:val="0"/>
          <w:numId w:val="0"/>
        </w:numPr>
        <w:ind w:left="720" w:hanging="720"/>
        <w:rPr>
          <w:rFonts w:ascii="Bookman Old Style" w:hAnsi="Bookman Old Style"/>
          <w:i/>
        </w:rPr>
      </w:pPr>
      <w:r>
        <w:rPr>
          <w:rFonts w:ascii="Bookman Old Style" w:hAnsi="Bookman Old Style"/>
        </w:rPr>
        <w:t>[19]</w:t>
      </w:r>
      <w:r>
        <w:rPr>
          <w:rFonts w:ascii="Bookman Old Style" w:hAnsi="Bookman Old Style"/>
        </w:rPr>
        <w:tab/>
        <w:t xml:space="preserve">In respect of the </w:t>
      </w:r>
      <w:r w:rsidR="00A54995" w:rsidRPr="00476CAC">
        <w:rPr>
          <w:rFonts w:ascii="Bookman Old Style" w:hAnsi="Bookman Old Style"/>
        </w:rPr>
        <w:t xml:space="preserve">second plea in </w:t>
      </w:r>
      <w:proofErr w:type="spellStart"/>
      <w:r w:rsidR="00A54995" w:rsidRPr="00BA6BDB">
        <w:rPr>
          <w:rFonts w:ascii="Bookman Old Style" w:hAnsi="Bookman Old Style"/>
          <w:i/>
        </w:rPr>
        <w:t>limine</w:t>
      </w:r>
      <w:proofErr w:type="spellEnd"/>
      <w:r w:rsidR="00A54995" w:rsidRPr="00BA6BDB">
        <w:rPr>
          <w:rFonts w:ascii="Bookman Old Style" w:hAnsi="Bookman Old Style"/>
          <w:i/>
        </w:rPr>
        <w:t xml:space="preserve"> </w:t>
      </w:r>
      <w:proofErr w:type="spellStart"/>
      <w:r w:rsidR="00A54995" w:rsidRPr="00BA6BDB">
        <w:rPr>
          <w:rFonts w:ascii="Bookman Old Style" w:hAnsi="Bookman Old Style"/>
          <w:i/>
        </w:rPr>
        <w:t>litis</w:t>
      </w:r>
      <w:proofErr w:type="spellEnd"/>
      <w:r w:rsidR="00A54995" w:rsidRPr="00476CAC">
        <w:rPr>
          <w:rFonts w:ascii="Bookman Old Style" w:hAnsi="Bookman Old Style"/>
        </w:rPr>
        <w:t xml:space="preserve"> </w:t>
      </w:r>
      <w:r>
        <w:rPr>
          <w:rFonts w:ascii="Bookman Old Style" w:hAnsi="Bookman Old Style"/>
        </w:rPr>
        <w:t>as raised by the 1</w:t>
      </w:r>
      <w:r w:rsidRPr="00F23F09">
        <w:rPr>
          <w:rFonts w:ascii="Bookman Old Style" w:hAnsi="Bookman Old Style"/>
          <w:vertAlign w:val="superscript"/>
        </w:rPr>
        <w:t>st</w:t>
      </w:r>
      <w:r>
        <w:rPr>
          <w:rFonts w:ascii="Bookman Old Style" w:hAnsi="Bookman Old Style"/>
        </w:rPr>
        <w:t xml:space="preserve"> defendant, </w:t>
      </w:r>
      <w:r w:rsidR="00A54995" w:rsidRPr="00476CAC">
        <w:rPr>
          <w:rFonts w:ascii="Bookman Old Style" w:hAnsi="Bookman Old Style"/>
        </w:rPr>
        <w:t xml:space="preserve">on the ground that </w:t>
      </w:r>
      <w:r w:rsidR="00BA6BDB">
        <w:rPr>
          <w:rFonts w:ascii="Bookman Old Style" w:hAnsi="Bookman Old Style"/>
          <w:i/>
        </w:rPr>
        <w:t>the P</w:t>
      </w:r>
      <w:r w:rsidR="00A54995" w:rsidRPr="00E529FE">
        <w:rPr>
          <w:rFonts w:ascii="Bookman Old Style" w:hAnsi="Bookman Old Style"/>
          <w:i/>
        </w:rPr>
        <w:t>laint discloses no reasonable cause of action against the 1</w:t>
      </w:r>
      <w:r w:rsidR="00A54995" w:rsidRPr="00E529FE">
        <w:rPr>
          <w:rFonts w:ascii="Bookman Old Style" w:hAnsi="Bookman Old Style"/>
          <w:i/>
          <w:vertAlign w:val="superscript"/>
        </w:rPr>
        <w:t>st</w:t>
      </w:r>
      <w:r w:rsidR="00A54995" w:rsidRPr="00E529FE">
        <w:rPr>
          <w:rFonts w:ascii="Bookman Old Style" w:hAnsi="Bookman Old Style"/>
          <w:i/>
        </w:rPr>
        <w:t xml:space="preserve"> Defendant. </w:t>
      </w:r>
    </w:p>
    <w:p w:rsidR="0006512C" w:rsidRPr="00E529FE" w:rsidRDefault="00F23F09" w:rsidP="00A54995">
      <w:pPr>
        <w:pStyle w:val="JudgmentText"/>
        <w:numPr>
          <w:ilvl w:val="0"/>
          <w:numId w:val="0"/>
        </w:numPr>
        <w:ind w:left="720" w:hanging="720"/>
        <w:rPr>
          <w:rFonts w:ascii="Bookman Old Style" w:hAnsi="Bookman Old Style"/>
          <w:b/>
        </w:rPr>
      </w:pPr>
      <w:r>
        <w:rPr>
          <w:rFonts w:ascii="Bookman Old Style" w:hAnsi="Bookman Old Style"/>
        </w:rPr>
        <w:t>[20]</w:t>
      </w:r>
      <w:r>
        <w:rPr>
          <w:rFonts w:ascii="Bookman Old Style" w:hAnsi="Bookman Old Style"/>
        </w:rPr>
        <w:tab/>
        <w:t>It is trite and our local case law, I should state, is very rich in that respect, that i</w:t>
      </w:r>
      <w:r w:rsidR="00BA6BDB">
        <w:rPr>
          <w:rFonts w:ascii="Bookman Old Style" w:hAnsi="Bookman Old Style"/>
        </w:rPr>
        <w:t>n determining whether or not a P</w:t>
      </w:r>
      <w:r>
        <w:rPr>
          <w:rFonts w:ascii="Bookman Old Style" w:hAnsi="Bookman Old Style"/>
        </w:rPr>
        <w:t>laint discloses a</w:t>
      </w:r>
      <w:r w:rsidR="00A852ED">
        <w:rPr>
          <w:rFonts w:ascii="Bookman Old Style" w:hAnsi="Bookman Old Style"/>
        </w:rPr>
        <w:t xml:space="preserve"> reasonable</w:t>
      </w:r>
      <w:r>
        <w:rPr>
          <w:rFonts w:ascii="Bookman Old Style" w:hAnsi="Bookman Old Style"/>
        </w:rPr>
        <w:t xml:space="preserve"> cause of action</w:t>
      </w:r>
      <w:r w:rsidR="00A852ED">
        <w:rPr>
          <w:rFonts w:ascii="Bookman Old Style" w:hAnsi="Bookman Old Style"/>
        </w:rPr>
        <w:t>, it is the obligation of the Co</w:t>
      </w:r>
      <w:r>
        <w:rPr>
          <w:rFonts w:ascii="Bookman Old Style" w:hAnsi="Bookman Old Style"/>
        </w:rPr>
        <w:t>urt to look only at the p</w:t>
      </w:r>
      <w:r w:rsidR="00A852ED">
        <w:rPr>
          <w:rFonts w:ascii="Bookman Old Style" w:hAnsi="Bookman Old Style"/>
        </w:rPr>
        <w:t>leadings and not the evidence as</w:t>
      </w:r>
      <w:r>
        <w:rPr>
          <w:rFonts w:ascii="Bookman Old Style" w:hAnsi="Bookman Old Style"/>
        </w:rPr>
        <w:t xml:space="preserve"> such. </w:t>
      </w:r>
      <w:r w:rsidR="00A852ED">
        <w:rPr>
          <w:rFonts w:ascii="Bookman Old Style" w:hAnsi="Bookman Old Style"/>
        </w:rPr>
        <w:t>(</w:t>
      </w:r>
      <w:r>
        <w:rPr>
          <w:rFonts w:ascii="Bookman Old Style" w:hAnsi="Bookman Old Style"/>
        </w:rPr>
        <w:t>Vide</w:t>
      </w:r>
      <w:r w:rsidR="00A852ED">
        <w:rPr>
          <w:rFonts w:ascii="Bookman Old Style" w:hAnsi="Bookman Old Style"/>
        </w:rPr>
        <w:t>:</w:t>
      </w:r>
      <w:r w:rsidR="0006512C">
        <w:rPr>
          <w:rFonts w:ascii="Bookman Old Style" w:hAnsi="Bookman Old Style"/>
        </w:rPr>
        <w:t xml:space="preserve"> inter alia, the </w:t>
      </w:r>
      <w:r>
        <w:rPr>
          <w:rFonts w:ascii="Bookman Old Style" w:hAnsi="Bookman Old Style"/>
        </w:rPr>
        <w:t xml:space="preserve">cases of </w:t>
      </w:r>
      <w:r w:rsidR="0006512C" w:rsidRPr="00E529FE">
        <w:rPr>
          <w:rFonts w:ascii="Bookman Old Style" w:hAnsi="Bookman Old Style"/>
          <w:b/>
        </w:rPr>
        <w:t xml:space="preserve">Gerome v Attorney General (1970); </w:t>
      </w:r>
      <w:proofErr w:type="spellStart"/>
      <w:r w:rsidR="0006512C" w:rsidRPr="00E529FE">
        <w:rPr>
          <w:rFonts w:ascii="Bookman Old Style" w:hAnsi="Bookman Old Style"/>
          <w:b/>
        </w:rPr>
        <w:t>Albest</w:t>
      </w:r>
      <w:proofErr w:type="spellEnd"/>
      <w:r w:rsidR="0006512C" w:rsidRPr="00E529FE">
        <w:rPr>
          <w:rFonts w:ascii="Bookman Old Style" w:hAnsi="Bookman Old Style"/>
          <w:b/>
        </w:rPr>
        <w:t xml:space="preserve"> v </w:t>
      </w:r>
      <w:proofErr w:type="spellStart"/>
      <w:r w:rsidR="0006512C" w:rsidRPr="00E529FE">
        <w:rPr>
          <w:rFonts w:ascii="Bookman Old Style" w:hAnsi="Bookman Old Style"/>
          <w:b/>
        </w:rPr>
        <w:t>Stravens</w:t>
      </w:r>
      <w:proofErr w:type="spellEnd"/>
      <w:r w:rsidR="0006512C" w:rsidRPr="00E529FE">
        <w:rPr>
          <w:rFonts w:ascii="Bookman Old Style" w:hAnsi="Bookman Old Style"/>
          <w:b/>
        </w:rPr>
        <w:t xml:space="preserve"> (No. 1 (1976); </w:t>
      </w:r>
      <w:proofErr w:type="spellStart"/>
      <w:r w:rsidR="0006512C" w:rsidRPr="00E529FE">
        <w:rPr>
          <w:rFonts w:ascii="Bookman Old Style" w:hAnsi="Bookman Old Style"/>
          <w:b/>
        </w:rPr>
        <w:t>Oceangate</w:t>
      </w:r>
      <w:proofErr w:type="spellEnd"/>
      <w:r w:rsidR="0006512C" w:rsidRPr="00E529FE">
        <w:rPr>
          <w:rFonts w:ascii="Bookman Old Style" w:hAnsi="Bookman Old Style"/>
          <w:b/>
        </w:rPr>
        <w:t xml:space="preserve"> Law Centre v </w:t>
      </w:r>
      <w:proofErr w:type="spellStart"/>
      <w:r w:rsidR="0006512C" w:rsidRPr="00E529FE">
        <w:rPr>
          <w:rFonts w:ascii="Bookman Old Style" w:hAnsi="Bookman Old Style"/>
          <w:b/>
        </w:rPr>
        <w:t>Monchouguy</w:t>
      </w:r>
      <w:proofErr w:type="spellEnd"/>
      <w:r w:rsidR="0006512C" w:rsidRPr="00E529FE">
        <w:rPr>
          <w:rFonts w:ascii="Bookman Old Style" w:hAnsi="Bookman Old Style"/>
          <w:b/>
        </w:rPr>
        <w:t xml:space="preserve"> (1984) and Get High (Pty) </w:t>
      </w:r>
      <w:r w:rsidR="00A852ED">
        <w:rPr>
          <w:rFonts w:ascii="Bookman Old Style" w:hAnsi="Bookman Old Style"/>
          <w:b/>
        </w:rPr>
        <w:t>Ltd and O</w:t>
      </w:r>
      <w:r w:rsidR="0006512C" w:rsidRPr="00E529FE">
        <w:rPr>
          <w:rFonts w:ascii="Bookman Old Style" w:hAnsi="Bookman Old Style"/>
          <w:b/>
        </w:rPr>
        <w:t xml:space="preserve">rs v Steve </w:t>
      </w:r>
      <w:proofErr w:type="spellStart"/>
      <w:r w:rsidR="0006512C" w:rsidRPr="00E529FE">
        <w:rPr>
          <w:rFonts w:ascii="Bookman Old Style" w:hAnsi="Bookman Old Style"/>
          <w:b/>
        </w:rPr>
        <w:t>Gerrad</w:t>
      </w:r>
      <w:proofErr w:type="spellEnd"/>
      <w:r w:rsidR="0006512C" w:rsidRPr="00E529FE">
        <w:rPr>
          <w:rFonts w:ascii="Bookman Old Style" w:hAnsi="Bookman Old Style"/>
          <w:b/>
        </w:rPr>
        <w:t xml:space="preserve"> and Ors (Commercial Case No. 08 of 2012).</w:t>
      </w:r>
    </w:p>
    <w:p w:rsidR="0006512C" w:rsidRDefault="00E529FE" w:rsidP="00A54995">
      <w:pPr>
        <w:pStyle w:val="JudgmentText"/>
        <w:numPr>
          <w:ilvl w:val="0"/>
          <w:numId w:val="0"/>
        </w:numPr>
        <w:ind w:left="720" w:hanging="720"/>
        <w:rPr>
          <w:rFonts w:ascii="Bookman Old Style" w:hAnsi="Bookman Old Style"/>
        </w:rPr>
      </w:pPr>
      <w:r>
        <w:rPr>
          <w:rFonts w:ascii="Bookman Old Style" w:hAnsi="Bookman Old Style"/>
        </w:rPr>
        <w:t>[21]</w:t>
      </w:r>
      <w:r>
        <w:rPr>
          <w:rFonts w:ascii="Bookman Old Style" w:hAnsi="Bookman Old Style"/>
        </w:rPr>
        <w:tab/>
      </w:r>
      <w:r w:rsidRPr="00A852ED">
        <w:rPr>
          <w:rFonts w:ascii="Bookman Old Style" w:hAnsi="Bookman Old Style"/>
          <w:b/>
        </w:rPr>
        <w:t>Section 92 of the Seychelle</w:t>
      </w:r>
      <w:r w:rsidR="0006512C" w:rsidRPr="00A852ED">
        <w:rPr>
          <w:rFonts w:ascii="Bookman Old Style" w:hAnsi="Bookman Old Style"/>
          <w:b/>
        </w:rPr>
        <w:t>s Code of Civil Procedure</w:t>
      </w:r>
      <w:r w:rsidR="00A852ED">
        <w:rPr>
          <w:rFonts w:ascii="Bookman Old Style" w:hAnsi="Bookman Old Style"/>
        </w:rPr>
        <w:t xml:space="preserve"> a</w:t>
      </w:r>
      <w:r w:rsidR="0006512C">
        <w:rPr>
          <w:rFonts w:ascii="Bookman Old Style" w:hAnsi="Bookman Old Style"/>
        </w:rPr>
        <w:t>llows the Court to strike out</w:t>
      </w:r>
      <w:r>
        <w:rPr>
          <w:rFonts w:ascii="Bookman Old Style" w:hAnsi="Bookman Old Style"/>
        </w:rPr>
        <w:t xml:space="preserve"> a pleading that discloses no re</w:t>
      </w:r>
      <w:r w:rsidR="0006512C">
        <w:rPr>
          <w:rFonts w:ascii="Bookman Old Style" w:hAnsi="Bookman Old Style"/>
        </w:rPr>
        <w:t>asonable cause of action and to dismiss the action. It provides that:</w:t>
      </w:r>
    </w:p>
    <w:p w:rsidR="0006512C" w:rsidRDefault="0006512C" w:rsidP="00A852ED">
      <w:pPr>
        <w:pStyle w:val="JudgmentText"/>
        <w:numPr>
          <w:ilvl w:val="0"/>
          <w:numId w:val="0"/>
        </w:numPr>
        <w:ind w:left="1440" w:hanging="720"/>
        <w:rPr>
          <w:rFonts w:ascii="Bookman Old Style" w:hAnsi="Bookman Old Style"/>
          <w:b/>
          <w:i/>
        </w:rPr>
      </w:pPr>
      <w:r w:rsidRPr="00A852ED">
        <w:rPr>
          <w:rFonts w:ascii="Bookman Old Style" w:hAnsi="Bookman Old Style"/>
          <w:b/>
          <w:i/>
        </w:rPr>
        <w:t xml:space="preserve">“92. </w:t>
      </w:r>
      <w:r w:rsidR="00A852ED">
        <w:rPr>
          <w:rFonts w:ascii="Bookman Old Style" w:hAnsi="Bookman Old Style"/>
          <w:b/>
          <w:i/>
        </w:rPr>
        <w:tab/>
      </w:r>
      <w:r w:rsidRPr="00A852ED">
        <w:rPr>
          <w:rFonts w:ascii="Bookman Old Style" w:hAnsi="Bookman Old Style"/>
          <w:b/>
          <w:i/>
        </w:rPr>
        <w:t xml:space="preserve">The Court may order any pleading to be struck out, on the ground that it </w:t>
      </w:r>
      <w:r w:rsidR="00E529FE" w:rsidRPr="00A852ED">
        <w:rPr>
          <w:rFonts w:ascii="Bookman Old Style" w:hAnsi="Bookman Old Style"/>
          <w:b/>
          <w:i/>
        </w:rPr>
        <w:t xml:space="preserve">discloses no reasonable cause of </w:t>
      </w:r>
      <w:r w:rsidRPr="00A852ED">
        <w:rPr>
          <w:rFonts w:ascii="Bookman Old Style" w:hAnsi="Bookman Old Style"/>
          <w:b/>
          <w:i/>
        </w:rPr>
        <w:t>action or answer, and in such case………., the cour</w:t>
      </w:r>
      <w:r w:rsidR="00E529FE" w:rsidRPr="00A852ED">
        <w:rPr>
          <w:rFonts w:ascii="Bookman Old Style" w:hAnsi="Bookman Old Style"/>
          <w:b/>
          <w:i/>
        </w:rPr>
        <w:t xml:space="preserve">t may order the </w:t>
      </w:r>
      <w:r w:rsidR="00E529FE" w:rsidRPr="00A852ED">
        <w:rPr>
          <w:rFonts w:ascii="Bookman Old Style" w:hAnsi="Bookman Old Style"/>
          <w:b/>
          <w:i/>
        </w:rPr>
        <w:lastRenderedPageBreak/>
        <w:t>action to be sta</w:t>
      </w:r>
      <w:r w:rsidRPr="00A852ED">
        <w:rPr>
          <w:rFonts w:ascii="Bookman Old Style" w:hAnsi="Bookman Old Style"/>
          <w:b/>
          <w:i/>
        </w:rPr>
        <w:t>yed or dismissed, or may give judgement on such terms as may be just.”</w:t>
      </w:r>
    </w:p>
    <w:p w:rsidR="00A852ED" w:rsidRPr="00A852ED" w:rsidRDefault="00A852ED" w:rsidP="00A852ED">
      <w:pPr>
        <w:pStyle w:val="JudgmentText"/>
        <w:numPr>
          <w:ilvl w:val="0"/>
          <w:numId w:val="0"/>
        </w:numPr>
        <w:ind w:left="1440" w:hanging="720"/>
        <w:rPr>
          <w:rFonts w:ascii="Bookman Old Style" w:hAnsi="Bookman Old Style"/>
        </w:rPr>
      </w:pPr>
      <w:r w:rsidRPr="00A852ED">
        <w:rPr>
          <w:rFonts w:ascii="Bookman Old Style" w:hAnsi="Bookman Old Style"/>
        </w:rPr>
        <w:t xml:space="preserve">(Emphasis in mine). </w:t>
      </w:r>
    </w:p>
    <w:p w:rsidR="0006512C" w:rsidRDefault="0006512C" w:rsidP="00A54995">
      <w:pPr>
        <w:pStyle w:val="JudgmentText"/>
        <w:numPr>
          <w:ilvl w:val="0"/>
          <w:numId w:val="0"/>
        </w:numPr>
        <w:ind w:left="720" w:hanging="720"/>
        <w:rPr>
          <w:rFonts w:ascii="Bookman Old Style" w:hAnsi="Bookman Old Style"/>
        </w:rPr>
      </w:pPr>
      <w:r>
        <w:rPr>
          <w:rFonts w:ascii="Bookman Old Style" w:hAnsi="Bookman Old Style"/>
        </w:rPr>
        <w:t>[22]</w:t>
      </w:r>
      <w:r>
        <w:rPr>
          <w:rFonts w:ascii="Bookman Old Style" w:hAnsi="Bookman Old Style"/>
        </w:rPr>
        <w:tab/>
        <w:t>As rightly ruled in the lat</w:t>
      </w:r>
      <w:r w:rsidR="00E529FE">
        <w:rPr>
          <w:rFonts w:ascii="Bookman Old Style" w:hAnsi="Bookman Old Style"/>
        </w:rPr>
        <w:t xml:space="preserve">ter above-cited case, </w:t>
      </w:r>
      <w:r w:rsidR="00E529FE" w:rsidRPr="00E529FE">
        <w:rPr>
          <w:rFonts w:ascii="Bookman Old Style" w:hAnsi="Bookman Old Style"/>
          <w:i/>
        </w:rPr>
        <w:t>“a cause of action is not defined in the Seychelle</w:t>
      </w:r>
      <w:r w:rsidRPr="00E529FE">
        <w:rPr>
          <w:rFonts w:ascii="Bookman Old Style" w:hAnsi="Bookman Old Style"/>
          <w:i/>
        </w:rPr>
        <w:t>s C</w:t>
      </w:r>
      <w:r w:rsidR="00E529FE" w:rsidRPr="00E529FE">
        <w:rPr>
          <w:rFonts w:ascii="Bookman Old Style" w:hAnsi="Bookman Old Style"/>
          <w:i/>
        </w:rPr>
        <w:t>ode of</w:t>
      </w:r>
      <w:r w:rsidRPr="00E529FE">
        <w:rPr>
          <w:rFonts w:ascii="Bookman Old Style" w:hAnsi="Bookman Old Style"/>
          <w:i/>
        </w:rPr>
        <w:t xml:space="preserve"> Civil </w:t>
      </w:r>
      <w:r w:rsidR="00A852ED">
        <w:rPr>
          <w:rFonts w:ascii="Bookman Old Style" w:hAnsi="Bookman Old Style"/>
          <w:i/>
        </w:rPr>
        <w:t>P</w:t>
      </w:r>
      <w:r w:rsidRPr="00E529FE">
        <w:rPr>
          <w:rFonts w:ascii="Bookman Old Style" w:hAnsi="Bookman Old Style"/>
          <w:i/>
        </w:rPr>
        <w:t>rocedure but comparative case</w:t>
      </w:r>
      <w:r w:rsidR="00BA6BDB">
        <w:rPr>
          <w:rFonts w:ascii="Bookman Old Style" w:hAnsi="Bookman Old Style"/>
          <w:i/>
        </w:rPr>
        <w:t xml:space="preserve"> </w:t>
      </w:r>
      <w:r w:rsidRPr="00E529FE">
        <w:rPr>
          <w:rFonts w:ascii="Bookman Old Style" w:hAnsi="Bookman Old Style"/>
          <w:i/>
        </w:rPr>
        <w:t xml:space="preserve">law is of persuasive authority and value. That in Auto Garage v </w:t>
      </w:r>
      <w:proofErr w:type="spellStart"/>
      <w:r w:rsidRPr="00E529FE">
        <w:rPr>
          <w:rFonts w:ascii="Bookman Old Style" w:hAnsi="Bookman Old Style"/>
          <w:i/>
        </w:rPr>
        <w:t>Motokov</w:t>
      </w:r>
      <w:proofErr w:type="spellEnd"/>
      <w:r w:rsidRPr="00E529FE">
        <w:rPr>
          <w:rFonts w:ascii="Bookman Old Style" w:hAnsi="Bookman Old Style"/>
          <w:i/>
        </w:rPr>
        <w:t xml:space="preserve"> [</w:t>
      </w:r>
      <w:r w:rsidR="00E529FE" w:rsidRPr="00E529FE">
        <w:rPr>
          <w:rFonts w:ascii="Bookman Old Style" w:hAnsi="Bookman Old Style"/>
          <w:i/>
        </w:rPr>
        <w:t>1971] EA 514</w:t>
      </w:r>
      <w:r w:rsidR="00A852ED">
        <w:rPr>
          <w:rFonts w:ascii="Bookman Old Style" w:hAnsi="Bookman Old Style"/>
          <w:i/>
        </w:rPr>
        <w:t>,</w:t>
      </w:r>
      <w:r w:rsidR="00E529FE" w:rsidRPr="00E529FE">
        <w:rPr>
          <w:rFonts w:ascii="Bookman Old Style" w:hAnsi="Bookman Old Style"/>
          <w:i/>
        </w:rPr>
        <w:t xml:space="preserve"> the Court of Appeal</w:t>
      </w:r>
      <w:r w:rsidRPr="00E529FE">
        <w:rPr>
          <w:rFonts w:ascii="Bookman Old Style" w:hAnsi="Bookman Old Style"/>
          <w:i/>
        </w:rPr>
        <w:t xml:space="preserve"> for East Africa considered the me</w:t>
      </w:r>
      <w:r w:rsidR="00E529FE" w:rsidRPr="00E529FE">
        <w:rPr>
          <w:rFonts w:ascii="Bookman Old Style" w:hAnsi="Bookman Old Style"/>
          <w:i/>
        </w:rPr>
        <w:t xml:space="preserve">aning </w:t>
      </w:r>
      <w:r w:rsidRPr="00E529FE">
        <w:rPr>
          <w:rFonts w:ascii="Bookman Old Style" w:hAnsi="Bookman Old Style"/>
          <w:i/>
        </w:rPr>
        <w:t>of cause of action. And after a review of a number of English decisions on the subject,</w:t>
      </w:r>
      <w:r w:rsidR="00E529FE" w:rsidRPr="00E529FE">
        <w:rPr>
          <w:rFonts w:ascii="Bookman Old Style" w:hAnsi="Bookman Old Style"/>
          <w:i/>
        </w:rPr>
        <w:t xml:space="preserve"> Spry VP</w:t>
      </w:r>
      <w:r w:rsidRPr="00E529FE">
        <w:rPr>
          <w:rFonts w:ascii="Bookman Old Style" w:hAnsi="Bookman Old Style"/>
          <w:i/>
        </w:rPr>
        <w:t>, defined it in the following wo</w:t>
      </w:r>
      <w:r w:rsidR="00E529FE" w:rsidRPr="00E529FE">
        <w:rPr>
          <w:rFonts w:ascii="Bookman Old Style" w:hAnsi="Bookman Old Style"/>
          <w:i/>
        </w:rPr>
        <w:t>rds at page 519 thereof, that: ‘</w:t>
      </w:r>
      <w:r w:rsidRPr="00E529FE">
        <w:rPr>
          <w:rFonts w:ascii="Bookman Old Style" w:hAnsi="Bookman Old Style"/>
          <w:i/>
        </w:rPr>
        <w:t>I would summarize the position As I see it by saying t</w:t>
      </w:r>
      <w:r w:rsidR="00BA6BDB">
        <w:rPr>
          <w:rFonts w:ascii="Bookman Old Style" w:hAnsi="Bookman Old Style"/>
          <w:i/>
        </w:rPr>
        <w:t>hat if a Plaint shows that the P</w:t>
      </w:r>
      <w:r w:rsidRPr="00E529FE">
        <w:rPr>
          <w:rFonts w:ascii="Bookman Old Style" w:hAnsi="Bookman Old Style"/>
          <w:i/>
        </w:rPr>
        <w:t xml:space="preserve">laintiff enjoyed a right, that </w:t>
      </w:r>
      <w:r w:rsidR="00BA6BDB">
        <w:rPr>
          <w:rFonts w:ascii="Bookman Old Style" w:hAnsi="Bookman Old Style"/>
          <w:i/>
        </w:rPr>
        <w:t>has been violated and that the D</w:t>
      </w:r>
      <w:r w:rsidRPr="00E529FE">
        <w:rPr>
          <w:rFonts w:ascii="Bookman Old Style" w:hAnsi="Bookman Old Style"/>
          <w:i/>
        </w:rPr>
        <w:t>efendant is liable, then, in my opinion, a cau</w:t>
      </w:r>
      <w:r w:rsidR="00E529FE" w:rsidRPr="00E529FE">
        <w:rPr>
          <w:rFonts w:ascii="Bookman Old Style" w:hAnsi="Bookman Old Style"/>
          <w:i/>
        </w:rPr>
        <w:t>se of action has been disclosed’”</w:t>
      </w:r>
      <w:r w:rsidRPr="00E529FE">
        <w:rPr>
          <w:rFonts w:ascii="Bookman Old Style" w:hAnsi="Bookman Old Style"/>
          <w:i/>
        </w:rPr>
        <w:t xml:space="preserve">. </w:t>
      </w:r>
    </w:p>
    <w:p w:rsidR="0006512C" w:rsidRDefault="0006512C" w:rsidP="00A54995">
      <w:pPr>
        <w:pStyle w:val="JudgmentText"/>
        <w:numPr>
          <w:ilvl w:val="0"/>
          <w:numId w:val="0"/>
        </w:numPr>
        <w:ind w:left="720" w:hanging="720"/>
        <w:rPr>
          <w:rFonts w:ascii="Bookman Old Style" w:hAnsi="Bookman Old Style"/>
        </w:rPr>
      </w:pPr>
      <w:r>
        <w:rPr>
          <w:rFonts w:ascii="Bookman Old Style" w:hAnsi="Bookman Old Style"/>
        </w:rPr>
        <w:t>[23]</w:t>
      </w:r>
      <w:r>
        <w:rPr>
          <w:rFonts w:ascii="Bookman Old Style" w:hAnsi="Bookman Old Style"/>
        </w:rPr>
        <w:tab/>
      </w:r>
      <w:r w:rsidR="00BA6BDB">
        <w:rPr>
          <w:rFonts w:ascii="Bookman Old Style" w:hAnsi="Bookman Old Style"/>
        </w:rPr>
        <w:t>N</w:t>
      </w:r>
      <w:r w:rsidR="00BE2691">
        <w:rPr>
          <w:rFonts w:ascii="Bookman Old Style" w:hAnsi="Bookman Old Style"/>
        </w:rPr>
        <w:t>ow, in the instant case, the first De</w:t>
      </w:r>
      <w:r w:rsidR="00E529FE">
        <w:rPr>
          <w:rFonts w:ascii="Bookman Old Style" w:hAnsi="Bookman Old Style"/>
        </w:rPr>
        <w:t>fendant comments in his submissi</w:t>
      </w:r>
      <w:r w:rsidR="00BE2691">
        <w:rPr>
          <w:rFonts w:ascii="Bookman Old Style" w:hAnsi="Bookman Old Style"/>
        </w:rPr>
        <w:t>ons on this pl</w:t>
      </w:r>
      <w:r w:rsidR="006C2C3A">
        <w:rPr>
          <w:rFonts w:ascii="Bookman Old Style" w:hAnsi="Bookman Old Style"/>
        </w:rPr>
        <w:t>ea on a series of paragraphs of the Plaint more particularl</w:t>
      </w:r>
      <w:r w:rsidR="00BE2691">
        <w:rPr>
          <w:rFonts w:ascii="Bookman Old Style" w:hAnsi="Bookman Old Style"/>
        </w:rPr>
        <w:t xml:space="preserve">y of </w:t>
      </w:r>
      <w:r w:rsidR="006C2C3A">
        <w:rPr>
          <w:rFonts w:ascii="Bookman Old Style" w:hAnsi="Bookman Old Style"/>
        </w:rPr>
        <w:t>p</w:t>
      </w:r>
      <w:r w:rsidR="00BE2691">
        <w:rPr>
          <w:rFonts w:ascii="Bookman Old Style" w:hAnsi="Bookman Old Style"/>
        </w:rPr>
        <w:t>aragraphs 5, 6, 7, 13, 14 and 15 there</w:t>
      </w:r>
      <w:r w:rsidR="006C2C3A">
        <w:rPr>
          <w:rFonts w:ascii="Bookman Old Style" w:hAnsi="Bookman Old Style"/>
        </w:rPr>
        <w:t>of of which submissions delve</w:t>
      </w:r>
      <w:r w:rsidR="00BE2691">
        <w:rPr>
          <w:rFonts w:ascii="Bookman Old Style" w:hAnsi="Bookman Old Style"/>
        </w:rPr>
        <w:t xml:space="preserve"> substantially in the evidence proper which is not yet before the Court and cannot be admitted with respect</w:t>
      </w:r>
      <w:r w:rsidR="00A852ED">
        <w:rPr>
          <w:rFonts w:ascii="Bookman Old Style" w:hAnsi="Bookman Old Style"/>
        </w:rPr>
        <w:t>,</w:t>
      </w:r>
      <w:r w:rsidR="00BE2691">
        <w:rPr>
          <w:rFonts w:ascii="Bookman Old Style" w:hAnsi="Bookman Old Style"/>
        </w:rPr>
        <w:t xml:space="preserve"> from the bar to support such a plea. </w:t>
      </w:r>
    </w:p>
    <w:p w:rsidR="00BE2691" w:rsidRDefault="00BE2691" w:rsidP="00A54995">
      <w:pPr>
        <w:pStyle w:val="JudgmentText"/>
        <w:numPr>
          <w:ilvl w:val="0"/>
          <w:numId w:val="0"/>
        </w:numPr>
        <w:ind w:left="720" w:hanging="720"/>
        <w:rPr>
          <w:rFonts w:ascii="Bookman Old Style" w:hAnsi="Bookman Old Style"/>
        </w:rPr>
      </w:pPr>
      <w:r>
        <w:rPr>
          <w:rFonts w:ascii="Bookman Old Style" w:hAnsi="Bookman Old Style"/>
        </w:rPr>
        <w:t>[24]</w:t>
      </w:r>
      <w:r>
        <w:rPr>
          <w:rFonts w:ascii="Bookman Old Style" w:hAnsi="Bookman Old Style"/>
        </w:rPr>
        <w:tab/>
        <w:t xml:space="preserve">It is thus, in my opinion, that this plea in </w:t>
      </w:r>
      <w:proofErr w:type="spellStart"/>
      <w:r w:rsidRPr="00BA6BDB">
        <w:rPr>
          <w:rFonts w:ascii="Bookman Old Style" w:hAnsi="Bookman Old Style"/>
          <w:i/>
        </w:rPr>
        <w:t>limine</w:t>
      </w:r>
      <w:proofErr w:type="spellEnd"/>
      <w:r w:rsidRPr="00BA6BDB">
        <w:rPr>
          <w:rFonts w:ascii="Bookman Old Style" w:hAnsi="Bookman Old Style"/>
          <w:i/>
        </w:rPr>
        <w:t xml:space="preserve"> </w:t>
      </w:r>
      <w:proofErr w:type="spellStart"/>
      <w:r w:rsidR="00A852ED" w:rsidRPr="00BA6BDB">
        <w:rPr>
          <w:rFonts w:ascii="Bookman Old Style" w:hAnsi="Bookman Old Style"/>
          <w:i/>
        </w:rPr>
        <w:t>litis</w:t>
      </w:r>
      <w:proofErr w:type="spellEnd"/>
      <w:r w:rsidR="00A852ED">
        <w:rPr>
          <w:rFonts w:ascii="Bookman Old Style" w:hAnsi="Bookman Old Style"/>
        </w:rPr>
        <w:t xml:space="preserve"> </w:t>
      </w:r>
      <w:r>
        <w:rPr>
          <w:rFonts w:ascii="Bookman Old Style" w:hAnsi="Bookman Old Style"/>
        </w:rPr>
        <w:t>cannot be dealt with at this point by the Court unless evidence is led and considered by the Court accordingly. In</w:t>
      </w:r>
      <w:r w:rsidR="00BA6BDB">
        <w:rPr>
          <w:rFonts w:ascii="Bookman Old Style" w:hAnsi="Bookman Old Style"/>
        </w:rPr>
        <w:t xml:space="preserve"> </w:t>
      </w:r>
      <w:r>
        <w:rPr>
          <w:rFonts w:ascii="Bookman Old Style" w:hAnsi="Bookman Old Style"/>
        </w:rPr>
        <w:t>fact</w:t>
      </w:r>
      <w:r w:rsidR="00A852ED">
        <w:rPr>
          <w:rFonts w:ascii="Bookman Old Style" w:hAnsi="Bookman Old Style"/>
        </w:rPr>
        <w:t>,</w:t>
      </w:r>
      <w:r>
        <w:rPr>
          <w:rFonts w:ascii="Bookman Old Style" w:hAnsi="Bookman Old Style"/>
        </w:rPr>
        <w:t xml:space="preserve"> it is carefully noted as rightly pointed out by Learned Counsel for the Plaintiff in his response, that the Learned Counsel for the 1</w:t>
      </w:r>
      <w:r w:rsidRPr="00BE2691">
        <w:rPr>
          <w:rFonts w:ascii="Bookman Old Style" w:hAnsi="Bookman Old Style"/>
          <w:vertAlign w:val="superscript"/>
        </w:rPr>
        <w:t>st</w:t>
      </w:r>
      <w:r>
        <w:rPr>
          <w:rFonts w:ascii="Bookman Old Style" w:hAnsi="Bookman Old Style"/>
        </w:rPr>
        <w:t xml:space="preserve"> Defendant even states in his response that the 1</w:t>
      </w:r>
      <w:r w:rsidRPr="00BE2691">
        <w:rPr>
          <w:rFonts w:ascii="Bookman Old Style" w:hAnsi="Bookman Old Style"/>
          <w:vertAlign w:val="superscript"/>
        </w:rPr>
        <w:t>st</w:t>
      </w:r>
      <w:r w:rsidR="00BA6BDB">
        <w:rPr>
          <w:rFonts w:ascii="Bookman Old Style" w:hAnsi="Bookman Old Style"/>
        </w:rPr>
        <w:t xml:space="preserve"> D</w:t>
      </w:r>
      <w:r>
        <w:rPr>
          <w:rFonts w:ascii="Bookman Old Style" w:hAnsi="Bookman Old Style"/>
        </w:rPr>
        <w:t>efendant was not a signatory and therefore could not be a party to the JJBC contracts (subject matter of which involved works to be carried out by the 2</w:t>
      </w:r>
      <w:r w:rsidRPr="00BE2691">
        <w:rPr>
          <w:rFonts w:ascii="Bookman Old Style" w:hAnsi="Bookman Old Style"/>
          <w:vertAlign w:val="superscript"/>
        </w:rPr>
        <w:t>nd</w:t>
      </w:r>
      <w:r>
        <w:rPr>
          <w:rFonts w:ascii="Bookman Old Style" w:hAnsi="Bookman Old Style"/>
        </w:rPr>
        <w:t xml:space="preserve"> Defendant for the plaintiff) even though allegedly “identified” as “agent 5 therein</w:t>
      </w:r>
      <w:r w:rsidR="00A852ED">
        <w:rPr>
          <w:rFonts w:ascii="Bookman Old Style" w:hAnsi="Bookman Old Style"/>
        </w:rPr>
        <w:t>”</w:t>
      </w:r>
      <w:r>
        <w:rPr>
          <w:rFonts w:ascii="Bookman Old Style" w:hAnsi="Bookman Old Style"/>
        </w:rPr>
        <w:t xml:space="preserve">. It is clear </w:t>
      </w:r>
      <w:r w:rsidR="00774B63">
        <w:rPr>
          <w:rFonts w:ascii="Bookman Old Style" w:hAnsi="Bookman Old Style"/>
        </w:rPr>
        <w:t>thus</w:t>
      </w:r>
      <w:r w:rsidR="00A852ED">
        <w:rPr>
          <w:rFonts w:ascii="Bookman Old Style" w:hAnsi="Bookman Old Style"/>
        </w:rPr>
        <w:t>,</w:t>
      </w:r>
      <w:r w:rsidR="00BA6BDB">
        <w:rPr>
          <w:rFonts w:ascii="Bookman Old Style" w:hAnsi="Bookman Old Style"/>
        </w:rPr>
        <w:t xml:space="preserve"> </w:t>
      </w:r>
      <w:r>
        <w:rPr>
          <w:rFonts w:ascii="Bookman Old Style" w:hAnsi="Bookman Old Style"/>
        </w:rPr>
        <w:t xml:space="preserve">that </w:t>
      </w:r>
      <w:r w:rsidR="00774B63">
        <w:rPr>
          <w:rFonts w:ascii="Bookman Old Style" w:hAnsi="Bookman Old Style"/>
        </w:rPr>
        <w:t xml:space="preserve">since none of the parties have </w:t>
      </w:r>
      <w:r>
        <w:rPr>
          <w:rFonts w:ascii="Bookman Old Style" w:hAnsi="Bookman Old Style"/>
        </w:rPr>
        <w:lastRenderedPageBreak/>
        <w:t>been called upon to give evidence or produce</w:t>
      </w:r>
      <w:r w:rsidR="00774B63">
        <w:rPr>
          <w:rFonts w:ascii="Bookman Old Style" w:hAnsi="Bookman Old Style"/>
        </w:rPr>
        <w:t xml:space="preserve"> evidence as exhibits before th</w:t>
      </w:r>
      <w:r w:rsidR="006C2C3A">
        <w:rPr>
          <w:rFonts w:ascii="Bookman Old Style" w:hAnsi="Bookman Old Style"/>
        </w:rPr>
        <w:t>is Court, these kinds of averments cannot be sub</w:t>
      </w:r>
      <w:r w:rsidR="00774B63">
        <w:rPr>
          <w:rFonts w:ascii="Bookman Old Style" w:hAnsi="Bookman Old Style"/>
        </w:rPr>
        <w:t>sta</w:t>
      </w:r>
      <w:r w:rsidR="006C2C3A">
        <w:rPr>
          <w:rFonts w:ascii="Bookman Old Style" w:hAnsi="Bookman Old Style"/>
        </w:rPr>
        <w:t>n</w:t>
      </w:r>
      <w:r w:rsidR="00A852ED">
        <w:rPr>
          <w:rFonts w:ascii="Bookman Old Style" w:hAnsi="Bookman Old Style"/>
        </w:rPr>
        <w:t>tiated from evidence given fro</w:t>
      </w:r>
      <w:r w:rsidR="00774B63">
        <w:rPr>
          <w:rFonts w:ascii="Bookman Old Style" w:hAnsi="Bookman Old Style"/>
        </w:rPr>
        <w:t>m the bar</w:t>
      </w:r>
      <w:r w:rsidR="00A852ED">
        <w:rPr>
          <w:rFonts w:ascii="Bookman Old Style" w:hAnsi="Bookman Old Style"/>
        </w:rPr>
        <w:t>,</w:t>
      </w:r>
      <w:r w:rsidR="00774B63">
        <w:rPr>
          <w:rFonts w:ascii="Bookman Old Style" w:hAnsi="Bookman Old Style"/>
        </w:rPr>
        <w:t xml:space="preserve"> hence</w:t>
      </w:r>
      <w:r w:rsidR="00A852ED">
        <w:rPr>
          <w:rFonts w:ascii="Bookman Old Style" w:hAnsi="Bookman Old Style"/>
        </w:rPr>
        <w:t>,</w:t>
      </w:r>
      <w:r w:rsidR="00774B63">
        <w:rPr>
          <w:rFonts w:ascii="Bookman Old Style" w:hAnsi="Bookman Old Style"/>
        </w:rPr>
        <w:t xml:space="preserve"> such a plea cannot be entertained at this stage but rather after the hearing of the case on the merits proper.</w:t>
      </w:r>
    </w:p>
    <w:p w:rsidR="00774B63" w:rsidRDefault="00774B63" w:rsidP="00A54995">
      <w:pPr>
        <w:pStyle w:val="JudgmentText"/>
        <w:numPr>
          <w:ilvl w:val="0"/>
          <w:numId w:val="0"/>
        </w:numPr>
        <w:ind w:left="720" w:hanging="720"/>
        <w:rPr>
          <w:rFonts w:ascii="Bookman Old Style" w:hAnsi="Bookman Old Style"/>
        </w:rPr>
      </w:pPr>
      <w:r>
        <w:rPr>
          <w:rFonts w:ascii="Bookman Old Style" w:hAnsi="Bookman Old Style"/>
        </w:rPr>
        <w:t>[25]</w:t>
      </w:r>
      <w:r>
        <w:rPr>
          <w:rFonts w:ascii="Bookman Old Style" w:hAnsi="Bookman Old Style"/>
        </w:rPr>
        <w:tab/>
        <w:t xml:space="preserve">In the light of the above analysis on the second plea in </w:t>
      </w:r>
      <w:proofErr w:type="spellStart"/>
      <w:r w:rsidRPr="00BA6BDB">
        <w:rPr>
          <w:rFonts w:ascii="Bookman Old Style" w:hAnsi="Bookman Old Style"/>
          <w:i/>
        </w:rPr>
        <w:t>limine</w:t>
      </w:r>
      <w:proofErr w:type="spellEnd"/>
      <w:r w:rsidR="00A852ED" w:rsidRPr="00BA6BDB">
        <w:rPr>
          <w:rFonts w:ascii="Bookman Old Style" w:hAnsi="Bookman Old Style"/>
          <w:i/>
        </w:rPr>
        <w:t xml:space="preserve"> </w:t>
      </w:r>
      <w:proofErr w:type="spellStart"/>
      <w:r w:rsidR="00A852ED" w:rsidRPr="00BA6BDB">
        <w:rPr>
          <w:rFonts w:ascii="Bookman Old Style" w:hAnsi="Bookman Old Style"/>
          <w:i/>
        </w:rPr>
        <w:t>litis</w:t>
      </w:r>
      <w:proofErr w:type="spellEnd"/>
      <w:r>
        <w:rPr>
          <w:rFonts w:ascii="Bookman Old Style" w:hAnsi="Bookman Old Style"/>
        </w:rPr>
        <w:t>, same is also overruled accordingly.</w:t>
      </w:r>
    </w:p>
    <w:p w:rsidR="004B05AE" w:rsidRDefault="00774B63" w:rsidP="00774B63">
      <w:pPr>
        <w:pStyle w:val="JudgmentText"/>
        <w:numPr>
          <w:ilvl w:val="0"/>
          <w:numId w:val="0"/>
        </w:numPr>
        <w:ind w:left="720" w:hanging="720"/>
        <w:rPr>
          <w:rFonts w:ascii="Bookman Old Style" w:hAnsi="Bookman Old Style"/>
        </w:rPr>
      </w:pPr>
      <w:r>
        <w:rPr>
          <w:rFonts w:ascii="Bookman Old Style" w:hAnsi="Bookman Old Style"/>
        </w:rPr>
        <w:t>[26]</w:t>
      </w:r>
      <w:r>
        <w:rPr>
          <w:rFonts w:ascii="Bookman Old Style" w:hAnsi="Bookman Old Style"/>
        </w:rPr>
        <w:tab/>
        <w:t xml:space="preserve">Vis-à-vis the third plea in </w:t>
      </w:r>
      <w:proofErr w:type="spellStart"/>
      <w:r w:rsidRPr="00BA6BDB">
        <w:rPr>
          <w:rFonts w:ascii="Bookman Old Style" w:hAnsi="Bookman Old Style"/>
          <w:i/>
        </w:rPr>
        <w:t>limine</w:t>
      </w:r>
      <w:proofErr w:type="spellEnd"/>
      <w:r w:rsidRPr="00BA6BDB">
        <w:rPr>
          <w:rFonts w:ascii="Bookman Old Style" w:hAnsi="Bookman Old Style"/>
          <w:i/>
        </w:rPr>
        <w:t xml:space="preserve"> </w:t>
      </w:r>
      <w:proofErr w:type="spellStart"/>
      <w:r w:rsidR="00A852ED" w:rsidRPr="00BA6BDB">
        <w:rPr>
          <w:rFonts w:ascii="Bookman Old Style" w:hAnsi="Bookman Old Style"/>
          <w:i/>
        </w:rPr>
        <w:t>litis</w:t>
      </w:r>
      <w:proofErr w:type="spellEnd"/>
      <w:r w:rsidR="00A852ED">
        <w:rPr>
          <w:rFonts w:ascii="Bookman Old Style" w:hAnsi="Bookman Old Style"/>
        </w:rPr>
        <w:t xml:space="preserve"> </w:t>
      </w:r>
      <w:r>
        <w:rPr>
          <w:rFonts w:ascii="Bookman Old Style" w:hAnsi="Bookman Old Style"/>
        </w:rPr>
        <w:t xml:space="preserve">as raised by the second </w:t>
      </w:r>
      <w:r w:rsidR="00A54995">
        <w:rPr>
          <w:rFonts w:ascii="Bookman Old Style" w:hAnsi="Bookman Old Style"/>
        </w:rPr>
        <w:t>Defendant on the 21</w:t>
      </w:r>
      <w:r w:rsidR="00A54995" w:rsidRPr="00C75207">
        <w:rPr>
          <w:rFonts w:ascii="Bookman Old Style" w:hAnsi="Bookman Old Style"/>
          <w:vertAlign w:val="superscript"/>
        </w:rPr>
        <w:t>st</w:t>
      </w:r>
      <w:r w:rsidR="00A54995">
        <w:rPr>
          <w:rFonts w:ascii="Bookman Old Style" w:hAnsi="Bookman Old Style"/>
        </w:rPr>
        <w:t xml:space="preserve"> day of October 2015 more particularly that</w:t>
      </w:r>
      <w:r>
        <w:rPr>
          <w:rFonts w:ascii="Bookman Old Style" w:hAnsi="Bookman Old Style"/>
        </w:rPr>
        <w:t xml:space="preserve">: </w:t>
      </w:r>
      <w:r w:rsidR="00BA6BDB">
        <w:rPr>
          <w:rFonts w:ascii="Bookman Old Style" w:hAnsi="Bookman Old Style"/>
          <w:i/>
        </w:rPr>
        <w:t>“the 2nd D</w:t>
      </w:r>
      <w:r w:rsidR="00A54995" w:rsidRPr="006C2C3A">
        <w:rPr>
          <w:rFonts w:ascii="Bookman Old Style" w:hAnsi="Bookman Old Style"/>
          <w:i/>
        </w:rPr>
        <w:t>efendant EME Engineering Ltd had no contract with Vijay Construction Ltd, so it is wrongly suited; the 2</w:t>
      </w:r>
      <w:r w:rsidR="00A54995" w:rsidRPr="006C2C3A">
        <w:rPr>
          <w:rFonts w:ascii="Bookman Old Style" w:hAnsi="Bookman Old Style"/>
          <w:i/>
          <w:vertAlign w:val="superscript"/>
        </w:rPr>
        <w:t>nd</w:t>
      </w:r>
      <w:r w:rsidR="00A54995" w:rsidRPr="006C2C3A">
        <w:rPr>
          <w:rFonts w:ascii="Bookman Old Style" w:hAnsi="Bookman Old Style"/>
          <w:i/>
        </w:rPr>
        <w:t xml:space="preserve"> Defendant was not trading as EME Overseas Limited in the Seychelles and EME Overseas entity (BVI Registered Company) which has nothing in common with EME Engineering Ltd”</w:t>
      </w:r>
      <w:r w:rsidR="00A852ED">
        <w:rPr>
          <w:rFonts w:ascii="Bookman Old Style" w:hAnsi="Bookman Old Style"/>
        </w:rPr>
        <w:t xml:space="preserve">, </w:t>
      </w:r>
      <w:r>
        <w:rPr>
          <w:rFonts w:ascii="Bookman Old Style" w:hAnsi="Bookman Old Style"/>
        </w:rPr>
        <w:t xml:space="preserve">I have </w:t>
      </w:r>
      <w:r w:rsidR="00A852ED">
        <w:rPr>
          <w:rFonts w:ascii="Bookman Old Style" w:hAnsi="Bookman Old Style"/>
        </w:rPr>
        <w:t xml:space="preserve">no better option, but to </w:t>
      </w:r>
      <w:r>
        <w:rPr>
          <w:rFonts w:ascii="Bookman Old Style" w:hAnsi="Bookman Old Style"/>
        </w:rPr>
        <w:t xml:space="preserve">reiterate my analysis and Ruling in respect of the second plea in </w:t>
      </w:r>
      <w:proofErr w:type="spellStart"/>
      <w:r w:rsidRPr="00BA6BDB">
        <w:rPr>
          <w:rFonts w:ascii="Bookman Old Style" w:hAnsi="Bookman Old Style"/>
          <w:i/>
        </w:rPr>
        <w:t>limine</w:t>
      </w:r>
      <w:proofErr w:type="spellEnd"/>
      <w:r w:rsidRPr="00BA6BDB">
        <w:rPr>
          <w:rFonts w:ascii="Bookman Old Style" w:hAnsi="Bookman Old Style"/>
          <w:i/>
        </w:rPr>
        <w:t xml:space="preserve"> </w:t>
      </w:r>
      <w:proofErr w:type="spellStart"/>
      <w:r w:rsidR="00A852ED" w:rsidRPr="00BA6BDB">
        <w:rPr>
          <w:rFonts w:ascii="Bookman Old Style" w:hAnsi="Bookman Old Style"/>
          <w:i/>
        </w:rPr>
        <w:t>litis</w:t>
      </w:r>
      <w:proofErr w:type="spellEnd"/>
      <w:r w:rsidR="00A852ED">
        <w:rPr>
          <w:rFonts w:ascii="Bookman Old Style" w:hAnsi="Bookman Old Style"/>
        </w:rPr>
        <w:t xml:space="preserve"> </w:t>
      </w:r>
      <w:r w:rsidR="00BA6BDB">
        <w:rPr>
          <w:rFonts w:ascii="Bookman Old Style" w:hAnsi="Bookman Old Style"/>
        </w:rPr>
        <w:t>as raised by the first D</w:t>
      </w:r>
      <w:r>
        <w:rPr>
          <w:rFonts w:ascii="Bookman Old Style" w:hAnsi="Bookman Old Style"/>
        </w:rPr>
        <w:t>efendant as illustrated at paragraphs 19 to 25 thereof. It is also additionally clear in that respect</w:t>
      </w:r>
      <w:r w:rsidR="00A852ED">
        <w:rPr>
          <w:rFonts w:ascii="Bookman Old Style" w:hAnsi="Bookman Old Style"/>
        </w:rPr>
        <w:t>,</w:t>
      </w:r>
      <w:r>
        <w:rPr>
          <w:rFonts w:ascii="Bookman Old Style" w:hAnsi="Bookman Old Style"/>
        </w:rPr>
        <w:t xml:space="preserve"> that those points will be bet</w:t>
      </w:r>
      <w:r w:rsidR="006C2C3A">
        <w:rPr>
          <w:rFonts w:ascii="Bookman Old Style" w:hAnsi="Bookman Old Style"/>
        </w:rPr>
        <w:t>t</w:t>
      </w:r>
      <w:r>
        <w:rPr>
          <w:rFonts w:ascii="Bookman Old Style" w:hAnsi="Bookman Old Style"/>
        </w:rPr>
        <w:t xml:space="preserve">er dealt with as part </w:t>
      </w:r>
      <w:r w:rsidR="00A852ED">
        <w:rPr>
          <w:rFonts w:ascii="Bookman Old Style" w:hAnsi="Bookman Old Style"/>
        </w:rPr>
        <w:t xml:space="preserve">of the </w:t>
      </w:r>
      <w:r>
        <w:rPr>
          <w:rFonts w:ascii="Bookman Old Style" w:hAnsi="Bookman Old Style"/>
        </w:rPr>
        <w:t xml:space="preserve">hearing on the merits rather than a plea in </w:t>
      </w:r>
      <w:proofErr w:type="spellStart"/>
      <w:r w:rsidRPr="00BA6BDB">
        <w:rPr>
          <w:rFonts w:ascii="Bookman Old Style" w:hAnsi="Bookman Old Style"/>
          <w:i/>
        </w:rPr>
        <w:t>limine</w:t>
      </w:r>
      <w:proofErr w:type="spellEnd"/>
      <w:r w:rsidRPr="00BA6BDB">
        <w:rPr>
          <w:rFonts w:ascii="Bookman Old Style" w:hAnsi="Bookman Old Style"/>
          <w:i/>
        </w:rPr>
        <w:t xml:space="preserve"> </w:t>
      </w:r>
      <w:proofErr w:type="spellStart"/>
      <w:r w:rsidR="00A852ED" w:rsidRPr="00BA6BDB">
        <w:rPr>
          <w:rFonts w:ascii="Bookman Old Style" w:hAnsi="Bookman Old Style"/>
          <w:i/>
        </w:rPr>
        <w:t>litis</w:t>
      </w:r>
      <w:proofErr w:type="spellEnd"/>
      <w:r w:rsidR="00A852ED">
        <w:rPr>
          <w:rFonts w:ascii="Bookman Old Style" w:hAnsi="Bookman Old Style"/>
        </w:rPr>
        <w:t xml:space="preserve">, </w:t>
      </w:r>
      <w:r>
        <w:rPr>
          <w:rFonts w:ascii="Bookman Old Style" w:hAnsi="Bookman Old Style"/>
        </w:rPr>
        <w:t>hence overruled accordingly.</w:t>
      </w:r>
    </w:p>
    <w:p w:rsidR="00DC3CA0" w:rsidRDefault="00774B63" w:rsidP="0060228F">
      <w:pPr>
        <w:pStyle w:val="JudgmentText"/>
        <w:numPr>
          <w:ilvl w:val="0"/>
          <w:numId w:val="0"/>
        </w:numPr>
        <w:ind w:left="720" w:hanging="720"/>
        <w:rPr>
          <w:rFonts w:ascii="Bookman Old Style" w:hAnsi="Bookman Old Style"/>
        </w:rPr>
      </w:pPr>
      <w:r>
        <w:rPr>
          <w:rFonts w:ascii="Bookman Old Style" w:hAnsi="Bookman Old Style"/>
        </w:rPr>
        <w:t>[27]</w:t>
      </w:r>
      <w:r>
        <w:rPr>
          <w:rFonts w:ascii="Bookman Old Style" w:hAnsi="Bookman Old Style"/>
        </w:rPr>
        <w:tab/>
      </w:r>
      <w:r w:rsidR="00DC3CA0">
        <w:rPr>
          <w:rFonts w:ascii="Bookman Old Style" w:hAnsi="Bookman Old Style"/>
        </w:rPr>
        <w:t xml:space="preserve">It follows, therefore that </w:t>
      </w:r>
      <w:r>
        <w:rPr>
          <w:rFonts w:ascii="Bookman Old Style" w:hAnsi="Bookman Old Style"/>
        </w:rPr>
        <w:t>all the pleas in</w:t>
      </w:r>
      <w:r w:rsidR="00DC3CA0">
        <w:rPr>
          <w:rFonts w:ascii="Bookman Old Style" w:hAnsi="Bookman Old Style"/>
        </w:rPr>
        <w:t xml:space="preserve"> </w:t>
      </w:r>
      <w:proofErr w:type="spellStart"/>
      <w:r w:rsidR="00DC3CA0" w:rsidRPr="00BA6BDB">
        <w:rPr>
          <w:rFonts w:ascii="Bookman Old Style" w:hAnsi="Bookman Old Style"/>
          <w:i/>
        </w:rPr>
        <w:t>limine</w:t>
      </w:r>
      <w:proofErr w:type="spellEnd"/>
      <w:r w:rsidR="00DC3CA0" w:rsidRPr="00BA6BDB">
        <w:rPr>
          <w:rFonts w:ascii="Bookman Old Style" w:hAnsi="Bookman Old Style"/>
          <w:i/>
        </w:rPr>
        <w:t xml:space="preserve"> </w:t>
      </w:r>
      <w:proofErr w:type="spellStart"/>
      <w:r w:rsidR="00DC3CA0" w:rsidRPr="00BA6BDB">
        <w:rPr>
          <w:rFonts w:ascii="Bookman Old Style" w:hAnsi="Bookman Old Style"/>
          <w:i/>
        </w:rPr>
        <w:t>litis</w:t>
      </w:r>
      <w:proofErr w:type="spellEnd"/>
      <w:r w:rsidR="00DC3CA0">
        <w:rPr>
          <w:rFonts w:ascii="Bookman Old Style" w:hAnsi="Bookman Old Style"/>
        </w:rPr>
        <w:t xml:space="preserve"> as </w:t>
      </w:r>
      <w:r>
        <w:rPr>
          <w:rFonts w:ascii="Bookman Old Style" w:hAnsi="Bookman Old Style"/>
        </w:rPr>
        <w:t>raised by the 1</w:t>
      </w:r>
      <w:r w:rsidRPr="00774B63">
        <w:rPr>
          <w:rFonts w:ascii="Bookman Old Style" w:hAnsi="Bookman Old Style"/>
          <w:vertAlign w:val="superscript"/>
        </w:rPr>
        <w:t>st</w:t>
      </w:r>
      <w:r>
        <w:rPr>
          <w:rFonts w:ascii="Bookman Old Style" w:hAnsi="Bookman Old Style"/>
        </w:rPr>
        <w:t xml:space="preserve"> and 2</w:t>
      </w:r>
      <w:r w:rsidRPr="00774B63">
        <w:rPr>
          <w:rFonts w:ascii="Bookman Old Style" w:hAnsi="Bookman Old Style"/>
          <w:vertAlign w:val="superscript"/>
        </w:rPr>
        <w:t>nd</w:t>
      </w:r>
      <w:r>
        <w:rPr>
          <w:rFonts w:ascii="Bookman Old Style" w:hAnsi="Bookman Old Style"/>
        </w:rPr>
        <w:t xml:space="preserve"> Defendants</w:t>
      </w:r>
      <w:r w:rsidR="00BA6BDB">
        <w:rPr>
          <w:rFonts w:ascii="Bookman Old Style" w:hAnsi="Bookman Old Style"/>
        </w:rPr>
        <w:t xml:space="preserve"> </w:t>
      </w:r>
      <w:r w:rsidR="00A852ED">
        <w:rPr>
          <w:rFonts w:ascii="Bookman Old Style" w:hAnsi="Bookman Old Style"/>
        </w:rPr>
        <w:t xml:space="preserve">as above illustrated </w:t>
      </w:r>
      <w:r w:rsidR="0043118B">
        <w:rPr>
          <w:rFonts w:ascii="Bookman Old Style" w:hAnsi="Bookman Old Style"/>
        </w:rPr>
        <w:t>are overruled accordingly and the matter should proceed to the hearing on the merits as against both 1</w:t>
      </w:r>
      <w:r w:rsidR="0043118B" w:rsidRPr="0043118B">
        <w:rPr>
          <w:rFonts w:ascii="Bookman Old Style" w:hAnsi="Bookman Old Style"/>
          <w:vertAlign w:val="superscript"/>
        </w:rPr>
        <w:t>st</w:t>
      </w:r>
      <w:r w:rsidR="0043118B">
        <w:rPr>
          <w:rFonts w:ascii="Bookman Old Style" w:hAnsi="Bookman Old Style"/>
        </w:rPr>
        <w:t xml:space="preserve"> and 2</w:t>
      </w:r>
      <w:r w:rsidR="0043118B" w:rsidRPr="0043118B">
        <w:rPr>
          <w:rFonts w:ascii="Bookman Old Style" w:hAnsi="Bookman Old Style"/>
          <w:vertAlign w:val="superscript"/>
        </w:rPr>
        <w:t>nd</w:t>
      </w:r>
      <w:r w:rsidR="0043118B">
        <w:rPr>
          <w:rFonts w:ascii="Bookman Old Style" w:hAnsi="Bookman Old Style"/>
        </w:rPr>
        <w:t xml:space="preserve"> Defendants.</w:t>
      </w:r>
    </w:p>
    <w:p w:rsidR="00E6492F" w:rsidRPr="00720EA9" w:rsidRDefault="0061364F" w:rsidP="00E33F35">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highlight w:val="lightGray"/>
        </w:rPr>
        <w:fldChar w:fldCharType="begin"/>
      </w:r>
      <w:r w:rsidRPr="00720EA9">
        <w:rPr>
          <w:rFonts w:ascii="Bookman Old Style" w:hAnsi="Bookman Old Style"/>
          <w:sz w:val="24"/>
          <w:szCs w:val="24"/>
          <w:highlight w:val="lightGray"/>
        </w:rPr>
        <w:fldChar w:fldCharType="end"/>
      </w:r>
    </w:p>
    <w:p w:rsidR="00EF2051" w:rsidRPr="00720EA9" w:rsidRDefault="00EF2051"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sectPr w:rsidR="00EF2051" w:rsidRPr="00720EA9" w:rsidSect="00EF2051">
          <w:type w:val="continuous"/>
          <w:pgSz w:w="12240" w:h="15840"/>
          <w:pgMar w:top="1440" w:right="1440" w:bottom="1440" w:left="1440" w:header="720" w:footer="720" w:gutter="0"/>
          <w:cols w:space="720"/>
          <w:formProt w:val="0"/>
          <w:docGrid w:linePitch="360"/>
        </w:sectPr>
      </w:pPr>
    </w:p>
    <w:p w:rsidR="001E4ED8" w:rsidRPr="00720EA9" w:rsidRDefault="001E4ED8" w:rsidP="001E4ED8">
      <w:pPr>
        <w:pStyle w:val="ListParagraph"/>
        <w:widowControl/>
        <w:autoSpaceDE/>
        <w:autoSpaceDN/>
        <w:adjustRightInd/>
        <w:spacing w:after="240" w:line="360" w:lineRule="auto"/>
        <w:ind w:left="0"/>
        <w:contextualSpacing w:val="0"/>
        <w:jc w:val="both"/>
        <w:rPr>
          <w:rFonts w:ascii="Bookman Old Style" w:hAnsi="Bookman Old Style"/>
          <w:sz w:val="24"/>
          <w:szCs w:val="24"/>
        </w:rPr>
      </w:pPr>
      <w:r w:rsidRPr="00720EA9">
        <w:rPr>
          <w:rFonts w:ascii="Bookman Old Style" w:hAnsi="Bookman Old Style"/>
          <w:sz w:val="24"/>
          <w:szCs w:val="24"/>
        </w:rPr>
        <w:lastRenderedPageBreak/>
        <w:t xml:space="preserve">Signed, </w:t>
      </w:r>
      <w:r w:rsidR="00E33F35" w:rsidRPr="00720EA9">
        <w:rPr>
          <w:rFonts w:ascii="Bookman Old Style" w:hAnsi="Bookman Old Style"/>
          <w:sz w:val="24"/>
          <w:szCs w:val="24"/>
        </w:rPr>
        <w:t xml:space="preserve">dated and delivered at Ile du Port </w:t>
      </w:r>
      <w:r w:rsidRPr="00720EA9">
        <w:rPr>
          <w:rFonts w:ascii="Bookman Old Style" w:hAnsi="Bookman Old Style"/>
          <w:sz w:val="24"/>
          <w:szCs w:val="24"/>
        </w:rPr>
        <w:t xml:space="preserve">on </w:t>
      </w:r>
      <w:bookmarkStart w:id="11" w:name="Text19"/>
      <w:r w:rsidR="0043118B">
        <w:rPr>
          <w:rFonts w:ascii="Bookman Old Style" w:hAnsi="Bookman Old Style"/>
          <w:sz w:val="24"/>
          <w:szCs w:val="24"/>
        </w:rPr>
        <w:t>11</w:t>
      </w:r>
      <w:r w:rsidR="0043118B" w:rsidRPr="0043118B">
        <w:rPr>
          <w:rFonts w:ascii="Bookman Old Style" w:hAnsi="Bookman Old Style"/>
          <w:sz w:val="24"/>
          <w:szCs w:val="24"/>
          <w:vertAlign w:val="superscript"/>
        </w:rPr>
        <w:t>th</w:t>
      </w:r>
      <w:bookmarkEnd w:id="11"/>
      <w:r w:rsidR="00546E79">
        <w:rPr>
          <w:rFonts w:ascii="Bookman Old Style" w:hAnsi="Bookman Old Style"/>
          <w:sz w:val="24"/>
          <w:szCs w:val="24"/>
        </w:rPr>
        <w:t xml:space="preserve">day of </w:t>
      </w:r>
      <w:r w:rsidR="0043118B">
        <w:rPr>
          <w:rFonts w:ascii="Bookman Old Style" w:hAnsi="Bookman Old Style"/>
          <w:sz w:val="24"/>
          <w:szCs w:val="24"/>
        </w:rPr>
        <w:t>March 2016.</w:t>
      </w:r>
    </w:p>
    <w:p w:rsidR="005C5493" w:rsidRPr="00720EA9" w:rsidRDefault="005C5493" w:rsidP="0006489F">
      <w:pPr>
        <w:pStyle w:val="ListParagraph"/>
        <w:widowControl/>
        <w:autoSpaceDE/>
        <w:autoSpaceDN/>
        <w:adjustRightInd/>
        <w:spacing w:line="360" w:lineRule="auto"/>
        <w:ind w:left="0"/>
        <w:contextualSpacing w:val="0"/>
        <w:jc w:val="both"/>
        <w:rPr>
          <w:rFonts w:ascii="Bookman Old Style" w:hAnsi="Bookman Old Style"/>
          <w:sz w:val="24"/>
          <w:szCs w:val="24"/>
        </w:rPr>
        <w:sectPr w:rsidR="005C5493" w:rsidRPr="00720EA9" w:rsidSect="00EF2051">
          <w:type w:val="continuous"/>
          <w:pgSz w:w="12240" w:h="15840"/>
          <w:pgMar w:top="1440" w:right="1440" w:bottom="1440" w:left="1440" w:header="720" w:footer="720" w:gutter="0"/>
          <w:cols w:space="720"/>
          <w:docGrid w:linePitch="360"/>
        </w:sectPr>
      </w:pPr>
    </w:p>
    <w:p w:rsidR="006C2C3A"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pPr>
      <w:bookmarkStart w:id="12" w:name="_GoBack"/>
      <w:bookmarkEnd w:id="12"/>
    </w:p>
    <w:p w:rsidR="006C2C3A"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pPr>
    </w:p>
    <w:p w:rsidR="006C2C3A" w:rsidRPr="00720EA9" w:rsidRDefault="006C2C3A" w:rsidP="0006489F">
      <w:pPr>
        <w:pStyle w:val="ListParagraph"/>
        <w:widowControl/>
        <w:autoSpaceDE/>
        <w:autoSpaceDN/>
        <w:adjustRightInd/>
        <w:spacing w:after="120"/>
        <w:ind w:left="0"/>
        <w:contextualSpacing w:val="0"/>
        <w:jc w:val="both"/>
        <w:rPr>
          <w:rFonts w:ascii="Bookman Old Style" w:hAnsi="Bookman Old Style"/>
          <w:sz w:val="24"/>
          <w:szCs w:val="24"/>
        </w:rPr>
        <w:sectPr w:rsidR="006C2C3A" w:rsidRPr="00720EA9" w:rsidSect="00EF2051">
          <w:type w:val="continuous"/>
          <w:pgSz w:w="12240" w:h="15840"/>
          <w:pgMar w:top="1440" w:right="1440" w:bottom="1440" w:left="1440" w:header="720" w:footer="720" w:gutter="0"/>
          <w:cols w:space="720"/>
          <w:formProt w:val="0"/>
          <w:docGrid w:linePitch="360"/>
        </w:sectPr>
      </w:pPr>
    </w:p>
    <w:p w:rsidR="00E33F35" w:rsidRPr="00720EA9" w:rsidRDefault="0061364F" w:rsidP="0006489F">
      <w:pPr>
        <w:pStyle w:val="ListParagraph"/>
        <w:widowControl/>
        <w:autoSpaceDE/>
        <w:autoSpaceDN/>
        <w:adjustRightInd/>
        <w:ind w:left="0"/>
        <w:contextualSpacing w:val="0"/>
        <w:jc w:val="both"/>
        <w:rPr>
          <w:rFonts w:ascii="Bookman Old Style" w:hAnsi="Bookman Old Style"/>
          <w:sz w:val="24"/>
          <w:szCs w:val="24"/>
        </w:rPr>
      </w:pPr>
      <w:r w:rsidRPr="00720EA9">
        <w:rPr>
          <w:rFonts w:ascii="Bookman Old Style" w:hAnsi="Bookman Old Style"/>
          <w:sz w:val="24"/>
          <w:szCs w:val="24"/>
        </w:rPr>
        <w:lastRenderedPageBreak/>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13" w:name="Dropdown6"/>
      <w:r w:rsidR="002474D4" w:rsidRPr="00720EA9">
        <w:rPr>
          <w:rFonts w:ascii="Bookman Old Style" w:hAnsi="Bookman Old Style"/>
          <w:sz w:val="24"/>
          <w:szCs w:val="24"/>
        </w:rPr>
        <w:instrText xml:space="preserve"> FORMDROPDOWN </w:instrText>
      </w:r>
      <w:r w:rsidRPr="00720EA9">
        <w:rPr>
          <w:rFonts w:ascii="Bookman Old Style" w:hAnsi="Bookman Old Style"/>
          <w:sz w:val="24"/>
          <w:szCs w:val="24"/>
        </w:rPr>
      </w:r>
      <w:r w:rsidRPr="00720EA9">
        <w:rPr>
          <w:rFonts w:ascii="Bookman Old Style" w:hAnsi="Bookman Old Style"/>
          <w:sz w:val="24"/>
          <w:szCs w:val="24"/>
        </w:rPr>
        <w:fldChar w:fldCharType="end"/>
      </w:r>
      <w:bookmarkEnd w:id="13"/>
    </w:p>
    <w:bookmarkStart w:id="14" w:name="Dropdown7"/>
    <w:p w:rsidR="009E05E5" w:rsidRPr="00720EA9" w:rsidRDefault="0061364F" w:rsidP="00E33F35">
      <w:pPr>
        <w:pStyle w:val="ListParagraph"/>
        <w:widowControl/>
        <w:autoSpaceDE/>
        <w:autoSpaceDN/>
        <w:adjustRightInd/>
        <w:ind w:left="0"/>
        <w:contextualSpacing w:val="0"/>
        <w:jc w:val="both"/>
        <w:rPr>
          <w:rFonts w:ascii="Bookman Old Style" w:hAnsi="Bookman Old Style"/>
          <w:b/>
          <w:sz w:val="24"/>
          <w:szCs w:val="24"/>
        </w:rPr>
      </w:pPr>
      <w:r w:rsidRPr="00720EA9">
        <w:rPr>
          <w:rFonts w:ascii="Bookman Old Style" w:hAnsi="Bookman Old Style"/>
          <w:b/>
          <w:sz w:val="24"/>
          <w:szCs w:val="24"/>
        </w:rPr>
        <w:fldChar w:fldCharType="begin">
          <w:ffData>
            <w:name w:val="Dropdown7"/>
            <w:enabled/>
            <w:calcOnExit w:val="0"/>
            <w:ddList>
              <w:result w:val="1"/>
              <w:listEntry w:val="Chief Justice"/>
              <w:listEntry w:val="Judge of the Supreme Court"/>
            </w:ddList>
          </w:ffData>
        </w:fldChar>
      </w:r>
      <w:r w:rsidR="00E41E94" w:rsidRPr="00720EA9">
        <w:rPr>
          <w:rFonts w:ascii="Bookman Old Style" w:hAnsi="Bookman Old Style"/>
          <w:b/>
          <w:sz w:val="24"/>
          <w:szCs w:val="24"/>
        </w:rPr>
        <w:instrText xml:space="preserve"> FORMDROPDOWN </w:instrText>
      </w:r>
      <w:r w:rsidRPr="00720EA9">
        <w:rPr>
          <w:rFonts w:ascii="Bookman Old Style" w:hAnsi="Bookman Old Style"/>
          <w:b/>
          <w:sz w:val="24"/>
          <w:szCs w:val="24"/>
        </w:rPr>
      </w:r>
      <w:r w:rsidRPr="00720EA9">
        <w:rPr>
          <w:rFonts w:ascii="Bookman Old Style" w:hAnsi="Bookman Old Style"/>
          <w:b/>
          <w:sz w:val="24"/>
          <w:szCs w:val="24"/>
        </w:rPr>
        <w:fldChar w:fldCharType="end"/>
      </w:r>
      <w:bookmarkEnd w:id="14"/>
      <w:r w:rsidRPr="00720EA9">
        <w:rPr>
          <w:rFonts w:ascii="Bookman Old Style" w:hAnsi="Bookman Old Style"/>
          <w:b/>
          <w:sz w:val="24"/>
          <w:szCs w:val="24"/>
        </w:rPr>
        <w:fldChar w:fldCharType="begin"/>
      </w:r>
      <w:r w:rsidRPr="00720EA9">
        <w:rPr>
          <w:rFonts w:ascii="Bookman Old Style" w:hAnsi="Bookman Old Style"/>
          <w:b/>
          <w:sz w:val="24"/>
          <w:szCs w:val="24"/>
        </w:rPr>
        <w:fldChar w:fldCharType="end"/>
      </w:r>
    </w:p>
    <w:sectPr w:rsidR="009E05E5" w:rsidRPr="00720EA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DB" w:rsidRDefault="00BA6BDB" w:rsidP="00DB6D34">
      <w:r>
        <w:separator/>
      </w:r>
    </w:p>
  </w:endnote>
  <w:endnote w:type="continuationSeparator" w:id="1">
    <w:p w:rsidR="00BA6BDB" w:rsidRDefault="00BA6BD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DB" w:rsidRDefault="00BA6BDB">
    <w:pPr>
      <w:pStyle w:val="Footer"/>
      <w:jc w:val="center"/>
    </w:pPr>
    <w:fldSimple w:instr=" PAGE   \* MERGEFORMAT ">
      <w:r w:rsidR="007E77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DB" w:rsidRDefault="00BA6BDB" w:rsidP="00DB6D34">
      <w:r>
        <w:separator/>
      </w:r>
    </w:p>
  </w:footnote>
  <w:footnote w:type="continuationSeparator" w:id="1">
    <w:p w:rsidR="00BA6BDB" w:rsidRDefault="00BA6BD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E5650F"/>
    <w:multiLevelType w:val="hybridMultilevel"/>
    <w:tmpl w:val="80106548"/>
    <w:lvl w:ilvl="0" w:tplc="ED8EF3A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10BD6"/>
    <w:multiLevelType w:val="hybridMultilevel"/>
    <w:tmpl w:val="67A0FDA4"/>
    <w:lvl w:ilvl="0" w:tplc="7B0A9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382D65"/>
    <w:multiLevelType w:val="hybridMultilevel"/>
    <w:tmpl w:val="832C9D04"/>
    <w:lvl w:ilvl="0" w:tplc="DC2AD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C33AE"/>
    <w:multiLevelType w:val="hybridMultilevel"/>
    <w:tmpl w:val="C2DACE44"/>
    <w:lvl w:ilvl="0" w:tplc="C14C0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E74820"/>
    <w:multiLevelType w:val="multilevel"/>
    <w:tmpl w:val="1CC89892"/>
    <w:numStyleLink w:val="Judgments"/>
  </w:abstractNum>
  <w:abstractNum w:abstractNumId="9">
    <w:nsid w:val="621F0986"/>
    <w:multiLevelType w:val="hybridMultilevel"/>
    <w:tmpl w:val="67F8FD66"/>
    <w:lvl w:ilvl="0" w:tplc="CD023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8D70DF"/>
    <w:multiLevelType w:val="hybridMultilevel"/>
    <w:tmpl w:val="14AA228E"/>
    <w:lvl w:ilvl="0" w:tplc="70D4F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A573DD"/>
    <w:rsid w:val="00000320"/>
    <w:rsid w:val="000052F3"/>
    <w:rsid w:val="00005BEF"/>
    <w:rsid w:val="00030C81"/>
    <w:rsid w:val="0006489F"/>
    <w:rsid w:val="0006512C"/>
    <w:rsid w:val="00067B0A"/>
    <w:rsid w:val="00075573"/>
    <w:rsid w:val="00091036"/>
    <w:rsid w:val="00093374"/>
    <w:rsid w:val="000A10B8"/>
    <w:rsid w:val="000A179E"/>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D30F7"/>
    <w:rsid w:val="001E4ED8"/>
    <w:rsid w:val="0020244B"/>
    <w:rsid w:val="00223B5F"/>
    <w:rsid w:val="00231C17"/>
    <w:rsid w:val="00236AAC"/>
    <w:rsid w:val="00242DF4"/>
    <w:rsid w:val="0024353F"/>
    <w:rsid w:val="002474D4"/>
    <w:rsid w:val="00290E14"/>
    <w:rsid w:val="00296843"/>
    <w:rsid w:val="002A7376"/>
    <w:rsid w:val="002B2255"/>
    <w:rsid w:val="002B4478"/>
    <w:rsid w:val="002C7560"/>
    <w:rsid w:val="002D06AA"/>
    <w:rsid w:val="002D67FC"/>
    <w:rsid w:val="002E6963"/>
    <w:rsid w:val="002E6A47"/>
    <w:rsid w:val="002F40A1"/>
    <w:rsid w:val="002F4A1B"/>
    <w:rsid w:val="00301D88"/>
    <w:rsid w:val="00304E76"/>
    <w:rsid w:val="003100C3"/>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162D0"/>
    <w:rsid w:val="0043118B"/>
    <w:rsid w:val="00445BFA"/>
    <w:rsid w:val="00452BB6"/>
    <w:rsid w:val="00453A09"/>
    <w:rsid w:val="0046133B"/>
    <w:rsid w:val="00470F58"/>
    <w:rsid w:val="00476CAC"/>
    <w:rsid w:val="004A00A5"/>
    <w:rsid w:val="004B05AE"/>
    <w:rsid w:val="004B57B1"/>
    <w:rsid w:val="004C0BB3"/>
    <w:rsid w:val="004C3D80"/>
    <w:rsid w:val="004F3823"/>
    <w:rsid w:val="00511D44"/>
    <w:rsid w:val="00514CB6"/>
    <w:rsid w:val="005207C8"/>
    <w:rsid w:val="005248A7"/>
    <w:rsid w:val="00527FDB"/>
    <w:rsid w:val="00530663"/>
    <w:rsid w:val="00546E79"/>
    <w:rsid w:val="0055036F"/>
    <w:rsid w:val="005514D6"/>
    <w:rsid w:val="0055241A"/>
    <w:rsid w:val="00552704"/>
    <w:rsid w:val="00554577"/>
    <w:rsid w:val="00572AB3"/>
    <w:rsid w:val="00580531"/>
    <w:rsid w:val="005836AC"/>
    <w:rsid w:val="00584583"/>
    <w:rsid w:val="00594FAC"/>
    <w:rsid w:val="005B7B62"/>
    <w:rsid w:val="005C157B"/>
    <w:rsid w:val="005C5493"/>
    <w:rsid w:val="005C5690"/>
    <w:rsid w:val="005F5FB0"/>
    <w:rsid w:val="0060228F"/>
    <w:rsid w:val="00606587"/>
    <w:rsid w:val="00606EEA"/>
    <w:rsid w:val="00612AD5"/>
    <w:rsid w:val="0061364F"/>
    <w:rsid w:val="006174DB"/>
    <w:rsid w:val="00631448"/>
    <w:rsid w:val="0064023C"/>
    <w:rsid w:val="00654CAA"/>
    <w:rsid w:val="006578C2"/>
    <w:rsid w:val="00666D33"/>
    <w:rsid w:val="0068598F"/>
    <w:rsid w:val="00695110"/>
    <w:rsid w:val="006A58E4"/>
    <w:rsid w:val="006C2C3A"/>
    <w:rsid w:val="006C4389"/>
    <w:rsid w:val="006D36C9"/>
    <w:rsid w:val="006D5139"/>
    <w:rsid w:val="0070785D"/>
    <w:rsid w:val="007175A6"/>
    <w:rsid w:val="00720EA9"/>
    <w:rsid w:val="00744508"/>
    <w:rsid w:val="007541BC"/>
    <w:rsid w:val="007728D0"/>
    <w:rsid w:val="00774B63"/>
    <w:rsid w:val="00785812"/>
    <w:rsid w:val="007A47DC"/>
    <w:rsid w:val="007B6178"/>
    <w:rsid w:val="007C2809"/>
    <w:rsid w:val="007D416E"/>
    <w:rsid w:val="007E7771"/>
    <w:rsid w:val="00807411"/>
    <w:rsid w:val="0081329A"/>
    <w:rsid w:val="00813302"/>
    <w:rsid w:val="00814CF5"/>
    <w:rsid w:val="00816425"/>
    <w:rsid w:val="00821758"/>
    <w:rsid w:val="00823079"/>
    <w:rsid w:val="0083298A"/>
    <w:rsid w:val="00841387"/>
    <w:rsid w:val="008472B3"/>
    <w:rsid w:val="008478D6"/>
    <w:rsid w:val="00857A7F"/>
    <w:rsid w:val="008602C0"/>
    <w:rsid w:val="008A5208"/>
    <w:rsid w:val="008B75CE"/>
    <w:rsid w:val="008B773E"/>
    <w:rsid w:val="008B7D40"/>
    <w:rsid w:val="008C0FD6"/>
    <w:rsid w:val="008E1DB1"/>
    <w:rsid w:val="008E512C"/>
    <w:rsid w:val="008E7749"/>
    <w:rsid w:val="008E7F92"/>
    <w:rsid w:val="008F0C10"/>
    <w:rsid w:val="008F38F7"/>
    <w:rsid w:val="008F6E37"/>
    <w:rsid w:val="00902D3C"/>
    <w:rsid w:val="009106DC"/>
    <w:rsid w:val="00926D09"/>
    <w:rsid w:val="00927982"/>
    <w:rsid w:val="009336BA"/>
    <w:rsid w:val="00937FB4"/>
    <w:rsid w:val="0094087C"/>
    <w:rsid w:val="00951EC0"/>
    <w:rsid w:val="0096041D"/>
    <w:rsid w:val="0096428F"/>
    <w:rsid w:val="00972A62"/>
    <w:rsid w:val="0097460D"/>
    <w:rsid w:val="00981287"/>
    <w:rsid w:val="00983045"/>
    <w:rsid w:val="009927D3"/>
    <w:rsid w:val="009C437E"/>
    <w:rsid w:val="009E05E5"/>
    <w:rsid w:val="009E15F5"/>
    <w:rsid w:val="009F1B68"/>
    <w:rsid w:val="009F4DC4"/>
    <w:rsid w:val="00A11166"/>
    <w:rsid w:val="00A14038"/>
    <w:rsid w:val="00A42850"/>
    <w:rsid w:val="00A53837"/>
    <w:rsid w:val="00A544D0"/>
    <w:rsid w:val="00A54995"/>
    <w:rsid w:val="00A573DD"/>
    <w:rsid w:val="00A80E4E"/>
    <w:rsid w:val="00A852ED"/>
    <w:rsid w:val="00AC3885"/>
    <w:rsid w:val="00AD0BF3"/>
    <w:rsid w:val="00AD5D64"/>
    <w:rsid w:val="00AD75CD"/>
    <w:rsid w:val="00B05D6E"/>
    <w:rsid w:val="00B119B1"/>
    <w:rsid w:val="00B14612"/>
    <w:rsid w:val="00B23E73"/>
    <w:rsid w:val="00B40898"/>
    <w:rsid w:val="00B4124C"/>
    <w:rsid w:val="00B4625E"/>
    <w:rsid w:val="00B75AE2"/>
    <w:rsid w:val="00B9148E"/>
    <w:rsid w:val="00B94805"/>
    <w:rsid w:val="00BA6027"/>
    <w:rsid w:val="00BA6BDB"/>
    <w:rsid w:val="00BB1800"/>
    <w:rsid w:val="00BC1D95"/>
    <w:rsid w:val="00BD4287"/>
    <w:rsid w:val="00BD60D5"/>
    <w:rsid w:val="00BE1D00"/>
    <w:rsid w:val="00BE2691"/>
    <w:rsid w:val="00BE3628"/>
    <w:rsid w:val="00BE424C"/>
    <w:rsid w:val="00BF5CC9"/>
    <w:rsid w:val="00C036A5"/>
    <w:rsid w:val="00C065A3"/>
    <w:rsid w:val="00C06A6A"/>
    <w:rsid w:val="00C14327"/>
    <w:rsid w:val="00C212FB"/>
    <w:rsid w:val="00C22967"/>
    <w:rsid w:val="00C35333"/>
    <w:rsid w:val="00C41821"/>
    <w:rsid w:val="00C529F4"/>
    <w:rsid w:val="00C55FDF"/>
    <w:rsid w:val="00C57205"/>
    <w:rsid w:val="00C5739F"/>
    <w:rsid w:val="00C75207"/>
    <w:rsid w:val="00C87FCA"/>
    <w:rsid w:val="00C95987"/>
    <w:rsid w:val="00CA1B0C"/>
    <w:rsid w:val="00CA7795"/>
    <w:rsid w:val="00CA7F40"/>
    <w:rsid w:val="00CB2C98"/>
    <w:rsid w:val="00CB31FB"/>
    <w:rsid w:val="00CB3C7E"/>
    <w:rsid w:val="00CC1101"/>
    <w:rsid w:val="00CC2A46"/>
    <w:rsid w:val="00CE6414"/>
    <w:rsid w:val="00CF041D"/>
    <w:rsid w:val="00CF4041"/>
    <w:rsid w:val="00D03314"/>
    <w:rsid w:val="00D06A0F"/>
    <w:rsid w:val="00D10FA3"/>
    <w:rsid w:val="00D2345C"/>
    <w:rsid w:val="00D26133"/>
    <w:rsid w:val="00D31AB7"/>
    <w:rsid w:val="00D50CB6"/>
    <w:rsid w:val="00D82047"/>
    <w:rsid w:val="00DA351C"/>
    <w:rsid w:val="00DB6D34"/>
    <w:rsid w:val="00DC3CA0"/>
    <w:rsid w:val="00DD4E02"/>
    <w:rsid w:val="00DE08C1"/>
    <w:rsid w:val="00DE2BE8"/>
    <w:rsid w:val="00DE7747"/>
    <w:rsid w:val="00DF2970"/>
    <w:rsid w:val="00DF303A"/>
    <w:rsid w:val="00E0467F"/>
    <w:rsid w:val="00E0505F"/>
    <w:rsid w:val="00E07F07"/>
    <w:rsid w:val="00E30B60"/>
    <w:rsid w:val="00E33F35"/>
    <w:rsid w:val="00E35862"/>
    <w:rsid w:val="00E41E94"/>
    <w:rsid w:val="00E529FE"/>
    <w:rsid w:val="00E55C69"/>
    <w:rsid w:val="00E57D4D"/>
    <w:rsid w:val="00E6492F"/>
    <w:rsid w:val="00E65691"/>
    <w:rsid w:val="00E77C1F"/>
    <w:rsid w:val="00E80F85"/>
    <w:rsid w:val="00E91FA1"/>
    <w:rsid w:val="00E944E2"/>
    <w:rsid w:val="00EA6F17"/>
    <w:rsid w:val="00EC12D0"/>
    <w:rsid w:val="00EC2355"/>
    <w:rsid w:val="00EC6290"/>
    <w:rsid w:val="00ED76D9"/>
    <w:rsid w:val="00EE0DAA"/>
    <w:rsid w:val="00EF2051"/>
    <w:rsid w:val="00F00A19"/>
    <w:rsid w:val="00F23F09"/>
    <w:rsid w:val="00F34FB5"/>
    <w:rsid w:val="00F3644F"/>
    <w:rsid w:val="00F40FF4"/>
    <w:rsid w:val="00F47FF3"/>
    <w:rsid w:val="00F804CC"/>
    <w:rsid w:val="00F82A83"/>
    <w:rsid w:val="00F83B3D"/>
    <w:rsid w:val="00FA1D82"/>
    <w:rsid w:val="00FB0AFB"/>
    <w:rsid w:val="00FB2453"/>
    <w:rsid w:val="00FB39BA"/>
    <w:rsid w:val="00FC61E3"/>
    <w:rsid w:val="00FC6823"/>
    <w:rsid w:val="00FD16BD"/>
    <w:rsid w:val="00FD4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ULING%20CIVIL%20SIDE%20PLEA%20IN%20LIME%20LITIS%20MOHAN%20NAIDOO%20ANETTE%20ANDRE%20Civi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B823-6368-4AC6-BD04-70B71B58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CIVIL SIDE PLEA IN LIME LITIS MOHAN NAIDOO ANETTE ANDRE Civil suits (CS,CC,CM) - not MA - plaintiff-defendant</Template>
  <TotalTime>20</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s.sanguignon</cp:lastModifiedBy>
  <cp:revision>4</cp:revision>
  <cp:lastPrinted>2016-03-11T10:45:00Z</cp:lastPrinted>
  <dcterms:created xsi:type="dcterms:W3CDTF">2016-03-11T10:15:00Z</dcterms:created>
  <dcterms:modified xsi:type="dcterms:W3CDTF">2016-03-11T10:54:00Z</dcterms:modified>
</cp:coreProperties>
</file>